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pPr>
      <w:r>
        <w:rPr>
          <w:b/>
          <w:bCs/>
          <w:color w:val="1F3864"/>
          <w:sz w:val="30"/>
          <w:szCs w:val="30"/>
        </w:rPr>
        <w:t xml:space="preserve">European Asset &amp; Wealth Management — Activist Target Screen</w:t>
      </w:r>
    </w:p>
    <w:p>
      <w:pPr>
        <w:pStyle w:val="Heading2"/>
        <w:pBdr>
          <w:bottom w:val="single" w:color="9BB0C9" w:sz="6" w:space="4"/>
        </w:pBdr>
        <w:spacing w:after="140" w:before="300"/>
      </w:pPr>
      <w:r>
        <w:rPr>
          <w:b/>
          <w:bCs/>
          <w:color w:val="1F3864"/>
          <w:sz w:val="25"/>
          <w:szCs w:val="25"/>
        </w:rPr>
        <w:t xml:space="preserve">20 structurally sound, mis-managed businesses with fixable problems</w:t>
      </w:r>
    </w:p>
    <w:p>
      <w:pPr>
        <w:spacing w:after="100" w:before="60"/>
      </w:pPr>
      <w:r>
        <w:rPr>
          <w:b/>
          <w:bCs/>
          <w:sz w:val="19"/>
          <w:szCs w:val="19"/>
        </w:rPr>
        <w:t xml:space="preserve">Universe:</w:t>
      </w:r>
      <w:r>
        <w:rPr>
          <w:sz w:val="19"/>
          <w:szCs w:val="19"/>
        </w:rPr>
        <w:t xml:space="preserve"> Listed asset managers, wealth managers, private-markets firms and investment platforms domiciled or primarily listed in the UK, Ireland and Continental Europe. </w:t>
      </w:r>
      <w:r>
        <w:rPr>
          <w:b/>
          <w:bCs/>
          <w:sz w:val="19"/>
          <w:szCs w:val="19"/>
        </w:rPr>
        <w:t xml:space="preserve">Screen date:</w:t>
      </w:r>
      <w:r>
        <w:rPr>
          <w:sz w:val="19"/>
          <w:szCs w:val="19"/>
        </w:rPr>
        <w:t xml:space="preserve"> August 2026 </w:t>
      </w:r>
      <w:r>
        <w:rPr>
          <w:b/>
          <w:bCs/>
          <w:sz w:val="19"/>
          <w:szCs w:val="19"/>
        </w:rPr>
        <w:t xml:space="preserve">Prepared for:</w:t>
      </w:r>
      <w:r>
        <w:rPr>
          <w:sz w:val="19"/>
          <w:szCs w:val="19"/>
        </w:rPr>
        <w:t xml:space="preserve"> Internal idea generation — activist / constructivist engagement</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 Scope, method and screen criteria</w:t>
      </w:r>
    </w:p>
    <w:p>
      <w:pPr>
        <w:pStyle w:val="Heading3"/>
        <w:spacing w:after="100" w:before="220"/>
      </w:pPr>
      <w:r>
        <w:rPr>
          <w:b/>
          <w:bCs/>
          <w:color w:val="2E5C8A"/>
          <w:sz w:val="21"/>
          <w:szCs w:val="21"/>
        </w:rPr>
        <w:t xml:space="preserve">Sector and region</w:t>
      </w:r>
    </w:p>
    <w:p>
      <w:pPr>
        <w:spacing w:after="100" w:before="60"/>
      </w:pPr>
      <w:r>
        <w:rPr>
          <w:sz w:val="19"/>
          <w:szCs w:val="19"/>
        </w:rPr>
        <w:t xml:space="preserve">This screen covers </w:t>
      </w:r>
      <w:r>
        <w:rPr>
          <w:b/>
          <w:bCs/>
          <w:sz w:val="19"/>
          <w:szCs w:val="19"/>
        </w:rPr>
        <w:t xml:space="preserve">European (including UK) asset and wealth management</w:t>
      </w:r>
      <w:r>
        <w:rPr>
          <w:sz w:val="19"/>
          <w:szCs w:val="19"/>
        </w:rPr>
        <w:t xml:space="preserve"> — a sector chosen because it exhibits, more consistently than almost any other, the exact combination the mandate calls for: structurally attractive unit economics (30–50% incremental margins, negative working capital, minimal capex), balance sheets that are net cash by regulatory design, registers that are almost entirely institutional, and share prices that have de-rated for five years against both their own history and global peers.</w:t>
      </w:r>
    </w:p>
    <w:p>
      <w:pPr>
        <w:spacing w:after="100" w:before="60"/>
      </w:pPr>
      <w:r>
        <w:rPr>
          <w:sz w:val="19"/>
          <w:szCs w:val="19"/>
        </w:rPr>
        <w:t xml:space="preserve">The sector is also, on the evidence, where activism is actually happening. In the first five months of 2026, 78 activist campaigns were launched in Europe, with the </w:t>
      </w:r>
      <w:r>
        <w:rPr>
          <w:b/>
          <w:bCs/>
          <w:sz w:val="19"/>
          <w:szCs w:val="19"/>
        </w:rPr>
        <w:t xml:space="preserve">UK accounting for nearly 42% of all European campaigns, up 30% year-on-year</w:t>
      </w:r>
      <w:r>
        <w:rPr>
          <w:sz w:val="19"/>
          <w:szCs w:val="19"/>
        </w:rPr>
        <w:t xml:space="preserve">, and the share of campaigns with an explicit M&amp;A demand rising from 8% to 20%. One name on this list — Liontrust — is already the subject of a public open letter demanding a sale.</w:t>
      </w:r>
    </w:p>
    <w:p>
      <w:pPr>
        <w:pStyle w:val="Heading3"/>
        <w:spacing w:after="100" w:before="220"/>
      </w:pPr>
      <w:r>
        <w:rPr>
          <w:b/>
          <w:bCs/>
          <w:color w:val="2E5C8A"/>
          <w:sz w:val="21"/>
          <w:szCs w:val="21"/>
        </w:rPr>
        <w:t xml:space="preserve">Screen criteria applied</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003"/>
        <w:gridCol w:w="3552"/>
        <w:gridCol w:w="4191"/>
      </w:tblGrid>
      <w:tr>
        <w:trPr>
          <w:tblHeader/>
        </w:trPr>
        <w:tc>
          <w:tcPr>
            <w:tcW w:type="dxa" w:w="2003"/>
            <w:shd w:fill="1F3864" w:color="auto" w:val="clear"/>
            <w:tcMar>
              <w:top w:type="dxa" w:w="60"/>
              <w:left w:type="dxa" w:w="90"/>
              <w:bottom w:type="dxa" w:w="60"/>
              <w:right w:type="dxa" w:w="90"/>
            </w:tcMar>
          </w:tcPr>
          <w:p>
            <w:pPr>
              <w:spacing w:after="0" w:before="0"/>
              <w:jc w:val="left"/>
            </w:pPr>
            <w:r>
              <w:rPr>
                <w:b/>
                <w:bCs/>
                <w:color w:val="FFFFFF"/>
                <w:sz w:val="17"/>
                <w:szCs w:val="17"/>
              </w:rPr>
              <w:t xml:space="preserve">Criterion</w:t>
            </w:r>
          </w:p>
        </w:tc>
        <w:tc>
          <w:tcPr>
            <w:tcW w:type="dxa" w:w="3552"/>
            <w:shd w:fill="1F3864" w:color="auto" w:val="clear"/>
            <w:tcMar>
              <w:top w:type="dxa" w:w="60"/>
              <w:left w:type="dxa" w:w="90"/>
              <w:bottom w:type="dxa" w:w="60"/>
              <w:right w:type="dxa" w:w="90"/>
            </w:tcMar>
          </w:tcPr>
          <w:p>
            <w:pPr>
              <w:spacing w:after="0" w:before="0"/>
              <w:jc w:val="left"/>
            </w:pPr>
            <w:r>
              <w:rPr>
                <w:b/>
                <w:bCs/>
                <w:color w:val="FFFFFF"/>
                <w:sz w:val="17"/>
                <w:szCs w:val="17"/>
              </w:rPr>
              <w:t xml:space="preserve">Threshold</w:t>
            </w:r>
          </w:p>
        </w:tc>
        <w:tc>
          <w:tcPr>
            <w:tcW w:type="dxa" w:w="4191"/>
            <w:shd w:fill="1F3864" w:color="auto" w:val="clear"/>
            <w:tcMar>
              <w:top w:type="dxa" w:w="60"/>
              <w:left w:type="dxa" w:w="90"/>
              <w:bottom w:type="dxa" w:w="60"/>
              <w:right w:type="dxa" w:w="90"/>
            </w:tcMar>
          </w:tcPr>
          <w:p>
            <w:pPr>
              <w:spacing w:after="0" w:before="0"/>
              <w:jc w:val="left"/>
            </w:pPr>
            <w:r>
              <w:rPr>
                <w:b/>
                <w:bCs/>
                <w:color w:val="FFFFFF"/>
                <w:sz w:val="17"/>
                <w:szCs w:val="17"/>
              </w:rPr>
              <w:t xml:space="preserve">Notes on application</w:t>
            </w:r>
          </w:p>
        </w:tc>
      </w:tr>
      <w:tr>
        <w:tc>
          <w:tcPr>
            <w:tcW w:type="dxa" w:w="2003"/>
            <w:tcMar>
              <w:top w:type="dxa" w:w="60"/>
              <w:left w:type="dxa" w:w="90"/>
              <w:bottom w:type="dxa" w:w="60"/>
              <w:right w:type="dxa" w:w="90"/>
            </w:tcMar>
          </w:tcPr>
          <w:p>
            <w:pPr>
              <w:spacing w:after="0" w:before="0"/>
              <w:jc w:val="left"/>
            </w:pPr>
            <w:r>
              <w:rPr>
                <w:color w:val="000000"/>
                <w:sz w:val="17"/>
                <w:szCs w:val="17"/>
              </w:rPr>
              <w:t xml:space="preserve">Market capitalisation</w:t>
            </w:r>
          </w:p>
        </w:tc>
        <w:tc>
          <w:tcPr>
            <w:tcW w:type="dxa" w:w="3552"/>
            <w:tcMar>
              <w:top w:type="dxa" w:w="60"/>
              <w:left w:type="dxa" w:w="90"/>
              <w:bottom w:type="dxa" w:w="60"/>
              <w:right w:type="dxa" w:w="90"/>
            </w:tcMar>
          </w:tcPr>
          <w:p>
            <w:pPr>
              <w:spacing w:after="0" w:before="0"/>
              <w:jc w:val="left"/>
            </w:pPr>
            <w:r>
              <w:rPr>
                <w:color w:val="000000"/>
                <w:sz w:val="17"/>
                <w:szCs w:val="17"/>
              </w:rPr>
              <w:t xml:space="preserve">&gt; US$200m</w:t>
            </w:r>
          </w:p>
        </w:tc>
        <w:tc>
          <w:tcPr>
            <w:tcW w:type="dxa" w:w="4191"/>
            <w:tcMar>
              <w:top w:type="dxa" w:w="60"/>
              <w:left w:type="dxa" w:w="90"/>
              <w:bottom w:type="dxa" w:w="60"/>
              <w:right w:type="dxa" w:w="90"/>
            </w:tcMar>
          </w:tcPr>
          <w:p>
            <w:pPr>
              <w:spacing w:after="0" w:before="0"/>
              <w:jc w:val="left"/>
            </w:pPr>
            <w:r>
              <w:rPr>
                <w:color w:val="000000"/>
                <w:sz w:val="17"/>
                <w:szCs w:val="17"/>
              </w:rPr>
              <w:t xml:space="preserve">Applied at 1 Aug 2026 FX</w:t>
            </w:r>
          </w:p>
        </w:tc>
      </w:tr>
      <w:tr>
        <w:tc>
          <w:tcPr>
            <w:tcW w:type="dxa" w:w="2003"/>
            <w:shd w:fill="F2F5F9" w:color="auto" w:val="clear"/>
            <w:tcMar>
              <w:top w:type="dxa" w:w="60"/>
              <w:left w:type="dxa" w:w="90"/>
              <w:bottom w:type="dxa" w:w="60"/>
              <w:right w:type="dxa" w:w="90"/>
            </w:tcMar>
          </w:tcPr>
          <w:p>
            <w:pPr>
              <w:spacing w:after="0" w:before="0"/>
              <w:jc w:val="left"/>
            </w:pPr>
            <w:r>
              <w:rPr>
                <w:color w:val="000000"/>
                <w:sz w:val="17"/>
                <w:szCs w:val="17"/>
              </w:rPr>
              <w:t xml:space="preserve">Balance sheet capacity</w:t>
            </w:r>
          </w:p>
        </w:tc>
        <w:tc>
          <w:tcPr>
            <w:tcW w:type="dxa" w:w="3552"/>
            <w:shd w:fill="F2F5F9" w:color="auto" w:val="clear"/>
            <w:tcMar>
              <w:top w:type="dxa" w:w="60"/>
              <w:left w:type="dxa" w:w="90"/>
              <w:bottom w:type="dxa" w:w="60"/>
              <w:right w:type="dxa" w:w="90"/>
            </w:tcMar>
          </w:tcPr>
          <w:p>
            <w:pPr>
              <w:spacing w:after="0" w:before="0"/>
              <w:jc w:val="left"/>
            </w:pPr>
            <w:r>
              <w:rPr>
                <w:color w:val="000000"/>
                <w:sz w:val="17"/>
                <w:szCs w:val="17"/>
              </w:rPr>
              <w:t xml:space="preserve">Net debt/EBITDA &lt; 1.0x or net cash</w:t>
            </w:r>
          </w:p>
        </w:tc>
        <w:tc>
          <w:tcPr>
            <w:tcW w:type="dxa" w:w="4191"/>
            <w:shd w:fill="F2F5F9" w:color="auto" w:val="clear"/>
            <w:tcMar>
              <w:top w:type="dxa" w:w="60"/>
              <w:left w:type="dxa" w:w="90"/>
              <w:bottom w:type="dxa" w:w="60"/>
              <w:right w:type="dxa" w:w="90"/>
            </w:tcMar>
          </w:tcPr>
          <w:p>
            <w:pPr>
              <w:spacing w:after="0" w:before="0"/>
              <w:jc w:val="left"/>
            </w:pPr>
            <w:r>
              <w:rPr>
                <w:color w:val="000000"/>
                <w:sz w:val="17"/>
                <w:szCs w:val="17"/>
              </w:rPr>
              <w:t xml:space="preserve">See exceptions below</w:t>
            </w:r>
          </w:p>
        </w:tc>
      </w:tr>
      <w:tr>
        <w:tc>
          <w:tcPr>
            <w:tcW w:type="dxa" w:w="2003"/>
            <w:tcMar>
              <w:top w:type="dxa" w:w="60"/>
              <w:left w:type="dxa" w:w="90"/>
              <w:bottom w:type="dxa" w:w="60"/>
              <w:right w:type="dxa" w:w="90"/>
            </w:tcMar>
          </w:tcPr>
          <w:p>
            <w:pPr>
              <w:spacing w:after="0" w:before="0"/>
              <w:jc w:val="left"/>
            </w:pPr>
            <w:r>
              <w:rPr>
                <w:color w:val="000000"/>
                <w:sz w:val="17"/>
                <w:szCs w:val="17"/>
              </w:rPr>
              <w:t xml:space="preserve">Ownership</w:t>
            </w:r>
          </w:p>
        </w:tc>
        <w:tc>
          <w:tcPr>
            <w:tcW w:type="dxa" w:w="3552"/>
            <w:tcMar>
              <w:top w:type="dxa" w:w="60"/>
              <w:left w:type="dxa" w:w="90"/>
              <w:bottom w:type="dxa" w:w="60"/>
              <w:right w:type="dxa" w:w="90"/>
            </w:tcMar>
          </w:tcPr>
          <w:p>
            <w:pPr>
              <w:spacing w:after="0" w:before="0"/>
              <w:jc w:val="left"/>
            </w:pPr>
            <w:r>
              <w:rPr>
                <w:color w:val="000000"/>
                <w:sz w:val="17"/>
                <w:szCs w:val="17"/>
              </w:rPr>
              <w:t xml:space="preserve">No single holder &gt; 40%</w:t>
            </w:r>
          </w:p>
        </w:tc>
        <w:tc>
          <w:tcPr>
            <w:tcW w:type="dxa" w:w="4191"/>
            <w:tcMar>
              <w:top w:type="dxa" w:w="60"/>
              <w:left w:type="dxa" w:w="90"/>
              <w:bottom w:type="dxa" w:w="60"/>
              <w:right w:type="dxa" w:w="90"/>
            </w:tcMar>
          </w:tcPr>
          <w:p>
            <w:pPr>
              <w:spacing w:after="0" w:before="0"/>
              <w:jc w:val="left"/>
            </w:pPr>
            <w:r>
              <w:rPr>
                <w:color w:val="000000"/>
                <w:sz w:val="17"/>
                <w:szCs w:val="17"/>
              </w:rPr>
              <w:t xml:space="preserve">Applied strictly — this removed several otherwise-ideal targets</w:t>
            </w:r>
          </w:p>
        </w:tc>
      </w:tr>
      <w:tr>
        <w:tc>
          <w:tcPr>
            <w:tcW w:type="dxa" w:w="2003"/>
            <w:shd w:fill="F2F5F9" w:color="auto" w:val="clear"/>
            <w:tcMar>
              <w:top w:type="dxa" w:w="60"/>
              <w:left w:type="dxa" w:w="90"/>
              <w:bottom w:type="dxa" w:w="60"/>
              <w:right w:type="dxa" w:w="90"/>
            </w:tcMar>
          </w:tcPr>
          <w:p>
            <w:pPr>
              <w:spacing w:after="0" w:before="0"/>
              <w:jc w:val="left"/>
            </w:pPr>
            <w:r>
              <w:rPr>
                <w:color w:val="000000"/>
                <w:sz w:val="17"/>
                <w:szCs w:val="17"/>
              </w:rPr>
              <w:t xml:space="preserve">TSR</w:t>
            </w:r>
          </w:p>
        </w:tc>
        <w:tc>
          <w:tcPr>
            <w:tcW w:type="dxa" w:w="3552"/>
            <w:shd w:fill="F2F5F9" w:color="auto" w:val="clear"/>
            <w:tcMar>
              <w:top w:type="dxa" w:w="60"/>
              <w:left w:type="dxa" w:w="90"/>
              <w:bottom w:type="dxa" w:w="60"/>
              <w:right w:type="dxa" w:w="90"/>
            </w:tcMar>
          </w:tcPr>
          <w:p>
            <w:pPr>
              <w:spacing w:after="0" w:before="0"/>
              <w:jc w:val="left"/>
            </w:pPr>
            <w:r>
              <w:rPr>
                <w:color w:val="000000"/>
                <w:sz w:val="17"/>
                <w:szCs w:val="17"/>
              </w:rPr>
              <w:t xml:space="preserve">3–5yr TSR below sector and index</w:t>
            </w:r>
          </w:p>
        </w:tc>
        <w:tc>
          <w:tcPr>
            <w:tcW w:type="dxa" w:w="4191"/>
            <w:shd w:fill="F2F5F9" w:color="auto" w:val="clear"/>
            <w:tcMar>
              <w:top w:type="dxa" w:w="60"/>
              <w:left w:type="dxa" w:w="90"/>
              <w:bottom w:type="dxa" w:w="60"/>
              <w:right w:type="dxa" w:w="90"/>
            </w:tcMar>
          </w:tcPr>
          <w:p>
            <w:pPr>
              <w:spacing w:after="0" w:before="0"/>
              <w:jc w:val="left"/>
            </w:pPr>
            <w:r>
              <w:rPr>
                <w:color w:val="000000"/>
                <w:sz w:val="17"/>
                <w:szCs w:val="17"/>
              </w:rPr>
              <w:t xml:space="preserve">Primary qualifying test</w:t>
            </w:r>
          </w:p>
        </w:tc>
      </w:tr>
      <w:tr>
        <w:tc>
          <w:tcPr>
            <w:tcW w:type="dxa" w:w="2003"/>
            <w:tcMar>
              <w:top w:type="dxa" w:w="60"/>
              <w:left w:type="dxa" w:w="90"/>
              <w:bottom w:type="dxa" w:w="60"/>
              <w:right w:type="dxa" w:w="90"/>
            </w:tcMar>
          </w:tcPr>
          <w:p>
            <w:pPr>
              <w:spacing w:after="0" w:before="0"/>
              <w:jc w:val="left"/>
            </w:pPr>
            <w:r>
              <w:rPr>
                <w:color w:val="000000"/>
                <w:sz w:val="17"/>
                <w:szCs w:val="17"/>
              </w:rPr>
              <w:t xml:space="preserve">Business quality</w:t>
            </w:r>
          </w:p>
        </w:tc>
        <w:tc>
          <w:tcPr>
            <w:tcW w:type="dxa" w:w="3552"/>
            <w:tcMar>
              <w:top w:type="dxa" w:w="60"/>
              <w:left w:type="dxa" w:w="90"/>
              <w:bottom w:type="dxa" w:w="60"/>
              <w:right w:type="dxa" w:w="90"/>
            </w:tcMar>
          </w:tcPr>
          <w:p>
            <w:pPr>
              <w:spacing w:after="0" w:before="0"/>
              <w:jc w:val="left"/>
            </w:pPr>
            <w:r>
              <w:rPr>
                <w:color w:val="000000"/>
                <w:sz w:val="17"/>
                <w:szCs w:val="17"/>
              </w:rPr>
              <w:t xml:space="preserve">Structurally sound franchise</w:t>
            </w:r>
          </w:p>
        </w:tc>
        <w:tc>
          <w:tcPr>
            <w:tcW w:type="dxa" w:w="4191"/>
            <w:tcMar>
              <w:top w:type="dxa" w:w="60"/>
              <w:left w:type="dxa" w:w="90"/>
              <w:bottom w:type="dxa" w:w="60"/>
              <w:right w:type="dxa" w:w="90"/>
            </w:tcMar>
          </w:tcPr>
          <w:p>
            <w:pPr>
              <w:spacing w:after="0" w:before="0"/>
              <w:jc w:val="left"/>
            </w:pPr>
            <w:r>
              <w:rPr>
                <w:color w:val="000000"/>
                <w:sz w:val="17"/>
                <w:szCs w:val="17"/>
              </w:rPr>
              <w:t xml:space="preserve">Excludes genuinely broken or melting-ice-cube assets</w:t>
            </w:r>
          </w:p>
        </w:tc>
      </w:tr>
      <w:tr>
        <w:tc>
          <w:tcPr>
            <w:tcW w:type="dxa" w:w="2003"/>
            <w:shd w:fill="F2F5F9" w:color="auto" w:val="clear"/>
            <w:tcMar>
              <w:top w:type="dxa" w:w="60"/>
              <w:left w:type="dxa" w:w="90"/>
              <w:bottom w:type="dxa" w:w="60"/>
              <w:right w:type="dxa" w:w="90"/>
            </w:tcMar>
          </w:tcPr>
          <w:p>
            <w:pPr>
              <w:spacing w:after="0" w:before="0"/>
              <w:jc w:val="left"/>
            </w:pPr>
            <w:r>
              <w:rPr>
                <w:color w:val="000000"/>
                <w:sz w:val="17"/>
                <w:szCs w:val="17"/>
              </w:rPr>
              <w:t xml:space="preserve">Fixability</w:t>
            </w:r>
          </w:p>
        </w:tc>
        <w:tc>
          <w:tcPr>
            <w:tcW w:type="dxa" w:w="3552"/>
            <w:shd w:fill="F2F5F9" w:color="auto" w:val="clear"/>
            <w:tcMar>
              <w:top w:type="dxa" w:w="60"/>
              <w:left w:type="dxa" w:w="90"/>
              <w:bottom w:type="dxa" w:w="60"/>
              <w:right w:type="dxa" w:w="90"/>
            </w:tcMar>
          </w:tcPr>
          <w:p>
            <w:pPr>
              <w:spacing w:after="0" w:before="0"/>
              <w:jc w:val="left"/>
            </w:pPr>
            <w:r>
              <w:rPr>
                <w:color w:val="000000"/>
                <w:sz w:val="17"/>
                <w:szCs w:val="17"/>
              </w:rPr>
              <w:t xml:space="preserve">Identifiable, board-actionable remedies</w:t>
            </w:r>
          </w:p>
        </w:tc>
        <w:tc>
          <w:tcPr>
            <w:tcW w:type="dxa" w:w="4191"/>
            <w:shd w:fill="F2F5F9" w:color="auto" w:val="clear"/>
            <w:tcMar>
              <w:top w:type="dxa" w:w="60"/>
              <w:left w:type="dxa" w:w="90"/>
              <w:bottom w:type="dxa" w:w="60"/>
              <w:right w:type="dxa" w:w="90"/>
            </w:tcMar>
          </w:tcPr>
          <w:p>
            <w:pPr>
              <w:spacing w:after="0" w:before="0"/>
              <w:jc w:val="left"/>
            </w:pPr>
            <w:r>
              <w:rPr>
                <w:color w:val="000000"/>
                <w:sz w:val="17"/>
                <w:szCs w:val="17"/>
              </w:rPr>
              <w:t xml:space="preserve">Excludes names where the problem is the market, not the management</w:t>
            </w:r>
          </w:p>
        </w:tc>
      </w:tr>
    </w:tbl>
    <w:p>
      <w:pPr>
        <w:spacing w:after="160"/>
      </w:pPr>
      <w:r>
        <w:t xml:space="preserve"/>
      </w:r>
    </w:p>
    <w:p>
      <w:pPr>
        <w:pStyle w:val="Heading3"/>
        <w:spacing w:after="100" w:before="220"/>
      </w:pPr>
      <w:r>
        <w:rPr>
          <w:b/>
          <w:bCs/>
          <w:color w:val="2E5C8A"/>
          <w:sz w:val="21"/>
          <w:szCs w:val="21"/>
        </w:rPr>
        <w:t xml:space="preserve">Screen exceptions — stated explicitly</w:t>
      </w:r>
    </w:p>
    <w:p>
      <w:pPr>
        <w:spacing w:after="100" w:before="60"/>
      </w:pPr>
      <w:r>
        <w:rPr>
          <w:sz w:val="19"/>
          <w:szCs w:val="19"/>
        </w:rPr>
        <w:t xml:space="preserve">Three names are included on merit despite failing a literal reading of the leverage test, because the underlying intent of that test (balance-sheet capacity to fund a capital return) is satisfied by a different metric:</w:t>
      </w:r>
    </w:p>
    <w:p>
      <w:pPr>
        <w:pStyle w:val="ListParagraph"/>
        <w:numPr>
          <w:ilvl w:val="0"/>
          <w:numId w:val="2"/>
        </w:numPr>
        <w:spacing w:after="40" w:before="40"/>
      </w:pPr>
      <w:r>
        <w:rPr>
          <w:b/>
          <w:bCs/>
          <w:sz w:val="19"/>
          <w:szCs w:val="19"/>
        </w:rPr>
        <w:t xml:space="preserve">Julius Baer (#15)</w:t>
      </w:r>
      <w:r>
        <w:rPr>
          <w:sz w:val="19"/>
          <w:szCs w:val="19"/>
        </w:rPr>
        <w:t xml:space="preserve"> — a bank. Net debt/EBITDA is meaningless. Qualifies on </w:t>
      </w:r>
      <w:r>
        <w:rPr>
          <w:b/>
          <w:bCs/>
          <w:sz w:val="19"/>
          <w:szCs w:val="19"/>
        </w:rPr>
        <w:t xml:space="preserve">CET1 surplus</w:t>
      </w:r>
      <w:r>
        <w:rPr>
          <w:sz w:val="19"/>
          <w:szCs w:val="19"/>
        </w:rPr>
        <w:t xml:space="preserve"> (~15% vs ~13.5% target, over CHF 1bn of distributable excess).</w:t>
      </w:r>
    </w:p>
    <w:p>
      <w:pPr>
        <w:pStyle w:val="ListParagraph"/>
        <w:numPr>
          <w:ilvl w:val="0"/>
          <w:numId w:val="2"/>
        </w:numPr>
        <w:spacing w:after="40" w:before="40"/>
      </w:pPr>
      <w:r>
        <w:rPr>
          <w:b/>
          <w:bCs/>
          <w:sz w:val="19"/>
          <w:szCs w:val="19"/>
        </w:rPr>
        <w:t xml:space="preserve">M&amp;G (#14)</w:t>
      </w:r>
      <w:r>
        <w:rPr>
          <w:sz w:val="19"/>
          <w:szCs w:val="19"/>
        </w:rPr>
        <w:t xml:space="preserve"> — an insurance-owned asset manager. Qualifies on </w:t>
      </w:r>
      <w:r>
        <w:rPr>
          <w:b/>
          <w:bCs/>
          <w:sz w:val="19"/>
          <w:szCs w:val="19"/>
        </w:rPr>
        <w:t xml:space="preserve">Solvency II surplus</w:t>
      </w:r>
      <w:r>
        <w:rPr>
          <w:sz w:val="19"/>
          <w:szCs w:val="19"/>
        </w:rPr>
        <w:t xml:space="preserve"> (~220% coverage, ~£1bn shareholder surplus).</w:t>
      </w:r>
    </w:p>
    <w:p>
      <w:pPr>
        <w:pStyle w:val="ListParagraph"/>
        <w:numPr>
          <w:ilvl w:val="0"/>
          <w:numId w:val="2"/>
        </w:numPr>
        <w:spacing w:after="40" w:before="40"/>
      </w:pPr>
      <w:r>
        <w:rPr>
          <w:b/>
          <w:bCs/>
          <w:sz w:val="19"/>
          <w:szCs w:val="19"/>
        </w:rPr>
        <w:t xml:space="preserve">St. James's Place (#8)</w:t>
      </w:r>
      <w:r>
        <w:rPr>
          <w:sz w:val="19"/>
          <w:szCs w:val="19"/>
        </w:rPr>
        <w:t xml:space="preserve"> — a life-company structure. Qualifies on </w:t>
      </w:r>
      <w:r>
        <w:rPr>
          <w:b/>
          <w:bCs/>
          <w:sz w:val="19"/>
          <w:szCs w:val="19"/>
        </w:rPr>
        <w:t xml:space="preserve">solvency surplus and cash-result generation</w:t>
      </w:r>
      <w:r>
        <w:rPr>
          <w:sz w:val="19"/>
          <w:szCs w:val="19"/>
        </w:rPr>
        <w:t xml:space="preserve">, not EBITDA leverage.</w:t>
      </w:r>
    </w:p>
    <w:p>
      <w:pPr>
        <w:spacing w:after="100" w:before="60"/>
      </w:pPr>
      <w:r>
        <w:rPr>
          <w:sz w:val="19"/>
          <w:szCs w:val="19"/>
        </w:rPr>
        <w:t xml:space="preserve">One name is included with a sector-fit caveat:</w:t>
      </w:r>
    </w:p>
    <w:p>
      <w:pPr>
        <w:pStyle w:val="ListParagraph"/>
        <w:numPr>
          <w:ilvl w:val="0"/>
          <w:numId w:val="2"/>
        </w:numPr>
        <w:spacing w:after="40" w:before="40"/>
      </w:pPr>
      <w:r>
        <w:rPr>
          <w:b/>
          <w:bCs/>
          <w:sz w:val="19"/>
          <w:szCs w:val="19"/>
        </w:rPr>
        <w:t xml:space="preserve">ABG Sundal Collier (#20)</w:t>
      </w:r>
      <w:r>
        <w:rPr>
          <w:sz w:val="19"/>
          <w:szCs w:val="19"/>
        </w:rPr>
        <w:t xml:space="preserve"> — capital-markets-adjacent (advisory plus asset management) rather than a pure-play manager. Included because the activist thesis — compensation ratio, excess capital, sub-scale non-core division — is exactly the pattern this screen is designed to find.</w:t>
      </w:r>
    </w:p>
    <w:p>
      <w:pPr>
        <w:pStyle w:val="Heading3"/>
        <w:spacing w:after="100" w:before="220"/>
      </w:pPr>
      <w:r>
        <w:rPr>
          <w:b/>
          <w:bCs/>
          <w:color w:val="2E5C8A"/>
          <w:sz w:val="21"/>
          <w:szCs w:val="21"/>
        </w:rPr>
        <w:t xml:space="preserve">Data integrity note — read this before using any number</w:t>
      </w:r>
    </w:p>
    <w:p>
      <w:pPr>
        <w:spacing w:after="100" w:before="60"/>
      </w:pPr>
      <w:r>
        <w:rPr>
          <w:b/>
          <w:bCs/>
          <w:sz w:val="19"/>
          <w:szCs w:val="19"/>
        </w:rPr>
        <w:t xml:space="preserve">The quantitative figures in this document are indicative and must be refreshed from Bloomberg, FactSet or CapitalIQ before any capital is committed or any approach is made.</w:t>
      </w:r>
      <w:r>
        <w:rPr>
          <w:sz w:val="19"/>
          <w:szCs w:val="19"/>
        </w:rPr>
        <w:t xml:space="preserve"> They are assembled from public reporting, market data and sector research current to mid-2026, and are accurate enough to rank and prioritise but not to underwrite. Specifically:</w:t>
      </w:r>
    </w:p>
    <w:p>
      <w:pPr>
        <w:pStyle w:val="ListParagraph"/>
        <w:numPr>
          <w:ilvl w:val="0"/>
          <w:numId w:val="2"/>
        </w:numPr>
        <w:spacing w:after="40" w:before="40"/>
      </w:pPr>
      <w:r>
        <w:rPr>
          <w:b/>
          <w:bCs/>
          <w:sz w:val="19"/>
          <w:szCs w:val="19"/>
        </w:rPr>
        <w:t xml:space="preserve">TSR figures</w:t>
      </w:r>
      <w:r>
        <w:rPr>
          <w:sz w:val="19"/>
          <w:szCs w:val="19"/>
        </w:rPr>
        <w:t xml:space="preserve"> are approximate total returns to 31 July 2026, and are compared against an indicative European asset &amp; wealth management composite. They are directionally reliable; the precise basis points are not.</w:t>
      </w:r>
    </w:p>
    <w:p>
      <w:pPr>
        <w:pStyle w:val="ListParagraph"/>
        <w:numPr>
          <w:ilvl w:val="0"/>
          <w:numId w:val="2"/>
        </w:numPr>
        <w:spacing w:after="40" w:before="40"/>
      </w:pPr>
      <w:r>
        <w:rPr>
          <w:b/>
          <w:bCs/>
          <w:sz w:val="19"/>
          <w:szCs w:val="19"/>
        </w:rPr>
        <w:t xml:space="preserve">Shareholder registers</w:t>
      </w:r>
      <w:r>
        <w:rPr>
          <w:sz w:val="19"/>
          <w:szCs w:val="19"/>
        </w:rPr>
        <w:t xml:space="preserve"> move constantly and disclosure thresholds differ by jurisdiction (3% UK, 3%/5% EU, 3% CH). Holdings shown are the most recent disclosed positions known and should be re-pulled from the regulatory filings and a share-register analysis before any campaign. </w:t>
      </w:r>
      <w:r>
        <w:rPr>
          <w:b/>
          <w:bCs/>
          <w:sz w:val="19"/>
          <w:szCs w:val="19"/>
        </w:rPr>
        <w:t xml:space="preserve">Percentages for index and quant holders in particular should be treated as approximations.</w:t>
      </w:r>
    </w:p>
    <w:p>
      <w:pPr>
        <w:pStyle w:val="ListParagraph"/>
        <w:numPr>
          <w:ilvl w:val="0"/>
          <w:numId w:val="2"/>
        </w:numPr>
        <w:spacing w:after="40" w:before="40"/>
      </w:pPr>
      <w:r>
        <w:rPr>
          <w:b/>
          <w:bCs/>
          <w:sz w:val="19"/>
          <w:szCs w:val="19"/>
        </w:rPr>
        <w:t xml:space="preserve">Valuation multiples</w:t>
      </w:r>
      <w:r>
        <w:rPr>
          <w:sz w:val="19"/>
          <w:szCs w:val="19"/>
        </w:rPr>
        <w:t xml:space="preserve"> are on a trailing or current-year consensus basis and are unadjusted for the very large net-cash positions several of these companies carry. Where cash is more than ~25% of market capitalisation, the </w:t>
      </w:r>
      <w:r>
        <w:rPr>
          <w:b/>
          <w:bCs/>
          <w:sz w:val="19"/>
          <w:szCs w:val="19"/>
        </w:rPr>
        <w:t xml:space="preserve">ex-cash</w:t>
      </w:r>
      <w:r>
        <w:rPr>
          <w:sz w:val="19"/>
          <w:szCs w:val="19"/>
        </w:rPr>
        <w:t xml:space="preserve"> multiple is the one that matters, and it is materially lower than the headline figure shown.</w:t>
      </w:r>
    </w:p>
    <w:p>
      <w:pPr>
        <w:pStyle w:val="ListParagraph"/>
        <w:numPr>
          <w:ilvl w:val="0"/>
          <w:numId w:val="2"/>
        </w:numPr>
        <w:spacing w:after="40" w:before="40"/>
      </w:pPr>
      <w:r>
        <w:rPr>
          <w:b/>
          <w:bCs/>
          <w:sz w:val="19"/>
          <w:szCs w:val="19"/>
        </w:rPr>
        <w:t xml:space="preserve">Anything described as a company's likely defence is inference</w:t>
      </w:r>
      <w:r>
        <w:rPr>
          <w:sz w:val="19"/>
          <w:szCs w:val="19"/>
        </w:rPr>
        <w:t xml:space="preserve">, not a quotation.</w:t>
      </w:r>
    </w:p>
    <w:p>
      <w:pPr>
        <w:pStyle w:val="Heading3"/>
        <w:spacing w:after="100" w:before="220"/>
      </w:pPr>
      <w:r>
        <w:rPr>
          <w:b/>
          <w:bCs/>
          <w:color w:val="2E5C8A"/>
          <w:sz w:val="21"/>
          <w:szCs w:val="21"/>
        </w:rPr>
        <w:t xml:space="preserve">Benchmark assumptions (indicative TSR, to 31 July 2026)</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6822"/>
        <w:gridCol w:w="974"/>
        <w:gridCol w:w="974"/>
        <w:gridCol w:w="976"/>
      </w:tblGrid>
      <w:tr>
        <w:trPr>
          <w:tblHeader/>
        </w:trPr>
        <w:tc>
          <w:tcPr>
            <w:tcW w:type="dxa" w:w="6822"/>
            <w:shd w:fill="1F3864" w:color="auto" w:val="clear"/>
            <w:tcMar>
              <w:top w:type="dxa" w:w="60"/>
              <w:left w:type="dxa" w:w="90"/>
              <w:bottom w:type="dxa" w:w="60"/>
              <w:right w:type="dxa" w:w="90"/>
            </w:tcMar>
          </w:tcPr>
          <w:p>
            <w:pPr>
              <w:spacing w:after="0" w:before="0"/>
              <w:jc w:val="left"/>
            </w:pPr>
            <w:r>
              <w:rPr>
                <w:b/>
                <w:bCs/>
                <w:color w:val="FFFFFF"/>
                <w:sz w:val="17"/>
                <w:szCs w:val="17"/>
              </w:rPr>
              <w:t xml:space="preserve">Benchmark</w:t>
            </w:r>
          </w:p>
        </w:tc>
        <w:tc>
          <w:tcPr>
            <w:tcW w:type="dxa" w:w="974"/>
            <w:shd w:fill="1F3864" w:color="auto" w:val="clear"/>
            <w:tcMar>
              <w:top w:type="dxa" w:w="60"/>
              <w:left w:type="dxa" w:w="90"/>
              <w:bottom w:type="dxa" w:w="60"/>
              <w:right w:type="dxa" w:w="90"/>
            </w:tcMar>
          </w:tcPr>
          <w:p>
            <w:pPr>
              <w:spacing w:after="0" w:before="0"/>
              <w:jc w:val="left"/>
            </w:pPr>
            <w:r>
              <w:rPr>
                <w:b/>
                <w:bCs/>
                <w:color w:val="FFFFFF"/>
                <w:sz w:val="17"/>
                <w:szCs w:val="17"/>
              </w:rPr>
              <w:t xml:space="preserve">1yr</w:t>
            </w:r>
          </w:p>
        </w:tc>
        <w:tc>
          <w:tcPr>
            <w:tcW w:type="dxa" w:w="974"/>
            <w:shd w:fill="1F3864" w:color="auto" w:val="clear"/>
            <w:tcMar>
              <w:top w:type="dxa" w:w="60"/>
              <w:left w:type="dxa" w:w="90"/>
              <w:bottom w:type="dxa" w:w="60"/>
              <w:right w:type="dxa" w:w="90"/>
            </w:tcMar>
          </w:tcPr>
          <w:p>
            <w:pPr>
              <w:spacing w:after="0" w:before="0"/>
              <w:jc w:val="left"/>
            </w:pPr>
            <w:r>
              <w:rPr>
                <w:b/>
                <w:bCs/>
                <w:color w:val="FFFFFF"/>
                <w:sz w:val="17"/>
                <w:szCs w:val="17"/>
              </w:rPr>
              <w:t xml:space="preserve">3yr</w:t>
            </w:r>
          </w:p>
        </w:tc>
        <w:tc>
          <w:tcPr>
            <w:tcW w:type="dxa" w:w="976"/>
            <w:shd w:fill="1F3864" w:color="auto" w:val="clear"/>
            <w:tcMar>
              <w:top w:type="dxa" w:w="60"/>
              <w:left w:type="dxa" w:w="90"/>
              <w:bottom w:type="dxa" w:w="60"/>
              <w:right w:type="dxa" w:w="90"/>
            </w:tcMar>
          </w:tcPr>
          <w:p>
            <w:pPr>
              <w:spacing w:after="0" w:before="0"/>
              <w:jc w:val="left"/>
            </w:pPr>
            <w:r>
              <w:rPr>
                <w:b/>
                <w:bCs/>
                <w:color w:val="FFFFFF"/>
                <w:sz w:val="17"/>
                <w:szCs w:val="17"/>
              </w:rPr>
              <w:t xml:space="preserve">5yr</w:t>
            </w:r>
          </w:p>
        </w:tc>
      </w:tr>
      <w:tr>
        <w:tc>
          <w:tcPr>
            <w:tcW w:type="dxa" w:w="6822"/>
            <w:tcMar>
              <w:top w:type="dxa" w:w="60"/>
              <w:left w:type="dxa" w:w="90"/>
              <w:bottom w:type="dxa" w:w="60"/>
              <w:right w:type="dxa" w:w="90"/>
            </w:tcMar>
          </w:tcPr>
          <w:p>
            <w:pPr>
              <w:spacing w:after="0" w:before="0"/>
              <w:jc w:val="left"/>
            </w:pPr>
            <w:r>
              <w:rPr>
                <w:color w:val="000000"/>
                <w:sz w:val="17"/>
                <w:szCs w:val="17"/>
              </w:rPr>
              <w:t xml:space="preserve">European Asset &amp; Wealth Managers composite</w:t>
            </w:r>
          </w:p>
        </w:tc>
        <w:tc>
          <w:tcPr>
            <w:tcW w:type="dxa" w:w="974"/>
            <w:tcMar>
              <w:top w:type="dxa" w:w="60"/>
              <w:left w:type="dxa" w:w="90"/>
              <w:bottom w:type="dxa" w:w="60"/>
              <w:right w:type="dxa" w:w="90"/>
            </w:tcMar>
          </w:tcPr>
          <w:p>
            <w:pPr>
              <w:spacing w:after="0" w:before="0"/>
              <w:jc w:val="left"/>
            </w:pPr>
            <w:r>
              <w:rPr>
                <w:color w:val="000000"/>
                <w:sz w:val="17"/>
                <w:szCs w:val="17"/>
              </w:rPr>
              <w:t xml:space="preserve">+19%</w:t>
            </w:r>
          </w:p>
        </w:tc>
        <w:tc>
          <w:tcPr>
            <w:tcW w:type="dxa" w:w="974"/>
            <w:tcMar>
              <w:top w:type="dxa" w:w="60"/>
              <w:left w:type="dxa" w:w="90"/>
              <w:bottom w:type="dxa" w:w="60"/>
              <w:right w:type="dxa" w:w="90"/>
            </w:tcMar>
          </w:tcPr>
          <w:p>
            <w:pPr>
              <w:spacing w:after="0" w:before="0"/>
              <w:jc w:val="left"/>
            </w:pPr>
            <w:r>
              <w:rPr>
                <w:color w:val="000000"/>
                <w:sz w:val="17"/>
                <w:szCs w:val="17"/>
              </w:rPr>
              <w:t xml:space="preserve">+32%</w:t>
            </w:r>
          </w:p>
        </w:tc>
        <w:tc>
          <w:tcPr>
            <w:tcW w:type="dxa" w:w="976"/>
            <w:tcMar>
              <w:top w:type="dxa" w:w="60"/>
              <w:left w:type="dxa" w:w="90"/>
              <w:bottom w:type="dxa" w:w="60"/>
              <w:right w:type="dxa" w:w="90"/>
            </w:tcMar>
          </w:tcPr>
          <w:p>
            <w:pPr>
              <w:spacing w:after="0" w:before="0"/>
              <w:jc w:val="left"/>
            </w:pPr>
            <w:r>
              <w:rPr>
                <w:color w:val="000000"/>
                <w:sz w:val="17"/>
                <w:szCs w:val="17"/>
              </w:rPr>
              <w:t xml:space="preserve">+18%</w:t>
            </w:r>
          </w:p>
        </w:tc>
      </w:tr>
      <w:tr>
        <w:tc>
          <w:tcPr>
            <w:tcW w:type="dxa" w:w="6822"/>
            <w:shd w:fill="F2F5F9" w:color="auto" w:val="clear"/>
            <w:tcMar>
              <w:top w:type="dxa" w:w="60"/>
              <w:left w:type="dxa" w:w="90"/>
              <w:bottom w:type="dxa" w:w="60"/>
              <w:right w:type="dxa" w:w="90"/>
            </w:tcMar>
          </w:tcPr>
          <w:p>
            <w:pPr>
              <w:spacing w:after="0" w:before="0"/>
              <w:jc w:val="left"/>
            </w:pPr>
            <w:r>
              <w:rPr>
                <w:color w:val="000000"/>
                <w:sz w:val="17"/>
                <w:szCs w:val="17"/>
              </w:rPr>
              <w:t xml:space="preserve">FTSE All-Share (TR)</w:t>
            </w:r>
          </w:p>
        </w:tc>
        <w:tc>
          <w:tcPr>
            <w:tcW w:type="dxa" w:w="974"/>
            <w:shd w:fill="F2F5F9" w:color="auto" w:val="clear"/>
            <w:tcMar>
              <w:top w:type="dxa" w:w="60"/>
              <w:left w:type="dxa" w:w="90"/>
              <w:bottom w:type="dxa" w:w="60"/>
              <w:right w:type="dxa" w:w="90"/>
            </w:tcMar>
          </w:tcPr>
          <w:p>
            <w:pPr>
              <w:spacing w:after="0" w:before="0"/>
              <w:jc w:val="left"/>
            </w:pPr>
            <w:r>
              <w:rPr>
                <w:color w:val="000000"/>
                <w:sz w:val="17"/>
                <w:szCs w:val="17"/>
              </w:rPr>
              <w:t xml:space="preserve">+13%</w:t>
            </w:r>
          </w:p>
        </w:tc>
        <w:tc>
          <w:tcPr>
            <w:tcW w:type="dxa" w:w="974"/>
            <w:shd w:fill="F2F5F9" w:color="auto" w:val="clear"/>
            <w:tcMar>
              <w:top w:type="dxa" w:w="60"/>
              <w:left w:type="dxa" w:w="90"/>
              <w:bottom w:type="dxa" w:w="60"/>
              <w:right w:type="dxa" w:w="90"/>
            </w:tcMar>
          </w:tcPr>
          <w:p>
            <w:pPr>
              <w:spacing w:after="0" w:before="0"/>
              <w:jc w:val="left"/>
            </w:pPr>
            <w:r>
              <w:rPr>
                <w:color w:val="000000"/>
                <w:sz w:val="17"/>
                <w:szCs w:val="17"/>
              </w:rPr>
              <w:t xml:space="preserve">+36%</w:t>
            </w:r>
          </w:p>
        </w:tc>
        <w:tc>
          <w:tcPr>
            <w:tcW w:type="dxa" w:w="976"/>
            <w:shd w:fill="F2F5F9" w:color="auto" w:val="clear"/>
            <w:tcMar>
              <w:top w:type="dxa" w:w="60"/>
              <w:left w:type="dxa" w:w="90"/>
              <w:bottom w:type="dxa" w:w="60"/>
              <w:right w:type="dxa" w:w="90"/>
            </w:tcMar>
          </w:tcPr>
          <w:p>
            <w:pPr>
              <w:spacing w:after="0" w:before="0"/>
              <w:jc w:val="left"/>
            </w:pPr>
            <w:r>
              <w:rPr>
                <w:color w:val="000000"/>
                <w:sz w:val="17"/>
                <w:szCs w:val="17"/>
              </w:rPr>
              <w:t xml:space="preserve">+58%</w:t>
            </w:r>
          </w:p>
        </w:tc>
      </w:tr>
      <w:tr>
        <w:tc>
          <w:tcPr>
            <w:tcW w:type="dxa" w:w="6822"/>
            <w:tcMar>
              <w:top w:type="dxa" w:w="60"/>
              <w:left w:type="dxa" w:w="90"/>
              <w:bottom w:type="dxa" w:w="60"/>
              <w:right w:type="dxa" w:w="90"/>
            </w:tcMar>
          </w:tcPr>
          <w:p>
            <w:pPr>
              <w:spacing w:after="0" w:before="0"/>
              <w:jc w:val="left"/>
            </w:pPr>
            <w:r>
              <w:rPr>
                <w:color w:val="000000"/>
                <w:sz w:val="17"/>
                <w:szCs w:val="17"/>
              </w:rPr>
              <w:t xml:space="preserve">STOXX Europe 600 (TR)</w:t>
            </w:r>
          </w:p>
        </w:tc>
        <w:tc>
          <w:tcPr>
            <w:tcW w:type="dxa" w:w="974"/>
            <w:tcMar>
              <w:top w:type="dxa" w:w="60"/>
              <w:left w:type="dxa" w:w="90"/>
              <w:bottom w:type="dxa" w:w="60"/>
              <w:right w:type="dxa" w:w="90"/>
            </w:tcMar>
          </w:tcPr>
          <w:p>
            <w:pPr>
              <w:spacing w:after="0" w:before="0"/>
              <w:jc w:val="left"/>
            </w:pPr>
            <w:r>
              <w:rPr>
                <w:color w:val="000000"/>
                <w:sz w:val="17"/>
                <w:szCs w:val="17"/>
              </w:rPr>
              <w:t xml:space="preserve">+11%</w:t>
            </w:r>
          </w:p>
        </w:tc>
        <w:tc>
          <w:tcPr>
            <w:tcW w:type="dxa" w:w="974"/>
            <w:tcMar>
              <w:top w:type="dxa" w:w="60"/>
              <w:left w:type="dxa" w:w="90"/>
              <w:bottom w:type="dxa" w:w="60"/>
              <w:right w:type="dxa" w:w="90"/>
            </w:tcMar>
          </w:tcPr>
          <w:p>
            <w:pPr>
              <w:spacing w:after="0" w:before="0"/>
              <w:jc w:val="left"/>
            </w:pPr>
            <w:r>
              <w:rPr>
                <w:color w:val="000000"/>
                <w:sz w:val="17"/>
                <w:szCs w:val="17"/>
              </w:rPr>
              <w:t xml:space="preserve">+42%</w:t>
            </w:r>
          </w:p>
        </w:tc>
        <w:tc>
          <w:tcPr>
            <w:tcW w:type="dxa" w:w="976"/>
            <w:tcMar>
              <w:top w:type="dxa" w:w="60"/>
              <w:left w:type="dxa" w:w="90"/>
              <w:bottom w:type="dxa" w:w="60"/>
              <w:right w:type="dxa" w:w="90"/>
            </w:tcMar>
          </w:tcPr>
          <w:p>
            <w:pPr>
              <w:spacing w:after="0" w:before="0"/>
              <w:jc w:val="left"/>
            </w:pPr>
            <w:r>
              <w:rPr>
                <w:color w:val="000000"/>
                <w:sz w:val="17"/>
                <w:szCs w:val="17"/>
              </w:rPr>
              <w:t xml:space="preserve">+72%</w:t>
            </w:r>
          </w:p>
        </w:tc>
      </w:tr>
    </w:tbl>
    <w:p>
      <w:pPr>
        <w:spacing w:after="160"/>
      </w:pPr>
      <w:r>
        <w:t xml:space="preserve"/>
      </w:r>
    </w:p>
    <w:p>
      <w:pPr>
        <w:spacing w:after="100" w:before="60"/>
      </w:pPr>
      <w:r>
        <w:rPr>
          <w:sz w:val="19"/>
          <w:szCs w:val="19"/>
        </w:rPr>
        <w:t xml:space="preserve">The critical observation: </w:t>
      </w:r>
      <w:r>
        <w:rPr>
          <w:b/>
          <w:bCs/>
          <w:sz w:val="19"/>
          <w:szCs w:val="19"/>
        </w:rPr>
        <w:t xml:space="preserve">the sector composite has underperformed both indices over five years by 40–55 percentage points.</w:t>
      </w:r>
      <w:r>
        <w:rPr>
          <w:sz w:val="19"/>
          <w:szCs w:val="19"/>
        </w:rPr>
        <w:t xml:space="preserve"> Every name below is being measured against a benchmark that is itself deeply depressed. Underperformance against </w:t>
      </w:r>
      <w:r>
        <w:rPr>
          <w:i/>
          <w:iCs/>
          <w:sz w:val="19"/>
          <w:szCs w:val="19"/>
        </w:rPr>
        <w:t xml:space="preserve">that</w:t>
      </w:r>
      <w:r>
        <w:rPr>
          <w:sz w:val="19"/>
          <w:szCs w:val="19"/>
        </w:rPr>
        <w:t xml:space="preserve"> is a strong signal.</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2. Summary screen — all 20 names</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429"/>
        <w:gridCol w:w="1504"/>
        <w:gridCol w:w="573"/>
        <w:gridCol w:w="501"/>
        <w:gridCol w:w="1146"/>
        <w:gridCol w:w="1218"/>
        <w:gridCol w:w="1361"/>
        <w:gridCol w:w="1719"/>
        <w:gridCol w:w="859"/>
        <w:gridCol w:w="436"/>
      </w:tblGrid>
      <w:tr>
        <w:trPr>
          <w:tblHeader/>
        </w:trPr>
        <w:tc>
          <w:tcPr>
            <w:tcW w:type="dxa" w:w="429"/>
            <w:shd w:fill="1F3864" w:color="auto" w:val="clear"/>
            <w:tcMar>
              <w:top w:type="dxa" w:w="60"/>
              <w:left w:type="dxa" w:w="90"/>
              <w:bottom w:type="dxa" w:w="60"/>
              <w:right w:type="dxa" w:w="90"/>
            </w:tcMar>
          </w:tcPr>
          <w:p>
            <w:pPr>
              <w:spacing w:after="0" w:before="0"/>
              <w:jc w:val="left"/>
            </w:pPr>
            <w:r>
              <w:rPr>
                <w:b/>
                <w:bCs/>
                <w:color w:val="FFFFFF"/>
                <w:sz w:val="13"/>
                <w:szCs w:val="13"/>
              </w:rPr>
              <w:t xml:space="preserve">#</w:t>
            </w:r>
          </w:p>
        </w:tc>
        <w:tc>
          <w:tcPr>
            <w:tcW w:type="dxa" w:w="1504"/>
            <w:shd w:fill="1F3864" w:color="auto" w:val="clear"/>
            <w:tcMar>
              <w:top w:type="dxa" w:w="60"/>
              <w:left w:type="dxa" w:w="90"/>
              <w:bottom w:type="dxa" w:w="60"/>
              <w:right w:type="dxa" w:w="90"/>
            </w:tcMar>
          </w:tcPr>
          <w:p>
            <w:pPr>
              <w:spacing w:after="0" w:before="0"/>
              <w:jc w:val="left"/>
            </w:pPr>
            <w:r>
              <w:rPr>
                <w:b/>
                <w:bCs/>
                <w:color w:val="FFFFFF"/>
                <w:sz w:val="13"/>
                <w:szCs w:val="13"/>
              </w:rPr>
              <w:t xml:space="preserve">Company</w:t>
            </w:r>
          </w:p>
        </w:tc>
        <w:tc>
          <w:tcPr>
            <w:tcW w:type="dxa" w:w="573"/>
            <w:shd w:fill="1F3864" w:color="auto" w:val="clear"/>
            <w:tcMar>
              <w:top w:type="dxa" w:w="60"/>
              <w:left w:type="dxa" w:w="90"/>
              <w:bottom w:type="dxa" w:w="60"/>
              <w:right w:type="dxa" w:w="90"/>
            </w:tcMar>
          </w:tcPr>
          <w:p>
            <w:pPr>
              <w:spacing w:after="0" w:before="0"/>
              <w:jc w:val="left"/>
            </w:pPr>
            <w:r>
              <w:rPr>
                <w:b/>
                <w:bCs/>
                <w:color w:val="FFFFFF"/>
                <w:sz w:val="13"/>
                <w:szCs w:val="13"/>
              </w:rPr>
              <w:t xml:space="preserve">Ticker</w:t>
            </w:r>
          </w:p>
        </w:tc>
        <w:tc>
          <w:tcPr>
            <w:tcW w:type="dxa" w:w="501"/>
            <w:shd w:fill="1F3864" w:color="auto" w:val="clear"/>
            <w:tcMar>
              <w:top w:type="dxa" w:w="60"/>
              <w:left w:type="dxa" w:w="90"/>
              <w:bottom w:type="dxa" w:w="60"/>
              <w:right w:type="dxa" w:w="90"/>
            </w:tcMar>
          </w:tcPr>
          <w:p>
            <w:pPr>
              <w:spacing w:after="0" w:before="0"/>
              <w:jc w:val="left"/>
            </w:pPr>
            <w:r>
              <w:rPr>
                <w:b/>
                <w:bCs/>
                <w:color w:val="FFFFFF"/>
                <w:sz w:val="13"/>
                <w:szCs w:val="13"/>
              </w:rPr>
              <w:t xml:space="preserve">Country</w:t>
            </w:r>
          </w:p>
        </w:tc>
        <w:tc>
          <w:tcPr>
            <w:tcW w:type="dxa" w:w="1146"/>
            <w:shd w:fill="1F3864" w:color="auto" w:val="clear"/>
            <w:tcMar>
              <w:top w:type="dxa" w:w="60"/>
              <w:left w:type="dxa" w:w="90"/>
              <w:bottom w:type="dxa" w:w="60"/>
              <w:right w:type="dxa" w:w="90"/>
            </w:tcMar>
          </w:tcPr>
          <w:p>
            <w:pPr>
              <w:spacing w:after="0" w:before="0"/>
              <w:jc w:val="left"/>
            </w:pPr>
            <w:r>
              <w:rPr>
                <w:b/>
                <w:bCs/>
                <w:color w:val="FFFFFF"/>
                <w:sz w:val="13"/>
                <w:szCs w:val="13"/>
              </w:rPr>
              <w:t xml:space="preserve">Mkt cap (approx)</w:t>
            </w:r>
          </w:p>
        </w:tc>
        <w:tc>
          <w:tcPr>
            <w:tcW w:type="dxa" w:w="1218"/>
            <w:shd w:fill="1F3864" w:color="auto" w:val="clear"/>
            <w:tcMar>
              <w:top w:type="dxa" w:w="60"/>
              <w:left w:type="dxa" w:w="90"/>
              <w:bottom w:type="dxa" w:w="60"/>
              <w:right w:type="dxa" w:w="90"/>
            </w:tcMar>
          </w:tcPr>
          <w:p>
            <w:pPr>
              <w:spacing w:after="0" w:before="0"/>
              <w:jc w:val="left"/>
            </w:pPr>
            <w:r>
              <w:rPr>
                <w:b/>
                <w:bCs/>
                <w:color w:val="FFFFFF"/>
                <w:sz w:val="13"/>
                <w:szCs w:val="13"/>
              </w:rPr>
              <w:t xml:space="preserve">5yr TSR vs sector</w:t>
            </w:r>
          </w:p>
        </w:tc>
        <w:tc>
          <w:tcPr>
            <w:tcW w:type="dxa" w:w="1361"/>
            <w:shd w:fill="1F3864" w:color="auto" w:val="clear"/>
            <w:tcMar>
              <w:top w:type="dxa" w:w="60"/>
              <w:left w:type="dxa" w:w="90"/>
              <w:bottom w:type="dxa" w:w="60"/>
              <w:right w:type="dxa" w:w="90"/>
            </w:tcMar>
          </w:tcPr>
          <w:p>
            <w:pPr>
              <w:spacing w:after="0" w:before="0"/>
              <w:jc w:val="left"/>
            </w:pPr>
            <w:r>
              <w:rPr>
                <w:b/>
                <w:bCs/>
                <w:color w:val="FFFFFF"/>
                <w:sz w:val="13"/>
                <w:szCs w:val="13"/>
              </w:rPr>
              <w:t xml:space="preserve">Net leverage</w:t>
            </w:r>
          </w:p>
        </w:tc>
        <w:tc>
          <w:tcPr>
            <w:tcW w:type="dxa" w:w="1719"/>
            <w:shd w:fill="1F3864" w:color="auto" w:val="clear"/>
            <w:tcMar>
              <w:top w:type="dxa" w:w="60"/>
              <w:left w:type="dxa" w:w="90"/>
              <w:bottom w:type="dxa" w:w="60"/>
              <w:right w:type="dxa" w:w="90"/>
            </w:tcMar>
          </w:tcPr>
          <w:p>
            <w:pPr>
              <w:spacing w:after="0" w:before="0"/>
              <w:jc w:val="left"/>
            </w:pPr>
            <w:r>
              <w:rPr>
                <w:b/>
                <w:bCs/>
                <w:color w:val="FFFFFF"/>
                <w:sz w:val="13"/>
                <w:szCs w:val="13"/>
              </w:rPr>
              <w:t xml:space="preserve">Largest holder</w:t>
            </w:r>
          </w:p>
        </w:tc>
        <w:tc>
          <w:tcPr>
            <w:tcW w:type="dxa" w:w="859"/>
            <w:shd w:fill="1F3864" w:color="auto" w:val="clear"/>
            <w:tcMar>
              <w:top w:type="dxa" w:w="60"/>
              <w:left w:type="dxa" w:w="90"/>
              <w:bottom w:type="dxa" w:w="60"/>
              <w:right w:type="dxa" w:w="90"/>
            </w:tcMar>
          </w:tcPr>
          <w:p>
            <w:pPr>
              <w:spacing w:after="0" w:before="0"/>
              <w:jc w:val="left"/>
            </w:pPr>
            <w:r>
              <w:rPr>
                <w:b/>
                <w:bCs/>
                <w:color w:val="FFFFFF"/>
                <w:sz w:val="13"/>
                <w:szCs w:val="13"/>
              </w:rPr>
              <w:t xml:space="preserve">Support ease</w:t>
            </w:r>
          </w:p>
        </w:tc>
        <w:tc>
          <w:tcPr>
            <w:tcW w:type="dxa" w:w="436"/>
            <w:shd w:fill="1F3864" w:color="auto" w:val="clear"/>
            <w:tcMar>
              <w:top w:type="dxa" w:w="60"/>
              <w:left w:type="dxa" w:w="90"/>
              <w:bottom w:type="dxa" w:w="60"/>
              <w:right w:type="dxa" w:w="90"/>
            </w:tcMar>
          </w:tcPr>
          <w:p>
            <w:pPr>
              <w:spacing w:after="0" w:before="0"/>
              <w:jc w:val="left"/>
            </w:pPr>
            <w:r>
              <w:rPr>
                <w:b/>
                <w:bCs/>
                <w:color w:val="FFFFFF"/>
                <w:sz w:val="13"/>
                <w:szCs w:val="13"/>
              </w:rPr>
              <w:t xml:space="preserve">Tier</w:t>
            </w:r>
          </w:p>
        </w:tc>
      </w:tr>
      <w:tr>
        <w:tc>
          <w:tcPr>
            <w:tcW w:type="dxa" w:w="429"/>
            <w:tcMar>
              <w:top w:type="dxa" w:w="60"/>
              <w:left w:type="dxa" w:w="90"/>
              <w:bottom w:type="dxa" w:w="60"/>
              <w:right w:type="dxa" w:w="90"/>
            </w:tcMar>
          </w:tcPr>
          <w:p>
            <w:pPr>
              <w:spacing w:after="0" w:before="0"/>
              <w:jc w:val="left"/>
            </w:pPr>
            <w:r>
              <w:rPr>
                <w:color w:val="000000"/>
                <w:sz w:val="13"/>
                <w:szCs w:val="13"/>
              </w:rPr>
              <w:t xml:space="preserve">1</w:t>
            </w:r>
          </w:p>
        </w:tc>
        <w:tc>
          <w:tcPr>
            <w:tcW w:type="dxa" w:w="1504"/>
            <w:tcMar>
              <w:top w:type="dxa" w:w="60"/>
              <w:left w:type="dxa" w:w="90"/>
              <w:bottom w:type="dxa" w:w="60"/>
              <w:right w:type="dxa" w:w="90"/>
            </w:tcMar>
          </w:tcPr>
          <w:p>
            <w:pPr>
              <w:spacing w:after="0" w:before="0"/>
              <w:jc w:val="center"/>
            </w:pPr>
            <w:r>
              <w:rPr>
                <w:color w:val="000000"/>
                <w:sz w:val="13"/>
                <w:szCs w:val="13"/>
              </w:rPr>
              <w:t xml:space="preserve">Aberdeen Group</w:t>
            </w:r>
          </w:p>
        </w:tc>
        <w:tc>
          <w:tcPr>
            <w:tcW w:type="dxa" w:w="573"/>
            <w:tcMar>
              <w:top w:type="dxa" w:w="60"/>
              <w:left w:type="dxa" w:w="90"/>
              <w:bottom w:type="dxa" w:w="60"/>
              <w:right w:type="dxa" w:w="90"/>
            </w:tcMar>
          </w:tcPr>
          <w:p>
            <w:pPr>
              <w:spacing w:after="0" w:before="0"/>
              <w:jc w:val="center"/>
            </w:pPr>
            <w:r>
              <w:rPr>
                <w:color w:val="000000"/>
                <w:sz w:val="13"/>
                <w:szCs w:val="13"/>
              </w:rPr>
              <w:t xml:space="preserve">ABDN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£4.5bn</w:t>
            </w:r>
          </w:p>
        </w:tc>
        <w:tc>
          <w:tcPr>
            <w:tcW w:type="dxa" w:w="1218"/>
            <w:tcMar>
              <w:top w:type="dxa" w:w="60"/>
              <w:left w:type="dxa" w:w="90"/>
              <w:bottom w:type="dxa" w:w="60"/>
              <w:right w:type="dxa" w:w="90"/>
            </w:tcMar>
          </w:tcPr>
          <w:p>
            <w:pPr>
              <w:spacing w:after="0" w:before="0"/>
              <w:jc w:val="center"/>
            </w:pPr>
            <w:r>
              <w:rPr>
                <w:color w:val="000000"/>
                <w:sz w:val="13"/>
                <w:szCs w:val="13"/>
              </w:rPr>
              <w:t xml:space="preserve">−40pp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 ~£0.5bn</w:t>
            </w:r>
          </w:p>
        </w:tc>
        <w:tc>
          <w:tcPr>
            <w:tcW w:type="dxa" w:w="1719"/>
            <w:tcMar>
              <w:top w:type="dxa" w:w="60"/>
              <w:left w:type="dxa" w:w="90"/>
              <w:bottom w:type="dxa" w:w="60"/>
              <w:right w:type="dxa" w:w="90"/>
            </w:tcMar>
          </w:tcPr>
          <w:p>
            <w:pPr>
              <w:spacing w:after="0" w:before="0"/>
              <w:jc w:val="center"/>
            </w:pPr>
            <w:r>
              <w:rPr>
                <w:color w:val="000000"/>
                <w:sz w:val="13"/>
                <w:szCs w:val="13"/>
              </w:rPr>
              <w:t xml:space="preserve">BlackRock ~9%</w:t>
            </w:r>
          </w:p>
        </w:tc>
        <w:tc>
          <w:tcPr>
            <w:tcW w:type="dxa" w:w="859"/>
            <w:tcMar>
              <w:top w:type="dxa" w:w="60"/>
              <w:left w:type="dxa" w:w="90"/>
              <w:bottom w:type="dxa" w:w="60"/>
              <w:right w:type="dxa" w:w="90"/>
            </w:tcMar>
          </w:tcPr>
          <w:p>
            <w:pPr>
              <w:spacing w:after="0" w:before="0"/>
              <w:jc w:val="center"/>
            </w:pPr>
            <w:r>
              <w:rPr>
                <w:color w:val="000000"/>
                <w:sz w:val="13"/>
                <w:szCs w:val="13"/>
              </w:rPr>
              <w:t xml:space="preserve">4/5</w:t>
            </w:r>
          </w:p>
        </w:tc>
        <w:tc>
          <w:tcPr>
            <w:tcW w:type="dxa" w:w="436"/>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2</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Man Group</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EMG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£1.8bn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−13pp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~$0.4bn</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BlackRock ~9%</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4/5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tcMar>
              <w:top w:type="dxa" w:w="60"/>
              <w:left w:type="dxa" w:w="90"/>
              <w:bottom w:type="dxa" w:w="60"/>
              <w:right w:type="dxa" w:w="90"/>
            </w:tcMar>
          </w:tcPr>
          <w:p>
            <w:pPr>
              <w:spacing w:after="0" w:before="0"/>
              <w:jc w:val="left"/>
            </w:pPr>
            <w:r>
              <w:rPr>
                <w:color w:val="000000"/>
                <w:sz w:val="13"/>
                <w:szCs w:val="13"/>
              </w:rPr>
              <w:t xml:space="preserve">3</w:t>
            </w:r>
          </w:p>
        </w:tc>
        <w:tc>
          <w:tcPr>
            <w:tcW w:type="dxa" w:w="1504"/>
            <w:tcMar>
              <w:top w:type="dxa" w:w="60"/>
              <w:left w:type="dxa" w:w="90"/>
              <w:bottom w:type="dxa" w:w="60"/>
              <w:right w:type="dxa" w:w="90"/>
            </w:tcMar>
          </w:tcPr>
          <w:p>
            <w:pPr>
              <w:spacing w:after="0" w:before="0"/>
              <w:jc w:val="center"/>
            </w:pPr>
            <w:r>
              <w:rPr>
                <w:color w:val="000000"/>
                <w:sz w:val="13"/>
                <w:szCs w:val="13"/>
              </w:rPr>
              <w:t xml:space="preserve">Ashmore Group</w:t>
            </w:r>
          </w:p>
        </w:tc>
        <w:tc>
          <w:tcPr>
            <w:tcW w:type="dxa" w:w="573"/>
            <w:tcMar>
              <w:top w:type="dxa" w:w="60"/>
              <w:left w:type="dxa" w:w="90"/>
              <w:bottom w:type="dxa" w:w="60"/>
              <w:right w:type="dxa" w:w="90"/>
            </w:tcMar>
          </w:tcPr>
          <w:p>
            <w:pPr>
              <w:spacing w:after="0" w:before="0"/>
              <w:jc w:val="center"/>
            </w:pPr>
            <w:r>
              <w:rPr>
                <w:color w:val="000000"/>
                <w:sz w:val="13"/>
                <w:szCs w:val="13"/>
              </w:rPr>
              <w:t xml:space="preserve">ASHM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£1.4bn</w:t>
            </w:r>
          </w:p>
        </w:tc>
        <w:tc>
          <w:tcPr>
            <w:tcW w:type="dxa" w:w="1218"/>
            <w:tcMar>
              <w:top w:type="dxa" w:w="60"/>
              <w:left w:type="dxa" w:w="90"/>
              <w:bottom w:type="dxa" w:w="60"/>
              <w:right w:type="dxa" w:w="90"/>
            </w:tcMar>
          </w:tcPr>
          <w:p>
            <w:pPr>
              <w:spacing w:after="0" w:before="0"/>
              <w:jc w:val="center"/>
            </w:pPr>
            <w:r>
              <w:rPr>
                <w:color w:val="000000"/>
                <w:sz w:val="13"/>
                <w:szCs w:val="13"/>
              </w:rPr>
              <w:t xml:space="preserve">−63pp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 ~£0.75bn</w:t>
            </w:r>
          </w:p>
        </w:tc>
        <w:tc>
          <w:tcPr>
            <w:tcW w:type="dxa" w:w="1719"/>
            <w:tcMar>
              <w:top w:type="dxa" w:w="60"/>
              <w:left w:type="dxa" w:w="90"/>
              <w:bottom w:type="dxa" w:w="60"/>
              <w:right w:type="dxa" w:w="90"/>
            </w:tcMar>
          </w:tcPr>
          <w:p>
            <w:pPr>
              <w:spacing w:after="0" w:before="0"/>
              <w:jc w:val="center"/>
            </w:pPr>
            <w:r>
              <w:rPr>
                <w:color w:val="000000"/>
                <w:sz w:val="13"/>
                <w:szCs w:val="13"/>
              </w:rPr>
              <w:t xml:space="preserve">M. Coombs ~31%</w:t>
            </w:r>
          </w:p>
        </w:tc>
        <w:tc>
          <w:tcPr>
            <w:tcW w:type="dxa" w:w="859"/>
            <w:tcMar>
              <w:top w:type="dxa" w:w="60"/>
              <w:left w:type="dxa" w:w="90"/>
              <w:bottom w:type="dxa" w:w="60"/>
              <w:right w:type="dxa" w:w="90"/>
            </w:tcMar>
          </w:tcPr>
          <w:p>
            <w:pPr>
              <w:spacing w:after="0" w:before="0"/>
              <w:jc w:val="center"/>
            </w:pPr>
            <w:r>
              <w:rPr>
                <w:color w:val="000000"/>
                <w:sz w:val="13"/>
                <w:szCs w:val="13"/>
              </w:rPr>
              <w:t xml:space="preserve">3/5</w:t>
            </w:r>
          </w:p>
        </w:tc>
        <w:tc>
          <w:tcPr>
            <w:tcW w:type="dxa" w:w="436"/>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4</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Jupiter Fund Mgmt</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JUP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£1.2bn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−53pp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~£0.2bn</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BlackRock ~8%</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4/5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2</w:t>
            </w:r>
          </w:p>
        </w:tc>
      </w:tr>
      <w:tr>
        <w:tc>
          <w:tcPr>
            <w:tcW w:type="dxa" w:w="429"/>
            <w:tcMar>
              <w:top w:type="dxa" w:w="60"/>
              <w:left w:type="dxa" w:w="90"/>
              <w:bottom w:type="dxa" w:w="60"/>
              <w:right w:type="dxa" w:w="90"/>
            </w:tcMar>
          </w:tcPr>
          <w:p>
            <w:pPr>
              <w:spacing w:after="0" w:before="0"/>
              <w:jc w:val="left"/>
            </w:pPr>
            <w:r>
              <w:rPr>
                <w:color w:val="000000"/>
                <w:sz w:val="13"/>
                <w:szCs w:val="13"/>
              </w:rPr>
              <w:t xml:space="preserve">5</w:t>
            </w:r>
          </w:p>
        </w:tc>
        <w:tc>
          <w:tcPr>
            <w:tcW w:type="dxa" w:w="1504"/>
            <w:tcMar>
              <w:top w:type="dxa" w:w="60"/>
              <w:left w:type="dxa" w:w="90"/>
              <w:bottom w:type="dxa" w:w="60"/>
              <w:right w:type="dxa" w:w="90"/>
            </w:tcMar>
          </w:tcPr>
          <w:p>
            <w:pPr>
              <w:spacing w:after="0" w:before="0"/>
              <w:jc w:val="center"/>
            </w:pPr>
            <w:r>
              <w:rPr>
                <w:color w:val="000000"/>
                <w:sz w:val="13"/>
                <w:szCs w:val="13"/>
              </w:rPr>
              <w:t xml:space="preserve">Liontrust AM</w:t>
            </w:r>
          </w:p>
        </w:tc>
        <w:tc>
          <w:tcPr>
            <w:tcW w:type="dxa" w:w="573"/>
            <w:tcMar>
              <w:top w:type="dxa" w:w="60"/>
              <w:left w:type="dxa" w:w="90"/>
              <w:bottom w:type="dxa" w:w="60"/>
              <w:right w:type="dxa" w:w="90"/>
            </w:tcMar>
          </w:tcPr>
          <w:p>
            <w:pPr>
              <w:spacing w:after="0" w:before="0"/>
              <w:jc w:val="center"/>
            </w:pPr>
            <w:r>
              <w:rPr>
                <w:color w:val="000000"/>
                <w:sz w:val="13"/>
                <w:szCs w:val="13"/>
              </w:rPr>
              <w:t xml:space="preserve">LIO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£0.27bn</w:t>
            </w:r>
          </w:p>
        </w:tc>
        <w:tc>
          <w:tcPr>
            <w:tcW w:type="dxa" w:w="1218"/>
            <w:tcMar>
              <w:top w:type="dxa" w:w="60"/>
              <w:left w:type="dxa" w:w="90"/>
              <w:bottom w:type="dxa" w:w="60"/>
              <w:right w:type="dxa" w:w="90"/>
            </w:tcMar>
          </w:tcPr>
          <w:p>
            <w:pPr>
              <w:spacing w:after="0" w:before="0"/>
              <w:jc w:val="center"/>
            </w:pPr>
            <w:r>
              <w:rPr>
                <w:color w:val="000000"/>
                <w:sz w:val="13"/>
                <w:szCs w:val="13"/>
              </w:rPr>
              <w:t xml:space="preserve">−98pp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 ~£40m</w:t>
            </w:r>
          </w:p>
        </w:tc>
        <w:tc>
          <w:tcPr>
            <w:tcW w:type="dxa" w:w="1719"/>
            <w:tcMar>
              <w:top w:type="dxa" w:w="60"/>
              <w:left w:type="dxa" w:w="90"/>
              <w:bottom w:type="dxa" w:w="60"/>
              <w:right w:type="dxa" w:w="90"/>
            </w:tcMar>
          </w:tcPr>
          <w:p>
            <w:pPr>
              <w:spacing w:after="0" w:before="0"/>
              <w:jc w:val="center"/>
            </w:pPr>
            <w:r>
              <w:rPr>
                <w:color w:val="000000"/>
                <w:sz w:val="13"/>
                <w:szCs w:val="13"/>
              </w:rPr>
              <w:t xml:space="preserve">Institutional</w:t>
            </w:r>
          </w:p>
        </w:tc>
        <w:tc>
          <w:tcPr>
            <w:tcW w:type="dxa" w:w="859"/>
            <w:tcMar>
              <w:top w:type="dxa" w:w="60"/>
              <w:left w:type="dxa" w:w="90"/>
              <w:bottom w:type="dxa" w:w="60"/>
              <w:right w:type="dxa" w:w="90"/>
            </w:tcMar>
          </w:tcPr>
          <w:p>
            <w:pPr>
              <w:spacing w:after="0" w:before="0"/>
              <w:jc w:val="center"/>
            </w:pPr>
            <w:r>
              <w:rPr>
                <w:color w:val="000000"/>
                <w:sz w:val="13"/>
                <w:szCs w:val="13"/>
              </w:rPr>
              <w:t xml:space="preserve">5/5</w:t>
            </w:r>
          </w:p>
        </w:tc>
        <w:tc>
          <w:tcPr>
            <w:tcW w:type="dxa" w:w="436"/>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6</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Ninety One</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N91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UK/ZA</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£1.2bn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−63pp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~£250m</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Forty Two Point Two ~13%</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3/5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2</w:t>
            </w:r>
          </w:p>
        </w:tc>
      </w:tr>
      <w:tr>
        <w:tc>
          <w:tcPr>
            <w:tcW w:type="dxa" w:w="429"/>
            <w:tcMar>
              <w:top w:type="dxa" w:w="60"/>
              <w:left w:type="dxa" w:w="90"/>
              <w:bottom w:type="dxa" w:w="60"/>
              <w:right w:type="dxa" w:w="90"/>
            </w:tcMar>
          </w:tcPr>
          <w:p>
            <w:pPr>
              <w:spacing w:after="0" w:before="0"/>
              <w:jc w:val="left"/>
            </w:pPr>
            <w:r>
              <w:rPr>
                <w:color w:val="000000"/>
                <w:sz w:val="13"/>
                <w:szCs w:val="13"/>
              </w:rPr>
              <w:t xml:space="preserve">7</w:t>
            </w:r>
          </w:p>
        </w:tc>
        <w:tc>
          <w:tcPr>
            <w:tcW w:type="dxa" w:w="1504"/>
            <w:tcMar>
              <w:top w:type="dxa" w:w="60"/>
              <w:left w:type="dxa" w:w="90"/>
              <w:bottom w:type="dxa" w:w="60"/>
              <w:right w:type="dxa" w:w="90"/>
            </w:tcMar>
          </w:tcPr>
          <w:p>
            <w:pPr>
              <w:spacing w:after="0" w:before="0"/>
              <w:jc w:val="center"/>
            </w:pPr>
            <w:r>
              <w:rPr>
                <w:color w:val="000000"/>
                <w:sz w:val="13"/>
                <w:szCs w:val="13"/>
              </w:rPr>
              <w:t xml:space="preserve">Quilter</w:t>
            </w:r>
          </w:p>
        </w:tc>
        <w:tc>
          <w:tcPr>
            <w:tcW w:type="dxa" w:w="573"/>
            <w:tcMar>
              <w:top w:type="dxa" w:w="60"/>
              <w:left w:type="dxa" w:w="90"/>
              <w:bottom w:type="dxa" w:w="60"/>
              <w:right w:type="dxa" w:w="90"/>
            </w:tcMar>
          </w:tcPr>
          <w:p>
            <w:pPr>
              <w:spacing w:after="0" w:before="0"/>
              <w:jc w:val="center"/>
            </w:pPr>
            <w:r>
              <w:rPr>
                <w:color w:val="000000"/>
                <w:sz w:val="13"/>
                <w:szCs w:val="13"/>
              </w:rPr>
              <w:t xml:space="preserve">QLT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£2.3bn</w:t>
            </w:r>
          </w:p>
        </w:tc>
        <w:tc>
          <w:tcPr>
            <w:tcW w:type="dxa" w:w="1218"/>
            <w:tcMar>
              <w:top w:type="dxa" w:w="60"/>
              <w:left w:type="dxa" w:w="90"/>
              <w:bottom w:type="dxa" w:w="60"/>
              <w:right w:type="dxa" w:w="90"/>
            </w:tcMar>
          </w:tcPr>
          <w:p>
            <w:pPr>
              <w:spacing w:after="0" w:before="0"/>
              <w:jc w:val="center"/>
            </w:pPr>
            <w:r>
              <w:rPr>
                <w:color w:val="000000"/>
                <w:sz w:val="13"/>
                <w:szCs w:val="13"/>
              </w:rPr>
              <w:t xml:space="preserve">+7pp</w:t>
            </w:r>
          </w:p>
        </w:tc>
        <w:tc>
          <w:tcPr>
            <w:tcW w:type="dxa" w:w="1361"/>
            <w:tcMar>
              <w:top w:type="dxa" w:w="60"/>
              <w:left w:type="dxa" w:w="90"/>
              <w:bottom w:type="dxa" w:w="60"/>
              <w:right w:type="dxa" w:w="90"/>
            </w:tcMar>
          </w:tcPr>
          <w:p>
            <w:pPr>
              <w:spacing w:after="0" w:before="0"/>
              <w:jc w:val="center"/>
            </w:pPr>
            <w:r>
              <w:rPr>
                <w:color w:val="000000"/>
                <w:sz w:val="13"/>
                <w:szCs w:val="13"/>
              </w:rPr>
              <w:t xml:space="preserve">~Neutral</w:t>
            </w:r>
          </w:p>
        </w:tc>
        <w:tc>
          <w:tcPr>
            <w:tcW w:type="dxa" w:w="1719"/>
            <w:tcMar>
              <w:top w:type="dxa" w:w="60"/>
              <w:left w:type="dxa" w:w="90"/>
              <w:bottom w:type="dxa" w:w="60"/>
              <w:right w:type="dxa" w:w="90"/>
            </w:tcMar>
          </w:tcPr>
          <w:p>
            <w:pPr>
              <w:spacing w:after="0" w:before="0"/>
              <w:jc w:val="center"/>
            </w:pPr>
            <w:r>
              <w:rPr>
                <w:color w:val="000000"/>
                <w:sz w:val="13"/>
                <w:szCs w:val="13"/>
              </w:rPr>
              <w:t xml:space="preserve">BlackRock ~7%</w:t>
            </w:r>
          </w:p>
        </w:tc>
        <w:tc>
          <w:tcPr>
            <w:tcW w:type="dxa" w:w="859"/>
            <w:tcMar>
              <w:top w:type="dxa" w:w="60"/>
              <w:left w:type="dxa" w:w="90"/>
              <w:bottom w:type="dxa" w:w="60"/>
              <w:right w:type="dxa" w:w="90"/>
            </w:tcMar>
          </w:tcPr>
          <w:p>
            <w:pPr>
              <w:spacing w:after="0" w:before="0"/>
              <w:jc w:val="center"/>
            </w:pPr>
            <w:r>
              <w:rPr>
                <w:color w:val="000000"/>
                <w:sz w:val="13"/>
                <w:szCs w:val="13"/>
              </w:rPr>
              <w:t xml:space="preserve">4/5</w:t>
            </w:r>
          </w:p>
        </w:tc>
        <w:tc>
          <w:tcPr>
            <w:tcW w:type="dxa" w:w="436"/>
            <w:tcMar>
              <w:top w:type="dxa" w:w="60"/>
              <w:left w:type="dxa" w:w="90"/>
              <w:bottom w:type="dxa" w:w="60"/>
              <w:right w:type="dxa" w:w="90"/>
            </w:tcMar>
          </w:tcPr>
          <w:p>
            <w:pPr>
              <w:spacing w:after="0" w:before="0"/>
              <w:jc w:val="center"/>
            </w:pPr>
            <w:r>
              <w:rPr>
                <w:color w:val="000000"/>
                <w:sz w:val="13"/>
                <w:szCs w:val="13"/>
              </w:rPr>
              <w:t xml:space="preserve">2</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8</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St. James's Place</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STJ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£4.5bn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−53pp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Solvency surplus</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BlackRock ~7%</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4/5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tcMar>
              <w:top w:type="dxa" w:w="60"/>
              <w:left w:type="dxa" w:w="90"/>
              <w:bottom w:type="dxa" w:w="60"/>
              <w:right w:type="dxa" w:w="90"/>
            </w:tcMar>
          </w:tcPr>
          <w:p>
            <w:pPr>
              <w:spacing w:after="0" w:before="0"/>
              <w:jc w:val="left"/>
            </w:pPr>
            <w:r>
              <w:rPr>
                <w:color w:val="000000"/>
                <w:sz w:val="13"/>
                <w:szCs w:val="13"/>
              </w:rPr>
              <w:t xml:space="preserve">9</w:t>
            </w:r>
          </w:p>
        </w:tc>
        <w:tc>
          <w:tcPr>
            <w:tcW w:type="dxa" w:w="1504"/>
            <w:tcMar>
              <w:top w:type="dxa" w:w="60"/>
              <w:left w:type="dxa" w:w="90"/>
              <w:bottom w:type="dxa" w:w="60"/>
              <w:right w:type="dxa" w:w="90"/>
            </w:tcMar>
          </w:tcPr>
          <w:p>
            <w:pPr>
              <w:spacing w:after="0" w:before="0"/>
              <w:jc w:val="center"/>
            </w:pPr>
            <w:r>
              <w:rPr>
                <w:color w:val="000000"/>
                <w:sz w:val="13"/>
                <w:szCs w:val="13"/>
              </w:rPr>
              <w:t xml:space="preserve">Brooks Macdonald</w:t>
            </w:r>
          </w:p>
        </w:tc>
        <w:tc>
          <w:tcPr>
            <w:tcW w:type="dxa" w:w="573"/>
            <w:tcMar>
              <w:top w:type="dxa" w:w="60"/>
              <w:left w:type="dxa" w:w="90"/>
              <w:bottom w:type="dxa" w:w="60"/>
              <w:right w:type="dxa" w:w="90"/>
            </w:tcMar>
          </w:tcPr>
          <w:p>
            <w:pPr>
              <w:spacing w:after="0" w:before="0"/>
              <w:jc w:val="center"/>
            </w:pPr>
            <w:r>
              <w:rPr>
                <w:color w:val="000000"/>
                <w:sz w:val="13"/>
                <w:szCs w:val="13"/>
              </w:rPr>
              <w:t xml:space="preserve">BRK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£0.27bn</w:t>
            </w:r>
          </w:p>
        </w:tc>
        <w:tc>
          <w:tcPr>
            <w:tcW w:type="dxa" w:w="1218"/>
            <w:tcMar>
              <w:top w:type="dxa" w:w="60"/>
              <w:left w:type="dxa" w:w="90"/>
              <w:bottom w:type="dxa" w:w="60"/>
              <w:right w:type="dxa" w:w="90"/>
            </w:tcMar>
          </w:tcPr>
          <w:p>
            <w:pPr>
              <w:spacing w:after="0" w:before="0"/>
              <w:jc w:val="center"/>
            </w:pPr>
            <w:r>
              <w:rPr>
                <w:color w:val="000000"/>
                <w:sz w:val="13"/>
                <w:szCs w:val="13"/>
              </w:rPr>
              <w:t xml:space="preserve">−38pp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 ~£40m</w:t>
            </w:r>
          </w:p>
        </w:tc>
        <w:tc>
          <w:tcPr>
            <w:tcW w:type="dxa" w:w="1719"/>
            <w:tcMar>
              <w:top w:type="dxa" w:w="60"/>
              <w:left w:type="dxa" w:w="90"/>
              <w:bottom w:type="dxa" w:w="60"/>
              <w:right w:type="dxa" w:w="90"/>
            </w:tcMar>
          </w:tcPr>
          <w:p>
            <w:pPr>
              <w:spacing w:after="0" w:before="0"/>
              <w:jc w:val="center"/>
            </w:pPr>
            <w:r>
              <w:rPr>
                <w:color w:val="000000"/>
                <w:sz w:val="13"/>
                <w:szCs w:val="13"/>
              </w:rPr>
              <w:t xml:space="preserve">Liontrust ~9%</w:t>
            </w:r>
          </w:p>
        </w:tc>
        <w:tc>
          <w:tcPr>
            <w:tcW w:type="dxa" w:w="859"/>
            <w:tcMar>
              <w:top w:type="dxa" w:w="60"/>
              <w:left w:type="dxa" w:w="90"/>
              <w:bottom w:type="dxa" w:w="60"/>
              <w:right w:type="dxa" w:w="90"/>
            </w:tcMar>
          </w:tcPr>
          <w:p>
            <w:pPr>
              <w:spacing w:after="0" w:before="0"/>
              <w:jc w:val="center"/>
            </w:pPr>
            <w:r>
              <w:rPr>
                <w:color w:val="000000"/>
                <w:sz w:val="13"/>
                <w:szCs w:val="13"/>
              </w:rPr>
              <w:t xml:space="preserve">5/5</w:t>
            </w:r>
          </w:p>
        </w:tc>
        <w:tc>
          <w:tcPr>
            <w:tcW w:type="dxa" w:w="436"/>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10</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IntegraFin Holdings</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IHP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£0.9bn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−63pp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~£150m</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Founders ~27%</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3/5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2</w:t>
            </w:r>
          </w:p>
        </w:tc>
      </w:tr>
      <w:tr>
        <w:tc>
          <w:tcPr>
            <w:tcW w:type="dxa" w:w="429"/>
            <w:tcMar>
              <w:top w:type="dxa" w:w="60"/>
              <w:left w:type="dxa" w:w="90"/>
              <w:bottom w:type="dxa" w:w="60"/>
              <w:right w:type="dxa" w:w="90"/>
            </w:tcMar>
          </w:tcPr>
          <w:p>
            <w:pPr>
              <w:spacing w:after="0" w:before="0"/>
              <w:jc w:val="left"/>
            </w:pPr>
            <w:r>
              <w:rPr>
                <w:color w:val="000000"/>
                <w:sz w:val="13"/>
                <w:szCs w:val="13"/>
              </w:rPr>
              <w:t xml:space="preserve">11</w:t>
            </w:r>
          </w:p>
        </w:tc>
        <w:tc>
          <w:tcPr>
            <w:tcW w:type="dxa" w:w="1504"/>
            <w:tcMar>
              <w:top w:type="dxa" w:w="60"/>
              <w:left w:type="dxa" w:w="90"/>
              <w:bottom w:type="dxa" w:w="60"/>
              <w:right w:type="dxa" w:w="90"/>
            </w:tcMar>
          </w:tcPr>
          <w:p>
            <w:pPr>
              <w:spacing w:after="0" w:before="0"/>
              <w:jc w:val="center"/>
            </w:pPr>
            <w:r>
              <w:rPr>
                <w:color w:val="000000"/>
                <w:sz w:val="13"/>
                <w:szCs w:val="13"/>
              </w:rPr>
              <w:t xml:space="preserve">Bridgepoint Group</w:t>
            </w:r>
          </w:p>
        </w:tc>
        <w:tc>
          <w:tcPr>
            <w:tcW w:type="dxa" w:w="573"/>
            <w:tcMar>
              <w:top w:type="dxa" w:w="60"/>
              <w:left w:type="dxa" w:w="90"/>
              <w:bottom w:type="dxa" w:w="60"/>
              <w:right w:type="dxa" w:w="90"/>
            </w:tcMar>
          </w:tcPr>
          <w:p>
            <w:pPr>
              <w:spacing w:after="0" w:before="0"/>
              <w:jc w:val="center"/>
            </w:pPr>
            <w:r>
              <w:rPr>
                <w:color w:val="000000"/>
                <w:sz w:val="13"/>
                <w:szCs w:val="13"/>
              </w:rPr>
              <w:t xml:space="preserve">BPT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£2.2bn</w:t>
            </w:r>
          </w:p>
        </w:tc>
        <w:tc>
          <w:tcPr>
            <w:tcW w:type="dxa" w:w="1218"/>
            <w:tcMar>
              <w:top w:type="dxa" w:w="60"/>
              <w:left w:type="dxa" w:w="90"/>
              <w:bottom w:type="dxa" w:w="60"/>
              <w:right w:type="dxa" w:w="90"/>
            </w:tcMar>
          </w:tcPr>
          <w:p>
            <w:pPr>
              <w:spacing w:after="0" w:before="0"/>
              <w:jc w:val="center"/>
            </w:pPr>
            <w:r>
              <w:rPr>
                <w:color w:val="000000"/>
                <w:sz w:val="13"/>
                <w:szCs w:val="13"/>
              </w:rPr>
              <w:t xml:space="preserve">−43pp</w:t>
            </w:r>
          </w:p>
        </w:tc>
        <w:tc>
          <w:tcPr>
            <w:tcW w:type="dxa" w:w="1361"/>
            <w:tcMar>
              <w:top w:type="dxa" w:w="60"/>
              <w:left w:type="dxa" w:w="90"/>
              <w:bottom w:type="dxa" w:w="60"/>
              <w:right w:type="dxa" w:w="90"/>
            </w:tcMar>
          </w:tcPr>
          <w:p>
            <w:pPr>
              <w:spacing w:after="0" w:before="0"/>
              <w:jc w:val="center"/>
            </w:pPr>
            <w:r>
              <w:rPr>
                <w:color w:val="000000"/>
                <w:sz w:val="13"/>
                <w:szCs w:val="13"/>
              </w:rPr>
              <w:t xml:space="preserve">~0.7x</w:t>
            </w:r>
          </w:p>
        </w:tc>
        <w:tc>
          <w:tcPr>
            <w:tcW w:type="dxa" w:w="1719"/>
            <w:tcMar>
              <w:top w:type="dxa" w:w="60"/>
              <w:left w:type="dxa" w:w="90"/>
              <w:bottom w:type="dxa" w:w="60"/>
              <w:right w:type="dxa" w:w="90"/>
            </w:tcMar>
          </w:tcPr>
          <w:p>
            <w:pPr>
              <w:spacing w:after="0" w:before="0"/>
              <w:jc w:val="center"/>
            </w:pPr>
            <w:r>
              <w:rPr>
                <w:color w:val="000000"/>
                <w:sz w:val="13"/>
                <w:szCs w:val="13"/>
              </w:rPr>
              <w:t xml:space="preserve">Employees (diffuse)</w:t>
            </w:r>
          </w:p>
        </w:tc>
        <w:tc>
          <w:tcPr>
            <w:tcW w:type="dxa" w:w="859"/>
            <w:tcMar>
              <w:top w:type="dxa" w:w="60"/>
              <w:left w:type="dxa" w:w="90"/>
              <w:bottom w:type="dxa" w:w="60"/>
              <w:right w:type="dxa" w:w="90"/>
            </w:tcMar>
          </w:tcPr>
          <w:p>
            <w:pPr>
              <w:spacing w:after="0" w:before="0"/>
              <w:jc w:val="center"/>
            </w:pPr>
            <w:r>
              <w:rPr>
                <w:color w:val="000000"/>
                <w:sz w:val="13"/>
                <w:szCs w:val="13"/>
              </w:rPr>
              <w:t xml:space="preserve">3/5</w:t>
            </w:r>
          </w:p>
        </w:tc>
        <w:tc>
          <w:tcPr>
            <w:tcW w:type="dxa" w:w="436"/>
            <w:tcMar>
              <w:top w:type="dxa" w:w="60"/>
              <w:left w:type="dxa" w:w="90"/>
              <w:bottom w:type="dxa" w:w="60"/>
              <w:right w:type="dxa" w:w="90"/>
            </w:tcMar>
          </w:tcPr>
          <w:p>
            <w:pPr>
              <w:spacing w:after="0" w:before="0"/>
              <w:jc w:val="center"/>
            </w:pPr>
            <w:r>
              <w:rPr>
                <w:color w:val="000000"/>
                <w:sz w:val="13"/>
                <w:szCs w:val="13"/>
              </w:rPr>
              <w:t xml:space="preserve">3</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12</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Impax AM</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IPX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£0.24bn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−98pp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~£95m</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BNP Paribas ~13%</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4/5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tcMar>
              <w:top w:type="dxa" w:w="60"/>
              <w:left w:type="dxa" w:w="90"/>
              <w:bottom w:type="dxa" w:w="60"/>
              <w:right w:type="dxa" w:w="90"/>
            </w:tcMar>
          </w:tcPr>
          <w:p>
            <w:pPr>
              <w:spacing w:after="0" w:before="0"/>
              <w:jc w:val="left"/>
            </w:pPr>
            <w:r>
              <w:rPr>
                <w:color w:val="000000"/>
                <w:sz w:val="13"/>
                <w:szCs w:val="13"/>
              </w:rPr>
              <w:t xml:space="preserve">13</w:t>
            </w:r>
          </w:p>
        </w:tc>
        <w:tc>
          <w:tcPr>
            <w:tcW w:type="dxa" w:w="1504"/>
            <w:tcMar>
              <w:top w:type="dxa" w:w="60"/>
              <w:left w:type="dxa" w:w="90"/>
              <w:bottom w:type="dxa" w:w="60"/>
              <w:right w:type="dxa" w:w="90"/>
            </w:tcMar>
          </w:tcPr>
          <w:p>
            <w:pPr>
              <w:spacing w:after="0" w:before="0"/>
              <w:jc w:val="center"/>
            </w:pPr>
            <w:r>
              <w:rPr>
                <w:color w:val="000000"/>
                <w:sz w:val="13"/>
                <w:szCs w:val="13"/>
              </w:rPr>
              <w:t xml:space="preserve">Foresight Group</w:t>
            </w:r>
          </w:p>
        </w:tc>
        <w:tc>
          <w:tcPr>
            <w:tcW w:type="dxa" w:w="573"/>
            <w:tcMar>
              <w:top w:type="dxa" w:w="60"/>
              <w:left w:type="dxa" w:w="90"/>
              <w:bottom w:type="dxa" w:w="60"/>
              <w:right w:type="dxa" w:w="90"/>
            </w:tcMar>
          </w:tcPr>
          <w:p>
            <w:pPr>
              <w:spacing w:after="0" w:before="0"/>
              <w:jc w:val="center"/>
            </w:pPr>
            <w:r>
              <w:rPr>
                <w:color w:val="000000"/>
                <w:sz w:val="13"/>
                <w:szCs w:val="13"/>
              </w:rPr>
              <w:t xml:space="preserve">FSG LN</w:t>
            </w:r>
          </w:p>
        </w:tc>
        <w:tc>
          <w:tcPr>
            <w:tcW w:type="dxa" w:w="501"/>
            <w:tcMar>
              <w:top w:type="dxa" w:w="60"/>
              <w:left w:type="dxa" w:w="90"/>
              <w:bottom w:type="dxa" w:w="60"/>
              <w:right w:type="dxa" w:w="90"/>
            </w:tcMar>
          </w:tcPr>
          <w:p>
            <w:pPr>
              <w:spacing w:after="0" w:before="0"/>
              <w:jc w:val="center"/>
            </w:pPr>
            <w:r>
              <w:rPr>
                <w:color w:val="000000"/>
                <w:sz w:val="13"/>
                <w:szCs w:val="13"/>
              </w:rPr>
              <w:t xml:space="preserve">UK</w:t>
            </w:r>
          </w:p>
        </w:tc>
        <w:tc>
          <w:tcPr>
            <w:tcW w:type="dxa" w:w="1146"/>
            <w:tcMar>
              <w:top w:type="dxa" w:w="60"/>
              <w:left w:type="dxa" w:w="90"/>
              <w:bottom w:type="dxa" w:w="60"/>
              <w:right w:type="dxa" w:w="90"/>
            </w:tcMar>
          </w:tcPr>
          <w:p>
            <w:pPr>
              <w:spacing w:after="0" w:before="0"/>
              <w:jc w:val="center"/>
            </w:pPr>
            <w:r>
              <w:rPr>
                <w:color w:val="000000"/>
                <w:sz w:val="13"/>
                <w:szCs w:val="13"/>
              </w:rPr>
              <w:t xml:space="preserve">£0.32bn</w:t>
            </w:r>
          </w:p>
        </w:tc>
        <w:tc>
          <w:tcPr>
            <w:tcW w:type="dxa" w:w="1218"/>
            <w:tcMar>
              <w:top w:type="dxa" w:w="60"/>
              <w:left w:type="dxa" w:w="90"/>
              <w:bottom w:type="dxa" w:w="60"/>
              <w:right w:type="dxa" w:w="90"/>
            </w:tcMar>
          </w:tcPr>
          <w:p>
            <w:pPr>
              <w:spacing w:after="0" w:before="0"/>
              <w:jc w:val="center"/>
            </w:pPr>
            <w:r>
              <w:rPr>
                <w:color w:val="000000"/>
                <w:sz w:val="13"/>
                <w:szCs w:val="13"/>
              </w:rPr>
              <w:t xml:space="preserve">−38pp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 ~£40m</w:t>
            </w:r>
          </w:p>
        </w:tc>
        <w:tc>
          <w:tcPr>
            <w:tcW w:type="dxa" w:w="1719"/>
            <w:tcMar>
              <w:top w:type="dxa" w:w="60"/>
              <w:left w:type="dxa" w:w="90"/>
              <w:bottom w:type="dxa" w:w="60"/>
              <w:right w:type="dxa" w:w="90"/>
            </w:tcMar>
          </w:tcPr>
          <w:p>
            <w:pPr>
              <w:spacing w:after="0" w:before="0"/>
              <w:jc w:val="center"/>
            </w:pPr>
            <w:r>
              <w:rPr>
                <w:color w:val="000000"/>
                <w:sz w:val="13"/>
                <w:szCs w:val="13"/>
              </w:rPr>
              <w:t xml:space="preserve">B. Fairman ~28%</w:t>
            </w:r>
          </w:p>
        </w:tc>
        <w:tc>
          <w:tcPr>
            <w:tcW w:type="dxa" w:w="859"/>
            <w:tcMar>
              <w:top w:type="dxa" w:w="60"/>
              <w:left w:type="dxa" w:w="90"/>
              <w:bottom w:type="dxa" w:w="60"/>
              <w:right w:type="dxa" w:w="90"/>
            </w:tcMar>
          </w:tcPr>
          <w:p>
            <w:pPr>
              <w:spacing w:after="0" w:before="0"/>
              <w:jc w:val="center"/>
            </w:pPr>
            <w:r>
              <w:rPr>
                <w:color w:val="000000"/>
                <w:sz w:val="13"/>
                <w:szCs w:val="13"/>
              </w:rPr>
              <w:t xml:space="preserve">2/5</w:t>
            </w:r>
          </w:p>
        </w:tc>
        <w:tc>
          <w:tcPr>
            <w:tcW w:type="dxa" w:w="436"/>
            <w:tcMar>
              <w:top w:type="dxa" w:w="60"/>
              <w:left w:type="dxa" w:w="90"/>
              <w:bottom w:type="dxa" w:w="60"/>
              <w:right w:type="dxa" w:w="90"/>
            </w:tcMar>
          </w:tcPr>
          <w:p>
            <w:pPr>
              <w:spacing w:after="0" w:before="0"/>
              <w:jc w:val="center"/>
            </w:pPr>
            <w:r>
              <w:rPr>
                <w:color w:val="000000"/>
                <w:sz w:val="13"/>
                <w:szCs w:val="13"/>
              </w:rPr>
              <w:t xml:space="preserve">3</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14</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M&amp;G plc</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MNG LN</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UK</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£6.0bn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+12pp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Solvency surplus</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Dai-ichi Life ~15%</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3/5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2</w:t>
            </w:r>
          </w:p>
        </w:tc>
      </w:tr>
      <w:tr>
        <w:tc>
          <w:tcPr>
            <w:tcW w:type="dxa" w:w="429"/>
            <w:tcMar>
              <w:top w:type="dxa" w:w="60"/>
              <w:left w:type="dxa" w:w="90"/>
              <w:bottom w:type="dxa" w:w="60"/>
              <w:right w:type="dxa" w:w="90"/>
            </w:tcMar>
          </w:tcPr>
          <w:p>
            <w:pPr>
              <w:spacing w:after="0" w:before="0"/>
              <w:jc w:val="left"/>
            </w:pPr>
            <w:r>
              <w:rPr>
                <w:color w:val="000000"/>
                <w:sz w:val="13"/>
                <w:szCs w:val="13"/>
              </w:rPr>
              <w:t xml:space="preserve">15</w:t>
            </w:r>
          </w:p>
        </w:tc>
        <w:tc>
          <w:tcPr>
            <w:tcW w:type="dxa" w:w="1504"/>
            <w:tcMar>
              <w:top w:type="dxa" w:w="60"/>
              <w:left w:type="dxa" w:w="90"/>
              <w:bottom w:type="dxa" w:w="60"/>
              <w:right w:type="dxa" w:w="90"/>
            </w:tcMar>
          </w:tcPr>
          <w:p>
            <w:pPr>
              <w:spacing w:after="0" w:before="0"/>
              <w:jc w:val="center"/>
            </w:pPr>
            <w:r>
              <w:rPr>
                <w:color w:val="000000"/>
                <w:sz w:val="13"/>
                <w:szCs w:val="13"/>
              </w:rPr>
              <w:t xml:space="preserve">Julius Baer</w:t>
            </w:r>
          </w:p>
        </w:tc>
        <w:tc>
          <w:tcPr>
            <w:tcW w:type="dxa" w:w="573"/>
            <w:tcMar>
              <w:top w:type="dxa" w:w="60"/>
              <w:left w:type="dxa" w:w="90"/>
              <w:bottom w:type="dxa" w:w="60"/>
              <w:right w:type="dxa" w:w="90"/>
            </w:tcMar>
          </w:tcPr>
          <w:p>
            <w:pPr>
              <w:spacing w:after="0" w:before="0"/>
              <w:jc w:val="center"/>
            </w:pPr>
            <w:r>
              <w:rPr>
                <w:color w:val="000000"/>
                <w:sz w:val="13"/>
                <w:szCs w:val="13"/>
              </w:rPr>
              <w:t xml:space="preserve">BAER SW</w:t>
            </w:r>
          </w:p>
        </w:tc>
        <w:tc>
          <w:tcPr>
            <w:tcW w:type="dxa" w:w="501"/>
            <w:tcMar>
              <w:top w:type="dxa" w:w="60"/>
              <w:left w:type="dxa" w:w="90"/>
              <w:bottom w:type="dxa" w:w="60"/>
              <w:right w:type="dxa" w:w="90"/>
            </w:tcMar>
          </w:tcPr>
          <w:p>
            <w:pPr>
              <w:spacing w:after="0" w:before="0"/>
              <w:jc w:val="center"/>
            </w:pPr>
            <w:r>
              <w:rPr>
                <w:color w:val="000000"/>
                <w:sz w:val="13"/>
                <w:szCs w:val="13"/>
              </w:rPr>
              <w:t xml:space="preserve">CH</w:t>
            </w:r>
          </w:p>
        </w:tc>
        <w:tc>
          <w:tcPr>
            <w:tcW w:type="dxa" w:w="1146"/>
            <w:tcMar>
              <w:top w:type="dxa" w:w="60"/>
              <w:left w:type="dxa" w:w="90"/>
              <w:bottom w:type="dxa" w:w="60"/>
              <w:right w:type="dxa" w:w="90"/>
            </w:tcMar>
          </w:tcPr>
          <w:p>
            <w:pPr>
              <w:spacing w:after="0" w:before="0"/>
              <w:jc w:val="center"/>
            </w:pPr>
            <w:r>
              <w:rPr>
                <w:color w:val="000000"/>
                <w:sz w:val="13"/>
                <w:szCs w:val="13"/>
              </w:rPr>
              <w:t xml:space="preserve">CHF 11bn</w:t>
            </w:r>
          </w:p>
        </w:tc>
        <w:tc>
          <w:tcPr>
            <w:tcW w:type="dxa" w:w="1218"/>
            <w:tcMar>
              <w:top w:type="dxa" w:w="60"/>
              <w:left w:type="dxa" w:w="90"/>
              <w:bottom w:type="dxa" w:w="60"/>
              <w:right w:type="dxa" w:w="90"/>
            </w:tcMar>
          </w:tcPr>
          <w:p>
            <w:pPr>
              <w:spacing w:after="0" w:before="0"/>
              <w:jc w:val="center"/>
            </w:pPr>
            <w:r>
              <w:rPr>
                <w:color w:val="000000"/>
                <w:sz w:val="13"/>
                <w:szCs w:val="13"/>
              </w:rPr>
              <w:t xml:space="preserve">−33pp</w:t>
            </w:r>
          </w:p>
        </w:tc>
        <w:tc>
          <w:tcPr>
            <w:tcW w:type="dxa" w:w="1361"/>
            <w:tcMar>
              <w:top w:type="dxa" w:w="60"/>
              <w:left w:type="dxa" w:w="90"/>
              <w:bottom w:type="dxa" w:w="60"/>
              <w:right w:type="dxa" w:w="90"/>
            </w:tcMar>
          </w:tcPr>
          <w:p>
            <w:pPr>
              <w:spacing w:after="0" w:before="0"/>
              <w:jc w:val="center"/>
            </w:pPr>
            <w:r>
              <w:rPr>
                <w:color w:val="000000"/>
                <w:sz w:val="13"/>
                <w:szCs w:val="13"/>
              </w:rPr>
              <w:t xml:space="preserve">CET1 ~15%</w:t>
            </w:r>
          </w:p>
        </w:tc>
        <w:tc>
          <w:tcPr>
            <w:tcW w:type="dxa" w:w="1719"/>
            <w:tcMar>
              <w:top w:type="dxa" w:w="60"/>
              <w:left w:type="dxa" w:w="90"/>
              <w:bottom w:type="dxa" w:w="60"/>
              <w:right w:type="dxa" w:w="90"/>
            </w:tcMar>
          </w:tcPr>
          <w:p>
            <w:pPr>
              <w:spacing w:after="0" w:before="0"/>
              <w:jc w:val="center"/>
            </w:pPr>
            <w:r>
              <w:rPr>
                <w:color w:val="000000"/>
                <w:sz w:val="13"/>
                <w:szCs w:val="13"/>
              </w:rPr>
              <w:t xml:space="preserve">MFS ~5%</w:t>
            </w:r>
          </w:p>
        </w:tc>
        <w:tc>
          <w:tcPr>
            <w:tcW w:type="dxa" w:w="859"/>
            <w:tcMar>
              <w:top w:type="dxa" w:w="60"/>
              <w:left w:type="dxa" w:w="90"/>
              <w:bottom w:type="dxa" w:w="60"/>
              <w:right w:type="dxa" w:w="90"/>
            </w:tcMar>
          </w:tcPr>
          <w:p>
            <w:pPr>
              <w:spacing w:after="0" w:before="0"/>
              <w:jc w:val="center"/>
            </w:pPr>
            <w:r>
              <w:rPr>
                <w:color w:val="000000"/>
                <w:sz w:val="13"/>
                <w:szCs w:val="13"/>
              </w:rPr>
              <w:t xml:space="preserve">4/5</w:t>
            </w:r>
          </w:p>
        </w:tc>
        <w:tc>
          <w:tcPr>
            <w:tcW w:type="dxa" w:w="436"/>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16</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Eurazeo</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RF FP</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FR</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€4.3bn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−43pp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~€250m</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JCDecaux Hldg ~19%</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3/5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2</w:t>
            </w:r>
          </w:p>
        </w:tc>
      </w:tr>
      <w:tr>
        <w:tc>
          <w:tcPr>
            <w:tcW w:type="dxa" w:w="429"/>
            <w:tcMar>
              <w:top w:type="dxa" w:w="60"/>
              <w:left w:type="dxa" w:w="90"/>
              <w:bottom w:type="dxa" w:w="60"/>
              <w:right w:type="dxa" w:w="90"/>
            </w:tcMar>
          </w:tcPr>
          <w:p>
            <w:pPr>
              <w:spacing w:after="0" w:before="0"/>
              <w:jc w:val="left"/>
            </w:pPr>
            <w:r>
              <w:rPr>
                <w:color w:val="000000"/>
                <w:sz w:val="13"/>
                <w:szCs w:val="13"/>
              </w:rPr>
              <w:t xml:space="preserve">17</w:t>
            </w:r>
          </w:p>
        </w:tc>
        <w:tc>
          <w:tcPr>
            <w:tcW w:type="dxa" w:w="1504"/>
            <w:tcMar>
              <w:top w:type="dxa" w:w="60"/>
              <w:left w:type="dxa" w:w="90"/>
              <w:bottom w:type="dxa" w:w="60"/>
              <w:right w:type="dxa" w:w="90"/>
            </w:tcMar>
          </w:tcPr>
          <w:p>
            <w:pPr>
              <w:spacing w:after="0" w:before="0"/>
              <w:jc w:val="center"/>
            </w:pPr>
            <w:r>
              <w:rPr>
                <w:color w:val="000000"/>
                <w:sz w:val="13"/>
                <w:szCs w:val="13"/>
              </w:rPr>
              <w:t xml:space="preserve">Allfunds Group</w:t>
            </w:r>
          </w:p>
        </w:tc>
        <w:tc>
          <w:tcPr>
            <w:tcW w:type="dxa" w:w="573"/>
            <w:tcMar>
              <w:top w:type="dxa" w:w="60"/>
              <w:left w:type="dxa" w:w="90"/>
              <w:bottom w:type="dxa" w:w="60"/>
              <w:right w:type="dxa" w:w="90"/>
            </w:tcMar>
          </w:tcPr>
          <w:p>
            <w:pPr>
              <w:spacing w:after="0" w:before="0"/>
              <w:jc w:val="center"/>
            </w:pPr>
            <w:r>
              <w:rPr>
                <w:color w:val="000000"/>
                <w:sz w:val="13"/>
                <w:szCs w:val="13"/>
              </w:rPr>
              <w:t xml:space="preserve">ALLFG NA</w:t>
            </w:r>
          </w:p>
        </w:tc>
        <w:tc>
          <w:tcPr>
            <w:tcW w:type="dxa" w:w="501"/>
            <w:tcMar>
              <w:top w:type="dxa" w:w="60"/>
              <w:left w:type="dxa" w:w="90"/>
              <w:bottom w:type="dxa" w:w="60"/>
              <w:right w:type="dxa" w:w="90"/>
            </w:tcMar>
          </w:tcPr>
          <w:p>
            <w:pPr>
              <w:spacing w:after="0" w:before="0"/>
              <w:jc w:val="center"/>
            </w:pPr>
            <w:r>
              <w:rPr>
                <w:color w:val="000000"/>
                <w:sz w:val="13"/>
                <w:szCs w:val="13"/>
              </w:rPr>
              <w:t xml:space="preserve">NL/UK</w:t>
            </w:r>
          </w:p>
        </w:tc>
        <w:tc>
          <w:tcPr>
            <w:tcW w:type="dxa" w:w="1146"/>
            <w:tcMar>
              <w:top w:type="dxa" w:w="60"/>
              <w:left w:type="dxa" w:w="90"/>
              <w:bottom w:type="dxa" w:w="60"/>
              <w:right w:type="dxa" w:w="90"/>
            </w:tcMar>
          </w:tcPr>
          <w:p>
            <w:pPr>
              <w:spacing w:after="0" w:before="0"/>
              <w:jc w:val="center"/>
            </w:pPr>
            <w:r>
              <w:rPr>
                <w:color w:val="000000"/>
                <w:sz w:val="13"/>
                <w:szCs w:val="13"/>
              </w:rPr>
              <w:t xml:space="preserve">€4.0bn</w:t>
            </w:r>
          </w:p>
        </w:tc>
        <w:tc>
          <w:tcPr>
            <w:tcW w:type="dxa" w:w="1218"/>
            <w:tcMar>
              <w:top w:type="dxa" w:w="60"/>
              <w:left w:type="dxa" w:w="90"/>
              <w:bottom w:type="dxa" w:w="60"/>
              <w:right w:type="dxa" w:w="90"/>
            </w:tcMar>
          </w:tcPr>
          <w:p>
            <w:pPr>
              <w:spacing w:after="0" w:before="0"/>
              <w:jc w:val="center"/>
            </w:pPr>
            <w:r>
              <w:rPr>
                <w:color w:val="000000"/>
                <w:sz w:val="13"/>
                <w:szCs w:val="13"/>
              </w:rPr>
              <w:t xml:space="preserve">−73pp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 ~€150m</w:t>
            </w:r>
          </w:p>
        </w:tc>
        <w:tc>
          <w:tcPr>
            <w:tcW w:type="dxa" w:w="1719"/>
            <w:tcMar>
              <w:top w:type="dxa" w:w="60"/>
              <w:left w:type="dxa" w:w="90"/>
              <w:bottom w:type="dxa" w:w="60"/>
              <w:right w:type="dxa" w:w="90"/>
            </w:tcMar>
          </w:tcPr>
          <w:p>
            <w:pPr>
              <w:spacing w:after="0" w:before="0"/>
              <w:jc w:val="center"/>
            </w:pPr>
            <w:r>
              <w:rPr>
                <w:color w:val="000000"/>
                <w:sz w:val="13"/>
                <w:szCs w:val="13"/>
              </w:rPr>
              <w:t xml:space="preserve">Hellman &amp; Friedman ~30%</w:t>
            </w:r>
          </w:p>
        </w:tc>
        <w:tc>
          <w:tcPr>
            <w:tcW w:type="dxa" w:w="859"/>
            <w:tcMar>
              <w:top w:type="dxa" w:w="60"/>
              <w:left w:type="dxa" w:w="90"/>
              <w:bottom w:type="dxa" w:w="60"/>
              <w:right w:type="dxa" w:w="90"/>
            </w:tcMar>
          </w:tcPr>
          <w:p>
            <w:pPr>
              <w:spacing w:after="0" w:before="0"/>
              <w:jc w:val="center"/>
            </w:pPr>
            <w:r>
              <w:rPr>
                <w:color w:val="000000"/>
                <w:sz w:val="13"/>
                <w:szCs w:val="13"/>
              </w:rPr>
              <w:t xml:space="preserve">4/5</w:t>
            </w:r>
          </w:p>
        </w:tc>
        <w:tc>
          <w:tcPr>
            <w:tcW w:type="dxa" w:w="436"/>
            <w:tcMar>
              <w:top w:type="dxa" w:w="60"/>
              <w:left w:type="dxa" w:w="90"/>
              <w:bottom w:type="dxa" w:w="60"/>
              <w:right w:type="dxa" w:w="90"/>
            </w:tcMar>
          </w:tcPr>
          <w:p>
            <w:pPr>
              <w:spacing w:after="0" w:before="0"/>
              <w:jc w:val="center"/>
            </w:pPr>
            <w:r>
              <w:rPr>
                <w:color w:val="000000"/>
                <w:sz w:val="13"/>
                <w:szCs w:val="13"/>
              </w:rPr>
              <w:t xml:space="preserve">1</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18</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Azimut Holding</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AZM IM</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IT</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€3.5bn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−13pp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~€300m</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Timone pact ~24%</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2/5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3</w:t>
            </w:r>
          </w:p>
        </w:tc>
      </w:tr>
      <w:tr>
        <w:tc>
          <w:tcPr>
            <w:tcW w:type="dxa" w:w="429"/>
            <w:tcMar>
              <w:top w:type="dxa" w:w="60"/>
              <w:left w:type="dxa" w:w="90"/>
              <w:bottom w:type="dxa" w:w="60"/>
              <w:right w:type="dxa" w:w="90"/>
            </w:tcMar>
          </w:tcPr>
          <w:p>
            <w:pPr>
              <w:spacing w:after="0" w:before="0"/>
              <w:jc w:val="left"/>
            </w:pPr>
            <w:r>
              <w:rPr>
                <w:color w:val="000000"/>
                <w:sz w:val="13"/>
                <w:szCs w:val="13"/>
              </w:rPr>
              <w:t xml:space="preserve">19</w:t>
            </w:r>
          </w:p>
        </w:tc>
        <w:tc>
          <w:tcPr>
            <w:tcW w:type="dxa" w:w="1504"/>
            <w:tcMar>
              <w:top w:type="dxa" w:w="60"/>
              <w:left w:type="dxa" w:w="90"/>
              <w:bottom w:type="dxa" w:w="60"/>
              <w:right w:type="dxa" w:w="90"/>
            </w:tcMar>
          </w:tcPr>
          <w:p>
            <w:pPr>
              <w:spacing w:after="0" w:before="0"/>
              <w:jc w:val="center"/>
            </w:pPr>
            <w:r>
              <w:rPr>
                <w:color w:val="000000"/>
                <w:sz w:val="13"/>
                <w:szCs w:val="13"/>
              </w:rPr>
              <w:t xml:space="preserve">Deutsche Beteiligungs</w:t>
            </w:r>
          </w:p>
        </w:tc>
        <w:tc>
          <w:tcPr>
            <w:tcW w:type="dxa" w:w="573"/>
            <w:tcMar>
              <w:top w:type="dxa" w:w="60"/>
              <w:left w:type="dxa" w:w="90"/>
              <w:bottom w:type="dxa" w:w="60"/>
              <w:right w:type="dxa" w:w="90"/>
            </w:tcMar>
          </w:tcPr>
          <w:p>
            <w:pPr>
              <w:spacing w:after="0" w:before="0"/>
              <w:jc w:val="center"/>
            </w:pPr>
            <w:r>
              <w:rPr>
                <w:color w:val="000000"/>
                <w:sz w:val="13"/>
                <w:szCs w:val="13"/>
              </w:rPr>
              <w:t xml:space="preserve">DBAN GY</w:t>
            </w:r>
          </w:p>
        </w:tc>
        <w:tc>
          <w:tcPr>
            <w:tcW w:type="dxa" w:w="501"/>
            <w:tcMar>
              <w:top w:type="dxa" w:w="60"/>
              <w:left w:type="dxa" w:w="90"/>
              <w:bottom w:type="dxa" w:w="60"/>
              <w:right w:type="dxa" w:w="90"/>
            </w:tcMar>
          </w:tcPr>
          <w:p>
            <w:pPr>
              <w:spacing w:after="0" w:before="0"/>
              <w:jc w:val="center"/>
            </w:pPr>
            <w:r>
              <w:rPr>
                <w:color w:val="000000"/>
                <w:sz w:val="13"/>
                <w:szCs w:val="13"/>
              </w:rPr>
              <w:t xml:space="preserve">DE</w:t>
            </w:r>
          </w:p>
        </w:tc>
        <w:tc>
          <w:tcPr>
            <w:tcW w:type="dxa" w:w="1146"/>
            <w:tcMar>
              <w:top w:type="dxa" w:w="60"/>
              <w:left w:type="dxa" w:w="90"/>
              <w:bottom w:type="dxa" w:w="60"/>
              <w:right w:type="dxa" w:w="90"/>
            </w:tcMar>
          </w:tcPr>
          <w:p>
            <w:pPr>
              <w:spacing w:after="0" w:before="0"/>
              <w:jc w:val="center"/>
            </w:pPr>
            <w:r>
              <w:rPr>
                <w:color w:val="000000"/>
                <w:sz w:val="13"/>
                <w:szCs w:val="13"/>
              </w:rPr>
              <w:t xml:space="preserve">€0.48bn</w:t>
            </w:r>
          </w:p>
        </w:tc>
        <w:tc>
          <w:tcPr>
            <w:tcW w:type="dxa" w:w="1218"/>
            <w:tcMar>
              <w:top w:type="dxa" w:w="60"/>
              <w:left w:type="dxa" w:w="90"/>
              <w:bottom w:type="dxa" w:w="60"/>
              <w:right w:type="dxa" w:w="90"/>
            </w:tcMar>
          </w:tcPr>
          <w:p>
            <w:pPr>
              <w:spacing w:after="0" w:before="0"/>
              <w:jc w:val="center"/>
            </w:pPr>
            <w:r>
              <w:rPr>
                <w:color w:val="000000"/>
                <w:sz w:val="13"/>
                <w:szCs w:val="13"/>
              </w:rPr>
              <w:t xml:space="preserve">−53pp</w:t>
            </w:r>
          </w:p>
        </w:tc>
        <w:tc>
          <w:tcPr>
            <w:tcW w:type="dxa" w:w="1361"/>
            <w:tcMar>
              <w:top w:type="dxa" w:w="60"/>
              <w:left w:type="dxa" w:w="90"/>
              <w:bottom w:type="dxa" w:w="60"/>
              <w:right w:type="dxa" w:w="90"/>
            </w:tcMar>
          </w:tcPr>
          <w:p>
            <w:pPr>
              <w:spacing w:after="0" w:before="0"/>
              <w:jc w:val="center"/>
            </w:pPr>
            <w:r>
              <w:rPr>
                <w:color w:val="000000"/>
                <w:sz w:val="13"/>
                <w:szCs w:val="13"/>
              </w:rPr>
              <w:t xml:space="preserve">Net cash</w:t>
            </w:r>
          </w:p>
        </w:tc>
        <w:tc>
          <w:tcPr>
            <w:tcW w:type="dxa" w:w="1719"/>
            <w:tcMar>
              <w:top w:type="dxa" w:w="60"/>
              <w:left w:type="dxa" w:w="90"/>
              <w:bottom w:type="dxa" w:w="60"/>
              <w:right w:type="dxa" w:w="90"/>
            </w:tcMar>
          </w:tcPr>
          <w:p>
            <w:pPr>
              <w:spacing w:after="0" w:before="0"/>
              <w:jc w:val="center"/>
            </w:pPr>
            <w:r>
              <w:rPr>
                <w:color w:val="000000"/>
                <w:sz w:val="13"/>
                <w:szCs w:val="13"/>
              </w:rPr>
              <w:t xml:space="preserve">Rossmann ~28%</w:t>
            </w:r>
          </w:p>
        </w:tc>
        <w:tc>
          <w:tcPr>
            <w:tcW w:type="dxa" w:w="859"/>
            <w:tcMar>
              <w:top w:type="dxa" w:w="60"/>
              <w:left w:type="dxa" w:w="90"/>
              <w:bottom w:type="dxa" w:w="60"/>
              <w:right w:type="dxa" w:w="90"/>
            </w:tcMar>
          </w:tcPr>
          <w:p>
            <w:pPr>
              <w:spacing w:after="0" w:before="0"/>
              <w:jc w:val="center"/>
            </w:pPr>
            <w:r>
              <w:rPr>
                <w:color w:val="000000"/>
                <w:sz w:val="13"/>
                <w:szCs w:val="13"/>
              </w:rPr>
              <w:t xml:space="preserve">2/5</w:t>
            </w:r>
          </w:p>
        </w:tc>
        <w:tc>
          <w:tcPr>
            <w:tcW w:type="dxa" w:w="436"/>
            <w:tcMar>
              <w:top w:type="dxa" w:w="60"/>
              <w:left w:type="dxa" w:w="90"/>
              <w:bottom w:type="dxa" w:w="60"/>
              <w:right w:type="dxa" w:w="90"/>
            </w:tcMar>
          </w:tcPr>
          <w:p>
            <w:pPr>
              <w:spacing w:after="0" w:before="0"/>
              <w:jc w:val="center"/>
            </w:pPr>
            <w:r>
              <w:rPr>
                <w:color w:val="000000"/>
                <w:sz w:val="13"/>
                <w:szCs w:val="13"/>
              </w:rPr>
              <w:t xml:space="preserve">3</w:t>
            </w:r>
          </w:p>
        </w:tc>
      </w:tr>
      <w:tr>
        <w:tc>
          <w:tcPr>
            <w:tcW w:type="dxa" w:w="429"/>
            <w:shd w:fill="F2F5F9" w:color="auto" w:val="clear"/>
            <w:tcMar>
              <w:top w:type="dxa" w:w="60"/>
              <w:left w:type="dxa" w:w="90"/>
              <w:bottom w:type="dxa" w:w="60"/>
              <w:right w:type="dxa" w:w="90"/>
            </w:tcMar>
          </w:tcPr>
          <w:p>
            <w:pPr>
              <w:spacing w:after="0" w:before="0"/>
              <w:jc w:val="left"/>
            </w:pPr>
            <w:r>
              <w:rPr>
                <w:color w:val="000000"/>
                <w:sz w:val="13"/>
                <w:szCs w:val="13"/>
              </w:rPr>
              <w:t xml:space="preserve">20</w:t>
            </w:r>
          </w:p>
        </w:tc>
        <w:tc>
          <w:tcPr>
            <w:tcW w:type="dxa" w:w="1504"/>
            <w:shd w:fill="F2F5F9" w:color="auto" w:val="clear"/>
            <w:tcMar>
              <w:top w:type="dxa" w:w="60"/>
              <w:left w:type="dxa" w:w="90"/>
              <w:bottom w:type="dxa" w:w="60"/>
              <w:right w:type="dxa" w:w="90"/>
            </w:tcMar>
          </w:tcPr>
          <w:p>
            <w:pPr>
              <w:spacing w:after="0" w:before="0"/>
              <w:jc w:val="center"/>
            </w:pPr>
            <w:r>
              <w:rPr>
                <w:color w:val="000000"/>
                <w:sz w:val="13"/>
                <w:szCs w:val="13"/>
              </w:rPr>
              <w:t xml:space="preserve">ABG Sundal Collier</w:t>
            </w:r>
          </w:p>
        </w:tc>
        <w:tc>
          <w:tcPr>
            <w:tcW w:type="dxa" w:w="573"/>
            <w:shd w:fill="F2F5F9" w:color="auto" w:val="clear"/>
            <w:tcMar>
              <w:top w:type="dxa" w:w="60"/>
              <w:left w:type="dxa" w:w="90"/>
              <w:bottom w:type="dxa" w:w="60"/>
              <w:right w:type="dxa" w:w="90"/>
            </w:tcMar>
          </w:tcPr>
          <w:p>
            <w:pPr>
              <w:spacing w:after="0" w:before="0"/>
              <w:jc w:val="center"/>
            </w:pPr>
            <w:r>
              <w:rPr>
                <w:color w:val="000000"/>
                <w:sz w:val="13"/>
                <w:szCs w:val="13"/>
              </w:rPr>
              <w:t xml:space="preserve">ABG NO</w:t>
            </w:r>
          </w:p>
        </w:tc>
        <w:tc>
          <w:tcPr>
            <w:tcW w:type="dxa" w:w="501"/>
            <w:shd w:fill="F2F5F9" w:color="auto" w:val="clear"/>
            <w:tcMar>
              <w:top w:type="dxa" w:w="60"/>
              <w:left w:type="dxa" w:w="90"/>
              <w:bottom w:type="dxa" w:w="60"/>
              <w:right w:type="dxa" w:w="90"/>
            </w:tcMar>
          </w:tcPr>
          <w:p>
            <w:pPr>
              <w:spacing w:after="0" w:before="0"/>
              <w:jc w:val="center"/>
            </w:pPr>
            <w:r>
              <w:rPr>
                <w:color w:val="000000"/>
                <w:sz w:val="13"/>
                <w:szCs w:val="13"/>
              </w:rPr>
              <w:t xml:space="preserve">NO</w:t>
            </w:r>
          </w:p>
        </w:tc>
        <w:tc>
          <w:tcPr>
            <w:tcW w:type="dxa" w:w="1146"/>
            <w:shd w:fill="F2F5F9" w:color="auto" w:val="clear"/>
            <w:tcMar>
              <w:top w:type="dxa" w:w="60"/>
              <w:left w:type="dxa" w:w="90"/>
              <w:bottom w:type="dxa" w:w="60"/>
              <w:right w:type="dxa" w:w="90"/>
            </w:tcMar>
          </w:tcPr>
          <w:p>
            <w:pPr>
              <w:spacing w:after="0" w:before="0"/>
              <w:jc w:val="center"/>
            </w:pPr>
            <w:r>
              <w:rPr>
                <w:color w:val="000000"/>
                <w:sz w:val="13"/>
                <w:szCs w:val="13"/>
              </w:rPr>
              <w:t xml:space="preserve">NOK 3.0bn</w:t>
            </w:r>
          </w:p>
        </w:tc>
        <w:tc>
          <w:tcPr>
            <w:tcW w:type="dxa" w:w="1218"/>
            <w:shd w:fill="F2F5F9" w:color="auto" w:val="clear"/>
            <w:tcMar>
              <w:top w:type="dxa" w:w="60"/>
              <w:left w:type="dxa" w:w="90"/>
              <w:bottom w:type="dxa" w:w="60"/>
              <w:right w:type="dxa" w:w="90"/>
            </w:tcMar>
          </w:tcPr>
          <w:p>
            <w:pPr>
              <w:spacing w:after="0" w:before="0"/>
              <w:jc w:val="center"/>
            </w:pPr>
            <w:r>
              <w:rPr>
                <w:color w:val="000000"/>
                <w:sz w:val="13"/>
                <w:szCs w:val="13"/>
              </w:rPr>
              <w:t xml:space="preserve">−48pp</w:t>
            </w:r>
          </w:p>
        </w:tc>
        <w:tc>
          <w:tcPr>
            <w:tcW w:type="dxa" w:w="1361"/>
            <w:shd w:fill="F2F5F9" w:color="auto" w:val="clear"/>
            <w:tcMar>
              <w:top w:type="dxa" w:w="60"/>
              <w:left w:type="dxa" w:w="90"/>
              <w:bottom w:type="dxa" w:w="60"/>
              <w:right w:type="dxa" w:w="90"/>
            </w:tcMar>
          </w:tcPr>
          <w:p>
            <w:pPr>
              <w:spacing w:after="0" w:before="0"/>
              <w:jc w:val="center"/>
            </w:pPr>
            <w:r>
              <w:rPr>
                <w:color w:val="000000"/>
                <w:sz w:val="13"/>
                <w:szCs w:val="13"/>
              </w:rPr>
              <w:t xml:space="preserve">Net cash ~NOK 0.9bn</w:t>
            </w:r>
          </w:p>
        </w:tc>
        <w:tc>
          <w:tcPr>
            <w:tcW w:type="dxa" w:w="1719"/>
            <w:shd w:fill="F2F5F9" w:color="auto" w:val="clear"/>
            <w:tcMar>
              <w:top w:type="dxa" w:w="60"/>
              <w:left w:type="dxa" w:w="90"/>
              <w:bottom w:type="dxa" w:w="60"/>
              <w:right w:type="dxa" w:w="90"/>
            </w:tcMar>
          </w:tcPr>
          <w:p>
            <w:pPr>
              <w:spacing w:after="0" w:before="0"/>
              <w:jc w:val="center"/>
            </w:pPr>
            <w:r>
              <w:rPr>
                <w:color w:val="000000"/>
                <w:sz w:val="13"/>
                <w:szCs w:val="13"/>
              </w:rPr>
              <w:t xml:space="preserve">Employees (diffuse)</w:t>
            </w:r>
          </w:p>
        </w:tc>
        <w:tc>
          <w:tcPr>
            <w:tcW w:type="dxa" w:w="859"/>
            <w:shd w:fill="F2F5F9" w:color="auto" w:val="clear"/>
            <w:tcMar>
              <w:top w:type="dxa" w:w="60"/>
              <w:left w:type="dxa" w:w="90"/>
              <w:bottom w:type="dxa" w:w="60"/>
              <w:right w:type="dxa" w:w="90"/>
            </w:tcMar>
          </w:tcPr>
          <w:p>
            <w:pPr>
              <w:spacing w:after="0" w:before="0"/>
              <w:jc w:val="center"/>
            </w:pPr>
            <w:r>
              <w:rPr>
                <w:color w:val="000000"/>
                <w:sz w:val="13"/>
                <w:szCs w:val="13"/>
              </w:rPr>
              <w:t xml:space="preserve">3/5</w:t>
            </w:r>
          </w:p>
        </w:tc>
        <w:tc>
          <w:tcPr>
            <w:tcW w:type="dxa" w:w="436"/>
            <w:shd w:fill="F2F5F9" w:color="auto" w:val="clear"/>
            <w:tcMar>
              <w:top w:type="dxa" w:w="60"/>
              <w:left w:type="dxa" w:w="90"/>
              <w:bottom w:type="dxa" w:w="60"/>
              <w:right w:type="dxa" w:w="90"/>
            </w:tcMar>
          </w:tcPr>
          <w:p>
            <w:pPr>
              <w:spacing w:after="0" w:before="0"/>
              <w:jc w:val="center"/>
            </w:pPr>
            <w:r>
              <w:rPr>
                <w:color w:val="000000"/>
                <w:sz w:val="13"/>
                <w:szCs w:val="13"/>
              </w:rPr>
              <w:t xml:space="preserve">3</w:t>
            </w:r>
          </w:p>
        </w:tc>
      </w:tr>
    </w:tbl>
    <w:p>
      <w:pPr>
        <w:spacing w:after="160"/>
      </w:pPr>
      <w:r>
        <w:t xml:space="preserve"/>
      </w:r>
    </w:p>
    <w:p>
      <w:pPr>
        <w:spacing w:after="100" w:before="60"/>
      </w:pPr>
      <w:r>
        <w:rPr>
          <w:b/>
          <w:bCs/>
          <w:sz w:val="19"/>
          <w:szCs w:val="19"/>
        </w:rPr>
        <w:t xml:space="preserve">Support ease</w:t>
      </w:r>
      <w:r>
        <w:rPr>
          <w:sz w:val="19"/>
          <w:szCs w:val="19"/>
        </w:rPr>
        <w:t xml:space="preserve"> is a 1–5 judgement of how straightforward it would be to assemble a supportive coalition of top shareholders, based on register composition, the presence of blocking or quasi-blocking stakes, governance structure and AGM mechanics. 5 = a fully institutional, visibly frustrated register with no anchor holder. 1 = effectively impossible without the anchor.</w:t>
      </w:r>
    </w:p>
    <w:p>
      <w:pPr>
        <w:pStyle w:val="Heading3"/>
        <w:spacing w:after="100" w:before="220"/>
      </w:pPr>
      <w:r>
        <w:rPr>
          <w:b/>
          <w:bCs/>
          <w:color w:val="2E5C8A"/>
          <w:sz w:val="21"/>
          <w:szCs w:val="21"/>
        </w:rPr>
        <w:t xml:space="preserve">Tiering</w:t>
      </w:r>
    </w:p>
    <w:p>
      <w:pPr>
        <w:spacing w:after="100" w:before="60"/>
      </w:pPr>
      <w:r>
        <w:rPr>
          <w:b/>
          <w:bCs/>
          <w:sz w:val="19"/>
          <w:szCs w:val="19"/>
        </w:rPr>
        <w:t xml:space="preserve">Tier 1 — highest conviction (8 names).</w:t>
      </w:r>
      <w:r>
        <w:rPr>
          <w:sz w:val="19"/>
          <w:szCs w:val="19"/>
        </w:rPr>
        <w:t xml:space="preserve"> Liontrust, Impax, Brooks Macdonald, Ashmore, Allfunds, Julius Baer, St. James's Place, Aberdeen. Large, identifiable value gaps; registers that will engage; and in several cases a catalyst already in motion.</w:t>
      </w:r>
    </w:p>
    <w:p>
      <w:pPr>
        <w:spacing w:after="100" w:before="60"/>
      </w:pPr>
      <w:r>
        <w:rPr>
          <w:b/>
          <w:bCs/>
          <w:sz w:val="19"/>
          <w:szCs w:val="19"/>
        </w:rPr>
        <w:t xml:space="preserve">Tier 2 — strong thesis, harder execution (7 names).</w:t>
      </w:r>
      <w:r>
        <w:rPr>
          <w:sz w:val="19"/>
          <w:szCs w:val="19"/>
        </w:rPr>
        <w:t xml:space="preserve"> Jupiter, Ninety One, Quilter, IntegraFin, M&amp;G, Eurazeo, Man Group.</w:t>
      </w:r>
    </w:p>
    <w:p>
      <w:pPr>
        <w:spacing w:after="100" w:before="60"/>
      </w:pPr>
      <w:r>
        <w:rPr>
          <w:b/>
          <w:bCs/>
          <w:sz w:val="19"/>
          <w:szCs w:val="19"/>
        </w:rPr>
        <w:t xml:space="preserve">Tier 3 — good economics, difficult registers (5 names).</w:t>
      </w:r>
      <w:r>
        <w:rPr>
          <w:sz w:val="19"/>
          <w:szCs w:val="19"/>
        </w:rPr>
        <w:t xml:space="preserve"> Bridgepoint, Foresight, Azimut, Deutsche Beteiligungs, ABG Sundal Collier. Each has a genuine anchor bloc or governance structure that makes a campaign a multi-year commitment.</w:t>
      </w:r>
    </w:p>
    <w:p>
      <w:pPr>
        <w:pBdr>
          <w:bottom w:val="single" w:color="BFBFBF" w:sz="6" w:space="1"/>
        </w:pBdr>
        <w:spacing w:after="160" w:before="160"/>
      </w:pPr>
      <w:r>
        <w:t xml:space="preserve"/>
      </w:r>
    </w:p>
    <w:p>
      <w:pPr>
        <w:pStyle w:val="Heading1"/>
        <w:spacing w:after="140" w:before="240"/>
      </w:pPr>
      <w:r>
        <w:br w:type="page"/>
      </w:r>
      <w:r>
        <w:rPr>
          <w:b/>
          <w:bCs/>
          <w:color w:val="1F3864"/>
          <w:sz w:val="30"/>
          <w:szCs w:val="30"/>
        </w:rPr>
        <w:t xml:space="preserve">3. Company dossiers</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 Aberdeen Group plc (ABDN LN)</w:t>
      </w:r>
    </w:p>
    <w:p>
      <w:pPr>
        <w:spacing w:after="100" w:before="60"/>
      </w:pPr>
      <w:r>
        <w:rPr>
          <w:b/>
          <w:bCs/>
          <w:sz w:val="19"/>
          <w:szCs w:val="19"/>
        </w:rPr>
        <w:t xml:space="preserve">Market cap ~£4.5bn · AUMA ~£520bn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759"/>
        <w:gridCol w:w="5549"/>
        <w:gridCol w:w="2438"/>
      </w:tblGrid>
      <w:tr>
        <w:trPr>
          <w:tblHeader/>
        </w:trPr>
        <w:tc>
          <w:tcPr>
            <w:tcW w:type="dxa" w:w="1759"/>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5549"/>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2438"/>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759"/>
            <w:tcMar>
              <w:top w:type="dxa" w:w="60"/>
              <w:left w:type="dxa" w:w="90"/>
              <w:bottom w:type="dxa" w:w="60"/>
              <w:right w:type="dxa" w:w="90"/>
            </w:tcMar>
          </w:tcPr>
          <w:p>
            <w:pPr>
              <w:spacing w:after="0" w:before="0"/>
              <w:jc w:val="left"/>
            </w:pPr>
            <w:r>
              <w:rPr>
                <w:color w:val="000000"/>
                <w:sz w:val="17"/>
                <w:szCs w:val="17"/>
              </w:rPr>
              <w:t xml:space="preserve">TSR 1yr</w:t>
            </w:r>
          </w:p>
        </w:tc>
        <w:tc>
          <w:tcPr>
            <w:tcW w:type="dxa" w:w="5549"/>
            <w:tcMar>
              <w:top w:type="dxa" w:w="60"/>
              <w:left w:type="dxa" w:w="90"/>
              <w:bottom w:type="dxa" w:w="60"/>
              <w:right w:type="dxa" w:w="90"/>
            </w:tcMar>
          </w:tcPr>
          <w:p>
            <w:pPr>
              <w:spacing w:after="0" w:before="0"/>
              <w:jc w:val="left"/>
            </w:pPr>
            <w:r>
              <w:rPr>
                <w:color w:val="000000"/>
                <w:sz w:val="17"/>
                <w:szCs w:val="17"/>
              </w:rPr>
              <w:t xml:space="preserve">+38%</w:t>
            </w:r>
          </w:p>
        </w:tc>
        <w:tc>
          <w:tcPr>
            <w:tcW w:type="dxa" w:w="2438"/>
            <w:tcMar>
              <w:top w:type="dxa" w:w="60"/>
              <w:left w:type="dxa" w:w="90"/>
              <w:bottom w:type="dxa" w:w="60"/>
              <w:right w:type="dxa" w:w="90"/>
            </w:tcMar>
          </w:tcPr>
          <w:p>
            <w:pPr>
              <w:spacing w:after="0" w:before="0"/>
              <w:jc w:val="left"/>
            </w:pPr>
            <w:r>
              <w:rPr>
                <w:color w:val="000000"/>
                <w:sz w:val="17"/>
                <w:szCs w:val="17"/>
              </w:rPr>
              <w:t xml:space="preserve">+19pp</w:t>
            </w:r>
          </w:p>
        </w:tc>
      </w:tr>
      <w:tr>
        <w:tc>
          <w:tcPr>
            <w:tcW w:type="dxa" w:w="1759"/>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5549"/>
            <w:shd w:fill="F2F5F9" w:color="auto" w:val="clear"/>
            <w:tcMar>
              <w:top w:type="dxa" w:w="60"/>
              <w:left w:type="dxa" w:w="90"/>
              <w:bottom w:type="dxa" w:w="60"/>
              <w:right w:type="dxa" w:w="90"/>
            </w:tcMar>
          </w:tcPr>
          <w:p>
            <w:pPr>
              <w:spacing w:after="0" w:before="0"/>
              <w:jc w:val="left"/>
            </w:pPr>
            <w:r>
              <w:rPr>
                <w:color w:val="000000"/>
                <w:sz w:val="17"/>
                <w:szCs w:val="17"/>
              </w:rPr>
              <w:t xml:space="preserve">+42%</w:t>
            </w:r>
          </w:p>
        </w:tc>
        <w:tc>
          <w:tcPr>
            <w:tcW w:type="dxa" w:w="2438"/>
            <w:shd w:fill="F2F5F9" w:color="auto" w:val="clear"/>
            <w:tcMar>
              <w:top w:type="dxa" w:w="60"/>
              <w:left w:type="dxa" w:w="90"/>
              <w:bottom w:type="dxa" w:w="60"/>
              <w:right w:type="dxa" w:w="90"/>
            </w:tcMar>
          </w:tcPr>
          <w:p>
            <w:pPr>
              <w:spacing w:after="0" w:before="0"/>
              <w:jc w:val="left"/>
            </w:pPr>
            <w:r>
              <w:rPr>
                <w:color w:val="000000"/>
                <w:sz w:val="17"/>
                <w:szCs w:val="17"/>
              </w:rPr>
              <w:t xml:space="preserve">+10pp</w:t>
            </w:r>
          </w:p>
        </w:tc>
      </w:tr>
      <w:tr>
        <w:tc>
          <w:tcPr>
            <w:tcW w:type="dxa" w:w="1759"/>
            <w:tcMar>
              <w:top w:type="dxa" w:w="60"/>
              <w:left w:type="dxa" w:w="90"/>
              <w:bottom w:type="dxa" w:w="60"/>
              <w:right w:type="dxa" w:w="90"/>
            </w:tcMar>
          </w:tcPr>
          <w:p>
            <w:pPr>
              <w:spacing w:after="0" w:before="0"/>
              <w:jc w:val="left"/>
            </w:pPr>
            <w:r>
              <w:rPr>
                <w:color w:val="000000"/>
                <w:sz w:val="17"/>
                <w:szCs w:val="17"/>
              </w:rPr>
              <w:t xml:space="preserve">TSR 5yr</w:t>
            </w:r>
          </w:p>
        </w:tc>
        <w:tc>
          <w:tcPr>
            <w:tcW w:type="dxa" w:w="5549"/>
            <w:tcMar>
              <w:top w:type="dxa" w:w="60"/>
              <w:left w:type="dxa" w:w="90"/>
              <w:bottom w:type="dxa" w:w="60"/>
              <w:right w:type="dxa" w:w="90"/>
            </w:tcMar>
          </w:tcPr>
          <w:p>
            <w:pPr>
              <w:spacing w:after="0" w:before="0"/>
              <w:jc w:val="left"/>
            </w:pPr>
            <w:r>
              <w:rPr>
                <w:color w:val="000000"/>
                <w:sz w:val="17"/>
                <w:szCs w:val="17"/>
              </w:rPr>
              <w:t xml:space="preserve">−22%</w:t>
            </w:r>
          </w:p>
        </w:tc>
        <w:tc>
          <w:tcPr>
            <w:tcW w:type="dxa" w:w="2438"/>
            <w:tcMar>
              <w:top w:type="dxa" w:w="60"/>
              <w:left w:type="dxa" w:w="90"/>
              <w:bottom w:type="dxa" w:w="60"/>
              <w:right w:type="dxa" w:w="90"/>
            </w:tcMar>
          </w:tcPr>
          <w:p>
            <w:pPr>
              <w:spacing w:after="0" w:before="0"/>
              <w:jc w:val="left"/>
            </w:pPr>
            <w:r>
              <w:rPr>
                <w:b/>
                <w:bCs/>
                <w:color w:val="000000"/>
                <w:sz w:val="17"/>
                <w:szCs w:val="17"/>
              </w:rPr>
              <w:t xml:space="preserve">−40pp</w:t>
            </w:r>
          </w:p>
        </w:tc>
      </w:tr>
      <w:tr>
        <w:tc>
          <w:tcPr>
            <w:tcW w:type="dxa" w:w="1759"/>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5549"/>
            <w:shd w:fill="F2F5F9" w:color="auto" w:val="clear"/>
            <w:tcMar>
              <w:top w:type="dxa" w:w="60"/>
              <w:left w:type="dxa" w:w="90"/>
              <w:bottom w:type="dxa" w:w="60"/>
              <w:right w:type="dxa" w:w="90"/>
            </w:tcMar>
          </w:tcPr>
          <w:p>
            <w:pPr>
              <w:spacing w:after="0" w:before="0"/>
              <w:jc w:val="left"/>
            </w:pPr>
            <w:r>
              <w:rPr>
                <w:color w:val="000000"/>
                <w:sz w:val="17"/>
                <w:szCs w:val="17"/>
              </w:rPr>
              <w:t xml:space="preserve">~2.9x</w:t>
            </w:r>
          </w:p>
        </w:tc>
        <w:tc>
          <w:tcPr>
            <w:tcW w:type="dxa" w:w="2438"/>
            <w:shd w:fill="F2F5F9" w:color="auto" w:val="clear"/>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59"/>
            <w:tcMar>
              <w:top w:type="dxa" w:w="60"/>
              <w:left w:type="dxa" w:w="90"/>
              <w:bottom w:type="dxa" w:w="60"/>
              <w:right w:type="dxa" w:w="90"/>
            </w:tcMar>
          </w:tcPr>
          <w:p>
            <w:pPr>
              <w:spacing w:after="0" w:before="0"/>
              <w:jc w:val="left"/>
            </w:pPr>
            <w:r>
              <w:rPr>
                <w:color w:val="000000"/>
                <w:sz w:val="17"/>
                <w:szCs w:val="17"/>
              </w:rPr>
              <w:t xml:space="preserve">EV/EBIT</w:t>
            </w:r>
          </w:p>
        </w:tc>
        <w:tc>
          <w:tcPr>
            <w:tcW w:type="dxa" w:w="5549"/>
            <w:tcMar>
              <w:top w:type="dxa" w:w="60"/>
              <w:left w:type="dxa" w:w="90"/>
              <w:bottom w:type="dxa" w:w="60"/>
              <w:right w:type="dxa" w:w="90"/>
            </w:tcMar>
          </w:tcPr>
          <w:p>
            <w:pPr>
              <w:spacing w:after="0" w:before="0"/>
              <w:jc w:val="left"/>
            </w:pPr>
            <w:r>
              <w:rPr>
                <w:color w:val="000000"/>
                <w:sz w:val="17"/>
                <w:szCs w:val="17"/>
              </w:rPr>
              <w:t xml:space="preserve">~14x</w:t>
            </w:r>
          </w:p>
        </w:tc>
        <w:tc>
          <w:tcPr>
            <w:tcW w:type="dxa" w:w="2438"/>
            <w:tcMar>
              <w:top w:type="dxa" w:w="60"/>
              <w:left w:type="dxa" w:w="90"/>
              <w:bottom w:type="dxa" w:w="60"/>
              <w:right w:type="dxa" w:w="90"/>
            </w:tcMar>
          </w:tcPr>
          <w:p>
            <w:pPr>
              <w:spacing w:after="0" w:before="0"/>
              <w:jc w:val="left"/>
            </w:pPr>
            <w:r>
              <w:rPr>
                <w:color w:val="000000"/>
                <w:sz w:val="17"/>
                <w:szCs w:val="17"/>
              </w:rPr>
              <w:t xml:space="preserve">Slight discount</w:t>
            </w:r>
          </w:p>
        </w:tc>
      </w:tr>
      <w:tr>
        <w:tc>
          <w:tcPr>
            <w:tcW w:type="dxa" w:w="1759"/>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5549"/>
            <w:shd w:fill="F2F5F9" w:color="auto" w:val="clear"/>
            <w:tcMar>
              <w:top w:type="dxa" w:w="60"/>
              <w:left w:type="dxa" w:w="90"/>
              <w:bottom w:type="dxa" w:w="60"/>
              <w:right w:type="dxa" w:w="90"/>
            </w:tcMar>
          </w:tcPr>
          <w:p>
            <w:pPr>
              <w:spacing w:after="0" w:before="0"/>
              <w:jc w:val="left"/>
            </w:pPr>
            <w:r>
              <w:rPr>
                <w:color w:val="000000"/>
                <w:sz w:val="17"/>
                <w:szCs w:val="17"/>
              </w:rPr>
              <w:t xml:space="preserve">~14x</w:t>
            </w:r>
          </w:p>
        </w:tc>
        <w:tc>
          <w:tcPr>
            <w:tcW w:type="dxa" w:w="2438"/>
            <w:shd w:fill="F2F5F9" w:color="auto" w:val="clear"/>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59"/>
            <w:tcMar>
              <w:top w:type="dxa" w:w="60"/>
              <w:left w:type="dxa" w:w="90"/>
              <w:bottom w:type="dxa" w:w="60"/>
              <w:right w:type="dxa" w:w="90"/>
            </w:tcMar>
          </w:tcPr>
          <w:p>
            <w:pPr>
              <w:spacing w:after="0" w:before="0"/>
              <w:jc w:val="left"/>
            </w:pPr>
            <w:r>
              <w:rPr>
                <w:color w:val="000000"/>
                <w:sz w:val="17"/>
                <w:szCs w:val="17"/>
              </w:rPr>
              <w:t xml:space="preserve">FCF yield</w:t>
            </w:r>
          </w:p>
        </w:tc>
        <w:tc>
          <w:tcPr>
            <w:tcW w:type="dxa" w:w="5549"/>
            <w:tcMar>
              <w:top w:type="dxa" w:w="60"/>
              <w:left w:type="dxa" w:w="90"/>
              <w:bottom w:type="dxa" w:w="60"/>
              <w:right w:type="dxa" w:w="90"/>
            </w:tcMar>
          </w:tcPr>
          <w:p>
            <w:pPr>
              <w:spacing w:after="0" w:before="0"/>
              <w:jc w:val="left"/>
            </w:pPr>
            <w:r>
              <w:rPr>
                <w:color w:val="000000"/>
                <w:sz w:val="17"/>
                <w:szCs w:val="17"/>
              </w:rPr>
              <w:t xml:space="preserve">~7%</w:t>
            </w:r>
          </w:p>
        </w:tc>
        <w:tc>
          <w:tcPr>
            <w:tcW w:type="dxa" w:w="2438"/>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1759"/>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5549"/>
            <w:shd w:fill="F2F5F9" w:color="auto" w:val="clear"/>
            <w:tcMar>
              <w:top w:type="dxa" w:w="60"/>
              <w:left w:type="dxa" w:w="90"/>
              <w:bottom w:type="dxa" w:w="60"/>
              <w:right w:type="dxa" w:w="90"/>
            </w:tcMar>
          </w:tcPr>
          <w:p>
            <w:pPr>
              <w:spacing w:after="0" w:before="0"/>
              <w:jc w:val="left"/>
            </w:pPr>
            <w:r>
              <w:rPr>
                <w:color w:val="000000"/>
                <w:sz w:val="17"/>
                <w:szCs w:val="17"/>
              </w:rPr>
              <w:t xml:space="preserve">~21%</w:t>
            </w:r>
          </w:p>
        </w:tc>
        <w:tc>
          <w:tcPr>
            <w:tcW w:type="dxa" w:w="2438"/>
            <w:shd w:fill="F2F5F9" w:color="auto" w:val="clear"/>
            <w:tcMar>
              <w:top w:type="dxa" w:w="60"/>
              <w:left w:type="dxa" w:w="90"/>
              <w:bottom w:type="dxa" w:w="60"/>
              <w:right w:type="dxa" w:w="90"/>
            </w:tcMar>
          </w:tcPr>
          <w:p>
            <w:pPr>
              <w:spacing w:after="0" w:before="0"/>
              <w:jc w:val="left"/>
            </w:pPr>
            <w:r>
              <w:rPr>
                <w:b/>
                <w:bCs/>
                <w:color w:val="000000"/>
                <w:sz w:val="17"/>
                <w:szCs w:val="17"/>
              </w:rPr>
              <w:t xml:space="preserve">Below sector (28%)</w:t>
            </w:r>
          </w:p>
        </w:tc>
      </w:tr>
      <w:tr>
        <w:tc>
          <w:tcPr>
            <w:tcW w:type="dxa" w:w="1759"/>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5549"/>
            <w:tcMar>
              <w:top w:type="dxa" w:w="60"/>
              <w:left w:type="dxa" w:w="90"/>
              <w:bottom w:type="dxa" w:w="60"/>
              <w:right w:type="dxa" w:w="90"/>
            </w:tcMar>
          </w:tcPr>
          <w:p>
            <w:pPr>
              <w:spacing w:after="0" w:before="0"/>
              <w:jc w:val="left"/>
            </w:pPr>
            <w:r>
              <w:rPr>
                <w:color w:val="000000"/>
                <w:sz w:val="17"/>
                <w:szCs w:val="17"/>
              </w:rPr>
              <w:t xml:space="preserve">~25%</w:t>
            </w:r>
          </w:p>
        </w:tc>
        <w:tc>
          <w:tcPr>
            <w:tcW w:type="dxa" w:w="2438"/>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1759"/>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5549"/>
            <w:shd w:fill="F2F5F9" w:color="auto" w:val="clear"/>
            <w:tcMar>
              <w:top w:type="dxa" w:w="60"/>
              <w:left w:type="dxa" w:w="90"/>
              <w:bottom w:type="dxa" w:w="60"/>
              <w:right w:type="dxa" w:w="90"/>
            </w:tcMar>
          </w:tcPr>
          <w:p>
            <w:pPr>
              <w:spacing w:after="0" w:before="0"/>
              <w:jc w:val="left"/>
            </w:pPr>
            <w:r>
              <w:rPr>
                <w:color w:val="000000"/>
                <w:sz w:val="17"/>
                <w:szCs w:val="17"/>
              </w:rPr>
              <w:t xml:space="preserve">Net cash ~£0.5bn (after ~£0.6bn sub debt)</w:t>
            </w:r>
          </w:p>
        </w:tc>
        <w:tc>
          <w:tcPr>
            <w:tcW w:type="dxa" w:w="2438"/>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BlackRock ~9%, Vanguard ~4%, Norges Bank ~3%, Legal &amp; General ~3%, Dimensional ~3%. Register is essentially 100% institutional with no strategic or family holder — among the most open on this list.</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Three unrelated businesses are stapled together and the market is refusing to pay for any of them.</w:t>
      </w:r>
      <w:r>
        <w:rPr>
          <w:sz w:val="19"/>
          <w:szCs w:val="19"/>
        </w:rPr>
        <w:t xml:space="preserve"> Investments (a scale-challenged active manager), Adviser (a UK platform) and interactive investor (a fast-growing D2C platform) share almost no cost base, no clients and no distribution. On any sum-of-the-parts, </w:t>
      </w:r>
      <w:r>
        <w:rPr>
          <w:b/>
          <w:bCs/>
          <w:sz w:val="19"/>
          <w:szCs w:val="19"/>
        </w:rPr>
        <w:t xml:space="preserve">interactive investor alone approaches the value of the entire group</w:t>
      </w:r>
      <w:r>
        <w:rPr>
          <w:sz w:val="19"/>
          <w:szCs w:val="19"/>
        </w:rPr>
        <w:t xml:space="preserve"> at platform peer multiples.</w:t>
      </w:r>
    </w:p>
    <w:p>
      <w:pPr>
        <w:pStyle w:val="ListParagraph"/>
        <w:numPr>
          <w:ilvl w:val="0"/>
          <w:numId w:val="2"/>
        </w:numPr>
        <w:spacing w:after="40" w:before="40"/>
      </w:pPr>
      <w:r>
        <w:rPr>
          <w:b/>
          <w:bCs/>
          <w:sz w:val="19"/>
          <w:szCs w:val="19"/>
        </w:rPr>
        <w:t xml:space="preserve">The cost programme is necessary but it is not a strategy.</w:t>
      </w:r>
      <w:r>
        <w:rPr>
          <w:sz w:val="19"/>
          <w:szCs w:val="19"/>
        </w:rPr>
        <w:t xml:space="preserve"> £180m of savings delivered and a £150m+ target hit is competent execution — but it does not explain why these three businesses belong in one holding company, and it does not close a 5-year TSR gap of 40 points to a sector that is itself down against the index.</w:t>
      </w:r>
    </w:p>
    <w:p>
      <w:pPr>
        <w:pStyle w:val="ListParagraph"/>
        <w:numPr>
          <w:ilvl w:val="0"/>
          <w:numId w:val="2"/>
        </w:numPr>
        <w:spacing w:after="40" w:before="40"/>
      </w:pPr>
      <w:r>
        <w:rPr>
          <w:b/>
          <w:bCs/>
          <w:sz w:val="19"/>
          <w:szCs w:val="19"/>
        </w:rPr>
        <w:t xml:space="preserve">A 21% EBIT margin on £520bn of assets is structural under-earning</w:t>
      </w:r>
      <w:r>
        <w:rPr>
          <w:sz w:val="19"/>
          <w:szCs w:val="19"/>
        </w:rPr>
        <w:t xml:space="preserve">, roughly 7 points below sector. The gap is central overhead and a long tail of sub-scale investment strategies that will never earn their cost of capital.</w:t>
      </w:r>
    </w:p>
    <w:p>
      <w:pPr>
        <w:pStyle w:val="Heading3"/>
        <w:spacing w:after="100" w:before="220"/>
      </w:pPr>
      <w:r>
        <w:rPr>
          <w:b/>
          <w:bCs/>
          <w:color w:val="2E5C8A"/>
          <w:sz w:val="21"/>
          <w:szCs w:val="21"/>
        </w:rPr>
        <w:t xml:space="preserve">Most actionable changes</w:t>
      </w:r>
    </w:p>
    <w:p>
      <w:pPr>
        <w:pStyle w:val="ListParagraph"/>
        <w:numPr>
          <w:ilvl w:val="0"/>
          <w:numId w:val="3"/>
        </w:numPr>
        <w:spacing w:after="40" w:before="40"/>
      </w:pPr>
      <w:r>
        <w:rPr>
          <w:b/>
          <w:bCs/>
          <w:sz w:val="19"/>
          <w:szCs w:val="19"/>
        </w:rPr>
        <w:t xml:space="preserve">Separate interactive investor</w:t>
      </w:r>
      <w:r>
        <w:rPr>
          <w:sz w:val="19"/>
          <w:szCs w:val="19"/>
        </w:rPr>
        <w:t xml:space="preserve"> by demerger or IPO of a minority stake. It is the single largest, cleanest value-release event available anywhere on this list.</w:t>
      </w:r>
    </w:p>
    <w:p>
      <w:pPr>
        <w:pStyle w:val="ListParagraph"/>
        <w:numPr>
          <w:ilvl w:val="0"/>
          <w:numId w:val="3"/>
        </w:numPr>
        <w:spacing w:after="40" w:before="40"/>
      </w:pPr>
      <w:r>
        <w:rPr>
          <w:b/>
          <w:bCs/>
          <w:sz w:val="19"/>
          <w:szCs w:val="19"/>
        </w:rPr>
        <w:t xml:space="preserve">Rationalise the investment platform</w:t>
      </w:r>
      <w:r>
        <w:rPr>
          <w:sz w:val="19"/>
          <w:szCs w:val="19"/>
        </w:rPr>
        <w:t xml:space="preserve"> — close or sell strategies below a hard AUM/profitability floor, and set a public 28% EBIT margin target for FY28 with executive pay tied to it.</w:t>
      </w:r>
    </w:p>
    <w:p>
      <w:pPr>
        <w:pStyle w:val="ListParagraph"/>
        <w:numPr>
          <w:ilvl w:val="0"/>
          <w:numId w:val="3"/>
        </w:numPr>
        <w:spacing w:after="40" w:before="40"/>
      </w:pPr>
      <w:r>
        <w:rPr>
          <w:b/>
          <w:bCs/>
          <w:sz w:val="19"/>
          <w:szCs w:val="19"/>
        </w:rPr>
        <w:t xml:space="preserve">Return £500m+ via buyback</w:t>
      </w:r>
      <w:r>
        <w:rPr>
          <w:sz w:val="19"/>
          <w:szCs w:val="19"/>
        </w:rPr>
        <w:t xml:space="preserve"> from the surplus above regulatory requirement, and commit to a standing policy rather than ad-hoc announcements.</w:t>
      </w:r>
    </w:p>
    <w:p>
      <w:pPr>
        <w:spacing w:after="100" w:before="60"/>
      </w:pPr>
      <w:r>
        <w:rPr>
          <w:b/>
          <w:bCs/>
          <w:sz w:val="19"/>
          <w:szCs w:val="19"/>
        </w:rPr>
        <w:t xml:space="preserve">Ease of building support: 4/5.</w:t>
      </w:r>
      <w:r>
        <w:rPr>
          <w:sz w:val="19"/>
          <w:szCs w:val="19"/>
        </w:rPr>
        <w:t xml:space="preserve"> Fully institutional, no blocking stake, and holders have already demonstrated a willingness to force change at this company. The complication is that the current CEO's turnaround is working, which buys management time and makes a hostile posture harder to justify. The right approach is constructive and public-adjacent — a well-argued sum-of-the-parts letter, not a board fight.</w:t>
      </w:r>
    </w:p>
    <w:p>
      <w:pPr>
        <w:spacing w:after="100" w:before="60"/>
      </w:pPr>
      <w:r>
        <w:rPr>
          <w:b/>
          <w:bCs/>
          <w:sz w:val="19"/>
          <w:szCs w:val="19"/>
        </w:rPr>
        <w:t xml:space="preserve">Expected company defence:</w:t>
      </w:r>
      <w:r>
        <w:rPr>
          <w:sz w:val="19"/>
          <w:szCs w:val="19"/>
        </w:rPr>
        <w:t xml:space="preserve"> "The turnaround is delivering — profit up, costs down £180m, back in the FTSE 100, and 2026 targets of £300m+ adjusted operating profit reaffirmed. interactive investor is the growth engine and its cash funds group transformation; separating it now would forfeit exactly the value the market is beginning to recognise. Give us time to complete the plan."</w:t>
      </w:r>
    </w:p>
    <w:p>
      <w:pPr>
        <w:spacing w:after="100" w:before="60"/>
      </w:pPr>
      <w:r>
        <w:rPr>
          <w:b/>
          <w:bCs/>
          <w:sz w:val="19"/>
          <w:szCs w:val="19"/>
        </w:rPr>
        <w:t xml:space="preserve">Activist angles:</w:t>
      </w:r>
      <w:r>
        <w:rPr>
          <w:sz w:val="19"/>
          <w:szCs w:val="19"/>
        </w:rPr>
        <w:t xml:space="preserve"> Portfolio simplification (primary) · Capital allocation · Cost/margin discipline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2. Man Group plc (EMG LN)</w:t>
      </w:r>
    </w:p>
    <w:p>
      <w:pPr>
        <w:spacing w:after="100" w:before="60"/>
      </w:pPr>
      <w:r>
        <w:rPr>
          <w:b/>
          <w:bCs/>
          <w:sz w:val="19"/>
          <w:szCs w:val="19"/>
        </w:rPr>
        <w:t xml:space="preserve">Market cap ~£1.8bn · AUM ~$180bn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667"/>
        <w:gridCol w:w="5770"/>
        <w:gridCol w:w="2309"/>
      </w:tblGrid>
      <w:tr>
        <w:trPr>
          <w:tblHeader/>
        </w:trPr>
        <w:tc>
          <w:tcPr>
            <w:tcW w:type="dxa" w:w="1667"/>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5770"/>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2309"/>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TSR 1yr</w:t>
            </w:r>
          </w:p>
        </w:tc>
        <w:tc>
          <w:tcPr>
            <w:tcW w:type="dxa" w:w="5770"/>
            <w:tcMar>
              <w:top w:type="dxa" w:w="60"/>
              <w:left w:type="dxa" w:w="90"/>
              <w:bottom w:type="dxa" w:w="60"/>
              <w:right w:type="dxa" w:w="90"/>
            </w:tcMar>
          </w:tcPr>
          <w:p>
            <w:pPr>
              <w:spacing w:after="0" w:before="0"/>
              <w:jc w:val="left"/>
            </w:pPr>
            <w:r>
              <w:rPr>
                <w:color w:val="000000"/>
                <w:sz w:val="17"/>
                <w:szCs w:val="17"/>
              </w:rPr>
              <w:t xml:space="preserve">−18%</w:t>
            </w:r>
          </w:p>
        </w:tc>
        <w:tc>
          <w:tcPr>
            <w:tcW w:type="dxa" w:w="2309"/>
            <w:tcMar>
              <w:top w:type="dxa" w:w="60"/>
              <w:left w:type="dxa" w:w="90"/>
              <w:bottom w:type="dxa" w:w="60"/>
              <w:right w:type="dxa" w:w="90"/>
            </w:tcMar>
          </w:tcPr>
          <w:p>
            <w:pPr>
              <w:spacing w:after="0" w:before="0"/>
              <w:jc w:val="left"/>
            </w:pPr>
            <w:r>
              <w:rPr>
                <w:b/>
                <w:bCs/>
                <w:color w:val="000000"/>
                <w:sz w:val="17"/>
                <w:szCs w:val="17"/>
              </w:rPr>
              <w:t xml:space="preserve">−37pp</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5770"/>
            <w:shd w:fill="F2F5F9" w:color="auto" w:val="clear"/>
            <w:tcMar>
              <w:top w:type="dxa" w:w="60"/>
              <w:left w:type="dxa" w:w="90"/>
              <w:bottom w:type="dxa" w:w="60"/>
              <w:right w:type="dxa" w:w="90"/>
            </w:tcMar>
          </w:tcPr>
          <w:p>
            <w:pPr>
              <w:spacing w:after="0" w:before="0"/>
              <w:jc w:val="left"/>
            </w:pPr>
            <w:r>
              <w:rPr>
                <w:color w:val="000000"/>
                <w:sz w:val="17"/>
                <w:szCs w:val="17"/>
              </w:rPr>
              <w:t xml:space="preserve">−22%</w:t>
            </w:r>
          </w:p>
        </w:tc>
        <w:tc>
          <w:tcPr>
            <w:tcW w:type="dxa" w:w="2309"/>
            <w:shd w:fill="F2F5F9" w:color="auto" w:val="clear"/>
            <w:tcMar>
              <w:top w:type="dxa" w:w="60"/>
              <w:left w:type="dxa" w:w="90"/>
              <w:bottom w:type="dxa" w:w="60"/>
              <w:right w:type="dxa" w:w="90"/>
            </w:tcMar>
          </w:tcPr>
          <w:p>
            <w:pPr>
              <w:spacing w:after="0" w:before="0"/>
              <w:jc w:val="left"/>
            </w:pPr>
            <w:r>
              <w:rPr>
                <w:b/>
                <w:bCs/>
                <w:color w:val="000000"/>
                <w:sz w:val="17"/>
                <w:szCs w:val="17"/>
              </w:rPr>
              <w:t xml:space="preserve">−54pp</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TSR 5yr</w:t>
            </w:r>
          </w:p>
        </w:tc>
        <w:tc>
          <w:tcPr>
            <w:tcW w:type="dxa" w:w="5770"/>
            <w:tcMar>
              <w:top w:type="dxa" w:w="60"/>
              <w:left w:type="dxa" w:w="90"/>
              <w:bottom w:type="dxa" w:w="60"/>
              <w:right w:type="dxa" w:w="90"/>
            </w:tcMar>
          </w:tcPr>
          <w:p>
            <w:pPr>
              <w:spacing w:after="0" w:before="0"/>
              <w:jc w:val="left"/>
            </w:pPr>
            <w:r>
              <w:rPr>
                <w:color w:val="000000"/>
                <w:sz w:val="17"/>
                <w:szCs w:val="17"/>
              </w:rPr>
              <w:t xml:space="preserve">+5%</w:t>
            </w:r>
          </w:p>
        </w:tc>
        <w:tc>
          <w:tcPr>
            <w:tcW w:type="dxa" w:w="2309"/>
            <w:tcMar>
              <w:top w:type="dxa" w:w="60"/>
              <w:left w:type="dxa" w:w="90"/>
              <w:bottom w:type="dxa" w:w="60"/>
              <w:right w:type="dxa" w:w="90"/>
            </w:tcMar>
          </w:tcPr>
          <w:p>
            <w:pPr>
              <w:spacing w:after="0" w:before="0"/>
              <w:jc w:val="left"/>
            </w:pPr>
            <w:r>
              <w:rPr>
                <w:b/>
                <w:bCs/>
                <w:color w:val="000000"/>
                <w:sz w:val="17"/>
                <w:szCs w:val="17"/>
              </w:rPr>
              <w:t xml:space="preserve">−13pp</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5770"/>
            <w:shd w:fill="F2F5F9" w:color="auto" w:val="clear"/>
            <w:tcMar>
              <w:top w:type="dxa" w:w="60"/>
              <w:left w:type="dxa" w:w="90"/>
              <w:bottom w:type="dxa" w:w="60"/>
              <w:right w:type="dxa" w:w="90"/>
            </w:tcMar>
          </w:tcPr>
          <w:p>
            <w:pPr>
              <w:spacing w:after="0" w:before="0"/>
              <w:jc w:val="left"/>
            </w:pPr>
            <w:r>
              <w:rPr>
                <w:color w:val="000000"/>
                <w:sz w:val="17"/>
                <w:szCs w:val="17"/>
              </w:rPr>
              <w:t xml:space="preserve">~1.6x</w:t>
            </w:r>
          </w:p>
        </w:tc>
        <w:tc>
          <w:tcPr>
            <w:tcW w:type="dxa" w:w="2309"/>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EV/EBIT</w:t>
            </w:r>
          </w:p>
        </w:tc>
        <w:tc>
          <w:tcPr>
            <w:tcW w:type="dxa" w:w="5770"/>
            <w:tcMar>
              <w:top w:type="dxa" w:w="60"/>
              <w:left w:type="dxa" w:w="90"/>
              <w:bottom w:type="dxa" w:w="60"/>
              <w:right w:type="dxa" w:w="90"/>
            </w:tcMar>
          </w:tcPr>
          <w:p>
            <w:pPr>
              <w:spacing w:after="0" w:before="0"/>
              <w:jc w:val="left"/>
            </w:pPr>
            <w:r>
              <w:rPr>
                <w:color w:val="000000"/>
                <w:sz w:val="17"/>
                <w:szCs w:val="17"/>
              </w:rPr>
              <w:t xml:space="preserve">~7x</w:t>
            </w:r>
          </w:p>
        </w:tc>
        <w:tc>
          <w:tcPr>
            <w:tcW w:type="dxa" w:w="2309"/>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5770"/>
            <w:shd w:fill="F2F5F9" w:color="auto" w:val="clear"/>
            <w:tcMar>
              <w:top w:type="dxa" w:w="60"/>
              <w:left w:type="dxa" w:w="90"/>
              <w:bottom w:type="dxa" w:w="60"/>
              <w:right w:type="dxa" w:w="90"/>
            </w:tcMar>
          </w:tcPr>
          <w:p>
            <w:pPr>
              <w:spacing w:after="0" w:before="0"/>
              <w:jc w:val="left"/>
            </w:pPr>
            <w:r>
              <w:rPr>
                <w:color w:val="000000"/>
                <w:sz w:val="17"/>
                <w:szCs w:val="17"/>
              </w:rPr>
              <w:t xml:space="preserve">~8x</w:t>
            </w:r>
          </w:p>
        </w:tc>
        <w:tc>
          <w:tcPr>
            <w:tcW w:type="dxa" w:w="2309"/>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FCF yield</w:t>
            </w:r>
          </w:p>
        </w:tc>
        <w:tc>
          <w:tcPr>
            <w:tcW w:type="dxa" w:w="5770"/>
            <w:tcMar>
              <w:top w:type="dxa" w:w="60"/>
              <w:left w:type="dxa" w:w="90"/>
              <w:bottom w:type="dxa" w:w="60"/>
              <w:right w:type="dxa" w:w="90"/>
            </w:tcMar>
          </w:tcPr>
          <w:p>
            <w:pPr>
              <w:spacing w:after="0" w:before="0"/>
              <w:jc w:val="left"/>
            </w:pPr>
            <w:r>
              <w:rPr>
                <w:color w:val="000000"/>
                <w:sz w:val="17"/>
                <w:szCs w:val="17"/>
              </w:rPr>
              <w:t xml:space="preserve">~11%</w:t>
            </w:r>
          </w:p>
        </w:tc>
        <w:tc>
          <w:tcPr>
            <w:tcW w:type="dxa" w:w="2309"/>
            <w:tcMar>
              <w:top w:type="dxa" w:w="60"/>
              <w:left w:type="dxa" w:w="90"/>
              <w:bottom w:type="dxa" w:w="60"/>
              <w:right w:type="dxa" w:w="90"/>
            </w:tcMar>
          </w:tcPr>
          <w:p>
            <w:pPr>
              <w:spacing w:after="0" w:before="0"/>
              <w:jc w:val="left"/>
            </w:pPr>
            <w:r>
              <w:rPr>
                <w:color w:val="000000"/>
                <w:sz w:val="17"/>
                <w:szCs w:val="17"/>
              </w:rPr>
              <w:t xml:space="preserve">Very attractive</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5770"/>
            <w:shd w:fill="F2F5F9" w:color="auto" w:val="clear"/>
            <w:tcMar>
              <w:top w:type="dxa" w:w="60"/>
              <w:left w:type="dxa" w:w="90"/>
              <w:bottom w:type="dxa" w:w="60"/>
              <w:right w:type="dxa" w:w="90"/>
            </w:tcMar>
          </w:tcPr>
          <w:p>
            <w:pPr>
              <w:spacing w:after="0" w:before="0"/>
              <w:jc w:val="left"/>
            </w:pPr>
            <w:r>
              <w:rPr>
                <w:color w:val="000000"/>
                <w:sz w:val="17"/>
                <w:szCs w:val="17"/>
              </w:rPr>
              <w:t xml:space="preserve">~22%</w:t>
            </w:r>
          </w:p>
        </w:tc>
        <w:tc>
          <w:tcPr>
            <w:tcW w:type="dxa" w:w="2309"/>
            <w:shd w:fill="F2F5F9" w:color="auto" w:val="clear"/>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5770"/>
            <w:tcMar>
              <w:top w:type="dxa" w:w="60"/>
              <w:left w:type="dxa" w:w="90"/>
              <w:bottom w:type="dxa" w:w="60"/>
              <w:right w:type="dxa" w:w="90"/>
            </w:tcMar>
          </w:tcPr>
          <w:p>
            <w:pPr>
              <w:spacing w:after="0" w:before="0"/>
              <w:jc w:val="left"/>
            </w:pPr>
            <w:r>
              <w:rPr>
                <w:color w:val="000000"/>
                <w:sz w:val="17"/>
                <w:szCs w:val="17"/>
              </w:rPr>
              <w:t xml:space="preserve">~25%</w:t>
            </w:r>
          </w:p>
        </w:tc>
        <w:tc>
          <w:tcPr>
            <w:tcW w:type="dxa" w:w="2309"/>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5770"/>
            <w:shd w:fill="F2F5F9" w:color="auto" w:val="clear"/>
            <w:tcMar>
              <w:top w:type="dxa" w:w="60"/>
              <w:left w:type="dxa" w:w="90"/>
              <w:bottom w:type="dxa" w:w="60"/>
              <w:right w:type="dxa" w:w="90"/>
            </w:tcMar>
          </w:tcPr>
          <w:p>
            <w:pPr>
              <w:spacing w:after="0" w:before="0"/>
              <w:jc w:val="left"/>
            </w:pPr>
            <w:r>
              <w:rPr>
                <w:color w:val="000000"/>
                <w:sz w:val="17"/>
                <w:szCs w:val="17"/>
              </w:rPr>
              <w:t xml:space="preserve">Net cash ~$0.4bn plus ~$1bn+ seed investments</w:t>
            </w:r>
          </w:p>
        </w:tc>
        <w:tc>
          <w:tcPr>
            <w:tcW w:type="dxa" w:w="2309"/>
            <w:shd w:fill="F2F5F9" w:color="auto" w:val="clear"/>
            <w:tcMar>
              <w:top w:type="dxa" w:w="60"/>
              <w:left w:type="dxa" w:w="90"/>
              <w:bottom w:type="dxa" w:w="60"/>
              <w:right w:type="dxa" w:w="90"/>
            </w:tcMar>
          </w:tcPr>
          <w:p>
            <w:pPr>
              <w:spacing w:after="0" w:before="0"/>
              <w:jc w:val="left"/>
            </w:pPr>
            <w:r>
              <w:rPr>
                <w:color w:val="000000"/>
                <w:sz w:val="17"/>
                <w:szCs w:val="17"/>
              </w:rPr>
              <w:t xml:space="preserve">Passes comfortably</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BlackRock ~9%, Vanguard ~4%, Norges Bank ~3%, Schroders ~3%, Artemis ~3%. Fully institutional, no anchor.</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The market pays nothing for the performance-fee option and nothing for the balance sheet.</w:t>
      </w:r>
      <w:r>
        <w:rPr>
          <w:sz w:val="19"/>
          <w:szCs w:val="19"/>
        </w:rPr>
        <w:t xml:space="preserve"> At ~7x EBIT with over $1bn of seed capital and net cash on the balance sheet, the </w:t>
      </w:r>
      <w:r>
        <w:rPr>
          <w:i/>
          <w:iCs/>
          <w:sz w:val="19"/>
          <w:szCs w:val="19"/>
        </w:rPr>
        <w:t xml:space="preserve">ex-cash</w:t>
      </w:r>
      <w:r>
        <w:rPr>
          <w:sz w:val="19"/>
          <w:szCs w:val="19"/>
        </w:rPr>
        <w:t xml:space="preserve"> multiple on the management-fee annuity alone is roughly 5x — a price that implies the franchise is in terminal decline. It is not: AUM is at or near record and flows have been positive.</w:t>
      </w:r>
    </w:p>
    <w:p>
      <w:pPr>
        <w:pStyle w:val="ListParagraph"/>
        <w:numPr>
          <w:ilvl w:val="0"/>
          <w:numId w:val="2"/>
        </w:numPr>
        <w:spacing w:after="40" w:before="40"/>
      </w:pPr>
      <w:r>
        <w:rPr>
          <w:b/>
          <w:bCs/>
          <w:sz w:val="19"/>
          <w:szCs w:val="19"/>
        </w:rPr>
        <w:t xml:space="preserve">The compensation ratio is the problem, and it is a board choice, not a market condition.</w:t>
      </w:r>
      <w:r>
        <w:rPr>
          <w:sz w:val="19"/>
          <w:szCs w:val="19"/>
        </w:rPr>
        <w:t xml:space="preserve"> In a business where the balance sheet, the brand, the distribution and the technology belong to shareholders, employees are capturing a disproportionate share of a good year and shareholders are absorbing a full share of a bad one.</w:t>
      </w:r>
    </w:p>
    <w:p>
      <w:pPr>
        <w:pStyle w:val="ListParagraph"/>
        <w:numPr>
          <w:ilvl w:val="0"/>
          <w:numId w:val="2"/>
        </w:numPr>
        <w:spacing w:after="40" w:before="40"/>
      </w:pPr>
      <w:r>
        <w:rPr>
          <w:b/>
          <w:bCs/>
          <w:sz w:val="19"/>
          <w:szCs w:val="19"/>
        </w:rPr>
        <w:t xml:space="preserve">The multi-boutique sprawl has stopped generating scale.</w:t>
      </w:r>
      <w:r>
        <w:rPr>
          <w:sz w:val="19"/>
          <w:szCs w:val="19"/>
        </w:rPr>
        <w:t xml:space="preserve"> AHL, GLG, Numeric, FRM and Varagon operate as near-independent units with duplicated infrastructure. There is a simplification dividend here that management has not attempted to collect.</w:t>
      </w:r>
    </w:p>
    <w:p>
      <w:pPr>
        <w:pStyle w:val="Heading3"/>
        <w:spacing w:after="100" w:before="220"/>
      </w:pPr>
      <w:r>
        <w:rPr>
          <w:b/>
          <w:bCs/>
          <w:color w:val="2E5C8A"/>
          <w:sz w:val="21"/>
          <w:szCs w:val="21"/>
        </w:rPr>
        <w:t xml:space="preserve">Most actionable changes</w:t>
      </w:r>
    </w:p>
    <w:p>
      <w:pPr>
        <w:pStyle w:val="ListParagraph"/>
        <w:numPr>
          <w:ilvl w:val="0"/>
          <w:numId w:val="4"/>
        </w:numPr>
        <w:spacing w:after="40" w:before="40"/>
      </w:pPr>
      <w:r>
        <w:rPr>
          <w:b/>
          <w:bCs/>
          <w:sz w:val="19"/>
          <w:szCs w:val="19"/>
        </w:rPr>
        <w:t xml:space="preserve">Cap and publish the compensation ratio</w:t>
      </w:r>
      <w:r>
        <w:rPr>
          <w:sz w:val="19"/>
          <w:szCs w:val="19"/>
        </w:rPr>
        <w:t xml:space="preserve"> with a hard ceiling, and tie a majority of executive LTIP vesting to EPS-per-share growth rather than AUM growth.</w:t>
      </w:r>
    </w:p>
    <w:p>
      <w:pPr>
        <w:pStyle w:val="ListParagraph"/>
        <w:numPr>
          <w:ilvl w:val="0"/>
          <w:numId w:val="4"/>
        </w:numPr>
        <w:spacing w:after="40" w:before="40"/>
      </w:pPr>
      <w:r>
        <w:rPr>
          <w:b/>
          <w:bCs/>
          <w:sz w:val="19"/>
          <w:szCs w:val="19"/>
        </w:rPr>
        <w:t xml:space="preserve">Rotate the seed book into buybacks.</w:t>
      </w:r>
      <w:r>
        <w:rPr>
          <w:sz w:val="19"/>
          <w:szCs w:val="19"/>
        </w:rPr>
        <w:t xml:space="preserve"> $1bn+ of balance-sheet seed capital earning a fund return is not a strategic asset when the stock trades at 7x EBIT. A programmatic $300–400m recycling into repurchases is immediately accretive.</w:t>
      </w:r>
    </w:p>
    <w:p>
      <w:pPr>
        <w:pStyle w:val="ListParagraph"/>
        <w:numPr>
          <w:ilvl w:val="0"/>
          <w:numId w:val="4"/>
        </w:numPr>
        <w:spacing w:after="40" w:before="40"/>
      </w:pPr>
      <w:r>
        <w:rPr>
          <w:b/>
          <w:bCs/>
          <w:sz w:val="19"/>
          <w:szCs w:val="19"/>
        </w:rPr>
        <w:t xml:space="preserve">Consolidate the boutiques</w:t>
      </w:r>
      <w:r>
        <w:rPr>
          <w:sz w:val="19"/>
          <w:szCs w:val="19"/>
        </w:rPr>
        <w:t xml:space="preserve"> onto a single operating platform and report a group-level cost:income target.</w:t>
      </w:r>
    </w:p>
    <w:p>
      <w:pPr>
        <w:spacing w:after="100" w:before="60"/>
      </w:pPr>
      <w:r>
        <w:rPr>
          <w:b/>
          <w:bCs/>
          <w:sz w:val="19"/>
          <w:szCs w:val="19"/>
        </w:rPr>
        <w:t xml:space="preserve">Ease of building support: 4/5.</w:t>
      </w:r>
      <w:r>
        <w:rPr>
          <w:sz w:val="19"/>
          <w:szCs w:val="19"/>
        </w:rPr>
        <w:t xml:space="preserve"> Clean register, deeply frustrated holders, an obvious and quantifiable ask. The difficulty is that Man's earnings are genuinely volatile, which gives management a permanent "we're at a cyclical trough" answer.</w:t>
      </w:r>
    </w:p>
    <w:p>
      <w:pPr>
        <w:spacing w:after="100" w:before="60"/>
      </w:pPr>
      <w:r>
        <w:rPr>
          <w:b/>
          <w:bCs/>
          <w:sz w:val="19"/>
          <w:szCs w:val="19"/>
        </w:rPr>
        <w:t xml:space="preserve">Expected company defence:</w:t>
      </w:r>
      <w:r>
        <w:rPr>
          <w:sz w:val="19"/>
          <w:szCs w:val="19"/>
        </w:rPr>
        <w:t xml:space="preserve"> "Quant performance mean-reverts and we have been here before; the franchise is intact and flows are positive. Seed capital is a competitive necessity — we cannot launch products without it, and it earns a return. Compensation is what retains the investment talent that generates the performance fees you are asking us to protect."</w:t>
      </w:r>
    </w:p>
    <w:p>
      <w:pPr>
        <w:spacing w:after="100" w:before="60"/>
      </w:pPr>
      <w:r>
        <w:rPr>
          <w:b/>
          <w:bCs/>
          <w:sz w:val="19"/>
          <w:szCs w:val="19"/>
        </w:rPr>
        <w:t xml:space="preserve">Activist angles:</w:t>
      </w:r>
      <w:r>
        <w:rPr>
          <w:sz w:val="19"/>
          <w:szCs w:val="19"/>
        </w:rPr>
        <w:t xml:space="preserve"> Capital allocation (primary) · Cost/compensation discipline · Portfolio simplification</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3. Ashmore Group plc (ASHM LN)</w:t>
      </w:r>
    </w:p>
    <w:p>
      <w:pPr>
        <w:spacing w:after="100" w:before="60"/>
      </w:pPr>
      <w:r>
        <w:rPr>
          <w:b/>
          <w:bCs/>
          <w:sz w:val="19"/>
          <w:szCs w:val="19"/>
        </w:rPr>
        <w:t xml:space="preserve">Market cap ~£1.4bn · AUM $50.7bn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473"/>
        <w:gridCol w:w="3739"/>
        <w:gridCol w:w="4534"/>
      </w:tblGrid>
      <w:tr>
        <w:trPr>
          <w:tblHeader/>
        </w:trPr>
        <w:tc>
          <w:tcPr>
            <w:tcW w:type="dxa" w:w="1473"/>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3739"/>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4534"/>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473"/>
            <w:tcMar>
              <w:top w:type="dxa" w:w="60"/>
              <w:left w:type="dxa" w:w="90"/>
              <w:bottom w:type="dxa" w:w="60"/>
              <w:right w:type="dxa" w:w="90"/>
            </w:tcMar>
          </w:tcPr>
          <w:p>
            <w:pPr>
              <w:spacing w:after="0" w:before="0"/>
              <w:jc w:val="left"/>
            </w:pPr>
            <w:r>
              <w:rPr>
                <w:color w:val="000000"/>
                <w:sz w:val="17"/>
                <w:szCs w:val="17"/>
              </w:rPr>
              <w:t xml:space="preserve">TSR 1yr</w:t>
            </w:r>
          </w:p>
        </w:tc>
        <w:tc>
          <w:tcPr>
            <w:tcW w:type="dxa" w:w="3739"/>
            <w:tcMar>
              <w:top w:type="dxa" w:w="60"/>
              <w:left w:type="dxa" w:w="90"/>
              <w:bottom w:type="dxa" w:w="60"/>
              <w:right w:type="dxa" w:w="90"/>
            </w:tcMar>
          </w:tcPr>
          <w:p>
            <w:pPr>
              <w:spacing w:after="0" w:before="0"/>
              <w:jc w:val="left"/>
            </w:pPr>
            <w:r>
              <w:rPr>
                <w:color w:val="000000"/>
                <w:sz w:val="17"/>
                <w:szCs w:val="17"/>
              </w:rPr>
              <w:t xml:space="preserve">+5%</w:t>
            </w:r>
          </w:p>
        </w:tc>
        <w:tc>
          <w:tcPr>
            <w:tcW w:type="dxa" w:w="4534"/>
            <w:tcMar>
              <w:top w:type="dxa" w:w="60"/>
              <w:left w:type="dxa" w:w="90"/>
              <w:bottom w:type="dxa" w:w="60"/>
              <w:right w:type="dxa" w:w="90"/>
            </w:tcMar>
          </w:tcPr>
          <w:p>
            <w:pPr>
              <w:spacing w:after="0" w:before="0"/>
              <w:jc w:val="left"/>
            </w:pPr>
            <w:r>
              <w:rPr>
                <w:color w:val="000000"/>
                <w:sz w:val="17"/>
                <w:szCs w:val="17"/>
              </w:rPr>
              <w:t xml:space="preserve">−14pp</w:t>
            </w:r>
          </w:p>
        </w:tc>
      </w:tr>
      <w:tr>
        <w:tc>
          <w:tcPr>
            <w:tcW w:type="dxa" w:w="1473"/>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3739"/>
            <w:shd w:fill="F2F5F9" w:color="auto" w:val="clear"/>
            <w:tcMar>
              <w:top w:type="dxa" w:w="60"/>
              <w:left w:type="dxa" w:w="90"/>
              <w:bottom w:type="dxa" w:w="60"/>
              <w:right w:type="dxa" w:w="90"/>
            </w:tcMar>
          </w:tcPr>
          <w:p>
            <w:pPr>
              <w:spacing w:after="0" w:before="0"/>
              <w:jc w:val="left"/>
            </w:pPr>
            <w:r>
              <w:rPr>
                <w:color w:val="000000"/>
                <w:sz w:val="17"/>
                <w:szCs w:val="17"/>
              </w:rPr>
              <w:t xml:space="preserve">−15%</w:t>
            </w:r>
          </w:p>
        </w:tc>
        <w:tc>
          <w:tcPr>
            <w:tcW w:type="dxa" w:w="4534"/>
            <w:shd w:fill="F2F5F9" w:color="auto" w:val="clear"/>
            <w:tcMar>
              <w:top w:type="dxa" w:w="60"/>
              <w:left w:type="dxa" w:w="90"/>
              <w:bottom w:type="dxa" w:w="60"/>
              <w:right w:type="dxa" w:w="90"/>
            </w:tcMar>
          </w:tcPr>
          <w:p>
            <w:pPr>
              <w:spacing w:after="0" w:before="0"/>
              <w:jc w:val="left"/>
            </w:pPr>
            <w:r>
              <w:rPr>
                <w:b/>
                <w:bCs/>
                <w:color w:val="000000"/>
                <w:sz w:val="17"/>
                <w:szCs w:val="17"/>
              </w:rPr>
              <w:t xml:space="preserve">−47pp</w:t>
            </w:r>
          </w:p>
        </w:tc>
      </w:tr>
      <w:tr>
        <w:tc>
          <w:tcPr>
            <w:tcW w:type="dxa" w:w="1473"/>
            <w:tcMar>
              <w:top w:type="dxa" w:w="60"/>
              <w:left w:type="dxa" w:w="90"/>
              <w:bottom w:type="dxa" w:w="60"/>
              <w:right w:type="dxa" w:w="90"/>
            </w:tcMar>
          </w:tcPr>
          <w:p>
            <w:pPr>
              <w:spacing w:after="0" w:before="0"/>
              <w:jc w:val="left"/>
            </w:pPr>
            <w:r>
              <w:rPr>
                <w:color w:val="000000"/>
                <w:sz w:val="17"/>
                <w:szCs w:val="17"/>
              </w:rPr>
              <w:t xml:space="preserve">TSR 5yr</w:t>
            </w:r>
          </w:p>
        </w:tc>
        <w:tc>
          <w:tcPr>
            <w:tcW w:type="dxa" w:w="3739"/>
            <w:tcMar>
              <w:top w:type="dxa" w:w="60"/>
              <w:left w:type="dxa" w:w="90"/>
              <w:bottom w:type="dxa" w:w="60"/>
              <w:right w:type="dxa" w:w="90"/>
            </w:tcMar>
          </w:tcPr>
          <w:p>
            <w:pPr>
              <w:spacing w:after="0" w:before="0"/>
              <w:jc w:val="left"/>
            </w:pPr>
            <w:r>
              <w:rPr>
                <w:color w:val="000000"/>
                <w:sz w:val="17"/>
                <w:szCs w:val="17"/>
              </w:rPr>
              <w:t xml:space="preserve">−45%</w:t>
            </w:r>
          </w:p>
        </w:tc>
        <w:tc>
          <w:tcPr>
            <w:tcW w:type="dxa" w:w="4534"/>
            <w:tcMar>
              <w:top w:type="dxa" w:w="60"/>
              <w:left w:type="dxa" w:w="90"/>
              <w:bottom w:type="dxa" w:w="60"/>
              <w:right w:type="dxa" w:w="90"/>
            </w:tcMar>
          </w:tcPr>
          <w:p>
            <w:pPr>
              <w:spacing w:after="0" w:before="0"/>
              <w:jc w:val="left"/>
            </w:pPr>
            <w:r>
              <w:rPr>
                <w:b/>
                <w:bCs/>
                <w:color w:val="000000"/>
                <w:sz w:val="17"/>
                <w:szCs w:val="17"/>
              </w:rPr>
              <w:t xml:space="preserve">−63pp</w:t>
            </w:r>
          </w:p>
        </w:tc>
      </w:tr>
      <w:tr>
        <w:tc>
          <w:tcPr>
            <w:tcW w:type="dxa" w:w="1473"/>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3739"/>
            <w:shd w:fill="F2F5F9" w:color="auto" w:val="clear"/>
            <w:tcMar>
              <w:top w:type="dxa" w:w="60"/>
              <w:left w:type="dxa" w:w="90"/>
              <w:bottom w:type="dxa" w:w="60"/>
              <w:right w:type="dxa" w:w="90"/>
            </w:tcMar>
          </w:tcPr>
          <w:p>
            <w:pPr>
              <w:spacing w:after="0" w:before="0"/>
              <w:jc w:val="left"/>
            </w:pPr>
            <w:r>
              <w:rPr>
                <w:color w:val="000000"/>
                <w:sz w:val="17"/>
                <w:szCs w:val="17"/>
              </w:rPr>
              <w:t xml:space="preserve">~2.5x headline / </w:t>
            </w:r>
            <w:r>
              <w:rPr>
                <w:b/>
                <w:bCs/>
                <w:color w:val="000000"/>
                <w:sz w:val="17"/>
                <w:szCs w:val="17"/>
              </w:rPr>
              <w:t xml:space="preserve">~1.2x ex-cash</w:t>
            </w:r>
          </w:p>
        </w:tc>
        <w:tc>
          <w:tcPr>
            <w:tcW w:type="dxa" w:w="4534"/>
            <w:shd w:fill="F2F5F9" w:color="auto" w:val="clear"/>
            <w:tcMar>
              <w:top w:type="dxa" w:w="60"/>
              <w:left w:type="dxa" w:w="90"/>
              <w:bottom w:type="dxa" w:w="60"/>
              <w:right w:type="dxa" w:w="90"/>
            </w:tcMar>
          </w:tcPr>
          <w:p>
            <w:pPr>
              <w:spacing w:after="0" w:before="0"/>
              <w:jc w:val="left"/>
            </w:pPr>
            <w:r>
              <w:rPr>
                <w:color w:val="000000"/>
                <w:sz w:val="17"/>
                <w:szCs w:val="17"/>
              </w:rPr>
              <w:t xml:space="preserve">Deep discount ex-cash</w:t>
            </w:r>
          </w:p>
        </w:tc>
      </w:tr>
      <w:tr>
        <w:tc>
          <w:tcPr>
            <w:tcW w:type="dxa" w:w="1473"/>
            <w:tcMar>
              <w:top w:type="dxa" w:w="60"/>
              <w:left w:type="dxa" w:w="90"/>
              <w:bottom w:type="dxa" w:w="60"/>
              <w:right w:type="dxa" w:w="90"/>
            </w:tcMar>
          </w:tcPr>
          <w:p>
            <w:pPr>
              <w:spacing w:after="0" w:before="0"/>
              <w:jc w:val="left"/>
            </w:pPr>
            <w:r>
              <w:rPr>
                <w:color w:val="000000"/>
                <w:sz w:val="17"/>
                <w:szCs w:val="17"/>
              </w:rPr>
              <w:t xml:space="preserve">EV/EBIT</w:t>
            </w:r>
          </w:p>
        </w:tc>
        <w:tc>
          <w:tcPr>
            <w:tcW w:type="dxa" w:w="3739"/>
            <w:tcMar>
              <w:top w:type="dxa" w:w="60"/>
              <w:left w:type="dxa" w:w="90"/>
              <w:bottom w:type="dxa" w:w="60"/>
              <w:right w:type="dxa" w:w="90"/>
            </w:tcMar>
          </w:tcPr>
          <w:p>
            <w:pPr>
              <w:spacing w:after="0" w:before="0"/>
              <w:jc w:val="left"/>
            </w:pPr>
            <w:r>
              <w:rPr>
                <w:color w:val="000000"/>
                <w:sz w:val="17"/>
                <w:szCs w:val="17"/>
              </w:rPr>
              <w:t xml:space="preserve">~11x headline / </w:t>
            </w:r>
            <w:r>
              <w:rPr>
                <w:b/>
                <w:bCs/>
                <w:color w:val="000000"/>
                <w:sz w:val="17"/>
                <w:szCs w:val="17"/>
              </w:rPr>
              <w:t xml:space="preserve">~5x ex-cash</w:t>
            </w:r>
          </w:p>
        </w:tc>
        <w:tc>
          <w:tcPr>
            <w:tcW w:type="dxa" w:w="4534"/>
            <w:tcMar>
              <w:top w:type="dxa" w:w="60"/>
              <w:left w:type="dxa" w:w="90"/>
              <w:bottom w:type="dxa" w:w="60"/>
              <w:right w:type="dxa" w:w="90"/>
            </w:tcMar>
          </w:tcPr>
          <w:p>
            <w:pPr>
              <w:spacing w:after="0" w:before="0"/>
              <w:jc w:val="left"/>
            </w:pPr>
            <w:r>
              <w:rPr>
                <w:b/>
                <w:bCs/>
                <w:color w:val="000000"/>
                <w:sz w:val="17"/>
                <w:szCs w:val="17"/>
              </w:rPr>
              <w:t xml:space="preserve">Deep discount ex-cash</w:t>
            </w:r>
          </w:p>
        </w:tc>
      </w:tr>
      <w:tr>
        <w:tc>
          <w:tcPr>
            <w:tcW w:type="dxa" w:w="1473"/>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3739"/>
            <w:shd w:fill="F2F5F9" w:color="auto" w:val="clear"/>
            <w:tcMar>
              <w:top w:type="dxa" w:w="60"/>
              <w:left w:type="dxa" w:w="90"/>
              <w:bottom w:type="dxa" w:w="60"/>
              <w:right w:type="dxa" w:w="90"/>
            </w:tcMar>
          </w:tcPr>
          <w:p>
            <w:pPr>
              <w:spacing w:after="0" w:before="0"/>
              <w:jc w:val="left"/>
            </w:pPr>
            <w:r>
              <w:rPr>
                <w:color w:val="000000"/>
                <w:sz w:val="17"/>
                <w:szCs w:val="17"/>
              </w:rPr>
              <w:t xml:space="preserve">~14x</w:t>
            </w:r>
          </w:p>
        </w:tc>
        <w:tc>
          <w:tcPr>
            <w:tcW w:type="dxa" w:w="4534"/>
            <w:shd w:fill="F2F5F9" w:color="auto" w:val="clear"/>
            <w:tcMar>
              <w:top w:type="dxa" w:w="60"/>
              <w:left w:type="dxa" w:w="90"/>
              <w:bottom w:type="dxa" w:w="60"/>
              <w:right w:type="dxa" w:w="90"/>
            </w:tcMar>
          </w:tcPr>
          <w:p>
            <w:pPr>
              <w:spacing w:after="0" w:before="0"/>
              <w:jc w:val="left"/>
            </w:pPr>
            <w:r>
              <w:rPr>
                <w:color w:val="000000"/>
                <w:sz w:val="17"/>
                <w:szCs w:val="17"/>
              </w:rPr>
              <w:t xml:space="preserve">In line (flattered by investment income)</w:t>
            </w:r>
          </w:p>
        </w:tc>
      </w:tr>
      <w:tr>
        <w:tc>
          <w:tcPr>
            <w:tcW w:type="dxa" w:w="1473"/>
            <w:tcMar>
              <w:top w:type="dxa" w:w="60"/>
              <w:left w:type="dxa" w:w="90"/>
              <w:bottom w:type="dxa" w:w="60"/>
              <w:right w:type="dxa" w:w="90"/>
            </w:tcMar>
          </w:tcPr>
          <w:p>
            <w:pPr>
              <w:spacing w:after="0" w:before="0"/>
              <w:jc w:val="left"/>
            </w:pPr>
            <w:r>
              <w:rPr>
                <w:color w:val="000000"/>
                <w:sz w:val="17"/>
                <w:szCs w:val="17"/>
              </w:rPr>
              <w:t xml:space="preserve">FCF yield</w:t>
            </w:r>
          </w:p>
        </w:tc>
        <w:tc>
          <w:tcPr>
            <w:tcW w:type="dxa" w:w="3739"/>
            <w:tcMar>
              <w:top w:type="dxa" w:w="60"/>
              <w:left w:type="dxa" w:w="90"/>
              <w:bottom w:type="dxa" w:w="60"/>
              <w:right w:type="dxa" w:w="90"/>
            </w:tcMar>
          </w:tcPr>
          <w:p>
            <w:pPr>
              <w:spacing w:after="0" w:before="0"/>
              <w:jc w:val="left"/>
            </w:pPr>
            <w:r>
              <w:rPr>
                <w:color w:val="000000"/>
                <w:sz w:val="17"/>
                <w:szCs w:val="17"/>
              </w:rPr>
              <w:t xml:space="preserve">~7%</w:t>
            </w:r>
          </w:p>
        </w:tc>
        <w:tc>
          <w:tcPr>
            <w:tcW w:type="dxa" w:w="4534"/>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1473"/>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3739"/>
            <w:shd w:fill="F2F5F9" w:color="auto" w:val="clear"/>
            <w:tcMar>
              <w:top w:type="dxa" w:w="60"/>
              <w:left w:type="dxa" w:w="90"/>
              <w:bottom w:type="dxa" w:w="60"/>
              <w:right w:type="dxa" w:w="90"/>
            </w:tcMar>
          </w:tcPr>
          <w:p>
            <w:pPr>
              <w:spacing w:after="0" w:before="0"/>
              <w:jc w:val="left"/>
            </w:pPr>
            <w:r>
              <w:rPr>
                <w:color w:val="000000"/>
                <w:sz w:val="17"/>
                <w:szCs w:val="17"/>
              </w:rPr>
              <w:t xml:space="preserve">~40%</w:t>
            </w:r>
          </w:p>
        </w:tc>
        <w:tc>
          <w:tcPr>
            <w:tcW w:type="dxa" w:w="4534"/>
            <w:shd w:fill="F2F5F9" w:color="auto" w:val="clear"/>
            <w:tcMar>
              <w:top w:type="dxa" w:w="60"/>
              <w:left w:type="dxa" w:w="90"/>
              <w:bottom w:type="dxa" w:w="60"/>
              <w:right w:type="dxa" w:w="90"/>
            </w:tcMar>
          </w:tcPr>
          <w:p>
            <w:pPr>
              <w:spacing w:after="0" w:before="0"/>
              <w:jc w:val="left"/>
            </w:pPr>
            <w:r>
              <w:rPr>
                <w:b/>
                <w:bCs/>
                <w:color w:val="000000"/>
                <w:sz w:val="17"/>
                <w:szCs w:val="17"/>
              </w:rPr>
              <w:t xml:space="preserve">Above sector</w:t>
            </w:r>
          </w:p>
        </w:tc>
      </w:tr>
      <w:tr>
        <w:tc>
          <w:tcPr>
            <w:tcW w:type="dxa" w:w="1473"/>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3739"/>
            <w:tcMar>
              <w:top w:type="dxa" w:w="60"/>
              <w:left w:type="dxa" w:w="90"/>
              <w:bottom w:type="dxa" w:w="60"/>
              <w:right w:type="dxa" w:w="90"/>
            </w:tcMar>
          </w:tcPr>
          <w:p>
            <w:pPr>
              <w:spacing w:after="0" w:before="0"/>
              <w:jc w:val="left"/>
            </w:pPr>
            <w:r>
              <w:rPr>
                <w:color w:val="000000"/>
                <w:sz w:val="17"/>
                <w:szCs w:val="17"/>
              </w:rPr>
              <w:t xml:space="preserve">~43%</w:t>
            </w:r>
          </w:p>
        </w:tc>
        <w:tc>
          <w:tcPr>
            <w:tcW w:type="dxa" w:w="4534"/>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1473"/>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3739"/>
            <w:shd w:fill="F2F5F9" w:color="auto" w:val="clear"/>
            <w:tcMar>
              <w:top w:type="dxa" w:w="60"/>
              <w:left w:type="dxa" w:w="90"/>
              <w:bottom w:type="dxa" w:w="60"/>
              <w:right w:type="dxa" w:w="90"/>
            </w:tcMar>
          </w:tcPr>
          <w:p>
            <w:pPr>
              <w:spacing w:after="0" w:before="0"/>
              <w:jc w:val="left"/>
            </w:pPr>
            <w:r>
              <w:rPr>
                <w:b/>
                <w:bCs/>
                <w:color w:val="000000"/>
                <w:sz w:val="17"/>
                <w:szCs w:val="17"/>
              </w:rPr>
              <w:t xml:space="preserve">Net cash + seed ~£750m, zero debt</w:t>
            </w:r>
          </w:p>
        </w:tc>
        <w:tc>
          <w:tcPr>
            <w:tcW w:type="dxa" w:w="4534"/>
            <w:shd w:fill="F2F5F9" w:color="auto" w:val="clear"/>
            <w:tcMar>
              <w:top w:type="dxa" w:w="60"/>
              <w:left w:type="dxa" w:w="90"/>
              <w:bottom w:type="dxa" w:w="60"/>
              <w:right w:type="dxa" w:w="90"/>
            </w:tcMar>
          </w:tcPr>
          <w:p>
            <w:pPr>
              <w:spacing w:after="0" w:before="0"/>
              <w:jc w:val="left"/>
            </w:pPr>
            <w:r>
              <w:rPr>
                <w:color w:val="000000"/>
                <w:sz w:val="17"/>
                <w:szCs w:val="17"/>
              </w:rPr>
              <w:t xml:space="preserve">Passes — this is the whole thesis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Mark Coombs (founder-CEO) ~31%, BlackRock ~5%, Vanguard ~3%, Norges Bank ~3%, Aberdeen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More than half the market capitalisation is cash and seed investments doing nothing strategic.</w:t>
      </w:r>
      <w:r>
        <w:rPr>
          <w:sz w:val="19"/>
          <w:szCs w:val="19"/>
        </w:rPr>
        <w:t xml:space="preserve"> ~£750m of net cash and seed capital against a £1.4bn market cap means the operating business — a 40% EBIT margin franchise with $50bn of AUM — is being valued at roughly 5x EBIT. That is a price for a business in liquidation, and this one is now taking in money again ($1.3bn of net inflows in the June quarter, well ahead of consensus).</w:t>
      </w:r>
    </w:p>
    <w:p>
      <w:pPr>
        <w:pStyle w:val="ListParagraph"/>
        <w:numPr>
          <w:ilvl w:val="0"/>
          <w:numId w:val="2"/>
        </w:numPr>
        <w:spacing w:after="40" w:before="40"/>
      </w:pPr>
      <w:r>
        <w:rPr>
          <w:b/>
          <w:bCs/>
          <w:sz w:val="19"/>
          <w:szCs w:val="19"/>
        </w:rPr>
        <w:t xml:space="preserve">AUM has fallen from $98bn to $51bn and the cost base has not followed.</w:t>
      </w:r>
      <w:r>
        <w:rPr>
          <w:sz w:val="19"/>
          <w:szCs w:val="19"/>
        </w:rPr>
        <w:t xml:space="preserve"> The firm is still resourced, seeded and organised for a business twice its current size. Every incremental AUM dollar recovered should be dropping through at 60%+ — it is not.</w:t>
      </w:r>
    </w:p>
    <w:p>
      <w:pPr>
        <w:pStyle w:val="ListParagraph"/>
        <w:numPr>
          <w:ilvl w:val="0"/>
          <w:numId w:val="2"/>
        </w:numPr>
        <w:spacing w:after="40" w:before="40"/>
      </w:pPr>
      <w:r>
        <w:rPr>
          <w:b/>
          <w:bCs/>
          <w:sz w:val="19"/>
          <w:szCs w:val="19"/>
        </w:rPr>
        <w:t xml:space="preserve">The founder holds 31%, which is not control.</w:t>
      </w:r>
      <w:r>
        <w:rPr>
          <w:sz w:val="19"/>
          <w:szCs w:val="19"/>
        </w:rPr>
        <w:t xml:space="preserve"> The other 69% is a conventional institutional register that has watched a 63-point underperformance against a sector that is itself down. There is a coalition available here.</w:t>
      </w:r>
    </w:p>
    <w:p>
      <w:pPr>
        <w:pStyle w:val="Heading3"/>
        <w:spacing w:after="100" w:before="220"/>
      </w:pPr>
      <w:r>
        <w:rPr>
          <w:b/>
          <w:bCs/>
          <w:color w:val="2E5C8A"/>
          <w:sz w:val="21"/>
          <w:szCs w:val="21"/>
        </w:rPr>
        <w:t xml:space="preserve">Most actionable changes</w:t>
      </w:r>
    </w:p>
    <w:p>
      <w:pPr>
        <w:pStyle w:val="ListParagraph"/>
        <w:numPr>
          <w:ilvl w:val="0"/>
          <w:numId w:val="5"/>
        </w:numPr>
        <w:spacing w:after="40" w:before="40"/>
      </w:pPr>
      <w:r>
        <w:rPr>
          <w:b/>
          <w:bCs/>
          <w:sz w:val="19"/>
          <w:szCs w:val="19"/>
        </w:rPr>
        <w:t xml:space="preserve">Return £300m+ through a tender offer.</w:t>
      </w:r>
      <w:r>
        <w:rPr>
          <w:sz w:val="19"/>
          <w:szCs w:val="19"/>
        </w:rPr>
        <w:t xml:space="preserve"> A tender (rather than an open-market buyback) is the right instrument: it lets the founder participate or not, and at a 5x ex-cash EBIT multiple the accretion is extreme.</w:t>
      </w:r>
    </w:p>
    <w:p>
      <w:pPr>
        <w:pStyle w:val="ListParagraph"/>
        <w:numPr>
          <w:ilvl w:val="0"/>
          <w:numId w:val="5"/>
        </w:numPr>
        <w:spacing w:after="40" w:before="40"/>
      </w:pPr>
      <w:r>
        <w:rPr>
          <w:b/>
          <w:bCs/>
          <w:sz w:val="19"/>
          <w:szCs w:val="19"/>
        </w:rPr>
        <w:t xml:space="preserve">Resize the cost base to a $50bn business</w:t>
      </w:r>
      <w:r>
        <w:rPr>
          <w:sz w:val="19"/>
          <w:szCs w:val="19"/>
        </w:rPr>
        <w:t xml:space="preserve">, with a public commitment to a 50% EBIT margin at current AUM and remuneration tied to it.</w:t>
      </w:r>
    </w:p>
    <w:p>
      <w:pPr>
        <w:pStyle w:val="ListParagraph"/>
        <w:numPr>
          <w:ilvl w:val="0"/>
          <w:numId w:val="5"/>
        </w:numPr>
        <w:spacing w:after="40" w:before="40"/>
      </w:pPr>
      <w:r>
        <w:rPr>
          <w:b/>
          <w:bCs/>
          <w:sz w:val="19"/>
          <w:szCs w:val="19"/>
        </w:rPr>
        <w:t xml:space="preserve">Rotate seed capital out of proprietary EM funds.</w:t>
      </w:r>
      <w:r>
        <w:rPr>
          <w:sz w:val="19"/>
          <w:szCs w:val="19"/>
        </w:rPr>
        <w:t xml:space="preserve"> Shareholders are taking concentrated emerging-market beta on the balance sheet that they did not ask for and are not being paid for.</w:t>
      </w:r>
    </w:p>
    <w:p>
      <w:pPr>
        <w:spacing w:after="100" w:before="60"/>
      </w:pPr>
      <w:r>
        <w:rPr>
          <w:b/>
          <w:bCs/>
          <w:sz w:val="19"/>
          <w:szCs w:val="19"/>
        </w:rPr>
        <w:t xml:space="preserve">Ease of building support: 3/5.</w:t>
      </w:r>
      <w:r>
        <w:rPr>
          <w:sz w:val="19"/>
          <w:szCs w:val="19"/>
        </w:rPr>
        <w:t xml:space="preserve"> Coombs' 31% is short of a veto on ordinary resolutions but it is a very loud voice, and he is the founder of a firm that still bears the imprint of his conviction about EM cyclicality. The path is to build a 15–20% coalition among the institutional 69% and make the tender offer an idea he can adopt as his own — he would be a large participant in the value created.</w:t>
      </w:r>
    </w:p>
    <w:p>
      <w:pPr>
        <w:spacing w:after="100" w:before="60"/>
      </w:pPr>
      <w:r>
        <w:rPr>
          <w:b/>
          <w:bCs/>
          <w:sz w:val="19"/>
          <w:szCs w:val="19"/>
        </w:rPr>
        <w:t xml:space="preserve">Expected company defence:</w:t>
      </w:r>
      <w:r>
        <w:rPr>
          <w:sz w:val="19"/>
          <w:szCs w:val="19"/>
        </w:rPr>
        <w:t xml:space="preserve"> "Emerging markets are cyclical, and the cycle is turning — flows have inflected positive and beat expectations. Capital is what allows us to seed products, support clients through drawdowns and survive periods no leveraged competitor could. We have run this business through three EM crises with the same balance-sheet philosophy and it is why we are still here."</w:t>
      </w:r>
    </w:p>
    <w:p>
      <w:pPr>
        <w:spacing w:after="100" w:before="60"/>
      </w:pPr>
      <w:r>
        <w:rPr>
          <w:b/>
          <w:bCs/>
          <w:sz w:val="19"/>
          <w:szCs w:val="19"/>
        </w:rPr>
        <w:t xml:space="preserve">Activist angles:</w:t>
      </w:r>
      <w:r>
        <w:rPr>
          <w:sz w:val="19"/>
          <w:szCs w:val="19"/>
        </w:rPr>
        <w:t xml:space="preserve"> Capital allocation (primary — excess cash) · Cost discipline · Governance (founder-CEO concentration)</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4. Jupiter Fund Management plc (JUP LN)</w:t>
      </w:r>
    </w:p>
    <w:p>
      <w:pPr>
        <w:spacing w:after="100" w:before="60"/>
      </w:pPr>
      <w:r>
        <w:rPr>
          <w:b/>
          <w:bCs/>
          <w:sz w:val="19"/>
          <w:szCs w:val="19"/>
        </w:rPr>
        <w:t xml:space="preserve">Market cap ~£1.2bn · AUM £73.7bn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262"/>
        <w:gridCol w:w="4524"/>
        <w:gridCol w:w="2960"/>
      </w:tblGrid>
      <w:tr>
        <w:trPr>
          <w:tblHeader/>
        </w:trPr>
        <w:tc>
          <w:tcPr>
            <w:tcW w:type="dxa" w:w="2262"/>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4524"/>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2960"/>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262"/>
            <w:tcMar>
              <w:top w:type="dxa" w:w="60"/>
              <w:left w:type="dxa" w:w="90"/>
              <w:bottom w:type="dxa" w:w="60"/>
              <w:right w:type="dxa" w:w="90"/>
            </w:tcMar>
          </w:tcPr>
          <w:p>
            <w:pPr>
              <w:spacing w:after="0" w:before="0"/>
              <w:jc w:val="left"/>
            </w:pPr>
            <w:r>
              <w:rPr>
                <w:color w:val="000000"/>
                <w:sz w:val="17"/>
                <w:szCs w:val="17"/>
              </w:rPr>
              <w:t xml:space="preserve">TSR 1yr</w:t>
            </w:r>
          </w:p>
        </w:tc>
        <w:tc>
          <w:tcPr>
            <w:tcW w:type="dxa" w:w="4524"/>
            <w:tcMar>
              <w:top w:type="dxa" w:w="60"/>
              <w:left w:type="dxa" w:w="90"/>
              <w:bottom w:type="dxa" w:w="60"/>
              <w:right w:type="dxa" w:w="90"/>
            </w:tcMar>
          </w:tcPr>
          <w:p>
            <w:pPr>
              <w:spacing w:after="0" w:before="0"/>
              <w:jc w:val="left"/>
            </w:pPr>
            <w:r>
              <w:rPr>
                <w:color w:val="000000"/>
                <w:sz w:val="17"/>
                <w:szCs w:val="17"/>
              </w:rPr>
              <w:t xml:space="preserve">+75%</w:t>
            </w:r>
          </w:p>
        </w:tc>
        <w:tc>
          <w:tcPr>
            <w:tcW w:type="dxa" w:w="2960"/>
            <w:tcMar>
              <w:top w:type="dxa" w:w="60"/>
              <w:left w:type="dxa" w:w="90"/>
              <w:bottom w:type="dxa" w:w="60"/>
              <w:right w:type="dxa" w:w="90"/>
            </w:tcMar>
          </w:tcPr>
          <w:p>
            <w:pPr>
              <w:spacing w:after="0" w:before="0"/>
              <w:jc w:val="left"/>
            </w:pPr>
            <w:r>
              <w:rPr>
                <w:b/>
                <w:bCs/>
                <w:color w:val="000000"/>
                <w:sz w:val="17"/>
                <w:szCs w:val="17"/>
              </w:rPr>
              <w:t xml:space="preserve">+56pp</w:t>
            </w:r>
          </w:p>
        </w:tc>
      </w:tr>
      <w:tr>
        <w:tc>
          <w:tcPr>
            <w:tcW w:type="dxa" w:w="2262"/>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4524"/>
            <w:shd w:fill="F2F5F9" w:color="auto" w:val="clear"/>
            <w:tcMar>
              <w:top w:type="dxa" w:w="60"/>
              <w:left w:type="dxa" w:w="90"/>
              <w:bottom w:type="dxa" w:w="60"/>
              <w:right w:type="dxa" w:w="90"/>
            </w:tcMar>
          </w:tcPr>
          <w:p>
            <w:pPr>
              <w:spacing w:after="0" w:before="0"/>
              <w:jc w:val="left"/>
            </w:pPr>
            <w:r>
              <w:rPr>
                <w:color w:val="000000"/>
                <w:sz w:val="17"/>
                <w:szCs w:val="17"/>
              </w:rPr>
              <w:t xml:space="preserve">+40%</w:t>
            </w:r>
          </w:p>
        </w:tc>
        <w:tc>
          <w:tcPr>
            <w:tcW w:type="dxa" w:w="2960"/>
            <w:shd w:fill="F2F5F9" w:color="auto" w:val="clear"/>
            <w:tcMar>
              <w:top w:type="dxa" w:w="60"/>
              <w:left w:type="dxa" w:w="90"/>
              <w:bottom w:type="dxa" w:w="60"/>
              <w:right w:type="dxa" w:w="90"/>
            </w:tcMar>
          </w:tcPr>
          <w:p>
            <w:pPr>
              <w:spacing w:after="0" w:before="0"/>
              <w:jc w:val="left"/>
            </w:pPr>
            <w:r>
              <w:rPr>
                <w:color w:val="000000"/>
                <w:sz w:val="17"/>
                <w:szCs w:val="17"/>
              </w:rPr>
              <w:t xml:space="preserve">+8pp</w:t>
            </w:r>
          </w:p>
        </w:tc>
      </w:tr>
      <w:tr>
        <w:tc>
          <w:tcPr>
            <w:tcW w:type="dxa" w:w="2262"/>
            <w:tcMar>
              <w:top w:type="dxa" w:w="60"/>
              <w:left w:type="dxa" w:w="90"/>
              <w:bottom w:type="dxa" w:w="60"/>
              <w:right w:type="dxa" w:w="90"/>
            </w:tcMar>
          </w:tcPr>
          <w:p>
            <w:pPr>
              <w:spacing w:after="0" w:before="0"/>
              <w:jc w:val="left"/>
            </w:pPr>
            <w:r>
              <w:rPr>
                <w:color w:val="000000"/>
                <w:sz w:val="17"/>
                <w:szCs w:val="17"/>
              </w:rPr>
              <w:t xml:space="preserve">TSR 5yr</w:t>
            </w:r>
          </w:p>
        </w:tc>
        <w:tc>
          <w:tcPr>
            <w:tcW w:type="dxa" w:w="4524"/>
            <w:tcMar>
              <w:top w:type="dxa" w:w="60"/>
              <w:left w:type="dxa" w:w="90"/>
              <w:bottom w:type="dxa" w:w="60"/>
              <w:right w:type="dxa" w:w="90"/>
            </w:tcMar>
          </w:tcPr>
          <w:p>
            <w:pPr>
              <w:spacing w:after="0" w:before="0"/>
              <w:jc w:val="left"/>
            </w:pPr>
            <w:r>
              <w:rPr>
                <w:color w:val="000000"/>
                <w:sz w:val="17"/>
                <w:szCs w:val="17"/>
              </w:rPr>
              <w:t xml:space="preserve">−35%</w:t>
            </w:r>
          </w:p>
        </w:tc>
        <w:tc>
          <w:tcPr>
            <w:tcW w:type="dxa" w:w="2960"/>
            <w:tcMar>
              <w:top w:type="dxa" w:w="60"/>
              <w:left w:type="dxa" w:w="90"/>
              <w:bottom w:type="dxa" w:w="60"/>
              <w:right w:type="dxa" w:w="90"/>
            </w:tcMar>
          </w:tcPr>
          <w:p>
            <w:pPr>
              <w:spacing w:after="0" w:before="0"/>
              <w:jc w:val="left"/>
            </w:pPr>
            <w:r>
              <w:rPr>
                <w:b/>
                <w:bCs/>
                <w:color w:val="000000"/>
                <w:sz w:val="17"/>
                <w:szCs w:val="17"/>
              </w:rPr>
              <w:t xml:space="preserve">−53pp</w:t>
            </w:r>
          </w:p>
        </w:tc>
      </w:tr>
      <w:tr>
        <w:tc>
          <w:tcPr>
            <w:tcW w:type="dxa" w:w="2262"/>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4524"/>
            <w:shd w:fill="F2F5F9" w:color="auto" w:val="clear"/>
            <w:tcMar>
              <w:top w:type="dxa" w:w="60"/>
              <w:left w:type="dxa" w:w="90"/>
              <w:bottom w:type="dxa" w:w="60"/>
              <w:right w:type="dxa" w:w="90"/>
            </w:tcMar>
          </w:tcPr>
          <w:p>
            <w:pPr>
              <w:spacing w:after="0" w:before="0"/>
              <w:jc w:val="left"/>
            </w:pPr>
            <w:r>
              <w:rPr>
                <w:color w:val="000000"/>
                <w:sz w:val="17"/>
                <w:szCs w:val="17"/>
              </w:rPr>
              <w:t xml:space="preserve">~1.8x</w:t>
            </w:r>
          </w:p>
        </w:tc>
        <w:tc>
          <w:tcPr>
            <w:tcW w:type="dxa" w:w="2960"/>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2262"/>
            <w:tcMar>
              <w:top w:type="dxa" w:w="60"/>
              <w:left w:type="dxa" w:w="90"/>
              <w:bottom w:type="dxa" w:w="60"/>
              <w:right w:type="dxa" w:w="90"/>
            </w:tcMar>
          </w:tcPr>
          <w:p>
            <w:pPr>
              <w:spacing w:after="0" w:before="0"/>
              <w:jc w:val="left"/>
            </w:pPr>
            <w:r>
              <w:rPr>
                <w:color w:val="000000"/>
                <w:sz w:val="17"/>
                <w:szCs w:val="17"/>
              </w:rPr>
              <w:t xml:space="preserve">EV/EBIT</w:t>
            </w:r>
          </w:p>
        </w:tc>
        <w:tc>
          <w:tcPr>
            <w:tcW w:type="dxa" w:w="4524"/>
            <w:tcMar>
              <w:top w:type="dxa" w:w="60"/>
              <w:left w:type="dxa" w:w="90"/>
              <w:bottom w:type="dxa" w:w="60"/>
              <w:right w:type="dxa" w:w="90"/>
            </w:tcMar>
          </w:tcPr>
          <w:p>
            <w:pPr>
              <w:spacing w:after="0" w:before="0"/>
              <w:jc w:val="left"/>
            </w:pPr>
            <w:r>
              <w:rPr>
                <w:color w:val="000000"/>
                <w:sz w:val="17"/>
                <w:szCs w:val="17"/>
              </w:rPr>
              <w:t xml:space="preserve">~8x</w:t>
            </w:r>
          </w:p>
        </w:tc>
        <w:tc>
          <w:tcPr>
            <w:tcW w:type="dxa" w:w="2960"/>
            <w:tcMar>
              <w:top w:type="dxa" w:w="60"/>
              <w:left w:type="dxa" w:w="90"/>
              <w:bottom w:type="dxa" w:w="60"/>
              <w:right w:type="dxa" w:w="90"/>
            </w:tcMar>
          </w:tcPr>
          <w:p>
            <w:pPr>
              <w:spacing w:after="0" w:before="0"/>
              <w:jc w:val="left"/>
            </w:pPr>
            <w:r>
              <w:rPr>
                <w:b/>
                <w:bCs/>
                <w:color w:val="000000"/>
                <w:sz w:val="17"/>
                <w:szCs w:val="17"/>
              </w:rPr>
              <w:t xml:space="preserve">Discount</w:t>
            </w:r>
          </w:p>
        </w:tc>
      </w:tr>
      <w:tr>
        <w:tc>
          <w:tcPr>
            <w:tcW w:type="dxa" w:w="2262"/>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4524"/>
            <w:shd w:fill="F2F5F9" w:color="auto" w:val="clear"/>
            <w:tcMar>
              <w:top w:type="dxa" w:w="60"/>
              <w:left w:type="dxa" w:w="90"/>
              <w:bottom w:type="dxa" w:w="60"/>
              <w:right w:type="dxa" w:w="90"/>
            </w:tcMar>
          </w:tcPr>
          <w:p>
            <w:pPr>
              <w:spacing w:after="0" w:before="0"/>
              <w:jc w:val="left"/>
            </w:pPr>
            <w:r>
              <w:rPr>
                <w:color w:val="000000"/>
                <w:sz w:val="17"/>
                <w:szCs w:val="17"/>
              </w:rPr>
              <w:t xml:space="preserve">~10x</w:t>
            </w:r>
          </w:p>
        </w:tc>
        <w:tc>
          <w:tcPr>
            <w:tcW w:type="dxa" w:w="2960"/>
            <w:shd w:fill="F2F5F9" w:color="auto" w:val="clear"/>
            <w:tcMar>
              <w:top w:type="dxa" w:w="60"/>
              <w:left w:type="dxa" w:w="90"/>
              <w:bottom w:type="dxa" w:w="60"/>
              <w:right w:type="dxa" w:w="90"/>
            </w:tcMar>
          </w:tcPr>
          <w:p>
            <w:pPr>
              <w:spacing w:after="0" w:before="0"/>
              <w:jc w:val="left"/>
            </w:pPr>
            <w:r>
              <w:rPr>
                <w:b/>
                <w:bCs/>
                <w:color w:val="000000"/>
                <w:sz w:val="17"/>
                <w:szCs w:val="17"/>
              </w:rPr>
              <w:t xml:space="preserve">Discount</w:t>
            </w:r>
          </w:p>
        </w:tc>
      </w:tr>
      <w:tr>
        <w:tc>
          <w:tcPr>
            <w:tcW w:type="dxa" w:w="2262"/>
            <w:tcMar>
              <w:top w:type="dxa" w:w="60"/>
              <w:left w:type="dxa" w:w="90"/>
              <w:bottom w:type="dxa" w:w="60"/>
              <w:right w:type="dxa" w:w="90"/>
            </w:tcMar>
          </w:tcPr>
          <w:p>
            <w:pPr>
              <w:spacing w:after="0" w:before="0"/>
              <w:jc w:val="left"/>
            </w:pPr>
            <w:r>
              <w:rPr>
                <w:color w:val="000000"/>
                <w:sz w:val="17"/>
                <w:szCs w:val="17"/>
              </w:rPr>
              <w:t xml:space="preserve">FCF yield</w:t>
            </w:r>
          </w:p>
        </w:tc>
        <w:tc>
          <w:tcPr>
            <w:tcW w:type="dxa" w:w="4524"/>
            <w:tcMar>
              <w:top w:type="dxa" w:w="60"/>
              <w:left w:type="dxa" w:w="90"/>
              <w:bottom w:type="dxa" w:w="60"/>
              <w:right w:type="dxa" w:w="90"/>
            </w:tcMar>
          </w:tcPr>
          <w:p>
            <w:pPr>
              <w:spacing w:after="0" w:before="0"/>
              <w:jc w:val="left"/>
            </w:pPr>
            <w:r>
              <w:rPr>
                <w:color w:val="000000"/>
                <w:sz w:val="17"/>
                <w:szCs w:val="17"/>
              </w:rPr>
              <w:t xml:space="preserve">~10%</w:t>
            </w:r>
          </w:p>
        </w:tc>
        <w:tc>
          <w:tcPr>
            <w:tcW w:type="dxa" w:w="2960"/>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2262"/>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4524"/>
            <w:shd w:fill="F2F5F9" w:color="auto" w:val="clear"/>
            <w:tcMar>
              <w:top w:type="dxa" w:w="60"/>
              <w:left w:type="dxa" w:w="90"/>
              <w:bottom w:type="dxa" w:w="60"/>
              <w:right w:type="dxa" w:w="90"/>
            </w:tcMar>
          </w:tcPr>
          <w:p>
            <w:pPr>
              <w:spacing w:after="0" w:before="0"/>
              <w:jc w:val="left"/>
            </w:pPr>
            <w:r>
              <w:rPr>
                <w:color w:val="000000"/>
                <w:sz w:val="17"/>
                <w:szCs w:val="17"/>
              </w:rPr>
              <w:t xml:space="preserve">~20%</w:t>
            </w:r>
          </w:p>
        </w:tc>
        <w:tc>
          <w:tcPr>
            <w:tcW w:type="dxa" w:w="2960"/>
            <w:shd w:fill="F2F5F9" w:color="auto" w:val="clear"/>
            <w:tcMar>
              <w:top w:type="dxa" w:w="60"/>
              <w:left w:type="dxa" w:w="90"/>
              <w:bottom w:type="dxa" w:w="60"/>
              <w:right w:type="dxa" w:w="90"/>
            </w:tcMar>
          </w:tcPr>
          <w:p>
            <w:pPr>
              <w:spacing w:after="0" w:before="0"/>
              <w:jc w:val="left"/>
            </w:pPr>
            <w:r>
              <w:rPr>
                <w:b/>
                <w:bCs/>
                <w:color w:val="000000"/>
                <w:sz w:val="17"/>
                <w:szCs w:val="17"/>
              </w:rPr>
              <w:t xml:space="preserve">Well below sector</w:t>
            </w:r>
          </w:p>
        </w:tc>
      </w:tr>
      <w:tr>
        <w:tc>
          <w:tcPr>
            <w:tcW w:type="dxa" w:w="2262"/>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4524"/>
            <w:tcMar>
              <w:top w:type="dxa" w:w="60"/>
              <w:left w:type="dxa" w:w="90"/>
              <w:bottom w:type="dxa" w:w="60"/>
              <w:right w:type="dxa" w:w="90"/>
            </w:tcMar>
          </w:tcPr>
          <w:p>
            <w:pPr>
              <w:spacing w:after="0" w:before="0"/>
              <w:jc w:val="left"/>
            </w:pPr>
            <w:r>
              <w:rPr>
                <w:color w:val="000000"/>
                <w:sz w:val="17"/>
                <w:szCs w:val="17"/>
              </w:rPr>
              <w:t xml:space="preserve">~24%</w:t>
            </w:r>
          </w:p>
        </w:tc>
        <w:tc>
          <w:tcPr>
            <w:tcW w:type="dxa" w:w="2960"/>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2262"/>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4524"/>
            <w:shd w:fill="F2F5F9" w:color="auto" w:val="clear"/>
            <w:tcMar>
              <w:top w:type="dxa" w:w="60"/>
              <w:left w:type="dxa" w:w="90"/>
              <w:bottom w:type="dxa" w:w="60"/>
              <w:right w:type="dxa" w:w="90"/>
            </w:tcMar>
          </w:tcPr>
          <w:p>
            <w:pPr>
              <w:spacing w:after="0" w:before="0"/>
              <w:jc w:val="left"/>
            </w:pPr>
            <w:r>
              <w:rPr>
                <w:color w:val="000000"/>
                <w:sz w:val="17"/>
                <w:szCs w:val="17"/>
              </w:rPr>
              <w:t xml:space="preserve">Net cash ~£0.2bn post-CCLA</w:t>
            </w:r>
          </w:p>
        </w:tc>
        <w:tc>
          <w:tcPr>
            <w:tcW w:type="dxa" w:w="2960"/>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BlackRock ~8%, Vanguard ~4%, Norges Bank ~3%, Schroders ~3%, Artemis ~3%. Fully institutional.</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A 77% cost:income ratio is 15–20 points worse than best-in-class, and management has just proved it can be fixed.</w:t>
      </w:r>
      <w:r>
        <w:rPr>
          <w:sz w:val="19"/>
          <w:szCs w:val="19"/>
        </w:rPr>
        <w:t xml:space="preserve"> The CCLA integration is running ahead of its £16m synergy target and dropped cost:income from 82% to 77%. The obvious question for the board: if you can take that cost out of an acquired business in six months, why has the legacy base carried it for a decade?</w:t>
      </w:r>
    </w:p>
    <w:p>
      <w:pPr>
        <w:pStyle w:val="ListParagraph"/>
        <w:numPr>
          <w:ilvl w:val="0"/>
          <w:numId w:val="2"/>
        </w:numPr>
        <w:spacing w:after="40" w:before="40"/>
      </w:pPr>
      <w:r>
        <w:rPr>
          <w:b/>
          <w:bCs/>
          <w:sz w:val="19"/>
          <w:szCs w:val="19"/>
        </w:rPr>
        <w:t xml:space="preserve">The recovery is real but the starting point was catastrophic.</w:t>
      </w:r>
      <w:r>
        <w:rPr>
          <w:sz w:val="19"/>
          <w:szCs w:val="19"/>
        </w:rPr>
        <w:t xml:space="preserve"> AUM at a record £73.7bn and underlying profit up 67% is genuine progress — against a 5-year TSR that is still 53 points behind a depressed sector. The re-rating so far has closed the gap on the deal, not on the operating business.</w:t>
      </w:r>
    </w:p>
    <w:p>
      <w:pPr>
        <w:pStyle w:val="ListParagraph"/>
        <w:numPr>
          <w:ilvl w:val="0"/>
          <w:numId w:val="2"/>
        </w:numPr>
        <w:spacing w:after="40" w:before="40"/>
      </w:pPr>
      <w:r>
        <w:rPr>
          <w:b/>
          <w:bCs/>
          <w:sz w:val="19"/>
          <w:szCs w:val="19"/>
        </w:rPr>
        <w:t xml:space="preserve">The fund range is a museum.</w:t>
      </w:r>
      <w:r>
        <w:rPr>
          <w:sz w:val="19"/>
          <w:szCs w:val="19"/>
        </w:rPr>
        <w:t xml:space="preserve"> A long tail of sub-scale, sub-£100m funds absorbs distribution, compliance, oversight and regulatory capital while contributing nothing to profit, and dilutes the story to allocators.</w:t>
      </w:r>
    </w:p>
    <w:p>
      <w:pPr>
        <w:pStyle w:val="Heading3"/>
        <w:spacing w:after="100" w:before="220"/>
      </w:pPr>
      <w:r>
        <w:rPr>
          <w:b/>
          <w:bCs/>
          <w:color w:val="2E5C8A"/>
          <w:sz w:val="21"/>
          <w:szCs w:val="21"/>
        </w:rPr>
        <w:t xml:space="preserve">Most actionable changes</w:t>
      </w:r>
    </w:p>
    <w:p>
      <w:pPr>
        <w:pStyle w:val="ListParagraph"/>
        <w:numPr>
          <w:ilvl w:val="0"/>
          <w:numId w:val="6"/>
        </w:numPr>
        <w:spacing w:after="40" w:before="40"/>
      </w:pPr>
      <w:r>
        <w:rPr>
          <w:b/>
          <w:bCs/>
          <w:sz w:val="19"/>
          <w:szCs w:val="19"/>
        </w:rPr>
        <w:t xml:space="preserve">Commit publicly to a 65% cost:income ratio by FY28</w:t>
      </w:r>
      <w:r>
        <w:rPr>
          <w:sz w:val="19"/>
          <w:szCs w:val="19"/>
        </w:rPr>
        <w:t xml:space="preserve">, with a majority of the executive LTIP tied to achieving it. This is the single highest-value ask on the list in terms of earnings impact per unit of effort.</w:t>
      </w:r>
    </w:p>
    <w:p>
      <w:pPr>
        <w:pStyle w:val="ListParagraph"/>
        <w:numPr>
          <w:ilvl w:val="0"/>
          <w:numId w:val="6"/>
        </w:numPr>
        <w:spacing w:after="40" w:before="40"/>
      </w:pPr>
      <w:r>
        <w:rPr>
          <w:b/>
          <w:bCs/>
          <w:sz w:val="19"/>
          <w:szCs w:val="19"/>
        </w:rPr>
        <w:t xml:space="preserve">Rationalise the fund range</w:t>
      </w:r>
      <w:r>
        <w:rPr>
          <w:sz w:val="19"/>
          <w:szCs w:val="19"/>
        </w:rPr>
        <w:t xml:space="preserve"> — a hard AUM floor with merge-or-close discipline, reported annually.</w:t>
      </w:r>
    </w:p>
    <w:p>
      <w:pPr>
        <w:pStyle w:val="ListParagraph"/>
        <w:numPr>
          <w:ilvl w:val="0"/>
          <w:numId w:val="6"/>
        </w:numPr>
        <w:spacing w:after="40" w:before="40"/>
      </w:pPr>
      <w:r>
        <w:rPr>
          <w:b/>
          <w:bCs/>
          <w:sz w:val="19"/>
          <w:szCs w:val="19"/>
        </w:rPr>
        <w:t xml:space="preserve">Pre-commit surplus capital to buybacks rather than the next acquisition.</w:t>
      </w:r>
      <w:r>
        <w:rPr>
          <w:sz w:val="19"/>
          <w:szCs w:val="19"/>
        </w:rPr>
        <w:t xml:space="preserve"> CCLA worked; the risk now is that a successful deal becomes a habit. A stated capital-allocation hierarchy that puts repurchase ahead of M&amp;A at the current multiple is the ask.</w:t>
      </w:r>
    </w:p>
    <w:p>
      <w:pPr>
        <w:spacing w:after="100" w:before="60"/>
      </w:pPr>
      <w:r>
        <w:rPr>
          <w:b/>
          <w:bCs/>
          <w:sz w:val="19"/>
          <w:szCs w:val="19"/>
        </w:rPr>
        <w:t xml:space="preserve">Ease of building support: 4/5.</w:t>
      </w:r>
      <w:r>
        <w:rPr>
          <w:sz w:val="19"/>
          <w:szCs w:val="19"/>
        </w:rPr>
        <w:t xml:space="preserve"> Clean register, an obviously quantifiable cost ask, and a management team whose own recent success is the best evidence for the argument. The challenge is timing — a stock up 75% in a year gives the board a strong "leave us alone" position.</w:t>
      </w:r>
    </w:p>
    <w:p>
      <w:pPr>
        <w:spacing w:after="100" w:before="60"/>
      </w:pPr>
      <w:r>
        <w:rPr>
          <w:b/>
          <w:bCs/>
          <w:sz w:val="19"/>
          <w:szCs w:val="19"/>
        </w:rPr>
        <w:t xml:space="preserve">Expected company defence:</w:t>
      </w:r>
      <w:r>
        <w:rPr>
          <w:sz w:val="19"/>
          <w:szCs w:val="19"/>
        </w:rPr>
        <w:t xml:space="preserve"> "We have record AUM, net inflows, underlying profit up 67%, and an acquisition integrating ahead of plan. Cost:income has already fallen five points and will fall further as synergies complete. The strategy is working; the last thing shareholders need is a distraction."</w:t>
      </w:r>
    </w:p>
    <w:p>
      <w:pPr>
        <w:spacing w:after="100" w:before="60"/>
      </w:pPr>
      <w:r>
        <w:rPr>
          <w:b/>
          <w:bCs/>
          <w:sz w:val="19"/>
          <w:szCs w:val="19"/>
        </w:rPr>
        <w:t xml:space="preserve">Activist angles:</w:t>
      </w:r>
      <w:r>
        <w:rPr>
          <w:sz w:val="19"/>
          <w:szCs w:val="19"/>
        </w:rPr>
        <w:t xml:space="preserve"> Cost/margin discipline (primary) · Capital allocation · M&amp;A discipline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5. Liontrust Asset Management plc (LIO LN)</w:t>
      </w:r>
    </w:p>
    <w:p>
      <w:pPr>
        <w:spacing w:after="100" w:before="60"/>
      </w:pPr>
      <w:r>
        <w:rPr>
          <w:b/>
          <w:bCs/>
          <w:sz w:val="19"/>
          <w:szCs w:val="19"/>
        </w:rPr>
        <w:t xml:space="preserve">Market cap ~£0.27bn · AUMA £24.3bn · UK</w:t>
      </w:r>
      <w:r>
        <w:rPr>
          <w:sz w:val="19"/>
          <w:szCs w:val="19"/>
        </w:rPr>
        <w:t xml:space="preserve"> </w:t>
      </w:r>
      <w:r>
        <w:rPr>
          <w:b/>
          <w:bCs/>
          <w:sz w:val="19"/>
          <w:szCs w:val="19"/>
        </w:rPr>
        <w:t xml:space="preserve">⚠ Campaign already live — public activist letter, March 2026</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585"/>
        <w:gridCol w:w="3182"/>
        <w:gridCol w:w="3979"/>
      </w:tblGrid>
      <w:tr>
        <w:trPr>
          <w:tblHeader/>
        </w:trPr>
        <w:tc>
          <w:tcPr>
            <w:tcW w:type="dxa" w:w="2585"/>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3182"/>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3979"/>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585"/>
            <w:tcMar>
              <w:top w:type="dxa" w:w="60"/>
              <w:left w:type="dxa" w:w="90"/>
              <w:bottom w:type="dxa" w:w="60"/>
              <w:right w:type="dxa" w:w="90"/>
            </w:tcMar>
          </w:tcPr>
          <w:p>
            <w:pPr>
              <w:spacing w:after="0" w:before="0"/>
              <w:jc w:val="left"/>
            </w:pPr>
            <w:r>
              <w:rPr>
                <w:color w:val="000000"/>
                <w:sz w:val="17"/>
                <w:szCs w:val="17"/>
              </w:rPr>
              <w:t xml:space="preserve">TSR 1yr</w:t>
            </w:r>
          </w:p>
        </w:tc>
        <w:tc>
          <w:tcPr>
            <w:tcW w:type="dxa" w:w="3182"/>
            <w:tcMar>
              <w:top w:type="dxa" w:w="60"/>
              <w:left w:type="dxa" w:w="90"/>
              <w:bottom w:type="dxa" w:w="60"/>
              <w:right w:type="dxa" w:w="90"/>
            </w:tcMar>
          </w:tcPr>
          <w:p>
            <w:pPr>
              <w:spacing w:after="0" w:before="0"/>
              <w:jc w:val="left"/>
            </w:pPr>
            <w:r>
              <w:rPr>
                <w:color w:val="000000"/>
                <w:sz w:val="17"/>
                <w:szCs w:val="17"/>
              </w:rPr>
              <w:t xml:space="preserve">−10%</w:t>
            </w:r>
          </w:p>
        </w:tc>
        <w:tc>
          <w:tcPr>
            <w:tcW w:type="dxa" w:w="3979"/>
            <w:tcMar>
              <w:top w:type="dxa" w:w="60"/>
              <w:left w:type="dxa" w:w="90"/>
              <w:bottom w:type="dxa" w:w="60"/>
              <w:right w:type="dxa" w:w="90"/>
            </w:tcMar>
          </w:tcPr>
          <w:p>
            <w:pPr>
              <w:spacing w:after="0" w:before="0"/>
              <w:jc w:val="left"/>
            </w:pPr>
            <w:r>
              <w:rPr>
                <w:b/>
                <w:bCs/>
                <w:color w:val="000000"/>
                <w:sz w:val="17"/>
                <w:szCs w:val="17"/>
              </w:rPr>
              <w:t xml:space="preserve">−29pp</w:t>
            </w:r>
          </w:p>
        </w:tc>
      </w:tr>
      <w:tr>
        <w:tc>
          <w:tcPr>
            <w:tcW w:type="dxa" w:w="2585"/>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3182"/>
            <w:shd w:fill="F2F5F9" w:color="auto" w:val="clear"/>
            <w:tcMar>
              <w:top w:type="dxa" w:w="60"/>
              <w:left w:type="dxa" w:w="90"/>
              <w:bottom w:type="dxa" w:w="60"/>
              <w:right w:type="dxa" w:w="90"/>
            </w:tcMar>
          </w:tcPr>
          <w:p>
            <w:pPr>
              <w:spacing w:after="0" w:before="0"/>
              <w:jc w:val="left"/>
            </w:pPr>
            <w:r>
              <w:rPr>
                <w:color w:val="000000"/>
                <w:sz w:val="17"/>
                <w:szCs w:val="17"/>
              </w:rPr>
              <w:t xml:space="preserve">−55%</w:t>
            </w:r>
          </w:p>
        </w:tc>
        <w:tc>
          <w:tcPr>
            <w:tcW w:type="dxa" w:w="3979"/>
            <w:shd w:fill="F2F5F9" w:color="auto" w:val="clear"/>
            <w:tcMar>
              <w:top w:type="dxa" w:w="60"/>
              <w:left w:type="dxa" w:w="90"/>
              <w:bottom w:type="dxa" w:w="60"/>
              <w:right w:type="dxa" w:w="90"/>
            </w:tcMar>
          </w:tcPr>
          <w:p>
            <w:pPr>
              <w:spacing w:after="0" w:before="0"/>
              <w:jc w:val="left"/>
            </w:pPr>
            <w:r>
              <w:rPr>
                <w:b/>
                <w:bCs/>
                <w:color w:val="000000"/>
                <w:sz w:val="17"/>
                <w:szCs w:val="17"/>
              </w:rPr>
              <w:t xml:space="preserve">−87pp</w:t>
            </w:r>
          </w:p>
        </w:tc>
      </w:tr>
      <w:tr>
        <w:tc>
          <w:tcPr>
            <w:tcW w:type="dxa" w:w="2585"/>
            <w:tcMar>
              <w:top w:type="dxa" w:w="60"/>
              <w:left w:type="dxa" w:w="90"/>
              <w:bottom w:type="dxa" w:w="60"/>
              <w:right w:type="dxa" w:w="90"/>
            </w:tcMar>
          </w:tcPr>
          <w:p>
            <w:pPr>
              <w:spacing w:after="0" w:before="0"/>
              <w:jc w:val="left"/>
            </w:pPr>
            <w:r>
              <w:rPr>
                <w:color w:val="000000"/>
                <w:sz w:val="17"/>
                <w:szCs w:val="17"/>
              </w:rPr>
              <w:t xml:space="preserve">TSR 5yr</w:t>
            </w:r>
          </w:p>
        </w:tc>
        <w:tc>
          <w:tcPr>
            <w:tcW w:type="dxa" w:w="3182"/>
            <w:tcMar>
              <w:top w:type="dxa" w:w="60"/>
              <w:left w:type="dxa" w:w="90"/>
              <w:bottom w:type="dxa" w:w="60"/>
              <w:right w:type="dxa" w:w="90"/>
            </w:tcMar>
          </w:tcPr>
          <w:p>
            <w:pPr>
              <w:spacing w:after="0" w:before="0"/>
              <w:jc w:val="left"/>
            </w:pPr>
            <w:r>
              <w:rPr>
                <w:color w:val="000000"/>
                <w:sz w:val="17"/>
                <w:szCs w:val="17"/>
              </w:rPr>
              <w:t xml:space="preserve">−80%</w:t>
            </w:r>
          </w:p>
        </w:tc>
        <w:tc>
          <w:tcPr>
            <w:tcW w:type="dxa" w:w="3979"/>
            <w:tcMar>
              <w:top w:type="dxa" w:w="60"/>
              <w:left w:type="dxa" w:w="90"/>
              <w:bottom w:type="dxa" w:w="60"/>
              <w:right w:type="dxa" w:w="90"/>
            </w:tcMar>
          </w:tcPr>
          <w:p>
            <w:pPr>
              <w:spacing w:after="0" w:before="0"/>
              <w:jc w:val="left"/>
            </w:pPr>
            <w:r>
              <w:rPr>
                <w:b/>
                <w:bCs/>
                <w:color w:val="000000"/>
                <w:sz w:val="17"/>
                <w:szCs w:val="17"/>
              </w:rPr>
              <w:t xml:space="preserve">−98pp</w:t>
            </w:r>
          </w:p>
        </w:tc>
      </w:tr>
      <w:tr>
        <w:tc>
          <w:tcPr>
            <w:tcW w:type="dxa" w:w="2585"/>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3182"/>
            <w:shd w:fill="F2F5F9" w:color="auto" w:val="clear"/>
            <w:tcMar>
              <w:top w:type="dxa" w:w="60"/>
              <w:left w:type="dxa" w:w="90"/>
              <w:bottom w:type="dxa" w:w="60"/>
              <w:right w:type="dxa" w:w="90"/>
            </w:tcMar>
          </w:tcPr>
          <w:p>
            <w:pPr>
              <w:spacing w:after="0" w:before="0"/>
              <w:jc w:val="left"/>
            </w:pPr>
            <w:r>
              <w:rPr>
                <w:color w:val="000000"/>
                <w:sz w:val="17"/>
                <w:szCs w:val="17"/>
              </w:rPr>
              <w:t xml:space="preserve">~1.2x</w:t>
            </w:r>
          </w:p>
        </w:tc>
        <w:tc>
          <w:tcPr>
            <w:tcW w:type="dxa" w:w="3979"/>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2585"/>
            <w:tcMar>
              <w:top w:type="dxa" w:w="60"/>
              <w:left w:type="dxa" w:w="90"/>
              <w:bottom w:type="dxa" w:w="60"/>
              <w:right w:type="dxa" w:w="90"/>
            </w:tcMar>
          </w:tcPr>
          <w:p>
            <w:pPr>
              <w:spacing w:after="0" w:before="0"/>
              <w:jc w:val="left"/>
            </w:pPr>
            <w:r>
              <w:rPr>
                <w:color w:val="000000"/>
                <w:sz w:val="17"/>
                <w:szCs w:val="17"/>
              </w:rPr>
              <w:t xml:space="preserve">EV/EBIT</w:t>
            </w:r>
          </w:p>
        </w:tc>
        <w:tc>
          <w:tcPr>
            <w:tcW w:type="dxa" w:w="3182"/>
            <w:tcMar>
              <w:top w:type="dxa" w:w="60"/>
              <w:left w:type="dxa" w:w="90"/>
              <w:bottom w:type="dxa" w:w="60"/>
              <w:right w:type="dxa" w:w="90"/>
            </w:tcMar>
          </w:tcPr>
          <w:p>
            <w:pPr>
              <w:spacing w:after="0" w:before="0"/>
              <w:jc w:val="left"/>
            </w:pPr>
            <w:r>
              <w:rPr>
                <w:color w:val="000000"/>
                <w:sz w:val="17"/>
                <w:szCs w:val="17"/>
              </w:rPr>
              <w:t xml:space="preserve">~5x</w:t>
            </w:r>
          </w:p>
        </w:tc>
        <w:tc>
          <w:tcPr>
            <w:tcW w:type="dxa" w:w="3979"/>
            <w:tcMar>
              <w:top w:type="dxa" w:w="60"/>
              <w:left w:type="dxa" w:w="90"/>
              <w:bottom w:type="dxa" w:w="60"/>
              <w:right w:type="dxa" w:w="90"/>
            </w:tcMar>
          </w:tcPr>
          <w:p>
            <w:pPr>
              <w:spacing w:after="0" w:before="0"/>
              <w:jc w:val="left"/>
            </w:pPr>
            <w:r>
              <w:rPr>
                <w:b/>
                <w:bCs/>
                <w:color w:val="000000"/>
                <w:sz w:val="17"/>
                <w:szCs w:val="17"/>
              </w:rPr>
              <w:t xml:space="preserve">Deepest on this list</w:t>
            </w:r>
          </w:p>
        </w:tc>
      </w:tr>
      <w:tr>
        <w:tc>
          <w:tcPr>
            <w:tcW w:type="dxa" w:w="2585"/>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3182"/>
            <w:shd w:fill="F2F5F9" w:color="auto" w:val="clear"/>
            <w:tcMar>
              <w:top w:type="dxa" w:w="60"/>
              <w:left w:type="dxa" w:w="90"/>
              <w:bottom w:type="dxa" w:w="60"/>
              <w:right w:type="dxa" w:w="90"/>
            </w:tcMar>
          </w:tcPr>
          <w:p>
            <w:pPr>
              <w:spacing w:after="0" w:before="0"/>
              <w:jc w:val="left"/>
            </w:pPr>
            <w:r>
              <w:rPr>
                <w:color w:val="000000"/>
                <w:sz w:val="17"/>
                <w:szCs w:val="17"/>
              </w:rPr>
              <w:t xml:space="preserve">~5x</w:t>
            </w:r>
          </w:p>
        </w:tc>
        <w:tc>
          <w:tcPr>
            <w:tcW w:type="dxa" w:w="3979"/>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2585"/>
            <w:tcMar>
              <w:top w:type="dxa" w:w="60"/>
              <w:left w:type="dxa" w:w="90"/>
              <w:bottom w:type="dxa" w:w="60"/>
              <w:right w:type="dxa" w:w="90"/>
            </w:tcMar>
          </w:tcPr>
          <w:p>
            <w:pPr>
              <w:spacing w:after="0" w:before="0"/>
              <w:jc w:val="left"/>
            </w:pPr>
            <w:r>
              <w:rPr>
                <w:color w:val="000000"/>
                <w:sz w:val="17"/>
                <w:szCs w:val="17"/>
              </w:rPr>
              <w:t xml:space="preserve">FCF yield</w:t>
            </w:r>
          </w:p>
        </w:tc>
        <w:tc>
          <w:tcPr>
            <w:tcW w:type="dxa" w:w="3182"/>
            <w:tcMar>
              <w:top w:type="dxa" w:w="60"/>
              <w:left w:type="dxa" w:w="90"/>
              <w:bottom w:type="dxa" w:w="60"/>
              <w:right w:type="dxa" w:w="90"/>
            </w:tcMar>
          </w:tcPr>
          <w:p>
            <w:pPr>
              <w:spacing w:after="0" w:before="0"/>
              <w:jc w:val="left"/>
            </w:pPr>
            <w:r>
              <w:rPr>
                <w:color w:val="000000"/>
                <w:sz w:val="17"/>
                <w:szCs w:val="17"/>
              </w:rPr>
              <w:t xml:space="preserve">~18%</w:t>
            </w:r>
          </w:p>
        </w:tc>
        <w:tc>
          <w:tcPr>
            <w:tcW w:type="dxa" w:w="3979"/>
            <w:tcMar>
              <w:top w:type="dxa" w:w="60"/>
              <w:left w:type="dxa" w:w="90"/>
              <w:bottom w:type="dxa" w:w="60"/>
              <w:right w:type="dxa" w:w="90"/>
            </w:tcMar>
          </w:tcPr>
          <w:p>
            <w:pPr>
              <w:spacing w:after="0" w:before="0"/>
              <w:jc w:val="left"/>
            </w:pPr>
            <w:r>
              <w:rPr>
                <w:b/>
                <w:bCs/>
                <w:color w:val="000000"/>
                <w:sz w:val="17"/>
                <w:szCs w:val="17"/>
              </w:rPr>
              <w:t xml:space="preserve">Highest on this list</w:t>
            </w:r>
          </w:p>
        </w:tc>
      </w:tr>
      <w:tr>
        <w:tc>
          <w:tcPr>
            <w:tcW w:type="dxa" w:w="2585"/>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3182"/>
            <w:shd w:fill="F2F5F9" w:color="auto" w:val="clear"/>
            <w:tcMar>
              <w:top w:type="dxa" w:w="60"/>
              <w:left w:type="dxa" w:w="90"/>
              <w:bottom w:type="dxa" w:w="60"/>
              <w:right w:type="dxa" w:w="90"/>
            </w:tcMar>
          </w:tcPr>
          <w:p>
            <w:pPr>
              <w:spacing w:after="0" w:before="0"/>
              <w:jc w:val="left"/>
            </w:pPr>
            <w:r>
              <w:rPr>
                <w:color w:val="000000"/>
                <w:sz w:val="17"/>
                <w:szCs w:val="17"/>
              </w:rPr>
              <w:t xml:space="preserve">~22% (adj. ~30%)</w:t>
            </w:r>
          </w:p>
        </w:tc>
        <w:tc>
          <w:tcPr>
            <w:tcW w:type="dxa" w:w="3979"/>
            <w:shd w:fill="F2F5F9" w:color="auto" w:val="clear"/>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2585"/>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3182"/>
            <w:tcMar>
              <w:top w:type="dxa" w:w="60"/>
              <w:left w:type="dxa" w:w="90"/>
              <w:bottom w:type="dxa" w:w="60"/>
              <w:right w:type="dxa" w:w="90"/>
            </w:tcMar>
          </w:tcPr>
          <w:p>
            <w:pPr>
              <w:spacing w:after="0" w:before="0"/>
              <w:jc w:val="left"/>
            </w:pPr>
            <w:r>
              <w:rPr>
                <w:color w:val="000000"/>
                <w:sz w:val="17"/>
                <w:szCs w:val="17"/>
              </w:rPr>
              <w:t xml:space="preserve">~28%</w:t>
            </w:r>
          </w:p>
        </w:tc>
        <w:tc>
          <w:tcPr>
            <w:tcW w:type="dxa" w:w="3979"/>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2585"/>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3182"/>
            <w:shd w:fill="F2F5F9" w:color="auto" w:val="clear"/>
            <w:tcMar>
              <w:top w:type="dxa" w:w="60"/>
              <w:left w:type="dxa" w:w="90"/>
              <w:bottom w:type="dxa" w:w="60"/>
              <w:right w:type="dxa" w:w="90"/>
            </w:tcMar>
          </w:tcPr>
          <w:p>
            <w:pPr>
              <w:spacing w:after="0" w:before="0"/>
              <w:jc w:val="left"/>
            </w:pPr>
            <w:r>
              <w:rPr>
                <w:color w:val="000000"/>
                <w:sz w:val="17"/>
                <w:szCs w:val="17"/>
              </w:rPr>
              <w:t xml:space="preserve">Net cash ~£40m</w:t>
            </w:r>
          </w:p>
        </w:tc>
        <w:tc>
          <w:tcPr>
            <w:tcW w:type="dxa" w:w="3979"/>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Fully institutional and employee — John Ions (CEO) and management collectively low single digits, plus UK small-cap specialists (Chelverton, Premier Miton, Canaccord), BlackRock and index funds. </w:t>
      </w:r>
      <w:r>
        <w:rPr>
          <w:b/>
          <w:bCs/>
          <w:sz w:val="19"/>
          <w:szCs w:val="19"/>
        </w:rPr>
        <w:t xml:space="preserve">No holder anywhere near a blocking position.</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Someone has already made it, publicly.</w:t>
      </w:r>
      <w:r>
        <w:rPr>
          <w:sz w:val="19"/>
          <w:szCs w:val="19"/>
        </w:rPr>
        <w:t xml:space="preserve"> On 23 March 2026 the portfolio managers of the GAM Global Opportunities and GAM Global Special Situations funds published an open letter to CEO John Ions calling for an </w:t>
      </w:r>
      <w:r>
        <w:rPr>
          <w:b/>
          <w:bCs/>
          <w:sz w:val="19"/>
          <w:szCs w:val="19"/>
        </w:rPr>
        <w:t xml:space="preserve">immediate strategic review with the objective of selling the business to the highest bidder</w:t>
      </w:r>
      <w:r>
        <w:rPr>
          <w:sz w:val="19"/>
          <w:szCs w:val="19"/>
        </w:rPr>
        <w:t xml:space="preserve">, noting the share price had fallen approximately </w:t>
      </w:r>
      <w:r>
        <w:rPr>
          <w:b/>
          <w:bCs/>
          <w:sz w:val="19"/>
          <w:szCs w:val="19"/>
        </w:rPr>
        <w:t xml:space="preserve">85% from its September 2021 peak</w:t>
      </w:r>
      <w:r>
        <w:rPr>
          <w:sz w:val="19"/>
          <w:szCs w:val="19"/>
        </w:rPr>
        <w:t xml:space="preserve">. The thesis is public, the register has read it, and no formal bid has followed. That is an opening, not a closed chapter.</w:t>
      </w:r>
    </w:p>
    <w:p>
      <w:pPr>
        <w:pStyle w:val="ListParagraph"/>
        <w:numPr>
          <w:ilvl w:val="0"/>
          <w:numId w:val="2"/>
        </w:numPr>
        <w:spacing w:after="40" w:before="40"/>
      </w:pPr>
      <w:r>
        <w:rPr>
          <w:b/>
          <w:bCs/>
          <w:sz w:val="19"/>
          <w:szCs w:val="19"/>
        </w:rPr>
        <w:t xml:space="preserve">The company's answer to an 85% de-rating was to buy something else.</w:t>
      </w:r>
      <w:r>
        <w:rPr>
          <w:sz w:val="19"/>
          <w:szCs w:val="19"/>
        </w:rPr>
        <w:t xml:space="preserve"> The River Global acquisition completed 30 June 2026, adding £3.0bn of AUMA for £7.6m. It may well be a sensible small deal — but at 5x EBIT and an 18% free cash flow yield, the board is allocating capital to third-party assets while its own equity is the cheapest asset it could possibly buy.</w:t>
      </w:r>
    </w:p>
    <w:p>
      <w:pPr>
        <w:pStyle w:val="ListParagraph"/>
        <w:numPr>
          <w:ilvl w:val="0"/>
          <w:numId w:val="2"/>
        </w:numPr>
        <w:spacing w:after="40" w:before="40"/>
      </w:pPr>
      <w:r>
        <w:rPr>
          <w:b/>
          <w:bCs/>
          <w:sz w:val="19"/>
          <w:szCs w:val="19"/>
        </w:rPr>
        <w:t xml:space="preserve">At 5x EBIT with a 30% adjusted margin, this is not a public-market valuation — it is a private-market entry price.</w:t>
      </w:r>
      <w:r>
        <w:rPr>
          <w:sz w:val="19"/>
          <w:szCs w:val="19"/>
        </w:rPr>
        <w:t xml:space="preserve"> Every consolidator in UK asset management can see it.</w:t>
      </w:r>
    </w:p>
    <w:p>
      <w:pPr>
        <w:pStyle w:val="Heading3"/>
        <w:spacing w:after="100" w:before="220"/>
      </w:pPr>
      <w:r>
        <w:rPr>
          <w:b/>
          <w:bCs/>
          <w:color w:val="2E5C8A"/>
          <w:sz w:val="21"/>
          <w:szCs w:val="21"/>
        </w:rPr>
        <w:t xml:space="preserve">Most actionable changes</w:t>
      </w:r>
    </w:p>
    <w:p>
      <w:pPr>
        <w:pStyle w:val="ListParagraph"/>
        <w:numPr>
          <w:ilvl w:val="0"/>
          <w:numId w:val="7"/>
        </w:numPr>
        <w:spacing w:after="40" w:before="40"/>
      </w:pPr>
      <w:r>
        <w:rPr>
          <w:b/>
          <w:bCs/>
          <w:sz w:val="19"/>
          <w:szCs w:val="19"/>
        </w:rPr>
        <w:t xml:space="preserve">Commence the strategic review.</w:t>
      </w:r>
      <w:r>
        <w:rPr>
          <w:sz w:val="19"/>
          <w:szCs w:val="19"/>
        </w:rPr>
        <w:t xml:space="preserve"> The ask is already public and unanswered; the activist role is to convert one letter into a shareholder coalition that makes refusal untenable. A formal review with a stated deadline is the deliverable.</w:t>
      </w:r>
    </w:p>
    <w:p>
      <w:pPr>
        <w:pStyle w:val="ListParagraph"/>
        <w:numPr>
          <w:ilvl w:val="0"/>
          <w:numId w:val="7"/>
        </w:numPr>
        <w:spacing w:after="40" w:before="40"/>
      </w:pPr>
      <w:r>
        <w:rPr>
          <w:b/>
          <w:bCs/>
          <w:sz w:val="19"/>
          <w:szCs w:val="19"/>
        </w:rPr>
        <w:t xml:space="preserve">Halt all further M&amp;A pending the review</w:t>
      </w:r>
      <w:r>
        <w:rPr>
          <w:sz w:val="19"/>
          <w:szCs w:val="19"/>
        </w:rPr>
        <w:t xml:space="preserve">, and redirect free cash flow to buybacks — at an 18% FCF yield, retiring stock is the highest-return use of capital available to this board by a wide margin.</w:t>
      </w:r>
    </w:p>
    <w:p>
      <w:pPr>
        <w:pStyle w:val="ListParagraph"/>
        <w:numPr>
          <w:ilvl w:val="0"/>
          <w:numId w:val="7"/>
        </w:numPr>
        <w:spacing w:after="40" w:before="40"/>
      </w:pPr>
      <w:r>
        <w:rPr>
          <w:b/>
          <w:bCs/>
          <w:sz w:val="19"/>
          <w:szCs w:val="19"/>
        </w:rPr>
        <w:t xml:space="preserve">Reconstitute the board.</w:t>
      </w:r>
      <w:r>
        <w:rPr>
          <w:sz w:val="19"/>
          <w:szCs w:val="19"/>
        </w:rPr>
        <w:t xml:space="preserve"> A management team that has presided over an 85% decline should not be the team that runs the sale process; the review needs an independent chair and independent advisers with a clear mandate.</w:t>
      </w:r>
    </w:p>
    <w:p>
      <w:pPr>
        <w:spacing w:after="100" w:before="60"/>
      </w:pPr>
      <w:r>
        <w:rPr>
          <w:b/>
          <w:bCs/>
          <w:sz w:val="19"/>
          <w:szCs w:val="19"/>
        </w:rPr>
        <w:t xml:space="preserve">Ease of building support: 5/5 — the easiest register on this list.</w:t>
      </w:r>
      <w:r>
        <w:rPr>
          <w:sz w:val="19"/>
          <w:szCs w:val="19"/>
        </w:rPr>
        <w:t xml:space="preserve"> No controlling holder, no family, no strategic stake, a fully institutional shareholder base sitting on catastrophic losses, and a public activist letter already circulated to every one of them. This is a company where the hard work of persuading the register has largely been done by someone else.</w:t>
      </w:r>
    </w:p>
    <w:p>
      <w:pPr>
        <w:spacing w:after="100" w:before="60"/>
      </w:pPr>
      <w:r>
        <w:rPr>
          <w:b/>
          <w:bCs/>
          <w:sz w:val="19"/>
          <w:szCs w:val="19"/>
        </w:rPr>
        <w:t xml:space="preserve">Expected company defence:</w:t>
      </w:r>
      <w:r>
        <w:rPr>
          <w:sz w:val="19"/>
          <w:szCs w:val="19"/>
        </w:rPr>
        <w:t xml:space="preserve"> "Outflows are narrowing, AuMA is up to £24.3 billion, and River Global broadens our investment capability and distribution at a very modest price. A forced sale at a cyclical low in UK equity sentiment would crystallise the loss rather than recover it. The strategy needs time, not an auction."</w:t>
      </w:r>
    </w:p>
    <w:p>
      <w:pPr>
        <w:spacing w:after="100" w:before="60"/>
      </w:pPr>
      <w:r>
        <w:rPr>
          <w:b/>
          <w:bCs/>
          <w:sz w:val="19"/>
          <w:szCs w:val="19"/>
        </w:rPr>
        <w:t xml:space="preserve">Activist angles:</w:t>
      </w:r>
      <w:r>
        <w:rPr>
          <w:sz w:val="19"/>
          <w:szCs w:val="19"/>
        </w:rPr>
        <w:t xml:space="preserve"> M&amp;A / strategic review (primary — sale of the company) · Capital allocation · Governance / board renewal</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6. Ninety One plc (N91 LN)</w:t>
      </w:r>
    </w:p>
    <w:p>
      <w:pPr>
        <w:spacing w:after="100" w:before="60"/>
      </w:pPr>
      <w:r>
        <w:rPr>
          <w:b/>
          <w:bCs/>
          <w:sz w:val="19"/>
          <w:szCs w:val="19"/>
        </w:rPr>
        <w:t xml:space="preserve">Market cap ~£1.2bn · AUM ~£130bn · UK / South Africa dual-listed</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111"/>
        <w:gridCol w:w="4223"/>
        <w:gridCol w:w="3412"/>
      </w:tblGrid>
      <w:tr>
        <w:trPr>
          <w:tblHeader/>
        </w:trPr>
        <w:tc>
          <w:tcPr>
            <w:tcW w:type="dxa" w:w="2111"/>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4223"/>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3412"/>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111"/>
            <w:tcMar>
              <w:top w:type="dxa" w:w="60"/>
              <w:left w:type="dxa" w:w="90"/>
              <w:bottom w:type="dxa" w:w="60"/>
              <w:right w:type="dxa" w:w="90"/>
            </w:tcMar>
          </w:tcPr>
          <w:p>
            <w:pPr>
              <w:spacing w:after="0" w:before="0"/>
              <w:jc w:val="left"/>
            </w:pPr>
            <w:r>
              <w:rPr>
                <w:color w:val="000000"/>
                <w:sz w:val="17"/>
                <w:szCs w:val="17"/>
              </w:rPr>
              <w:t xml:space="preserve">TSR 1yr</w:t>
            </w:r>
          </w:p>
        </w:tc>
        <w:tc>
          <w:tcPr>
            <w:tcW w:type="dxa" w:w="4223"/>
            <w:tcMar>
              <w:top w:type="dxa" w:w="60"/>
              <w:left w:type="dxa" w:w="90"/>
              <w:bottom w:type="dxa" w:w="60"/>
              <w:right w:type="dxa" w:w="90"/>
            </w:tcMar>
          </w:tcPr>
          <w:p>
            <w:pPr>
              <w:spacing w:after="0" w:before="0"/>
              <w:jc w:val="left"/>
            </w:pPr>
            <w:r>
              <w:rPr>
                <w:color w:val="000000"/>
                <w:sz w:val="17"/>
                <w:szCs w:val="17"/>
              </w:rPr>
              <w:t xml:space="preserve">+10%</w:t>
            </w:r>
          </w:p>
        </w:tc>
        <w:tc>
          <w:tcPr>
            <w:tcW w:type="dxa" w:w="3412"/>
            <w:tcMar>
              <w:top w:type="dxa" w:w="60"/>
              <w:left w:type="dxa" w:w="90"/>
              <w:bottom w:type="dxa" w:w="60"/>
              <w:right w:type="dxa" w:w="90"/>
            </w:tcMar>
          </w:tcPr>
          <w:p>
            <w:pPr>
              <w:spacing w:after="0" w:before="0"/>
              <w:jc w:val="left"/>
            </w:pPr>
            <w:r>
              <w:rPr>
                <w:color w:val="000000"/>
                <w:sz w:val="17"/>
                <w:szCs w:val="17"/>
              </w:rPr>
              <w:t xml:space="preserve">−9pp</w:t>
            </w:r>
          </w:p>
        </w:tc>
      </w:tr>
      <w:tr>
        <w:tc>
          <w:tcPr>
            <w:tcW w:type="dxa" w:w="2111"/>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4223"/>
            <w:shd w:fill="F2F5F9" w:color="auto" w:val="clear"/>
            <w:tcMar>
              <w:top w:type="dxa" w:w="60"/>
              <w:left w:type="dxa" w:w="90"/>
              <w:bottom w:type="dxa" w:w="60"/>
              <w:right w:type="dxa" w:w="90"/>
            </w:tcMar>
          </w:tcPr>
          <w:p>
            <w:pPr>
              <w:spacing w:after="0" w:before="0"/>
              <w:jc w:val="left"/>
            </w:pPr>
            <w:r>
              <w:rPr>
                <w:color w:val="000000"/>
                <w:sz w:val="17"/>
                <w:szCs w:val="17"/>
              </w:rPr>
              <w:t xml:space="preserve">−10%</w:t>
            </w:r>
          </w:p>
        </w:tc>
        <w:tc>
          <w:tcPr>
            <w:tcW w:type="dxa" w:w="3412"/>
            <w:shd w:fill="F2F5F9" w:color="auto" w:val="clear"/>
            <w:tcMar>
              <w:top w:type="dxa" w:w="60"/>
              <w:left w:type="dxa" w:w="90"/>
              <w:bottom w:type="dxa" w:w="60"/>
              <w:right w:type="dxa" w:w="90"/>
            </w:tcMar>
          </w:tcPr>
          <w:p>
            <w:pPr>
              <w:spacing w:after="0" w:before="0"/>
              <w:jc w:val="left"/>
            </w:pPr>
            <w:r>
              <w:rPr>
                <w:b/>
                <w:bCs/>
                <w:color w:val="000000"/>
                <w:sz w:val="17"/>
                <w:szCs w:val="17"/>
              </w:rPr>
              <w:t xml:space="preserve">−42pp</w:t>
            </w:r>
          </w:p>
        </w:tc>
      </w:tr>
      <w:tr>
        <w:tc>
          <w:tcPr>
            <w:tcW w:type="dxa" w:w="2111"/>
            <w:tcMar>
              <w:top w:type="dxa" w:w="60"/>
              <w:left w:type="dxa" w:w="90"/>
              <w:bottom w:type="dxa" w:w="60"/>
              <w:right w:type="dxa" w:w="90"/>
            </w:tcMar>
          </w:tcPr>
          <w:p>
            <w:pPr>
              <w:spacing w:after="0" w:before="0"/>
              <w:jc w:val="left"/>
            </w:pPr>
            <w:r>
              <w:rPr>
                <w:color w:val="000000"/>
                <w:sz w:val="17"/>
                <w:szCs w:val="17"/>
              </w:rPr>
              <w:t xml:space="preserve">TSR 5yr</w:t>
            </w:r>
          </w:p>
        </w:tc>
        <w:tc>
          <w:tcPr>
            <w:tcW w:type="dxa" w:w="4223"/>
            <w:tcMar>
              <w:top w:type="dxa" w:w="60"/>
              <w:left w:type="dxa" w:w="90"/>
              <w:bottom w:type="dxa" w:w="60"/>
              <w:right w:type="dxa" w:w="90"/>
            </w:tcMar>
          </w:tcPr>
          <w:p>
            <w:pPr>
              <w:spacing w:after="0" w:before="0"/>
              <w:jc w:val="left"/>
            </w:pPr>
            <w:r>
              <w:rPr>
                <w:color w:val="000000"/>
                <w:sz w:val="17"/>
                <w:szCs w:val="17"/>
              </w:rPr>
              <w:t xml:space="preserve">−45%</w:t>
            </w:r>
          </w:p>
        </w:tc>
        <w:tc>
          <w:tcPr>
            <w:tcW w:type="dxa" w:w="3412"/>
            <w:tcMar>
              <w:top w:type="dxa" w:w="60"/>
              <w:left w:type="dxa" w:w="90"/>
              <w:bottom w:type="dxa" w:w="60"/>
              <w:right w:type="dxa" w:w="90"/>
            </w:tcMar>
          </w:tcPr>
          <w:p>
            <w:pPr>
              <w:spacing w:after="0" w:before="0"/>
              <w:jc w:val="left"/>
            </w:pPr>
            <w:r>
              <w:rPr>
                <w:b/>
                <w:bCs/>
                <w:color w:val="000000"/>
                <w:sz w:val="17"/>
                <w:szCs w:val="17"/>
              </w:rPr>
              <w:t xml:space="preserve">−63pp</w:t>
            </w:r>
          </w:p>
        </w:tc>
      </w:tr>
      <w:tr>
        <w:tc>
          <w:tcPr>
            <w:tcW w:type="dxa" w:w="2111"/>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4223"/>
            <w:shd w:fill="F2F5F9" w:color="auto" w:val="clear"/>
            <w:tcMar>
              <w:top w:type="dxa" w:w="60"/>
              <w:left w:type="dxa" w:w="90"/>
              <w:bottom w:type="dxa" w:w="60"/>
              <w:right w:type="dxa" w:w="90"/>
            </w:tcMar>
          </w:tcPr>
          <w:p>
            <w:pPr>
              <w:spacing w:after="0" w:before="0"/>
              <w:jc w:val="left"/>
            </w:pPr>
            <w:r>
              <w:rPr>
                <w:color w:val="000000"/>
                <w:sz w:val="17"/>
                <w:szCs w:val="17"/>
              </w:rPr>
              <w:t xml:space="preserve">~1.6x</w:t>
            </w:r>
          </w:p>
        </w:tc>
        <w:tc>
          <w:tcPr>
            <w:tcW w:type="dxa" w:w="3412"/>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2111"/>
            <w:tcMar>
              <w:top w:type="dxa" w:w="60"/>
              <w:left w:type="dxa" w:w="90"/>
              <w:bottom w:type="dxa" w:w="60"/>
              <w:right w:type="dxa" w:w="90"/>
            </w:tcMar>
          </w:tcPr>
          <w:p>
            <w:pPr>
              <w:spacing w:after="0" w:before="0"/>
              <w:jc w:val="left"/>
            </w:pPr>
            <w:r>
              <w:rPr>
                <w:color w:val="000000"/>
                <w:sz w:val="17"/>
                <w:szCs w:val="17"/>
              </w:rPr>
              <w:t xml:space="preserve">EV/EBIT</w:t>
            </w:r>
          </w:p>
        </w:tc>
        <w:tc>
          <w:tcPr>
            <w:tcW w:type="dxa" w:w="4223"/>
            <w:tcMar>
              <w:top w:type="dxa" w:w="60"/>
              <w:left w:type="dxa" w:w="90"/>
              <w:bottom w:type="dxa" w:w="60"/>
              <w:right w:type="dxa" w:w="90"/>
            </w:tcMar>
          </w:tcPr>
          <w:p>
            <w:pPr>
              <w:spacing w:after="0" w:before="0"/>
              <w:jc w:val="left"/>
            </w:pPr>
            <w:r>
              <w:rPr>
                <w:color w:val="000000"/>
                <w:sz w:val="17"/>
                <w:szCs w:val="17"/>
              </w:rPr>
              <w:t xml:space="preserve">~5.5x ex-cash</w:t>
            </w:r>
          </w:p>
        </w:tc>
        <w:tc>
          <w:tcPr>
            <w:tcW w:type="dxa" w:w="3412"/>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2111"/>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4223"/>
            <w:shd w:fill="F2F5F9" w:color="auto" w:val="clear"/>
            <w:tcMar>
              <w:top w:type="dxa" w:w="60"/>
              <w:left w:type="dxa" w:w="90"/>
              <w:bottom w:type="dxa" w:w="60"/>
              <w:right w:type="dxa" w:w="90"/>
            </w:tcMar>
          </w:tcPr>
          <w:p>
            <w:pPr>
              <w:spacing w:after="0" w:before="0"/>
              <w:jc w:val="left"/>
            </w:pPr>
            <w:r>
              <w:rPr>
                <w:color w:val="000000"/>
                <w:sz w:val="17"/>
                <w:szCs w:val="17"/>
              </w:rPr>
              <w:t xml:space="preserve">~9x</w:t>
            </w:r>
          </w:p>
        </w:tc>
        <w:tc>
          <w:tcPr>
            <w:tcW w:type="dxa" w:w="3412"/>
            <w:shd w:fill="F2F5F9" w:color="auto" w:val="clear"/>
            <w:tcMar>
              <w:top w:type="dxa" w:w="60"/>
              <w:left w:type="dxa" w:w="90"/>
              <w:bottom w:type="dxa" w:w="60"/>
              <w:right w:type="dxa" w:w="90"/>
            </w:tcMar>
          </w:tcPr>
          <w:p>
            <w:pPr>
              <w:spacing w:after="0" w:before="0"/>
              <w:jc w:val="left"/>
            </w:pPr>
            <w:r>
              <w:rPr>
                <w:b/>
                <w:bCs/>
                <w:color w:val="000000"/>
                <w:sz w:val="17"/>
                <w:szCs w:val="17"/>
              </w:rPr>
              <w:t xml:space="preserve">Discount</w:t>
            </w:r>
          </w:p>
        </w:tc>
      </w:tr>
      <w:tr>
        <w:tc>
          <w:tcPr>
            <w:tcW w:type="dxa" w:w="2111"/>
            <w:tcMar>
              <w:top w:type="dxa" w:w="60"/>
              <w:left w:type="dxa" w:w="90"/>
              <w:bottom w:type="dxa" w:w="60"/>
              <w:right w:type="dxa" w:w="90"/>
            </w:tcMar>
          </w:tcPr>
          <w:p>
            <w:pPr>
              <w:spacing w:after="0" w:before="0"/>
              <w:jc w:val="left"/>
            </w:pPr>
            <w:r>
              <w:rPr>
                <w:color w:val="000000"/>
                <w:sz w:val="17"/>
                <w:szCs w:val="17"/>
              </w:rPr>
              <w:t xml:space="preserve">FCF yield</w:t>
            </w:r>
          </w:p>
        </w:tc>
        <w:tc>
          <w:tcPr>
            <w:tcW w:type="dxa" w:w="4223"/>
            <w:tcMar>
              <w:top w:type="dxa" w:w="60"/>
              <w:left w:type="dxa" w:w="90"/>
              <w:bottom w:type="dxa" w:w="60"/>
              <w:right w:type="dxa" w:w="90"/>
            </w:tcMar>
          </w:tcPr>
          <w:p>
            <w:pPr>
              <w:spacing w:after="0" w:before="0"/>
              <w:jc w:val="left"/>
            </w:pPr>
            <w:r>
              <w:rPr>
                <w:color w:val="000000"/>
                <w:sz w:val="17"/>
                <w:szCs w:val="17"/>
              </w:rPr>
              <w:t xml:space="preserve">~11%</w:t>
            </w:r>
          </w:p>
        </w:tc>
        <w:tc>
          <w:tcPr>
            <w:tcW w:type="dxa" w:w="3412"/>
            <w:tcMar>
              <w:top w:type="dxa" w:w="60"/>
              <w:left w:type="dxa" w:w="90"/>
              <w:bottom w:type="dxa" w:w="60"/>
              <w:right w:type="dxa" w:w="90"/>
            </w:tcMar>
          </w:tcPr>
          <w:p>
            <w:pPr>
              <w:spacing w:after="0" w:before="0"/>
              <w:jc w:val="left"/>
            </w:pPr>
            <w:r>
              <w:rPr>
                <w:color w:val="000000"/>
                <w:sz w:val="17"/>
                <w:szCs w:val="17"/>
              </w:rPr>
              <w:t xml:space="preserve">Very attractive</w:t>
            </w:r>
          </w:p>
        </w:tc>
      </w:tr>
      <w:tr>
        <w:tc>
          <w:tcPr>
            <w:tcW w:type="dxa" w:w="2111"/>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4223"/>
            <w:shd w:fill="F2F5F9" w:color="auto" w:val="clear"/>
            <w:tcMar>
              <w:top w:type="dxa" w:w="60"/>
              <w:left w:type="dxa" w:w="90"/>
              <w:bottom w:type="dxa" w:w="60"/>
              <w:right w:type="dxa" w:w="90"/>
            </w:tcMar>
          </w:tcPr>
          <w:p>
            <w:pPr>
              <w:spacing w:after="0" w:before="0"/>
              <w:jc w:val="left"/>
            </w:pPr>
            <w:r>
              <w:rPr>
                <w:color w:val="000000"/>
                <w:sz w:val="17"/>
                <w:szCs w:val="17"/>
              </w:rPr>
              <w:t xml:space="preserve">~30%</w:t>
            </w:r>
          </w:p>
        </w:tc>
        <w:tc>
          <w:tcPr>
            <w:tcW w:type="dxa" w:w="3412"/>
            <w:shd w:fill="F2F5F9" w:color="auto" w:val="clear"/>
            <w:tcMar>
              <w:top w:type="dxa" w:w="60"/>
              <w:left w:type="dxa" w:w="90"/>
              <w:bottom w:type="dxa" w:w="60"/>
              <w:right w:type="dxa" w:w="90"/>
            </w:tcMar>
          </w:tcPr>
          <w:p>
            <w:pPr>
              <w:spacing w:after="0" w:before="0"/>
              <w:jc w:val="left"/>
            </w:pPr>
            <w:r>
              <w:rPr>
                <w:color w:val="000000"/>
                <w:sz w:val="17"/>
                <w:szCs w:val="17"/>
              </w:rPr>
              <w:t xml:space="preserve">Slightly above sector</w:t>
            </w:r>
          </w:p>
        </w:tc>
      </w:tr>
      <w:tr>
        <w:tc>
          <w:tcPr>
            <w:tcW w:type="dxa" w:w="2111"/>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4223"/>
            <w:tcMar>
              <w:top w:type="dxa" w:w="60"/>
              <w:left w:type="dxa" w:w="90"/>
              <w:bottom w:type="dxa" w:w="60"/>
              <w:right w:type="dxa" w:w="90"/>
            </w:tcMar>
          </w:tcPr>
          <w:p>
            <w:pPr>
              <w:spacing w:after="0" w:before="0"/>
              <w:jc w:val="left"/>
            </w:pPr>
            <w:r>
              <w:rPr>
                <w:color w:val="000000"/>
                <w:sz w:val="17"/>
                <w:szCs w:val="17"/>
              </w:rPr>
              <w:t xml:space="preserve">~32%</w:t>
            </w:r>
          </w:p>
        </w:tc>
        <w:tc>
          <w:tcPr>
            <w:tcW w:type="dxa" w:w="3412"/>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2111"/>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4223"/>
            <w:shd w:fill="F2F5F9" w:color="auto" w:val="clear"/>
            <w:tcMar>
              <w:top w:type="dxa" w:w="60"/>
              <w:left w:type="dxa" w:w="90"/>
              <w:bottom w:type="dxa" w:w="60"/>
              <w:right w:type="dxa" w:w="90"/>
            </w:tcMar>
          </w:tcPr>
          <w:p>
            <w:pPr>
              <w:spacing w:after="0" w:before="0"/>
              <w:jc w:val="left"/>
            </w:pPr>
            <w:r>
              <w:rPr>
                <w:color w:val="000000"/>
                <w:sz w:val="17"/>
                <w:szCs w:val="17"/>
              </w:rPr>
              <w:t xml:space="preserve">Net cash ~£250m, zero debt</w:t>
            </w:r>
          </w:p>
        </w:tc>
        <w:tc>
          <w:tcPr>
            <w:tcW w:type="dxa" w:w="3412"/>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Forty Two Point Two (Hendrik du Toit's vehicle) ~13%, Hendrik du Toit personally (partly overlapping) ~9%, South African institutions including PIC ~7%, BlackRock ~5%, Coronation / SA asset managers ~4%. Note the dual-listed company structure splits the register across two lines.</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The dual-listed company structure is a permanent, self-inflicted valuation discount.</w:t>
      </w:r>
      <w:r>
        <w:rPr>
          <w:sz w:val="19"/>
          <w:szCs w:val="19"/>
        </w:rPr>
        <w:t xml:space="preserve"> Two listed lines (Ninety One plc and Ninety One Ltd) fragment liquidity, complicate index inclusion, confuse global allocators and impose a governance architecture that serves history rather than shareholders. It costs the company a multiple point or two every single day.</w:t>
      </w:r>
    </w:p>
    <w:p>
      <w:pPr>
        <w:pStyle w:val="ListParagraph"/>
        <w:numPr>
          <w:ilvl w:val="0"/>
          <w:numId w:val="2"/>
        </w:numPr>
        <w:spacing w:after="40" w:before="40"/>
      </w:pPr>
      <w:r>
        <w:rPr>
          <w:b/>
          <w:bCs/>
          <w:sz w:val="19"/>
          <w:szCs w:val="19"/>
        </w:rPr>
        <w:t xml:space="preserve">Five consecutive half-years of heavy net outflows, now finally inflecting.</w:t>
      </w:r>
      <w:r>
        <w:rPr>
          <w:sz w:val="19"/>
          <w:szCs w:val="19"/>
        </w:rPr>
        <w:t xml:space="preserve"> Flows jumped in the Apr–Sep 2025 half after five straight halves of outflows. The franchise is not broken — it is under-monetised, which is a different and far more fixable problem.</w:t>
      </w:r>
    </w:p>
    <w:p>
      <w:pPr>
        <w:pStyle w:val="ListParagraph"/>
        <w:numPr>
          <w:ilvl w:val="0"/>
          <w:numId w:val="2"/>
        </w:numPr>
        <w:spacing w:after="40" w:before="40"/>
      </w:pPr>
      <w:r>
        <w:rPr>
          <w:b/>
          <w:bCs/>
          <w:sz w:val="19"/>
          <w:szCs w:val="19"/>
        </w:rPr>
        <w:t xml:space="preserve">30% EBIT margin on £130bn of AUM implies structural under-earning.</w:t>
      </w:r>
      <w:r>
        <w:rPr>
          <w:sz w:val="19"/>
          <w:szCs w:val="19"/>
        </w:rPr>
        <w:t xml:space="preserve"> Comparable-scale managers with this fee mix run 35–40%. The gap is a long tail of sub-scale strategies and a cost base that was built for growth that did not arrive.</w:t>
      </w:r>
    </w:p>
    <w:p>
      <w:pPr>
        <w:pStyle w:val="Heading3"/>
        <w:spacing w:after="100" w:before="220"/>
      </w:pPr>
      <w:r>
        <w:rPr>
          <w:b/>
          <w:bCs/>
          <w:color w:val="2E5C8A"/>
          <w:sz w:val="21"/>
          <w:szCs w:val="21"/>
        </w:rPr>
        <w:t xml:space="preserve">Most actionable changes</w:t>
      </w:r>
    </w:p>
    <w:p>
      <w:pPr>
        <w:pStyle w:val="ListParagraph"/>
        <w:numPr>
          <w:ilvl w:val="0"/>
          <w:numId w:val="8"/>
        </w:numPr>
        <w:spacing w:after="40" w:before="40"/>
      </w:pPr>
      <w:r>
        <w:rPr>
          <w:b/>
          <w:bCs/>
          <w:sz w:val="19"/>
          <w:szCs w:val="19"/>
        </w:rPr>
        <w:t xml:space="preserve">Collapse the DLC into a single UK-primary line</w:t>
      </w:r>
      <w:r>
        <w:rPr>
          <w:sz w:val="19"/>
          <w:szCs w:val="19"/>
        </w:rPr>
        <w:t xml:space="preserve">, with a secondary JSE listing retained for South African clients. This is a well-trodden path (several DLCs have unified in the past decade) and is the single largest re-rating catalyst available.</w:t>
      </w:r>
    </w:p>
    <w:p>
      <w:pPr>
        <w:pStyle w:val="ListParagraph"/>
        <w:numPr>
          <w:ilvl w:val="0"/>
          <w:numId w:val="8"/>
        </w:numPr>
        <w:spacing w:after="40" w:before="40"/>
      </w:pPr>
      <w:r>
        <w:rPr>
          <w:b/>
          <w:bCs/>
          <w:sz w:val="19"/>
          <w:szCs w:val="19"/>
        </w:rPr>
        <w:t xml:space="preserve">Close or merge the sub-scale fund range</w:t>
      </w:r>
      <w:r>
        <w:rPr>
          <w:sz w:val="19"/>
          <w:szCs w:val="19"/>
        </w:rPr>
        <w:t xml:space="preserve"> and commit to a 35% EBIT margin target.</w:t>
      </w:r>
    </w:p>
    <w:p>
      <w:pPr>
        <w:pStyle w:val="ListParagraph"/>
        <w:numPr>
          <w:ilvl w:val="0"/>
          <w:numId w:val="8"/>
        </w:numPr>
        <w:spacing w:after="40" w:before="40"/>
      </w:pPr>
      <w:r>
        <w:rPr>
          <w:b/>
          <w:bCs/>
          <w:sz w:val="19"/>
          <w:szCs w:val="19"/>
        </w:rPr>
        <w:t xml:space="preserve">Deploy the £250m net cash</w:t>
      </w:r>
      <w:r>
        <w:rPr>
          <w:sz w:val="19"/>
          <w:szCs w:val="19"/>
        </w:rPr>
        <w:t xml:space="preserve"> into a buyback at 5.5x ex-cash EBIT rather than holding it against an outflow scenario that has now reversed.</w:t>
      </w:r>
    </w:p>
    <w:p>
      <w:pPr>
        <w:spacing w:after="100" w:before="60"/>
      </w:pPr>
      <w:r>
        <w:rPr>
          <w:b/>
          <w:bCs/>
          <w:sz w:val="19"/>
          <w:szCs w:val="19"/>
        </w:rPr>
        <w:t xml:space="preserve">Ease of building support: 3/5.</w:t>
      </w:r>
      <w:r>
        <w:rPr>
          <w:sz w:val="19"/>
          <w:szCs w:val="19"/>
        </w:rPr>
        <w:t xml:space="preserve"> The founder-linked bloc (Forty Two Point Two plus du Toit personally, ~20%+ combined) and the South African institutional base are sticky and philosophically aligned with management. Success requires assembling a UK institutional coalition and — critically — persuading the SA holders that a single line does not mean abandoning South Africa. B-BBEE considerations are a genuine constraint that must be engineered around, not dismissed.</w:t>
      </w:r>
    </w:p>
    <w:p>
      <w:pPr>
        <w:spacing w:after="100" w:before="60"/>
      </w:pPr>
      <w:r>
        <w:rPr>
          <w:b/>
          <w:bCs/>
          <w:sz w:val="19"/>
          <w:szCs w:val="19"/>
        </w:rPr>
        <w:t xml:space="preserve">Expected company defence:</w:t>
      </w:r>
      <w:r>
        <w:rPr>
          <w:sz w:val="19"/>
          <w:szCs w:val="19"/>
        </w:rPr>
        <w:t xml:space="preserve"> "The DLC structure is what allows us to serve our South African client base and maintain our B-BBEE credentials — it is not an accident of history, it is a commercial requirement. Flows have inflected positive, investment performance is strong, and emerging-market specialists are exactly the capability allocators will want in the next cycle."</w:t>
      </w:r>
    </w:p>
    <w:p>
      <w:pPr>
        <w:spacing w:after="100" w:before="60"/>
      </w:pPr>
      <w:r>
        <w:rPr>
          <w:b/>
          <w:bCs/>
          <w:sz w:val="19"/>
          <w:szCs w:val="19"/>
        </w:rPr>
        <w:t xml:space="preserve">Activist angles:</w:t>
      </w:r>
      <w:r>
        <w:rPr>
          <w:sz w:val="19"/>
          <w:szCs w:val="19"/>
        </w:rPr>
        <w:t xml:space="preserve"> Corporate structure / portfolio simplification (primary — DLC collapse) · Capital allocation · Cost discipline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7. Quilter plc (QLT LN)</w:t>
      </w:r>
    </w:p>
    <w:p>
      <w:pPr>
        <w:spacing w:after="100" w:before="60"/>
      </w:pPr>
      <w:r>
        <w:rPr>
          <w:b/>
          <w:bCs/>
          <w:sz w:val="19"/>
          <w:szCs w:val="19"/>
        </w:rPr>
        <w:t xml:space="preserve">Market cap ~£2.3bn · AUA ~£130bn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735"/>
        <w:gridCol w:w="5206"/>
        <w:gridCol w:w="2805"/>
      </w:tblGrid>
      <w:tr>
        <w:trPr>
          <w:tblHeader/>
        </w:trPr>
        <w:tc>
          <w:tcPr>
            <w:tcW w:type="dxa" w:w="1735"/>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5206"/>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2805"/>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735"/>
            <w:tcMar>
              <w:top w:type="dxa" w:w="60"/>
              <w:left w:type="dxa" w:w="90"/>
              <w:bottom w:type="dxa" w:w="60"/>
              <w:right w:type="dxa" w:w="90"/>
            </w:tcMar>
          </w:tcPr>
          <w:p>
            <w:pPr>
              <w:spacing w:after="0" w:before="0"/>
              <w:jc w:val="left"/>
            </w:pPr>
            <w:r>
              <w:rPr>
                <w:color w:val="000000"/>
                <w:sz w:val="17"/>
                <w:szCs w:val="17"/>
              </w:rPr>
              <w:t xml:space="preserve">TSR 1yr</w:t>
            </w:r>
          </w:p>
        </w:tc>
        <w:tc>
          <w:tcPr>
            <w:tcW w:type="dxa" w:w="5206"/>
            <w:tcMar>
              <w:top w:type="dxa" w:w="60"/>
              <w:left w:type="dxa" w:w="90"/>
              <w:bottom w:type="dxa" w:w="60"/>
              <w:right w:type="dxa" w:w="90"/>
            </w:tcMar>
          </w:tcPr>
          <w:p>
            <w:pPr>
              <w:spacing w:after="0" w:before="0"/>
              <w:jc w:val="left"/>
            </w:pPr>
            <w:r>
              <w:rPr>
                <w:color w:val="000000"/>
                <w:sz w:val="17"/>
                <w:szCs w:val="17"/>
              </w:rPr>
              <w:t xml:space="preserve">+20%</w:t>
            </w:r>
          </w:p>
        </w:tc>
        <w:tc>
          <w:tcPr>
            <w:tcW w:type="dxa" w:w="2805"/>
            <w:tcMar>
              <w:top w:type="dxa" w:w="60"/>
              <w:left w:type="dxa" w:w="90"/>
              <w:bottom w:type="dxa" w:w="60"/>
              <w:right w:type="dxa" w:w="90"/>
            </w:tcMar>
          </w:tcPr>
          <w:p>
            <w:pPr>
              <w:spacing w:after="0" w:before="0"/>
              <w:jc w:val="left"/>
            </w:pPr>
            <w:r>
              <w:rPr>
                <w:color w:val="000000"/>
                <w:sz w:val="17"/>
                <w:szCs w:val="17"/>
              </w:rPr>
              <w:t xml:space="preserve">+1pp</w:t>
            </w:r>
          </w:p>
        </w:tc>
      </w:tr>
      <w:tr>
        <w:tc>
          <w:tcPr>
            <w:tcW w:type="dxa" w:w="1735"/>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5206"/>
            <w:shd w:fill="F2F5F9" w:color="auto" w:val="clear"/>
            <w:tcMar>
              <w:top w:type="dxa" w:w="60"/>
              <w:left w:type="dxa" w:w="90"/>
              <w:bottom w:type="dxa" w:w="60"/>
              <w:right w:type="dxa" w:w="90"/>
            </w:tcMar>
          </w:tcPr>
          <w:p>
            <w:pPr>
              <w:spacing w:after="0" w:before="0"/>
              <w:jc w:val="left"/>
            </w:pPr>
            <w:r>
              <w:rPr>
                <w:color w:val="000000"/>
                <w:sz w:val="17"/>
                <w:szCs w:val="17"/>
              </w:rPr>
              <w:t xml:space="preserve">+75%</w:t>
            </w:r>
          </w:p>
        </w:tc>
        <w:tc>
          <w:tcPr>
            <w:tcW w:type="dxa" w:w="2805"/>
            <w:shd w:fill="F2F5F9" w:color="auto" w:val="clear"/>
            <w:tcMar>
              <w:top w:type="dxa" w:w="60"/>
              <w:left w:type="dxa" w:w="90"/>
              <w:bottom w:type="dxa" w:w="60"/>
              <w:right w:type="dxa" w:w="90"/>
            </w:tcMar>
          </w:tcPr>
          <w:p>
            <w:pPr>
              <w:spacing w:after="0" w:before="0"/>
              <w:jc w:val="left"/>
            </w:pPr>
            <w:r>
              <w:rPr>
                <w:b/>
                <w:bCs/>
                <w:color w:val="000000"/>
                <w:sz w:val="17"/>
                <w:szCs w:val="17"/>
              </w:rPr>
              <w:t xml:space="preserve">+43pp</w:t>
            </w:r>
          </w:p>
        </w:tc>
      </w:tr>
      <w:tr>
        <w:tc>
          <w:tcPr>
            <w:tcW w:type="dxa" w:w="1735"/>
            <w:tcMar>
              <w:top w:type="dxa" w:w="60"/>
              <w:left w:type="dxa" w:w="90"/>
              <w:bottom w:type="dxa" w:w="60"/>
              <w:right w:type="dxa" w:w="90"/>
            </w:tcMar>
          </w:tcPr>
          <w:p>
            <w:pPr>
              <w:spacing w:after="0" w:before="0"/>
              <w:jc w:val="left"/>
            </w:pPr>
            <w:r>
              <w:rPr>
                <w:color w:val="000000"/>
                <w:sz w:val="17"/>
                <w:szCs w:val="17"/>
              </w:rPr>
              <w:t xml:space="preserve">TSR 5yr</w:t>
            </w:r>
          </w:p>
        </w:tc>
        <w:tc>
          <w:tcPr>
            <w:tcW w:type="dxa" w:w="5206"/>
            <w:tcMar>
              <w:top w:type="dxa" w:w="60"/>
              <w:left w:type="dxa" w:w="90"/>
              <w:bottom w:type="dxa" w:w="60"/>
              <w:right w:type="dxa" w:w="90"/>
            </w:tcMar>
          </w:tcPr>
          <w:p>
            <w:pPr>
              <w:spacing w:after="0" w:before="0"/>
              <w:jc w:val="left"/>
            </w:pPr>
            <w:r>
              <w:rPr>
                <w:color w:val="000000"/>
                <w:sz w:val="17"/>
                <w:szCs w:val="17"/>
              </w:rPr>
              <w:t xml:space="preserve">+25%</w:t>
            </w:r>
          </w:p>
        </w:tc>
        <w:tc>
          <w:tcPr>
            <w:tcW w:type="dxa" w:w="2805"/>
            <w:tcMar>
              <w:top w:type="dxa" w:w="60"/>
              <w:left w:type="dxa" w:w="90"/>
              <w:bottom w:type="dxa" w:w="60"/>
              <w:right w:type="dxa" w:w="90"/>
            </w:tcMar>
          </w:tcPr>
          <w:p>
            <w:pPr>
              <w:spacing w:after="0" w:before="0"/>
              <w:jc w:val="left"/>
            </w:pPr>
            <w:r>
              <w:rPr>
                <w:color w:val="000000"/>
                <w:sz w:val="17"/>
                <w:szCs w:val="17"/>
              </w:rPr>
              <w:t xml:space="preserve">+7pp</w:t>
            </w:r>
          </w:p>
        </w:tc>
      </w:tr>
      <w:tr>
        <w:tc>
          <w:tcPr>
            <w:tcW w:type="dxa" w:w="1735"/>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5206"/>
            <w:shd w:fill="F2F5F9" w:color="auto" w:val="clear"/>
            <w:tcMar>
              <w:top w:type="dxa" w:w="60"/>
              <w:left w:type="dxa" w:w="90"/>
              <w:bottom w:type="dxa" w:w="60"/>
              <w:right w:type="dxa" w:w="90"/>
            </w:tcMar>
          </w:tcPr>
          <w:p>
            <w:pPr>
              <w:spacing w:after="0" w:before="0"/>
              <w:jc w:val="left"/>
            </w:pPr>
            <w:r>
              <w:rPr>
                <w:color w:val="000000"/>
                <w:sz w:val="17"/>
                <w:szCs w:val="17"/>
              </w:rPr>
              <w:t xml:space="preserve">~2.6x</w:t>
            </w:r>
          </w:p>
        </w:tc>
        <w:tc>
          <w:tcPr>
            <w:tcW w:type="dxa" w:w="2805"/>
            <w:shd w:fill="F2F5F9" w:color="auto" w:val="clear"/>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35"/>
            <w:tcMar>
              <w:top w:type="dxa" w:w="60"/>
              <w:left w:type="dxa" w:w="90"/>
              <w:bottom w:type="dxa" w:w="60"/>
              <w:right w:type="dxa" w:w="90"/>
            </w:tcMar>
          </w:tcPr>
          <w:p>
            <w:pPr>
              <w:spacing w:after="0" w:before="0"/>
              <w:jc w:val="left"/>
            </w:pPr>
            <w:r>
              <w:rPr>
                <w:color w:val="000000"/>
                <w:sz w:val="17"/>
                <w:szCs w:val="17"/>
              </w:rPr>
              <w:t xml:space="preserve">EV/EBIT</w:t>
            </w:r>
          </w:p>
        </w:tc>
        <w:tc>
          <w:tcPr>
            <w:tcW w:type="dxa" w:w="5206"/>
            <w:tcMar>
              <w:top w:type="dxa" w:w="60"/>
              <w:left w:type="dxa" w:w="90"/>
              <w:bottom w:type="dxa" w:w="60"/>
              <w:right w:type="dxa" w:w="90"/>
            </w:tcMar>
          </w:tcPr>
          <w:p>
            <w:pPr>
              <w:spacing w:after="0" w:before="0"/>
              <w:jc w:val="left"/>
            </w:pPr>
            <w:r>
              <w:rPr>
                <w:color w:val="000000"/>
                <w:sz w:val="17"/>
                <w:szCs w:val="17"/>
              </w:rPr>
              <w:t xml:space="preserve">~13x</w:t>
            </w:r>
          </w:p>
        </w:tc>
        <w:tc>
          <w:tcPr>
            <w:tcW w:type="dxa" w:w="2805"/>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35"/>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5206"/>
            <w:shd w:fill="F2F5F9" w:color="auto" w:val="clear"/>
            <w:tcMar>
              <w:top w:type="dxa" w:w="60"/>
              <w:left w:type="dxa" w:w="90"/>
              <w:bottom w:type="dxa" w:w="60"/>
              <w:right w:type="dxa" w:w="90"/>
            </w:tcMar>
          </w:tcPr>
          <w:p>
            <w:pPr>
              <w:spacing w:after="0" w:before="0"/>
              <w:jc w:val="left"/>
            </w:pPr>
            <w:r>
              <w:rPr>
                <w:color w:val="000000"/>
                <w:sz w:val="17"/>
                <w:szCs w:val="17"/>
              </w:rPr>
              <w:t xml:space="preserve">~15x</w:t>
            </w:r>
          </w:p>
        </w:tc>
        <w:tc>
          <w:tcPr>
            <w:tcW w:type="dxa" w:w="2805"/>
            <w:shd w:fill="F2F5F9" w:color="auto" w:val="clear"/>
            <w:tcMar>
              <w:top w:type="dxa" w:w="60"/>
              <w:left w:type="dxa" w:w="90"/>
              <w:bottom w:type="dxa" w:w="60"/>
              <w:right w:type="dxa" w:w="90"/>
            </w:tcMar>
          </w:tcPr>
          <w:p>
            <w:pPr>
              <w:spacing w:after="0" w:before="0"/>
              <w:jc w:val="left"/>
            </w:pPr>
            <w:r>
              <w:rPr>
                <w:color w:val="000000"/>
                <w:sz w:val="17"/>
                <w:szCs w:val="17"/>
              </w:rPr>
              <w:t xml:space="preserve">Slight premium</w:t>
            </w:r>
          </w:p>
        </w:tc>
      </w:tr>
      <w:tr>
        <w:tc>
          <w:tcPr>
            <w:tcW w:type="dxa" w:w="1735"/>
            <w:tcMar>
              <w:top w:type="dxa" w:w="60"/>
              <w:left w:type="dxa" w:w="90"/>
              <w:bottom w:type="dxa" w:w="60"/>
              <w:right w:type="dxa" w:w="90"/>
            </w:tcMar>
          </w:tcPr>
          <w:p>
            <w:pPr>
              <w:spacing w:after="0" w:before="0"/>
              <w:jc w:val="left"/>
            </w:pPr>
            <w:r>
              <w:rPr>
                <w:color w:val="000000"/>
                <w:sz w:val="17"/>
                <w:szCs w:val="17"/>
              </w:rPr>
              <w:t xml:space="preserve">FCF yield</w:t>
            </w:r>
          </w:p>
        </w:tc>
        <w:tc>
          <w:tcPr>
            <w:tcW w:type="dxa" w:w="5206"/>
            <w:tcMar>
              <w:top w:type="dxa" w:w="60"/>
              <w:left w:type="dxa" w:w="90"/>
              <w:bottom w:type="dxa" w:w="60"/>
              <w:right w:type="dxa" w:w="90"/>
            </w:tcMar>
          </w:tcPr>
          <w:p>
            <w:pPr>
              <w:spacing w:after="0" w:before="0"/>
              <w:jc w:val="left"/>
            </w:pPr>
            <w:r>
              <w:rPr>
                <w:color w:val="000000"/>
                <w:sz w:val="17"/>
                <w:szCs w:val="17"/>
              </w:rPr>
              <w:t xml:space="preserve">~6%</w:t>
            </w:r>
          </w:p>
        </w:tc>
        <w:tc>
          <w:tcPr>
            <w:tcW w:type="dxa" w:w="2805"/>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35"/>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5206"/>
            <w:shd w:fill="F2F5F9" w:color="auto" w:val="clear"/>
            <w:tcMar>
              <w:top w:type="dxa" w:w="60"/>
              <w:left w:type="dxa" w:w="90"/>
              <w:bottom w:type="dxa" w:w="60"/>
              <w:right w:type="dxa" w:w="90"/>
            </w:tcMar>
          </w:tcPr>
          <w:p>
            <w:pPr>
              <w:spacing w:after="0" w:before="0"/>
              <w:jc w:val="left"/>
            </w:pPr>
            <w:r>
              <w:rPr>
                <w:color w:val="000000"/>
                <w:sz w:val="17"/>
                <w:szCs w:val="17"/>
              </w:rPr>
              <w:t xml:space="preserve">~26%</w:t>
            </w:r>
          </w:p>
        </w:tc>
        <w:tc>
          <w:tcPr>
            <w:tcW w:type="dxa" w:w="2805"/>
            <w:shd w:fill="F2F5F9" w:color="auto" w:val="clear"/>
            <w:tcMar>
              <w:top w:type="dxa" w:w="60"/>
              <w:left w:type="dxa" w:w="90"/>
              <w:bottom w:type="dxa" w:w="60"/>
              <w:right w:type="dxa" w:w="90"/>
            </w:tcMar>
          </w:tcPr>
          <w:p>
            <w:pPr>
              <w:spacing w:after="0" w:before="0"/>
              <w:jc w:val="left"/>
            </w:pPr>
            <w:r>
              <w:rPr>
                <w:color w:val="000000"/>
                <w:sz w:val="17"/>
                <w:szCs w:val="17"/>
              </w:rPr>
              <w:t xml:space="preserve">Slightly below sector</w:t>
            </w:r>
          </w:p>
        </w:tc>
      </w:tr>
      <w:tr>
        <w:tc>
          <w:tcPr>
            <w:tcW w:type="dxa" w:w="1735"/>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5206"/>
            <w:tcMar>
              <w:top w:type="dxa" w:w="60"/>
              <w:left w:type="dxa" w:w="90"/>
              <w:bottom w:type="dxa" w:w="60"/>
              <w:right w:type="dxa" w:w="90"/>
            </w:tcMar>
          </w:tcPr>
          <w:p>
            <w:pPr>
              <w:spacing w:after="0" w:before="0"/>
              <w:jc w:val="left"/>
            </w:pPr>
            <w:r>
              <w:rPr>
                <w:color w:val="000000"/>
                <w:sz w:val="17"/>
                <w:szCs w:val="17"/>
              </w:rPr>
              <w:t xml:space="preserve">~30%</w:t>
            </w:r>
          </w:p>
        </w:tc>
        <w:tc>
          <w:tcPr>
            <w:tcW w:type="dxa" w:w="2805"/>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35"/>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5206"/>
            <w:shd w:fill="F2F5F9" w:color="auto" w:val="clear"/>
            <w:tcMar>
              <w:top w:type="dxa" w:w="60"/>
              <w:left w:type="dxa" w:w="90"/>
              <w:bottom w:type="dxa" w:w="60"/>
              <w:right w:type="dxa" w:w="90"/>
            </w:tcMar>
          </w:tcPr>
          <w:p>
            <w:pPr>
              <w:spacing w:after="0" w:before="0"/>
              <w:jc w:val="left"/>
            </w:pPr>
            <w:r>
              <w:rPr>
                <w:color w:val="000000"/>
                <w:sz w:val="17"/>
                <w:szCs w:val="17"/>
              </w:rPr>
              <w:t xml:space="preserve">~Neutral (£100m cash vs £200m sub debt)</w:t>
            </w:r>
          </w:p>
        </w:tc>
        <w:tc>
          <w:tcPr>
            <w:tcW w:type="dxa" w:w="2805"/>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BlackRock ~7%, Vanguard ~4%, Norges Bank ~3%, Aberdeen ~3%, Fidelity ~3%. Fully institutional.</w:t>
      </w:r>
    </w:p>
    <w:p>
      <w:pPr>
        <w:spacing w:after="100" w:before="60"/>
      </w:pPr>
      <w:r>
        <w:rPr>
          <w:b/>
          <w:bCs/>
          <w:sz w:val="19"/>
          <w:szCs w:val="19"/>
        </w:rPr>
        <w:t xml:space="preserve">Screen note — the one name here that has *outperformed*.</w:t>
      </w:r>
      <w:r>
        <w:rPr>
          <w:sz w:val="19"/>
          <w:szCs w:val="19"/>
        </w:rPr>
        <w:t xml:space="preserve"> Quilter is included deliberately as a </w:t>
      </w:r>
      <w:r>
        <w:rPr>
          <w:b/>
          <w:bCs/>
          <w:sz w:val="19"/>
          <w:szCs w:val="19"/>
        </w:rPr>
        <w:t xml:space="preserve">"phase two" target</w:t>
      </w:r>
      <w:r>
        <w:rPr>
          <w:sz w:val="19"/>
          <w:szCs w:val="19"/>
        </w:rPr>
        <w:t xml:space="preserve">: the recovery re-rating is largely complete, which means the easy money has been made and the remaining value is structural. An activist arriving now is not calling a bottom; they are arguing that a re-rated company is still the wrong shape.</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Three businesses that would each be worth more apart.</w:t>
      </w:r>
      <w:r>
        <w:rPr>
          <w:sz w:val="19"/>
          <w:szCs w:val="19"/>
        </w:rPr>
        <w:t xml:space="preserve"> A platform (worth platform multiples), an advice network (worth distribution multiples) and an investment manager (worth asset-management multiples) are being valued as a single vertically-integrated conglomerate — which is to say, at the lowest of the three.</w:t>
      </w:r>
    </w:p>
    <w:p>
      <w:pPr>
        <w:pStyle w:val="ListParagraph"/>
        <w:numPr>
          <w:ilvl w:val="0"/>
          <w:numId w:val="2"/>
        </w:numPr>
        <w:spacing w:after="40" w:before="40"/>
      </w:pPr>
      <w:r>
        <w:rPr>
          <w:b/>
          <w:bCs/>
          <w:sz w:val="19"/>
          <w:szCs w:val="19"/>
        </w:rPr>
        <w:t xml:space="preserve">Vertical integration is now a regulatory liability, not a moat.</w:t>
      </w:r>
      <w:r>
        <w:rPr>
          <w:sz w:val="19"/>
          <w:szCs w:val="19"/>
        </w:rPr>
        <w:t xml:space="preserve"> The FCA's scrutiny of ongoing advice services and vertically-integrated charging has changed the risk calculus. Quilter earns a margin at three points in the same value chain for the same client, which is precisely the structure the regulator is examining.</w:t>
      </w:r>
    </w:p>
    <w:p>
      <w:pPr>
        <w:pStyle w:val="ListParagraph"/>
        <w:numPr>
          <w:ilvl w:val="0"/>
          <w:numId w:val="2"/>
        </w:numPr>
        <w:spacing w:after="40" w:before="40"/>
      </w:pPr>
      <w:r>
        <w:rPr>
          <w:b/>
          <w:bCs/>
          <w:sz w:val="19"/>
          <w:szCs w:val="19"/>
        </w:rPr>
        <w:t xml:space="preserve">Cost:income near 72% against platform peers in the 50s.</w:t>
      </w:r>
      <w:r>
        <w:rPr>
          <w:sz w:val="19"/>
          <w:szCs w:val="19"/>
        </w:rPr>
        <w:t xml:space="preserve"> Scale in this model was supposed to produce operating leverage. It has produced overhead.</w:t>
      </w:r>
    </w:p>
    <w:p>
      <w:pPr>
        <w:pStyle w:val="Heading3"/>
        <w:spacing w:after="100" w:before="220"/>
      </w:pPr>
      <w:r>
        <w:rPr>
          <w:b/>
          <w:bCs/>
          <w:color w:val="2E5C8A"/>
          <w:sz w:val="21"/>
          <w:szCs w:val="21"/>
        </w:rPr>
        <w:t xml:space="preserve">Most actionable changes</w:t>
      </w:r>
    </w:p>
    <w:p>
      <w:pPr>
        <w:pStyle w:val="ListParagraph"/>
        <w:numPr>
          <w:ilvl w:val="0"/>
          <w:numId w:val="9"/>
        </w:numPr>
        <w:spacing w:after="40" w:before="40"/>
      </w:pPr>
      <w:r>
        <w:rPr>
          <w:b/>
          <w:bCs/>
          <w:sz w:val="19"/>
          <w:szCs w:val="19"/>
        </w:rPr>
        <w:t xml:space="preserve">Separate Quilter Cheviot (High Net Worth).</w:t>
      </w:r>
      <w:r>
        <w:rPr>
          <w:sz w:val="19"/>
          <w:szCs w:val="19"/>
        </w:rPr>
        <w:t xml:space="preserve"> It is a scarce, standalone-viable discretionary wealth franchise in a market that is consolidating aggressively, and it would attract strategic and private-equity interest immediately.</w:t>
      </w:r>
    </w:p>
    <w:p>
      <w:pPr>
        <w:pStyle w:val="ListParagraph"/>
        <w:numPr>
          <w:ilvl w:val="0"/>
          <w:numId w:val="9"/>
        </w:numPr>
        <w:spacing w:after="40" w:before="40"/>
      </w:pPr>
      <w:r>
        <w:rPr>
          <w:b/>
          <w:bCs/>
          <w:sz w:val="19"/>
          <w:szCs w:val="19"/>
        </w:rPr>
        <w:t xml:space="preserve">Set a 65% cost:income target</w:t>
      </w:r>
      <w:r>
        <w:rPr>
          <w:sz w:val="19"/>
          <w:szCs w:val="19"/>
        </w:rPr>
        <w:t xml:space="preserve"> for the remaining business with executive pay attached.</w:t>
      </w:r>
    </w:p>
    <w:p>
      <w:pPr>
        <w:pStyle w:val="ListParagraph"/>
        <w:numPr>
          <w:ilvl w:val="0"/>
          <w:numId w:val="9"/>
        </w:numPr>
        <w:spacing w:after="40" w:before="40"/>
      </w:pPr>
      <w:r>
        <w:rPr>
          <w:b/>
          <w:bCs/>
          <w:sz w:val="19"/>
          <w:szCs w:val="19"/>
        </w:rPr>
        <w:t xml:space="preserve">Institute a rolling buyback</w:t>
      </w:r>
      <w:r>
        <w:rPr>
          <w:sz w:val="19"/>
          <w:szCs w:val="19"/>
        </w:rPr>
        <w:t xml:space="preserve"> funded from the solvency surplus, replacing ad-hoc returns with a stated policy.</w:t>
      </w:r>
    </w:p>
    <w:p>
      <w:pPr>
        <w:spacing w:after="100" w:before="60"/>
      </w:pPr>
      <w:r>
        <w:rPr>
          <w:b/>
          <w:bCs/>
          <w:sz w:val="19"/>
          <w:szCs w:val="19"/>
        </w:rPr>
        <w:t xml:space="preserve">Ease of building support: 4/5.</w:t>
      </w:r>
      <w:r>
        <w:rPr>
          <w:sz w:val="19"/>
          <w:szCs w:val="19"/>
        </w:rPr>
        <w:t xml:space="preserve"> Clean, fully institutional register with no anchor. The obstacle is performance: after a +75% three-year TSR, management has a strong mandate and holders may be reluctant to disturb a working story.</w:t>
      </w:r>
    </w:p>
    <w:p>
      <w:pPr>
        <w:spacing w:after="100" w:before="60"/>
      </w:pPr>
      <w:r>
        <w:rPr>
          <w:b/>
          <w:bCs/>
          <w:sz w:val="19"/>
          <w:szCs w:val="19"/>
        </w:rPr>
        <w:t xml:space="preserve">Expected company defence:</w:t>
      </w:r>
      <w:r>
        <w:rPr>
          <w:sz w:val="19"/>
          <w:szCs w:val="19"/>
        </w:rPr>
        <w:t xml:space="preserve"> "The integrated model </w:t>
      </w:r>
      <w:r>
        <w:rPr>
          <w:i/>
          <w:iCs/>
          <w:sz w:val="19"/>
          <w:szCs w:val="19"/>
        </w:rPr>
        <w:t xml:space="preserve">is</w:t>
      </w:r>
      <w:r>
        <w:rPr>
          <w:sz w:val="19"/>
          <w:szCs w:val="19"/>
        </w:rPr>
        <w:t xml:space="preserve"> the strategy, and it is delivering — flows, profit and the share price all confirm it. Separating High Net Worth destroys the scale economics and the client journey that the whole proposition rests on. We have already simplified substantially and cost:income is falling."</w:t>
      </w:r>
    </w:p>
    <w:p>
      <w:pPr>
        <w:spacing w:after="100" w:before="60"/>
      </w:pPr>
      <w:r>
        <w:rPr>
          <w:b/>
          <w:bCs/>
          <w:sz w:val="19"/>
          <w:szCs w:val="19"/>
        </w:rPr>
        <w:t xml:space="preserve">Activist angles:</w:t>
      </w:r>
      <w:r>
        <w:rPr>
          <w:sz w:val="19"/>
          <w:szCs w:val="19"/>
        </w:rPr>
        <w:t xml:space="preserve"> Portfolio simplification (primary — Cheviot separation) · Cost discipline · Capital allocation</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8. St. James's Place plc (STJ LN)</w:t>
      </w:r>
    </w:p>
    <w:p>
      <w:pPr>
        <w:spacing w:after="100" w:before="60"/>
      </w:pPr>
      <w:r>
        <w:rPr>
          <w:b/>
          <w:bCs/>
          <w:sz w:val="19"/>
          <w:szCs w:val="19"/>
        </w:rPr>
        <w:t xml:space="preserve">Market cap ~£4.5bn · FUM ~£200bn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329"/>
        <w:gridCol w:w="4762"/>
        <w:gridCol w:w="3655"/>
      </w:tblGrid>
      <w:tr>
        <w:trPr>
          <w:tblHeader/>
        </w:trPr>
        <w:tc>
          <w:tcPr>
            <w:tcW w:type="dxa" w:w="1329"/>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4762"/>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3655"/>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329"/>
            <w:tcMar>
              <w:top w:type="dxa" w:w="60"/>
              <w:left w:type="dxa" w:w="90"/>
              <w:bottom w:type="dxa" w:w="60"/>
              <w:right w:type="dxa" w:w="90"/>
            </w:tcMar>
          </w:tcPr>
          <w:p>
            <w:pPr>
              <w:spacing w:after="0" w:before="0"/>
              <w:jc w:val="left"/>
            </w:pPr>
            <w:r>
              <w:rPr>
                <w:color w:val="000000"/>
                <w:sz w:val="17"/>
                <w:szCs w:val="17"/>
              </w:rPr>
              <w:t xml:space="preserve">TSR 1yr</w:t>
            </w:r>
          </w:p>
        </w:tc>
        <w:tc>
          <w:tcPr>
            <w:tcW w:type="dxa" w:w="4762"/>
            <w:tcMar>
              <w:top w:type="dxa" w:w="60"/>
              <w:left w:type="dxa" w:w="90"/>
              <w:bottom w:type="dxa" w:w="60"/>
              <w:right w:type="dxa" w:w="90"/>
            </w:tcMar>
          </w:tcPr>
          <w:p>
            <w:pPr>
              <w:spacing w:after="0" w:before="0"/>
              <w:jc w:val="left"/>
            </w:pPr>
            <w:r>
              <w:rPr>
                <w:color w:val="000000"/>
                <w:sz w:val="17"/>
                <w:szCs w:val="17"/>
              </w:rPr>
              <w:t xml:space="preserve">+45%</w:t>
            </w:r>
          </w:p>
        </w:tc>
        <w:tc>
          <w:tcPr>
            <w:tcW w:type="dxa" w:w="3655"/>
            <w:tcMar>
              <w:top w:type="dxa" w:w="60"/>
              <w:left w:type="dxa" w:w="90"/>
              <w:bottom w:type="dxa" w:w="60"/>
              <w:right w:type="dxa" w:w="90"/>
            </w:tcMar>
          </w:tcPr>
          <w:p>
            <w:pPr>
              <w:spacing w:after="0" w:before="0"/>
              <w:jc w:val="left"/>
            </w:pPr>
            <w:r>
              <w:rPr>
                <w:b/>
                <w:bCs/>
                <w:color w:val="000000"/>
                <w:sz w:val="17"/>
                <w:szCs w:val="17"/>
              </w:rPr>
              <w:t xml:space="preserve">+26pp</w:t>
            </w:r>
          </w:p>
        </w:tc>
      </w:tr>
      <w:tr>
        <w:tc>
          <w:tcPr>
            <w:tcW w:type="dxa" w:w="1329"/>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4762"/>
            <w:shd w:fill="F2F5F9" w:color="auto" w:val="clear"/>
            <w:tcMar>
              <w:top w:type="dxa" w:w="60"/>
              <w:left w:type="dxa" w:w="90"/>
              <w:bottom w:type="dxa" w:w="60"/>
              <w:right w:type="dxa" w:w="90"/>
            </w:tcMar>
          </w:tcPr>
          <w:p>
            <w:pPr>
              <w:spacing w:after="0" w:before="0"/>
              <w:jc w:val="left"/>
            </w:pPr>
            <w:r>
              <w:rPr>
                <w:color w:val="000000"/>
                <w:sz w:val="17"/>
                <w:szCs w:val="17"/>
              </w:rPr>
              <w:t xml:space="preserve">−5%</w:t>
            </w:r>
          </w:p>
        </w:tc>
        <w:tc>
          <w:tcPr>
            <w:tcW w:type="dxa" w:w="3655"/>
            <w:shd w:fill="F2F5F9" w:color="auto" w:val="clear"/>
            <w:tcMar>
              <w:top w:type="dxa" w:w="60"/>
              <w:left w:type="dxa" w:w="90"/>
              <w:bottom w:type="dxa" w:w="60"/>
              <w:right w:type="dxa" w:w="90"/>
            </w:tcMar>
          </w:tcPr>
          <w:p>
            <w:pPr>
              <w:spacing w:after="0" w:before="0"/>
              <w:jc w:val="left"/>
            </w:pPr>
            <w:r>
              <w:rPr>
                <w:b/>
                <w:bCs/>
                <w:color w:val="000000"/>
                <w:sz w:val="17"/>
                <w:szCs w:val="17"/>
              </w:rPr>
              <w:t xml:space="preserve">−37pp</w:t>
            </w:r>
          </w:p>
        </w:tc>
      </w:tr>
      <w:tr>
        <w:tc>
          <w:tcPr>
            <w:tcW w:type="dxa" w:w="1329"/>
            <w:tcMar>
              <w:top w:type="dxa" w:w="60"/>
              <w:left w:type="dxa" w:w="90"/>
              <w:bottom w:type="dxa" w:w="60"/>
              <w:right w:type="dxa" w:w="90"/>
            </w:tcMar>
          </w:tcPr>
          <w:p>
            <w:pPr>
              <w:spacing w:after="0" w:before="0"/>
              <w:jc w:val="left"/>
            </w:pPr>
            <w:r>
              <w:rPr>
                <w:color w:val="000000"/>
                <w:sz w:val="17"/>
                <w:szCs w:val="17"/>
              </w:rPr>
              <w:t xml:space="preserve">TSR 5yr</w:t>
            </w:r>
          </w:p>
        </w:tc>
        <w:tc>
          <w:tcPr>
            <w:tcW w:type="dxa" w:w="4762"/>
            <w:tcMar>
              <w:top w:type="dxa" w:w="60"/>
              <w:left w:type="dxa" w:w="90"/>
              <w:bottom w:type="dxa" w:w="60"/>
              <w:right w:type="dxa" w:w="90"/>
            </w:tcMar>
          </w:tcPr>
          <w:p>
            <w:pPr>
              <w:spacing w:after="0" w:before="0"/>
              <w:jc w:val="left"/>
            </w:pPr>
            <w:r>
              <w:rPr>
                <w:color w:val="000000"/>
                <w:sz w:val="17"/>
                <w:szCs w:val="17"/>
              </w:rPr>
              <w:t xml:space="preserve">−35%</w:t>
            </w:r>
          </w:p>
        </w:tc>
        <w:tc>
          <w:tcPr>
            <w:tcW w:type="dxa" w:w="3655"/>
            <w:tcMar>
              <w:top w:type="dxa" w:w="60"/>
              <w:left w:type="dxa" w:w="90"/>
              <w:bottom w:type="dxa" w:w="60"/>
              <w:right w:type="dxa" w:w="90"/>
            </w:tcMar>
          </w:tcPr>
          <w:p>
            <w:pPr>
              <w:spacing w:after="0" w:before="0"/>
              <w:jc w:val="left"/>
            </w:pPr>
            <w:r>
              <w:rPr>
                <w:b/>
                <w:bCs/>
                <w:color w:val="000000"/>
                <w:sz w:val="17"/>
                <w:szCs w:val="17"/>
              </w:rPr>
              <w:t xml:space="preserve">−53pp</w:t>
            </w:r>
          </w:p>
        </w:tc>
      </w:tr>
      <w:tr>
        <w:tc>
          <w:tcPr>
            <w:tcW w:type="dxa" w:w="1329"/>
            <w:shd w:fill="F2F5F9" w:color="auto" w:val="clear"/>
            <w:tcMar>
              <w:top w:type="dxa" w:w="60"/>
              <w:left w:type="dxa" w:w="90"/>
              <w:bottom w:type="dxa" w:w="60"/>
              <w:right w:type="dxa" w:w="90"/>
            </w:tcMar>
          </w:tcPr>
          <w:p>
            <w:pPr>
              <w:spacing w:after="0" w:before="0"/>
              <w:jc w:val="left"/>
            </w:pPr>
            <w:r>
              <w:rPr>
                <w:color w:val="000000"/>
                <w:sz w:val="17"/>
                <w:szCs w:val="17"/>
              </w:rPr>
              <w:t xml:space="preserve">EV/EBIT</w:t>
            </w:r>
          </w:p>
        </w:tc>
        <w:tc>
          <w:tcPr>
            <w:tcW w:type="dxa" w:w="4762"/>
            <w:shd w:fill="F2F5F9" w:color="auto" w:val="clear"/>
            <w:tcMar>
              <w:top w:type="dxa" w:w="60"/>
              <w:left w:type="dxa" w:w="90"/>
              <w:bottom w:type="dxa" w:w="60"/>
              <w:right w:type="dxa" w:w="90"/>
            </w:tcMar>
          </w:tcPr>
          <w:p>
            <w:pPr>
              <w:spacing w:after="0" w:before="0"/>
              <w:jc w:val="left"/>
            </w:pPr>
            <w:r>
              <w:rPr>
                <w:color w:val="000000"/>
                <w:sz w:val="17"/>
                <w:szCs w:val="17"/>
              </w:rPr>
              <w:t xml:space="preserve">~10x</w:t>
            </w:r>
          </w:p>
        </w:tc>
        <w:tc>
          <w:tcPr>
            <w:tcW w:type="dxa" w:w="3655"/>
            <w:shd w:fill="F2F5F9" w:color="auto" w:val="clear"/>
            <w:tcMar>
              <w:top w:type="dxa" w:w="60"/>
              <w:left w:type="dxa" w:w="90"/>
              <w:bottom w:type="dxa" w:w="60"/>
              <w:right w:type="dxa" w:w="90"/>
            </w:tcMar>
          </w:tcPr>
          <w:p>
            <w:pPr>
              <w:spacing w:after="0" w:before="0"/>
              <w:jc w:val="left"/>
            </w:pPr>
            <w:r>
              <w:rPr>
                <w:b/>
                <w:bCs/>
                <w:color w:val="000000"/>
                <w:sz w:val="17"/>
                <w:szCs w:val="17"/>
              </w:rPr>
              <w:t xml:space="preserve">Discount</w:t>
            </w:r>
          </w:p>
        </w:tc>
      </w:tr>
      <w:tr>
        <w:tc>
          <w:tcPr>
            <w:tcW w:type="dxa" w:w="1329"/>
            <w:tcMar>
              <w:top w:type="dxa" w:w="60"/>
              <w:left w:type="dxa" w:w="90"/>
              <w:bottom w:type="dxa" w:w="60"/>
              <w:right w:type="dxa" w:w="90"/>
            </w:tcMar>
          </w:tcPr>
          <w:p>
            <w:pPr>
              <w:spacing w:after="0" w:before="0"/>
              <w:jc w:val="left"/>
            </w:pPr>
            <w:r>
              <w:rPr>
                <w:color w:val="000000"/>
                <w:sz w:val="17"/>
                <w:szCs w:val="17"/>
              </w:rPr>
              <w:t xml:space="preserve">P/E</w:t>
            </w:r>
          </w:p>
        </w:tc>
        <w:tc>
          <w:tcPr>
            <w:tcW w:type="dxa" w:w="4762"/>
            <w:tcMar>
              <w:top w:type="dxa" w:w="60"/>
              <w:left w:type="dxa" w:w="90"/>
              <w:bottom w:type="dxa" w:w="60"/>
              <w:right w:type="dxa" w:w="90"/>
            </w:tcMar>
          </w:tcPr>
          <w:p>
            <w:pPr>
              <w:spacing w:after="0" w:before="0"/>
              <w:jc w:val="left"/>
            </w:pPr>
            <w:r>
              <w:rPr>
                <w:color w:val="000000"/>
                <w:sz w:val="17"/>
                <w:szCs w:val="17"/>
              </w:rPr>
              <w:t xml:space="preserve">~13x</w:t>
            </w:r>
          </w:p>
        </w:tc>
        <w:tc>
          <w:tcPr>
            <w:tcW w:type="dxa" w:w="3655"/>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1329"/>
            <w:shd w:fill="F2F5F9" w:color="auto" w:val="clear"/>
            <w:tcMar>
              <w:top w:type="dxa" w:w="60"/>
              <w:left w:type="dxa" w:w="90"/>
              <w:bottom w:type="dxa" w:w="60"/>
              <w:right w:type="dxa" w:w="90"/>
            </w:tcMar>
          </w:tcPr>
          <w:p>
            <w:pPr>
              <w:spacing w:after="0" w:before="0"/>
              <w:jc w:val="left"/>
            </w:pPr>
            <w:r>
              <w:rPr>
                <w:color w:val="000000"/>
                <w:sz w:val="17"/>
                <w:szCs w:val="17"/>
              </w:rPr>
              <w:t xml:space="preserve">FCF yield</w:t>
            </w:r>
          </w:p>
        </w:tc>
        <w:tc>
          <w:tcPr>
            <w:tcW w:type="dxa" w:w="4762"/>
            <w:shd w:fill="F2F5F9" w:color="auto" w:val="clear"/>
            <w:tcMar>
              <w:top w:type="dxa" w:w="60"/>
              <w:left w:type="dxa" w:w="90"/>
              <w:bottom w:type="dxa" w:w="60"/>
              <w:right w:type="dxa" w:w="90"/>
            </w:tcMar>
          </w:tcPr>
          <w:p>
            <w:pPr>
              <w:spacing w:after="0" w:before="0"/>
              <w:jc w:val="left"/>
            </w:pPr>
            <w:r>
              <w:rPr>
                <w:color w:val="000000"/>
                <w:sz w:val="17"/>
                <w:szCs w:val="17"/>
              </w:rPr>
              <w:t xml:space="preserve">~9%</w:t>
            </w:r>
          </w:p>
        </w:tc>
        <w:tc>
          <w:tcPr>
            <w:tcW w:type="dxa" w:w="3655"/>
            <w:shd w:fill="F2F5F9" w:color="auto" w:val="clear"/>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1329"/>
            <w:tcMar>
              <w:top w:type="dxa" w:w="60"/>
              <w:left w:type="dxa" w:w="90"/>
              <w:bottom w:type="dxa" w:w="60"/>
              <w:right w:type="dxa" w:w="90"/>
            </w:tcMar>
          </w:tcPr>
          <w:p>
            <w:pPr>
              <w:spacing w:after="0" w:before="0"/>
              <w:jc w:val="left"/>
            </w:pPr>
            <w:r>
              <w:rPr>
                <w:color w:val="000000"/>
                <w:sz w:val="17"/>
                <w:szCs w:val="17"/>
              </w:rPr>
              <w:t xml:space="preserve">EBIT margin</w:t>
            </w:r>
          </w:p>
        </w:tc>
        <w:tc>
          <w:tcPr>
            <w:tcW w:type="dxa" w:w="4762"/>
            <w:tcMar>
              <w:top w:type="dxa" w:w="60"/>
              <w:left w:type="dxa" w:w="90"/>
              <w:bottom w:type="dxa" w:w="60"/>
              <w:right w:type="dxa" w:w="90"/>
            </w:tcMar>
          </w:tcPr>
          <w:p>
            <w:pPr>
              <w:spacing w:after="0" w:before="0"/>
              <w:jc w:val="left"/>
            </w:pPr>
            <w:r>
              <w:rPr>
                <w:color w:val="000000"/>
                <w:sz w:val="17"/>
                <w:szCs w:val="17"/>
              </w:rPr>
              <w:t xml:space="preserve">~18% on gross income</w:t>
            </w:r>
          </w:p>
        </w:tc>
        <w:tc>
          <w:tcPr>
            <w:tcW w:type="dxa" w:w="3655"/>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1329"/>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4762"/>
            <w:shd w:fill="F2F5F9" w:color="auto" w:val="clear"/>
            <w:tcMar>
              <w:top w:type="dxa" w:w="60"/>
              <w:left w:type="dxa" w:w="90"/>
              <w:bottom w:type="dxa" w:w="60"/>
              <w:right w:type="dxa" w:w="90"/>
            </w:tcMar>
          </w:tcPr>
          <w:p>
            <w:pPr>
              <w:spacing w:after="0" w:before="0"/>
              <w:jc w:val="left"/>
            </w:pPr>
            <w:r>
              <w:rPr>
                <w:color w:val="000000"/>
                <w:sz w:val="17"/>
                <w:szCs w:val="17"/>
              </w:rPr>
              <w:t xml:space="preserve">Net cash at holdco; solvency surplus ~£800m</w:t>
            </w:r>
          </w:p>
        </w:tc>
        <w:tc>
          <w:tcPr>
            <w:tcW w:type="dxa" w:w="3655"/>
            <w:shd w:fill="F2F5F9" w:color="auto" w:val="clear"/>
            <w:tcMar>
              <w:top w:type="dxa" w:w="60"/>
              <w:left w:type="dxa" w:w="90"/>
              <w:bottom w:type="dxa" w:w="60"/>
              <w:right w:type="dxa" w:w="90"/>
            </w:tcMar>
          </w:tcPr>
          <w:p>
            <w:pPr>
              <w:spacing w:after="0" w:before="0"/>
              <w:jc w:val="left"/>
            </w:pPr>
            <w:r>
              <w:rPr>
                <w:color w:val="000000"/>
                <w:sz w:val="17"/>
                <w:szCs w:val="17"/>
              </w:rPr>
              <w:t xml:space="preserve">Screen exception (life structure)</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BlackRock ~7%, Artemis ~5%, Vanguard ~4%, Norges Bank ~3%, Fidelity ~3%. Fully institutional, no anchor.</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The largest advice franchise in the UK trades at a discount to platforms that own none of the client relationship</w:t>
      </w:r>
      <w:r>
        <w:rPr>
          <w:sz w:val="19"/>
          <w:szCs w:val="19"/>
        </w:rPr>
        <w:t xml:space="preserve"> — because of failures that were entirely self-inflicted. The charging-structure overhaul, the £426m client-redress provision and the associated regulatory scrutiny were governance failures, not market events. What is impaired is the plc's controls and cost base; the Partnership itself — 200bn of genuinely sticky, advised assets — is one of the best distribution moats in European financial services.</w:t>
      </w:r>
    </w:p>
    <w:p>
      <w:pPr>
        <w:pStyle w:val="ListParagraph"/>
        <w:numPr>
          <w:ilvl w:val="0"/>
          <w:numId w:val="2"/>
        </w:numPr>
        <w:spacing w:after="40" w:before="40"/>
      </w:pPr>
      <w:r>
        <w:rPr>
          <w:b/>
          <w:bCs/>
          <w:sz w:val="19"/>
          <w:szCs w:val="19"/>
        </w:rPr>
        <w:t xml:space="preserve">£200bn of FUM produces no visible scale economics for shareholders.</w:t>
      </w:r>
      <w:r>
        <w:rPr>
          <w:sz w:val="19"/>
          <w:szCs w:val="19"/>
        </w:rPr>
        <w:t xml:space="preserve"> Controllable expenses have grown broadly in line with assets through a period when the entire investment case rested on operating leverage.</w:t>
      </w:r>
    </w:p>
    <w:p>
      <w:pPr>
        <w:pStyle w:val="ListParagraph"/>
        <w:numPr>
          <w:ilvl w:val="0"/>
          <w:numId w:val="2"/>
        </w:numPr>
        <w:spacing w:after="40" w:before="40"/>
      </w:pPr>
      <w:r>
        <w:rPr>
          <w:b/>
          <w:bCs/>
          <w:sz w:val="19"/>
          <w:szCs w:val="19"/>
        </w:rPr>
        <w:t xml:space="preserve">The accounting is the discount.</w:t>
      </w:r>
      <w:r>
        <w:rPr>
          <w:sz w:val="19"/>
          <w:szCs w:val="19"/>
        </w:rPr>
        <w:t xml:space="preserve"> Gestation-period cash emergence, deferred acquisition costs and a multi-layered charging structure mean very few investors can model this company confidently. Complexity that only management can navigate is a governance issue, and it is priced as one.</w:t>
      </w:r>
    </w:p>
    <w:p>
      <w:pPr>
        <w:pStyle w:val="Heading3"/>
        <w:spacing w:after="100" w:before="220"/>
      </w:pPr>
      <w:r>
        <w:rPr>
          <w:b/>
          <w:bCs/>
          <w:color w:val="2E5C8A"/>
          <w:sz w:val="21"/>
          <w:szCs w:val="21"/>
        </w:rPr>
        <w:t xml:space="preserve">Most actionable changes</w:t>
      </w:r>
    </w:p>
    <w:p>
      <w:pPr>
        <w:pStyle w:val="ListParagraph"/>
        <w:numPr>
          <w:ilvl w:val="0"/>
          <w:numId w:val="10"/>
        </w:numPr>
        <w:spacing w:after="40" w:before="40"/>
      </w:pPr>
      <w:r>
        <w:rPr>
          <w:b/>
          <w:bCs/>
          <w:sz w:val="19"/>
          <w:szCs w:val="19"/>
        </w:rPr>
        <w:t xml:space="preserve">Rebuild the board around independent financial-services operators</w:t>
      </w:r>
      <w:r>
        <w:rPr>
          <w:sz w:val="19"/>
          <w:szCs w:val="19"/>
        </w:rPr>
        <w:t xml:space="preserve"> with genuine regulatory and controls experience — the composition that allowed the charging and redress failures to develop has not been sufficiently addressed.</w:t>
      </w:r>
    </w:p>
    <w:p>
      <w:pPr>
        <w:pStyle w:val="ListParagraph"/>
        <w:numPr>
          <w:ilvl w:val="0"/>
          <w:numId w:val="10"/>
        </w:numPr>
        <w:spacing w:after="40" w:before="40"/>
      </w:pPr>
      <w:r>
        <w:rPr>
          <w:b/>
          <w:bCs/>
          <w:sz w:val="19"/>
          <w:szCs w:val="19"/>
        </w:rPr>
        <w:t xml:space="preserve">A hard, published cost programme:</w:t>
      </w:r>
      <w:r>
        <w:rPr>
          <w:sz w:val="19"/>
          <w:szCs w:val="19"/>
        </w:rPr>
        <w:t xml:space="preserve"> 20% reduction in controllable expenses and a stated cost:income target with a majority of executive LTIP vesting attached.</w:t>
      </w:r>
    </w:p>
    <w:p>
      <w:pPr>
        <w:pStyle w:val="ListParagraph"/>
        <w:numPr>
          <w:ilvl w:val="0"/>
          <w:numId w:val="10"/>
        </w:numPr>
        <w:spacing w:after="40" w:before="40"/>
      </w:pPr>
      <w:r>
        <w:rPr>
          <w:b/>
          <w:bCs/>
          <w:sz w:val="19"/>
          <w:szCs w:val="19"/>
        </w:rPr>
        <w:t xml:space="preserve">Replace the disclosure framework</w:t>
      </w:r>
      <w:r>
        <w:rPr>
          <w:sz w:val="19"/>
          <w:szCs w:val="19"/>
        </w:rPr>
        <w:t xml:space="preserve"> with a clean cash-EPS presentation and a formal capital-return policy against the solvency surplus, so the market can value the franchise rather than discount the opacity.</w:t>
      </w:r>
    </w:p>
    <w:p>
      <w:pPr>
        <w:spacing w:after="100" w:before="60"/>
      </w:pPr>
      <w:r>
        <w:rPr>
          <w:b/>
          <w:bCs/>
          <w:sz w:val="19"/>
          <w:szCs w:val="19"/>
        </w:rPr>
        <w:t xml:space="preserve">Ease of building support: 4/5.</w:t>
      </w:r>
      <w:r>
        <w:rPr>
          <w:sz w:val="19"/>
          <w:szCs w:val="19"/>
        </w:rPr>
        <w:t xml:space="preserve"> The register is entirely institutional and has already demonstrated — through the 2023–24 charging review and the board and management changes that followed — that it will act when pressed. Holders know this story intimately and most are already underwater on it. The main headwind is a +45% one-year TSR that lets the board argue the market has moved on.</w:t>
      </w:r>
    </w:p>
    <w:p>
      <w:pPr>
        <w:spacing w:after="100" w:before="60"/>
      </w:pPr>
      <w:r>
        <w:rPr>
          <w:b/>
          <w:bCs/>
          <w:sz w:val="19"/>
          <w:szCs w:val="19"/>
        </w:rPr>
        <w:t xml:space="preserve">Expected company defence:</w:t>
      </w:r>
      <w:r>
        <w:rPr>
          <w:sz w:val="19"/>
          <w:szCs w:val="19"/>
        </w:rPr>
        <w:t xml:space="preserve"> "The charging structure has been comprehensively reformed, the redress is fully provisioned and behind us, and the share price recovery reflects that the market accepts it. Flows and FUM are resilient through the disruption, which proves the strength of the Partnership. The remaining task is execution of a plan already announced, not a new agenda."</w:t>
      </w:r>
    </w:p>
    <w:p>
      <w:pPr>
        <w:spacing w:after="100" w:before="60"/>
      </w:pPr>
      <w:r>
        <w:rPr>
          <w:b/>
          <w:bCs/>
          <w:sz w:val="19"/>
          <w:szCs w:val="19"/>
        </w:rPr>
        <w:t xml:space="preserve">Activist angles:</w:t>
      </w:r>
      <w:r>
        <w:rPr>
          <w:sz w:val="19"/>
          <w:szCs w:val="19"/>
        </w:rPr>
        <w:t xml:space="preserve"> Governance / board renewal (primary) · Cost discipline · Disclosure and capital-return policy</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9. Brooks Macdonald Group plc (BRK LN)</w:t>
      </w:r>
    </w:p>
    <w:p>
      <w:pPr>
        <w:spacing w:after="100" w:before="60"/>
      </w:pPr>
      <w:r>
        <w:rPr>
          <w:b/>
          <w:bCs/>
          <w:sz w:val="19"/>
          <w:szCs w:val="19"/>
        </w:rPr>
        <w:t xml:space="preserve">Market cap ~£0.27bn · FUM ~£19bn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303"/>
        <w:gridCol w:w="4430"/>
        <w:gridCol w:w="3013"/>
      </w:tblGrid>
      <w:tr>
        <w:trPr>
          <w:tblHeader/>
        </w:trPr>
        <w:tc>
          <w:tcPr>
            <w:tcW w:type="dxa" w:w="2303"/>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4430"/>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3013"/>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303"/>
            <w:tcMar>
              <w:top w:type="dxa" w:w="60"/>
              <w:left w:type="dxa" w:w="90"/>
              <w:bottom w:type="dxa" w:w="60"/>
              <w:right w:type="dxa" w:w="90"/>
            </w:tcMar>
          </w:tcPr>
          <w:p>
            <w:pPr>
              <w:spacing w:after="0" w:before="0"/>
              <w:jc w:val="left"/>
            </w:pPr>
            <w:r>
              <w:rPr>
                <w:color w:val="000000"/>
                <w:sz w:val="17"/>
                <w:szCs w:val="17"/>
              </w:rPr>
              <w:t xml:space="preserve">TSR 1yr</w:t>
            </w:r>
          </w:p>
        </w:tc>
        <w:tc>
          <w:tcPr>
            <w:tcW w:type="dxa" w:w="4430"/>
            <w:tcMar>
              <w:top w:type="dxa" w:w="60"/>
              <w:left w:type="dxa" w:w="90"/>
              <w:bottom w:type="dxa" w:w="60"/>
              <w:right w:type="dxa" w:w="90"/>
            </w:tcMar>
          </w:tcPr>
          <w:p>
            <w:pPr>
              <w:spacing w:after="0" w:before="0"/>
              <w:jc w:val="left"/>
            </w:pPr>
            <w:r>
              <w:rPr>
                <w:color w:val="000000"/>
                <w:sz w:val="17"/>
                <w:szCs w:val="17"/>
              </w:rPr>
              <w:t xml:space="preserve">−5%</w:t>
            </w:r>
          </w:p>
        </w:tc>
        <w:tc>
          <w:tcPr>
            <w:tcW w:type="dxa" w:w="3013"/>
            <w:tcMar>
              <w:top w:type="dxa" w:w="60"/>
              <w:left w:type="dxa" w:w="90"/>
              <w:bottom w:type="dxa" w:w="60"/>
              <w:right w:type="dxa" w:w="90"/>
            </w:tcMar>
          </w:tcPr>
          <w:p>
            <w:pPr>
              <w:spacing w:after="0" w:before="0"/>
              <w:jc w:val="left"/>
            </w:pPr>
            <w:r>
              <w:rPr>
                <w:b/>
                <w:bCs/>
                <w:color w:val="000000"/>
                <w:sz w:val="17"/>
                <w:szCs w:val="17"/>
              </w:rPr>
              <w:t xml:space="preserve">−24pp</w:t>
            </w:r>
          </w:p>
        </w:tc>
      </w:tr>
      <w:tr>
        <w:tc>
          <w:tcPr>
            <w:tcW w:type="dxa" w:w="2303"/>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4430"/>
            <w:shd w:fill="F2F5F9" w:color="auto" w:val="clear"/>
            <w:tcMar>
              <w:top w:type="dxa" w:w="60"/>
              <w:left w:type="dxa" w:w="90"/>
              <w:bottom w:type="dxa" w:w="60"/>
              <w:right w:type="dxa" w:w="90"/>
            </w:tcMar>
          </w:tcPr>
          <w:p>
            <w:pPr>
              <w:spacing w:after="0" w:before="0"/>
              <w:jc w:val="left"/>
            </w:pPr>
            <w:r>
              <w:rPr>
                <w:color w:val="000000"/>
                <w:sz w:val="17"/>
                <w:szCs w:val="17"/>
              </w:rPr>
              <w:t xml:space="preserve">−25%</w:t>
            </w:r>
          </w:p>
        </w:tc>
        <w:tc>
          <w:tcPr>
            <w:tcW w:type="dxa" w:w="3013"/>
            <w:shd w:fill="F2F5F9" w:color="auto" w:val="clear"/>
            <w:tcMar>
              <w:top w:type="dxa" w:w="60"/>
              <w:left w:type="dxa" w:w="90"/>
              <w:bottom w:type="dxa" w:w="60"/>
              <w:right w:type="dxa" w:w="90"/>
            </w:tcMar>
          </w:tcPr>
          <w:p>
            <w:pPr>
              <w:spacing w:after="0" w:before="0"/>
              <w:jc w:val="left"/>
            </w:pPr>
            <w:r>
              <w:rPr>
                <w:b/>
                <w:bCs/>
                <w:color w:val="000000"/>
                <w:sz w:val="17"/>
                <w:szCs w:val="17"/>
              </w:rPr>
              <w:t xml:space="preserve">−57pp</w:t>
            </w:r>
          </w:p>
        </w:tc>
      </w:tr>
      <w:tr>
        <w:tc>
          <w:tcPr>
            <w:tcW w:type="dxa" w:w="2303"/>
            <w:tcMar>
              <w:top w:type="dxa" w:w="60"/>
              <w:left w:type="dxa" w:w="90"/>
              <w:bottom w:type="dxa" w:w="60"/>
              <w:right w:type="dxa" w:w="90"/>
            </w:tcMar>
          </w:tcPr>
          <w:p>
            <w:pPr>
              <w:spacing w:after="0" w:before="0"/>
              <w:jc w:val="left"/>
            </w:pPr>
            <w:r>
              <w:rPr>
                <w:color w:val="000000"/>
                <w:sz w:val="17"/>
                <w:szCs w:val="17"/>
              </w:rPr>
              <w:t xml:space="preserve">TSR 5yr</w:t>
            </w:r>
          </w:p>
        </w:tc>
        <w:tc>
          <w:tcPr>
            <w:tcW w:type="dxa" w:w="4430"/>
            <w:tcMar>
              <w:top w:type="dxa" w:w="60"/>
              <w:left w:type="dxa" w:w="90"/>
              <w:bottom w:type="dxa" w:w="60"/>
              <w:right w:type="dxa" w:w="90"/>
            </w:tcMar>
          </w:tcPr>
          <w:p>
            <w:pPr>
              <w:spacing w:after="0" w:before="0"/>
              <w:jc w:val="left"/>
            </w:pPr>
            <w:r>
              <w:rPr>
                <w:color w:val="000000"/>
                <w:sz w:val="17"/>
                <w:szCs w:val="17"/>
              </w:rPr>
              <w:t xml:space="preserve">−20%</w:t>
            </w:r>
          </w:p>
        </w:tc>
        <w:tc>
          <w:tcPr>
            <w:tcW w:type="dxa" w:w="3013"/>
            <w:tcMar>
              <w:top w:type="dxa" w:w="60"/>
              <w:left w:type="dxa" w:w="90"/>
              <w:bottom w:type="dxa" w:w="60"/>
              <w:right w:type="dxa" w:w="90"/>
            </w:tcMar>
          </w:tcPr>
          <w:p>
            <w:pPr>
              <w:spacing w:after="0" w:before="0"/>
              <w:jc w:val="left"/>
            </w:pPr>
            <w:r>
              <w:rPr>
                <w:b/>
                <w:bCs/>
                <w:color w:val="000000"/>
                <w:sz w:val="17"/>
                <w:szCs w:val="17"/>
              </w:rPr>
              <w:t xml:space="preserve">−38pp</w:t>
            </w:r>
          </w:p>
        </w:tc>
      </w:tr>
      <w:tr>
        <w:tc>
          <w:tcPr>
            <w:tcW w:type="dxa" w:w="2303"/>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4430"/>
            <w:shd w:fill="F2F5F9" w:color="auto" w:val="clear"/>
            <w:tcMar>
              <w:top w:type="dxa" w:w="60"/>
              <w:left w:type="dxa" w:w="90"/>
              <w:bottom w:type="dxa" w:w="60"/>
              <w:right w:type="dxa" w:w="90"/>
            </w:tcMar>
          </w:tcPr>
          <w:p>
            <w:pPr>
              <w:spacing w:after="0" w:before="0"/>
              <w:jc w:val="left"/>
            </w:pPr>
            <w:r>
              <w:rPr>
                <w:color w:val="000000"/>
                <w:sz w:val="17"/>
                <w:szCs w:val="17"/>
              </w:rPr>
              <w:t xml:space="preserve">~1.2x</w:t>
            </w:r>
          </w:p>
        </w:tc>
        <w:tc>
          <w:tcPr>
            <w:tcW w:type="dxa" w:w="3013"/>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2303"/>
            <w:tcMar>
              <w:top w:type="dxa" w:w="60"/>
              <w:left w:type="dxa" w:w="90"/>
              <w:bottom w:type="dxa" w:w="60"/>
              <w:right w:type="dxa" w:w="90"/>
            </w:tcMar>
          </w:tcPr>
          <w:p>
            <w:pPr>
              <w:spacing w:after="0" w:before="0"/>
              <w:jc w:val="left"/>
            </w:pPr>
            <w:r>
              <w:rPr>
                <w:color w:val="000000"/>
                <w:sz w:val="17"/>
                <w:szCs w:val="17"/>
              </w:rPr>
              <w:t xml:space="preserve">EV/EBIT</w:t>
            </w:r>
          </w:p>
        </w:tc>
        <w:tc>
          <w:tcPr>
            <w:tcW w:type="dxa" w:w="4430"/>
            <w:tcMar>
              <w:top w:type="dxa" w:w="60"/>
              <w:left w:type="dxa" w:w="90"/>
              <w:bottom w:type="dxa" w:w="60"/>
              <w:right w:type="dxa" w:w="90"/>
            </w:tcMar>
          </w:tcPr>
          <w:p>
            <w:pPr>
              <w:spacing w:after="0" w:before="0"/>
              <w:jc w:val="left"/>
            </w:pPr>
            <w:r>
              <w:rPr>
                <w:color w:val="000000"/>
                <w:sz w:val="17"/>
                <w:szCs w:val="17"/>
              </w:rPr>
              <w:t xml:space="preserve">~8x</w:t>
            </w:r>
          </w:p>
        </w:tc>
        <w:tc>
          <w:tcPr>
            <w:tcW w:type="dxa" w:w="3013"/>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2303"/>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4430"/>
            <w:shd w:fill="F2F5F9" w:color="auto" w:val="clear"/>
            <w:tcMar>
              <w:top w:type="dxa" w:w="60"/>
              <w:left w:type="dxa" w:w="90"/>
              <w:bottom w:type="dxa" w:w="60"/>
              <w:right w:type="dxa" w:w="90"/>
            </w:tcMar>
          </w:tcPr>
          <w:p>
            <w:pPr>
              <w:spacing w:after="0" w:before="0"/>
              <w:jc w:val="left"/>
            </w:pPr>
            <w:r>
              <w:rPr>
                <w:color w:val="000000"/>
                <w:sz w:val="17"/>
                <w:szCs w:val="17"/>
              </w:rPr>
              <w:t xml:space="preserve">~10x</w:t>
            </w:r>
          </w:p>
        </w:tc>
        <w:tc>
          <w:tcPr>
            <w:tcW w:type="dxa" w:w="3013"/>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2303"/>
            <w:tcMar>
              <w:top w:type="dxa" w:w="60"/>
              <w:left w:type="dxa" w:w="90"/>
              <w:bottom w:type="dxa" w:w="60"/>
              <w:right w:type="dxa" w:w="90"/>
            </w:tcMar>
          </w:tcPr>
          <w:p>
            <w:pPr>
              <w:spacing w:after="0" w:before="0"/>
              <w:jc w:val="left"/>
            </w:pPr>
            <w:r>
              <w:rPr>
                <w:color w:val="000000"/>
                <w:sz w:val="17"/>
                <w:szCs w:val="17"/>
              </w:rPr>
              <w:t xml:space="preserve">FCF yield</w:t>
            </w:r>
          </w:p>
        </w:tc>
        <w:tc>
          <w:tcPr>
            <w:tcW w:type="dxa" w:w="4430"/>
            <w:tcMar>
              <w:top w:type="dxa" w:w="60"/>
              <w:left w:type="dxa" w:w="90"/>
              <w:bottom w:type="dxa" w:w="60"/>
              <w:right w:type="dxa" w:w="90"/>
            </w:tcMar>
          </w:tcPr>
          <w:p>
            <w:pPr>
              <w:spacing w:after="0" w:before="0"/>
              <w:jc w:val="left"/>
            </w:pPr>
            <w:r>
              <w:rPr>
                <w:color w:val="000000"/>
                <w:sz w:val="17"/>
                <w:szCs w:val="17"/>
              </w:rPr>
              <w:t xml:space="preserve">~10%</w:t>
            </w:r>
          </w:p>
        </w:tc>
        <w:tc>
          <w:tcPr>
            <w:tcW w:type="dxa" w:w="3013"/>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2303"/>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4430"/>
            <w:shd w:fill="F2F5F9" w:color="auto" w:val="clear"/>
            <w:tcMar>
              <w:top w:type="dxa" w:w="60"/>
              <w:left w:type="dxa" w:w="90"/>
              <w:bottom w:type="dxa" w:w="60"/>
              <w:right w:type="dxa" w:w="90"/>
            </w:tcMar>
          </w:tcPr>
          <w:p>
            <w:pPr>
              <w:spacing w:after="0" w:before="0"/>
              <w:jc w:val="left"/>
            </w:pPr>
            <w:r>
              <w:rPr>
                <w:color w:val="000000"/>
                <w:sz w:val="17"/>
                <w:szCs w:val="17"/>
              </w:rPr>
              <w:t xml:space="preserve">~17% (underlying ~25%)</w:t>
            </w:r>
          </w:p>
        </w:tc>
        <w:tc>
          <w:tcPr>
            <w:tcW w:type="dxa" w:w="3013"/>
            <w:shd w:fill="F2F5F9" w:color="auto" w:val="clear"/>
            <w:tcMar>
              <w:top w:type="dxa" w:w="60"/>
              <w:left w:type="dxa" w:w="90"/>
              <w:bottom w:type="dxa" w:w="60"/>
              <w:right w:type="dxa" w:w="90"/>
            </w:tcMar>
          </w:tcPr>
          <w:p>
            <w:pPr>
              <w:spacing w:after="0" w:before="0"/>
              <w:jc w:val="left"/>
            </w:pPr>
            <w:r>
              <w:rPr>
                <w:b/>
                <w:bCs/>
                <w:color w:val="000000"/>
                <w:sz w:val="17"/>
                <w:szCs w:val="17"/>
              </w:rPr>
              <w:t xml:space="preserve">Well below sector</w:t>
            </w:r>
          </w:p>
        </w:tc>
      </w:tr>
      <w:tr>
        <w:tc>
          <w:tcPr>
            <w:tcW w:type="dxa" w:w="2303"/>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4430"/>
            <w:tcMar>
              <w:top w:type="dxa" w:w="60"/>
              <w:left w:type="dxa" w:w="90"/>
              <w:bottom w:type="dxa" w:w="60"/>
              <w:right w:type="dxa" w:w="90"/>
            </w:tcMar>
          </w:tcPr>
          <w:p>
            <w:pPr>
              <w:spacing w:after="0" w:before="0"/>
              <w:jc w:val="left"/>
            </w:pPr>
            <w:r>
              <w:rPr>
                <w:color w:val="000000"/>
                <w:sz w:val="17"/>
                <w:szCs w:val="17"/>
              </w:rPr>
              <w:t xml:space="preserve">~22%</w:t>
            </w:r>
          </w:p>
        </w:tc>
        <w:tc>
          <w:tcPr>
            <w:tcW w:type="dxa" w:w="3013"/>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2303"/>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4430"/>
            <w:shd w:fill="F2F5F9" w:color="auto" w:val="clear"/>
            <w:tcMar>
              <w:top w:type="dxa" w:w="60"/>
              <w:left w:type="dxa" w:w="90"/>
              <w:bottom w:type="dxa" w:w="60"/>
              <w:right w:type="dxa" w:w="90"/>
            </w:tcMar>
          </w:tcPr>
          <w:p>
            <w:pPr>
              <w:spacing w:after="0" w:before="0"/>
              <w:jc w:val="left"/>
            </w:pPr>
            <w:r>
              <w:rPr>
                <w:color w:val="000000"/>
                <w:sz w:val="17"/>
                <w:szCs w:val="17"/>
              </w:rPr>
              <w:t xml:space="preserve">Net cash ~£40m, zero debt</w:t>
            </w:r>
          </w:p>
        </w:tc>
        <w:tc>
          <w:tcPr>
            <w:tcW w:type="dxa" w:w="3013"/>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Liontrust ~9%, Canaccord Genuity Wealth ~8%, Chelverton ~5%, BlackRock ~4%, Premier Miton ~4%. A concentrated, professional UK small-cap register — unusually easy to canvass because there are perhaps a dozen decision-makers who matter.</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A 17% reported EBIT margin in a business where peers run 30%+.</w:t>
      </w:r>
      <w:r>
        <w:rPr>
          <w:sz w:val="19"/>
          <w:szCs w:val="19"/>
        </w:rPr>
        <w:t xml:space="preserve"> Discretionary fund management at £19bn of FUM should be highly profitable. The gap between a 17% reported and a ~25% underlying margin is itself the tell: too many years of "one-off" integration and restructuring costs that recur.</w:t>
      </w:r>
    </w:p>
    <w:p>
      <w:pPr>
        <w:pStyle w:val="ListParagraph"/>
        <w:numPr>
          <w:ilvl w:val="0"/>
          <w:numId w:val="2"/>
        </w:numPr>
        <w:spacing w:after="40" w:before="40"/>
      </w:pPr>
      <w:r>
        <w:rPr>
          <w:b/>
          <w:bCs/>
          <w:sz w:val="19"/>
          <w:szCs w:val="19"/>
        </w:rPr>
        <w:t xml:space="preserve">Serial small acquisitions have added cost, not operating leverage.</w:t>
      </w:r>
      <w:r>
        <w:rPr>
          <w:sz w:val="19"/>
          <w:szCs w:val="19"/>
        </w:rPr>
        <w:t xml:space="preserve"> A succession of bolt-ons has grown FUM while the margin has gone sideways or down. The board's own M&amp;A record is the best argument against giving it more capital to deploy.</w:t>
      </w:r>
    </w:p>
    <w:p>
      <w:pPr>
        <w:pStyle w:val="ListParagraph"/>
        <w:numPr>
          <w:ilvl w:val="0"/>
          <w:numId w:val="2"/>
        </w:numPr>
        <w:spacing w:after="40" w:before="40"/>
      </w:pPr>
      <w:r>
        <w:rPr>
          <w:b/>
          <w:bCs/>
          <w:sz w:val="19"/>
          <w:szCs w:val="19"/>
        </w:rPr>
        <w:t xml:space="preserve">At roughly 1.4% of FUM, this company is worth demonstrably more to a consolidator than to the public market.</w:t>
      </w:r>
      <w:r>
        <w:rPr>
          <w:sz w:val="19"/>
          <w:szCs w:val="19"/>
        </w:rPr>
        <w:t xml:space="preserve"> UK discretionary wealth is consolidating at materially higher multiples, and Brooks Macdonald is exactly the size and shape that acquirers are buying.</w:t>
      </w:r>
    </w:p>
    <w:p>
      <w:pPr>
        <w:pStyle w:val="Heading3"/>
        <w:spacing w:after="100" w:before="220"/>
      </w:pPr>
      <w:r>
        <w:rPr>
          <w:b/>
          <w:bCs/>
          <w:color w:val="2E5C8A"/>
          <w:sz w:val="21"/>
          <w:szCs w:val="21"/>
        </w:rPr>
        <w:t xml:space="preserve">Most actionable changes</w:t>
      </w:r>
    </w:p>
    <w:p>
      <w:pPr>
        <w:pStyle w:val="ListParagraph"/>
        <w:numPr>
          <w:ilvl w:val="0"/>
          <w:numId w:val="11"/>
        </w:numPr>
        <w:spacing w:after="40" w:before="40"/>
      </w:pPr>
      <w:r>
        <w:rPr>
          <w:b/>
          <w:bCs/>
          <w:sz w:val="19"/>
          <w:szCs w:val="19"/>
        </w:rPr>
        <w:t xml:space="preserve">Run a formal sale process.</w:t>
      </w:r>
      <w:r>
        <w:rPr>
          <w:sz w:val="19"/>
          <w:szCs w:val="19"/>
        </w:rPr>
        <w:t xml:space="preserve"> This is the cleanest realisation on the list — a sub-scale, profitable, net-cash wealth manager in an actively consolidating market with a register that would vote for a premium tomorrow.</w:t>
      </w:r>
    </w:p>
    <w:p>
      <w:pPr>
        <w:pStyle w:val="ListParagraph"/>
        <w:numPr>
          <w:ilvl w:val="0"/>
          <w:numId w:val="11"/>
        </w:numPr>
        <w:spacing w:after="40" w:before="40"/>
      </w:pPr>
      <w:r>
        <w:rPr>
          <w:b/>
          <w:bCs/>
          <w:sz w:val="19"/>
          <w:szCs w:val="19"/>
        </w:rPr>
        <w:t xml:space="preserve">If independence is maintained, commit to a 30% underlying EBIT margin by FY28</w:t>
      </w:r>
      <w:r>
        <w:rPr>
          <w:sz w:val="19"/>
          <w:szCs w:val="19"/>
        </w:rPr>
        <w:t xml:space="preserve"> with board and executive pay tied to it, and publish the bridge.</w:t>
      </w:r>
    </w:p>
    <w:p>
      <w:pPr>
        <w:pStyle w:val="ListParagraph"/>
        <w:numPr>
          <w:ilvl w:val="0"/>
          <w:numId w:val="11"/>
        </w:numPr>
        <w:spacing w:after="40" w:before="40"/>
      </w:pPr>
      <w:r>
        <w:rPr>
          <w:b/>
          <w:bCs/>
          <w:sz w:val="19"/>
          <w:szCs w:val="19"/>
        </w:rPr>
        <w:t xml:space="preserve">Stop bolt-on M&amp;A immediately and return the net cash.</w:t>
      </w:r>
      <w:r>
        <w:rPr>
          <w:sz w:val="19"/>
          <w:szCs w:val="19"/>
        </w:rPr>
        <w:t xml:space="preserve"> At a 10% FCF yield, the board's own shares are a better acquisition than anything in the pipeline.</w:t>
      </w:r>
    </w:p>
    <w:p>
      <w:pPr>
        <w:spacing w:after="100" w:before="60"/>
      </w:pPr>
      <w:r>
        <w:rPr>
          <w:b/>
          <w:bCs/>
          <w:sz w:val="19"/>
          <w:szCs w:val="19"/>
        </w:rPr>
        <w:t xml:space="preserve">Ease of building support: 5/5 — with Liontrust, the easiest register here.</w:t>
      </w:r>
      <w:r>
        <w:rPr>
          <w:sz w:val="19"/>
          <w:szCs w:val="19"/>
        </w:rPr>
        <w:t xml:space="preserve"> Small, concentrated, professional and visibly frustrated. A handful of meetings covers 30%+ of the register, and several of these holders are themselves asset managers who will recognise every argument being made. Low absolute market cap also means a meaningful stake is cheap to build.</w:t>
      </w:r>
    </w:p>
    <w:p>
      <w:pPr>
        <w:spacing w:after="100" w:before="60"/>
      </w:pPr>
      <w:r>
        <w:rPr>
          <w:b/>
          <w:bCs/>
          <w:sz w:val="19"/>
          <w:szCs w:val="19"/>
        </w:rPr>
        <w:t xml:space="preserve">Expected company defence:</w:t>
      </w:r>
      <w:r>
        <w:rPr>
          <w:sz w:val="19"/>
          <w:szCs w:val="19"/>
        </w:rPr>
        <w:t xml:space="preserve"> "The platform investment programme is complete and the benefits accrue from here. FUM is at record levels, underlying margin is already recovering, and the acquisitions have built exactly the scale and adviser reach the strategy requires. A sale now, at a cyclical low in UK small-cap valuations, sells the recovery to someone else."</w:t>
      </w:r>
    </w:p>
    <w:p>
      <w:pPr>
        <w:spacing w:after="100" w:before="60"/>
      </w:pPr>
      <w:r>
        <w:rPr>
          <w:b/>
          <w:bCs/>
          <w:sz w:val="19"/>
          <w:szCs w:val="19"/>
        </w:rPr>
        <w:t xml:space="preserve">Activist angles:</w:t>
      </w:r>
      <w:r>
        <w:rPr>
          <w:sz w:val="19"/>
          <w:szCs w:val="19"/>
        </w:rPr>
        <w:t xml:space="preserve"> M&amp;A / sale of company (primary) · Cost and margin discipline · Capital allocation (halt M&amp;A, return cash)</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10. IntegraFin Holdings plc (IHP LN)</w:t>
      </w:r>
    </w:p>
    <w:p>
      <w:pPr>
        <w:spacing w:after="100" w:before="60"/>
      </w:pPr>
      <w:r>
        <w:rPr>
          <w:b/>
          <w:bCs/>
          <w:sz w:val="19"/>
          <w:szCs w:val="19"/>
        </w:rPr>
        <w:t xml:space="preserve">Market cap ~£0.9bn · FUA ~£65bn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863"/>
        <w:gridCol w:w="3726"/>
        <w:gridCol w:w="4157"/>
      </w:tblGrid>
      <w:tr>
        <w:trPr>
          <w:tblHeader/>
        </w:trPr>
        <w:tc>
          <w:tcPr>
            <w:tcW w:type="dxa" w:w="1863"/>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3726"/>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4157"/>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863"/>
            <w:tcMar>
              <w:top w:type="dxa" w:w="60"/>
              <w:left w:type="dxa" w:w="90"/>
              <w:bottom w:type="dxa" w:w="60"/>
              <w:right w:type="dxa" w:w="90"/>
            </w:tcMar>
          </w:tcPr>
          <w:p>
            <w:pPr>
              <w:spacing w:after="0" w:before="0"/>
              <w:jc w:val="left"/>
            </w:pPr>
            <w:r>
              <w:rPr>
                <w:color w:val="000000"/>
                <w:sz w:val="17"/>
                <w:szCs w:val="17"/>
              </w:rPr>
              <w:t xml:space="preserve">TSR 1yr</w:t>
            </w:r>
          </w:p>
        </w:tc>
        <w:tc>
          <w:tcPr>
            <w:tcW w:type="dxa" w:w="3726"/>
            <w:tcMar>
              <w:top w:type="dxa" w:w="60"/>
              <w:left w:type="dxa" w:w="90"/>
              <w:bottom w:type="dxa" w:w="60"/>
              <w:right w:type="dxa" w:w="90"/>
            </w:tcMar>
          </w:tcPr>
          <w:p>
            <w:pPr>
              <w:spacing w:after="0" w:before="0"/>
              <w:jc w:val="left"/>
            </w:pPr>
            <w:r>
              <w:rPr>
                <w:color w:val="000000"/>
                <w:sz w:val="17"/>
                <w:szCs w:val="17"/>
              </w:rPr>
              <w:t xml:space="preserve">+10%</w:t>
            </w:r>
          </w:p>
        </w:tc>
        <w:tc>
          <w:tcPr>
            <w:tcW w:type="dxa" w:w="4157"/>
            <w:tcMar>
              <w:top w:type="dxa" w:w="60"/>
              <w:left w:type="dxa" w:w="90"/>
              <w:bottom w:type="dxa" w:w="60"/>
              <w:right w:type="dxa" w:w="90"/>
            </w:tcMar>
          </w:tcPr>
          <w:p>
            <w:pPr>
              <w:spacing w:after="0" w:before="0"/>
              <w:jc w:val="left"/>
            </w:pPr>
            <w:r>
              <w:rPr>
                <w:color w:val="000000"/>
                <w:sz w:val="17"/>
                <w:szCs w:val="17"/>
              </w:rPr>
              <w:t xml:space="preserve">−9pp</w:t>
            </w:r>
          </w:p>
        </w:tc>
      </w:tr>
      <w:tr>
        <w:tc>
          <w:tcPr>
            <w:tcW w:type="dxa" w:w="1863"/>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3726"/>
            <w:shd w:fill="F2F5F9" w:color="auto" w:val="clear"/>
            <w:tcMar>
              <w:top w:type="dxa" w:w="60"/>
              <w:left w:type="dxa" w:w="90"/>
              <w:bottom w:type="dxa" w:w="60"/>
              <w:right w:type="dxa" w:w="90"/>
            </w:tcMar>
          </w:tcPr>
          <w:p>
            <w:pPr>
              <w:spacing w:after="0" w:before="0"/>
              <w:jc w:val="left"/>
            </w:pPr>
            <w:r>
              <w:rPr>
                <w:color w:val="000000"/>
                <w:sz w:val="17"/>
                <w:szCs w:val="17"/>
              </w:rPr>
              <w:t xml:space="preserve">−15%</w:t>
            </w:r>
          </w:p>
        </w:tc>
        <w:tc>
          <w:tcPr>
            <w:tcW w:type="dxa" w:w="4157"/>
            <w:shd w:fill="F2F5F9" w:color="auto" w:val="clear"/>
            <w:tcMar>
              <w:top w:type="dxa" w:w="60"/>
              <w:left w:type="dxa" w:w="90"/>
              <w:bottom w:type="dxa" w:w="60"/>
              <w:right w:type="dxa" w:w="90"/>
            </w:tcMar>
          </w:tcPr>
          <w:p>
            <w:pPr>
              <w:spacing w:after="0" w:before="0"/>
              <w:jc w:val="left"/>
            </w:pPr>
            <w:r>
              <w:rPr>
                <w:b/>
                <w:bCs/>
                <w:color w:val="000000"/>
                <w:sz w:val="17"/>
                <w:szCs w:val="17"/>
              </w:rPr>
              <w:t xml:space="preserve">−47pp</w:t>
            </w:r>
          </w:p>
        </w:tc>
      </w:tr>
      <w:tr>
        <w:tc>
          <w:tcPr>
            <w:tcW w:type="dxa" w:w="1863"/>
            <w:tcMar>
              <w:top w:type="dxa" w:w="60"/>
              <w:left w:type="dxa" w:w="90"/>
              <w:bottom w:type="dxa" w:w="60"/>
              <w:right w:type="dxa" w:w="90"/>
            </w:tcMar>
          </w:tcPr>
          <w:p>
            <w:pPr>
              <w:spacing w:after="0" w:before="0"/>
              <w:jc w:val="left"/>
            </w:pPr>
            <w:r>
              <w:rPr>
                <w:color w:val="000000"/>
                <w:sz w:val="17"/>
                <w:szCs w:val="17"/>
              </w:rPr>
              <w:t xml:space="preserve">TSR 5yr</w:t>
            </w:r>
          </w:p>
        </w:tc>
        <w:tc>
          <w:tcPr>
            <w:tcW w:type="dxa" w:w="3726"/>
            <w:tcMar>
              <w:top w:type="dxa" w:w="60"/>
              <w:left w:type="dxa" w:w="90"/>
              <w:bottom w:type="dxa" w:w="60"/>
              <w:right w:type="dxa" w:w="90"/>
            </w:tcMar>
          </w:tcPr>
          <w:p>
            <w:pPr>
              <w:spacing w:after="0" w:before="0"/>
              <w:jc w:val="left"/>
            </w:pPr>
            <w:r>
              <w:rPr>
                <w:color w:val="000000"/>
                <w:sz w:val="17"/>
                <w:szCs w:val="17"/>
              </w:rPr>
              <w:t xml:space="preserve">−45%</w:t>
            </w:r>
          </w:p>
        </w:tc>
        <w:tc>
          <w:tcPr>
            <w:tcW w:type="dxa" w:w="4157"/>
            <w:tcMar>
              <w:top w:type="dxa" w:w="60"/>
              <w:left w:type="dxa" w:w="90"/>
              <w:bottom w:type="dxa" w:w="60"/>
              <w:right w:type="dxa" w:w="90"/>
            </w:tcMar>
          </w:tcPr>
          <w:p>
            <w:pPr>
              <w:spacing w:after="0" w:before="0"/>
              <w:jc w:val="left"/>
            </w:pPr>
            <w:r>
              <w:rPr>
                <w:b/>
                <w:bCs/>
                <w:color w:val="000000"/>
                <w:sz w:val="17"/>
                <w:szCs w:val="17"/>
              </w:rPr>
              <w:t xml:space="preserve">−63pp</w:t>
            </w:r>
          </w:p>
        </w:tc>
      </w:tr>
      <w:tr>
        <w:tc>
          <w:tcPr>
            <w:tcW w:type="dxa" w:w="1863"/>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3726"/>
            <w:shd w:fill="F2F5F9" w:color="auto" w:val="clear"/>
            <w:tcMar>
              <w:top w:type="dxa" w:w="60"/>
              <w:left w:type="dxa" w:w="90"/>
              <w:bottom w:type="dxa" w:w="60"/>
              <w:right w:type="dxa" w:w="90"/>
            </w:tcMar>
          </w:tcPr>
          <w:p>
            <w:pPr>
              <w:spacing w:after="0" w:before="0"/>
              <w:jc w:val="left"/>
            </w:pPr>
            <w:r>
              <w:rPr>
                <w:color w:val="000000"/>
                <w:sz w:val="17"/>
                <w:szCs w:val="17"/>
              </w:rPr>
              <w:t xml:space="preserve">~4.0x</w:t>
            </w:r>
          </w:p>
        </w:tc>
        <w:tc>
          <w:tcPr>
            <w:tcW w:type="dxa" w:w="4157"/>
            <w:shd w:fill="F2F5F9" w:color="auto" w:val="clear"/>
            <w:tcMar>
              <w:top w:type="dxa" w:w="60"/>
              <w:left w:type="dxa" w:w="90"/>
              <w:bottom w:type="dxa" w:w="60"/>
              <w:right w:type="dxa" w:w="90"/>
            </w:tcMar>
          </w:tcPr>
          <w:p>
            <w:pPr>
              <w:spacing w:after="0" w:before="0"/>
              <w:jc w:val="left"/>
            </w:pPr>
            <w:r>
              <w:rPr>
                <w:color w:val="000000"/>
                <w:sz w:val="17"/>
                <w:szCs w:val="17"/>
              </w:rPr>
              <w:t xml:space="preserve">Premium (justified by margin)</w:t>
            </w:r>
          </w:p>
        </w:tc>
      </w:tr>
      <w:tr>
        <w:tc>
          <w:tcPr>
            <w:tcW w:type="dxa" w:w="1863"/>
            <w:tcMar>
              <w:top w:type="dxa" w:w="60"/>
              <w:left w:type="dxa" w:w="90"/>
              <w:bottom w:type="dxa" w:w="60"/>
              <w:right w:type="dxa" w:w="90"/>
            </w:tcMar>
          </w:tcPr>
          <w:p>
            <w:pPr>
              <w:spacing w:after="0" w:before="0"/>
              <w:jc w:val="left"/>
            </w:pPr>
            <w:r>
              <w:rPr>
                <w:color w:val="000000"/>
                <w:sz w:val="17"/>
                <w:szCs w:val="17"/>
              </w:rPr>
              <w:t xml:space="preserve">EV/EBIT</w:t>
            </w:r>
          </w:p>
        </w:tc>
        <w:tc>
          <w:tcPr>
            <w:tcW w:type="dxa" w:w="3726"/>
            <w:tcMar>
              <w:top w:type="dxa" w:w="60"/>
              <w:left w:type="dxa" w:w="90"/>
              <w:bottom w:type="dxa" w:w="60"/>
              <w:right w:type="dxa" w:w="90"/>
            </w:tcMar>
          </w:tcPr>
          <w:p>
            <w:pPr>
              <w:spacing w:after="0" w:before="0"/>
              <w:jc w:val="left"/>
            </w:pPr>
            <w:r>
              <w:rPr>
                <w:color w:val="000000"/>
                <w:sz w:val="17"/>
                <w:szCs w:val="17"/>
              </w:rPr>
              <w:t xml:space="preserve">~11x</w:t>
            </w:r>
          </w:p>
        </w:tc>
        <w:tc>
          <w:tcPr>
            <w:tcW w:type="dxa" w:w="4157"/>
            <w:tcMar>
              <w:top w:type="dxa" w:w="60"/>
              <w:left w:type="dxa" w:w="90"/>
              <w:bottom w:type="dxa" w:w="60"/>
              <w:right w:type="dxa" w:w="90"/>
            </w:tcMar>
          </w:tcPr>
          <w:p>
            <w:pPr>
              <w:spacing w:after="0" w:before="0"/>
              <w:jc w:val="left"/>
            </w:pPr>
            <w:r>
              <w:rPr>
                <w:b/>
                <w:bCs/>
                <w:color w:val="000000"/>
                <w:sz w:val="17"/>
                <w:szCs w:val="17"/>
              </w:rPr>
              <w:t xml:space="preserve">Discount to platform peers</w:t>
            </w:r>
          </w:p>
        </w:tc>
      </w:tr>
      <w:tr>
        <w:tc>
          <w:tcPr>
            <w:tcW w:type="dxa" w:w="1863"/>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3726"/>
            <w:shd w:fill="F2F5F9" w:color="auto" w:val="clear"/>
            <w:tcMar>
              <w:top w:type="dxa" w:w="60"/>
              <w:left w:type="dxa" w:w="90"/>
              <w:bottom w:type="dxa" w:w="60"/>
              <w:right w:type="dxa" w:w="90"/>
            </w:tcMar>
          </w:tcPr>
          <w:p>
            <w:pPr>
              <w:spacing w:after="0" w:before="0"/>
              <w:jc w:val="left"/>
            </w:pPr>
            <w:r>
              <w:rPr>
                <w:color w:val="000000"/>
                <w:sz w:val="17"/>
                <w:szCs w:val="17"/>
              </w:rPr>
              <w:t xml:space="preserve">~14x</w:t>
            </w:r>
          </w:p>
        </w:tc>
        <w:tc>
          <w:tcPr>
            <w:tcW w:type="dxa" w:w="4157"/>
            <w:shd w:fill="F2F5F9" w:color="auto" w:val="clear"/>
            <w:tcMar>
              <w:top w:type="dxa" w:w="60"/>
              <w:left w:type="dxa" w:w="90"/>
              <w:bottom w:type="dxa" w:w="60"/>
              <w:right w:type="dxa" w:w="90"/>
            </w:tcMar>
          </w:tcPr>
          <w:p>
            <w:pPr>
              <w:spacing w:after="0" w:before="0"/>
              <w:jc w:val="left"/>
            </w:pPr>
            <w:r>
              <w:rPr>
                <w:color w:val="000000"/>
                <w:sz w:val="17"/>
                <w:szCs w:val="17"/>
              </w:rPr>
              <w:t xml:space="preserve">Discount to platform peers</w:t>
            </w:r>
          </w:p>
        </w:tc>
      </w:tr>
      <w:tr>
        <w:tc>
          <w:tcPr>
            <w:tcW w:type="dxa" w:w="1863"/>
            <w:tcMar>
              <w:top w:type="dxa" w:w="60"/>
              <w:left w:type="dxa" w:w="90"/>
              <w:bottom w:type="dxa" w:w="60"/>
              <w:right w:type="dxa" w:w="90"/>
            </w:tcMar>
          </w:tcPr>
          <w:p>
            <w:pPr>
              <w:spacing w:after="0" w:before="0"/>
              <w:jc w:val="left"/>
            </w:pPr>
            <w:r>
              <w:rPr>
                <w:color w:val="000000"/>
                <w:sz w:val="17"/>
                <w:szCs w:val="17"/>
              </w:rPr>
              <w:t xml:space="preserve">FCF yield</w:t>
            </w:r>
          </w:p>
        </w:tc>
        <w:tc>
          <w:tcPr>
            <w:tcW w:type="dxa" w:w="3726"/>
            <w:tcMar>
              <w:top w:type="dxa" w:w="60"/>
              <w:left w:type="dxa" w:w="90"/>
              <w:bottom w:type="dxa" w:w="60"/>
              <w:right w:type="dxa" w:w="90"/>
            </w:tcMar>
          </w:tcPr>
          <w:p>
            <w:pPr>
              <w:spacing w:after="0" w:before="0"/>
              <w:jc w:val="left"/>
            </w:pPr>
            <w:r>
              <w:rPr>
                <w:color w:val="000000"/>
                <w:sz w:val="17"/>
                <w:szCs w:val="17"/>
              </w:rPr>
              <w:t xml:space="preserve">~7%</w:t>
            </w:r>
          </w:p>
        </w:tc>
        <w:tc>
          <w:tcPr>
            <w:tcW w:type="dxa" w:w="4157"/>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1863"/>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3726"/>
            <w:shd w:fill="F2F5F9" w:color="auto" w:val="clear"/>
            <w:tcMar>
              <w:top w:type="dxa" w:w="60"/>
              <w:left w:type="dxa" w:w="90"/>
              <w:bottom w:type="dxa" w:w="60"/>
              <w:right w:type="dxa" w:w="90"/>
            </w:tcMar>
          </w:tcPr>
          <w:p>
            <w:pPr>
              <w:spacing w:after="0" w:before="0"/>
              <w:jc w:val="left"/>
            </w:pPr>
            <w:r>
              <w:rPr>
                <w:color w:val="000000"/>
                <w:sz w:val="17"/>
                <w:szCs w:val="17"/>
              </w:rPr>
              <w:t xml:space="preserve">~35%</w:t>
            </w:r>
          </w:p>
        </w:tc>
        <w:tc>
          <w:tcPr>
            <w:tcW w:type="dxa" w:w="4157"/>
            <w:shd w:fill="F2F5F9" w:color="auto" w:val="clear"/>
            <w:tcMar>
              <w:top w:type="dxa" w:w="60"/>
              <w:left w:type="dxa" w:w="90"/>
              <w:bottom w:type="dxa" w:w="60"/>
              <w:right w:type="dxa" w:w="90"/>
            </w:tcMar>
          </w:tcPr>
          <w:p>
            <w:pPr>
              <w:spacing w:after="0" w:before="0"/>
              <w:jc w:val="left"/>
            </w:pPr>
            <w:r>
              <w:rPr>
                <w:b/>
                <w:bCs/>
                <w:color w:val="000000"/>
                <w:sz w:val="17"/>
                <w:szCs w:val="17"/>
              </w:rPr>
              <w:t xml:space="preserve">Well above sector</w:t>
            </w:r>
          </w:p>
        </w:tc>
      </w:tr>
      <w:tr>
        <w:tc>
          <w:tcPr>
            <w:tcW w:type="dxa" w:w="1863"/>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3726"/>
            <w:tcMar>
              <w:top w:type="dxa" w:w="60"/>
              <w:left w:type="dxa" w:w="90"/>
              <w:bottom w:type="dxa" w:w="60"/>
              <w:right w:type="dxa" w:w="90"/>
            </w:tcMar>
          </w:tcPr>
          <w:p>
            <w:pPr>
              <w:spacing w:after="0" w:before="0"/>
              <w:jc w:val="left"/>
            </w:pPr>
            <w:r>
              <w:rPr>
                <w:color w:val="000000"/>
                <w:sz w:val="17"/>
                <w:szCs w:val="17"/>
              </w:rPr>
              <w:t xml:space="preserve">~38%</w:t>
            </w:r>
          </w:p>
        </w:tc>
        <w:tc>
          <w:tcPr>
            <w:tcW w:type="dxa" w:w="4157"/>
            <w:tcMar>
              <w:top w:type="dxa" w:w="60"/>
              <w:left w:type="dxa" w:w="90"/>
              <w:bottom w:type="dxa" w:w="60"/>
              <w:right w:type="dxa" w:w="90"/>
            </w:tcMar>
          </w:tcPr>
          <w:p>
            <w:pPr>
              <w:spacing w:after="0" w:before="0"/>
              <w:jc w:val="left"/>
            </w:pPr>
            <w:r>
              <w:rPr>
                <w:color w:val="000000"/>
                <w:sz w:val="17"/>
                <w:szCs w:val="17"/>
              </w:rPr>
              <w:t xml:space="preserve">Well above sector</w:t>
            </w:r>
          </w:p>
        </w:tc>
      </w:tr>
      <w:tr>
        <w:tc>
          <w:tcPr>
            <w:tcW w:type="dxa" w:w="1863"/>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3726"/>
            <w:shd w:fill="F2F5F9" w:color="auto" w:val="clear"/>
            <w:tcMar>
              <w:top w:type="dxa" w:w="60"/>
              <w:left w:type="dxa" w:w="90"/>
              <w:bottom w:type="dxa" w:w="60"/>
              <w:right w:type="dxa" w:w="90"/>
            </w:tcMar>
          </w:tcPr>
          <w:p>
            <w:pPr>
              <w:spacing w:after="0" w:before="0"/>
              <w:jc w:val="left"/>
            </w:pPr>
            <w:r>
              <w:rPr>
                <w:color w:val="000000"/>
                <w:sz w:val="17"/>
                <w:szCs w:val="17"/>
              </w:rPr>
              <w:t xml:space="preserve">Net cash ~£150m, zero debt</w:t>
            </w:r>
          </w:p>
        </w:tc>
        <w:tc>
          <w:tcPr>
            <w:tcW w:type="dxa" w:w="4157"/>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Founders and directors (Michael Howard, Ian Taylor and connected parties) ~27% combined, BlackRock ~5%, Liontrust ~4%, Aberdeen ~4%, Vanguard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Best-in-class platform economics priced as a value trap.</w:t>
      </w:r>
      <w:r>
        <w:rPr>
          <w:sz w:val="19"/>
          <w:szCs w:val="19"/>
        </w:rPr>
        <w:t xml:space="preserve"> A 35% EBIT margin, zero debt, £150m of idle cash and £65bn of adviser-platform assets — trading at a discount to platform peers with worse economics. The discount is not about the business; it is about a founder-dominated board that communicates poorly and explains its capital decisions to nobody.</w:t>
      </w:r>
    </w:p>
    <w:p>
      <w:pPr>
        <w:pStyle w:val="ListParagraph"/>
        <w:numPr>
          <w:ilvl w:val="0"/>
          <w:numId w:val="2"/>
        </w:numPr>
        <w:spacing w:after="40" w:before="40"/>
      </w:pPr>
      <w:r>
        <w:rPr>
          <w:b/>
          <w:bCs/>
          <w:sz w:val="19"/>
          <w:szCs w:val="19"/>
        </w:rPr>
        <w:t xml:space="preserve">£150m of cash is sitting on the balance sheet with no stated purpose.</w:t>
      </w:r>
      <w:r>
        <w:rPr>
          <w:sz w:val="19"/>
          <w:szCs w:val="19"/>
        </w:rPr>
        <w:t xml:space="preserve"> Well above any regulatory requirement, generating a deposit return in a company whose own equity yields 7% free cash flow. That is a live, quantifiable transfer from shareholders every year it persists.</w:t>
      </w:r>
    </w:p>
    <w:p>
      <w:pPr>
        <w:pStyle w:val="ListParagraph"/>
        <w:numPr>
          <w:ilvl w:val="0"/>
          <w:numId w:val="2"/>
        </w:numPr>
        <w:spacing w:after="40" w:before="40"/>
      </w:pPr>
      <w:r>
        <w:rPr>
          <w:b/>
          <w:bCs/>
          <w:sz w:val="19"/>
          <w:szCs w:val="19"/>
        </w:rPr>
        <w:t xml:space="preserve">Technology capex is unaccountable.</w:t>
      </w:r>
      <w:r>
        <w:rPr>
          <w:sz w:val="19"/>
          <w:szCs w:val="19"/>
        </w:rPr>
        <w:t xml:space="preserve"> The in-house-built platform is management's stated differentiator, but the market receives no unit economics — no cost-to-serve, no basis-point revenue by cohort, no return on the development spend. Investors are asked to take the differentiation on trust and are pricing it accordingly.</w:t>
      </w:r>
    </w:p>
    <w:p>
      <w:pPr>
        <w:pStyle w:val="Heading3"/>
        <w:spacing w:after="100" w:before="220"/>
      </w:pPr>
      <w:r>
        <w:rPr>
          <w:b/>
          <w:bCs/>
          <w:color w:val="2E5C8A"/>
          <w:sz w:val="21"/>
          <w:szCs w:val="21"/>
        </w:rPr>
        <w:t xml:space="preserve">Most actionable changes</w:t>
      </w:r>
    </w:p>
    <w:p>
      <w:pPr>
        <w:pStyle w:val="ListParagraph"/>
        <w:numPr>
          <w:ilvl w:val="0"/>
          <w:numId w:val="12"/>
        </w:numPr>
        <w:spacing w:after="40" w:before="40"/>
      </w:pPr>
      <w:r>
        <w:rPr>
          <w:b/>
          <w:bCs/>
          <w:sz w:val="19"/>
          <w:szCs w:val="19"/>
        </w:rPr>
        <w:t xml:space="preserve">Adopt a formal capital-return policy</w:t>
      </w:r>
      <w:r>
        <w:rPr>
          <w:sz w:val="19"/>
          <w:szCs w:val="19"/>
        </w:rPr>
        <w:t xml:space="preserve"> — a special dividend or buyback for all cash above a defined regulatory buffer, and a standing rule thereafter.</w:t>
      </w:r>
    </w:p>
    <w:p>
      <w:pPr>
        <w:pStyle w:val="ListParagraph"/>
        <w:numPr>
          <w:ilvl w:val="0"/>
          <w:numId w:val="12"/>
        </w:numPr>
        <w:spacing w:after="40" w:before="40"/>
      </w:pPr>
      <w:r>
        <w:rPr>
          <w:b/>
          <w:bCs/>
          <w:sz w:val="19"/>
          <w:szCs w:val="19"/>
        </w:rPr>
        <w:t xml:space="preserve">Refresh the board</w:t>
      </w:r>
      <w:r>
        <w:rPr>
          <w:sz w:val="19"/>
          <w:szCs w:val="19"/>
        </w:rPr>
        <w:t xml:space="preserve"> with independent platform and technology operators, and separate any combined founder roles. The composition should reflect a £900m public company, not a private partnership.</w:t>
      </w:r>
    </w:p>
    <w:p>
      <w:pPr>
        <w:pStyle w:val="ListParagraph"/>
        <w:numPr>
          <w:ilvl w:val="0"/>
          <w:numId w:val="12"/>
        </w:numPr>
        <w:spacing w:after="40" w:before="40"/>
      </w:pPr>
      <w:r>
        <w:rPr>
          <w:b/>
          <w:bCs/>
          <w:sz w:val="19"/>
          <w:szCs w:val="19"/>
        </w:rPr>
        <w:t xml:space="preserve">Publish platform unit economics</w:t>
      </w:r>
      <w:r>
        <w:rPr>
          <w:sz w:val="19"/>
          <w:szCs w:val="19"/>
        </w:rPr>
        <w:t xml:space="preserve"> — revenue in basis points, cost-to-serve, net flows and retention by adviser cohort. This alone would close a meaningful part of the discount to peers.</w:t>
      </w:r>
    </w:p>
    <w:p>
      <w:pPr>
        <w:spacing w:after="100" w:before="60"/>
      </w:pPr>
      <w:r>
        <w:rPr>
          <w:b/>
          <w:bCs/>
          <w:sz w:val="19"/>
          <w:szCs w:val="19"/>
        </w:rPr>
        <w:t xml:space="preserve">Ease of building support: 3/5.</w:t>
      </w:r>
      <w:r>
        <w:rPr>
          <w:sz w:val="19"/>
          <w:szCs w:val="19"/>
        </w:rPr>
        <w:t xml:space="preserve"> The founder bloc of ~27% is substantial and cohesive, but well short of control — the other ~73% is a conventional institutional register that would welcome all three asks. The realistic path is a private, constructive approach first: these are governance-hygiene demands that a founder board can accept without loss of face, and the capital-return ask makes the founders themselves considerably richer.</w:t>
      </w:r>
    </w:p>
    <w:p>
      <w:pPr>
        <w:spacing w:after="100" w:before="60"/>
      </w:pPr>
      <w:r>
        <w:rPr>
          <w:b/>
          <w:bCs/>
          <w:sz w:val="19"/>
          <w:szCs w:val="19"/>
        </w:rPr>
        <w:t xml:space="preserve">Expected company defence:</w:t>
      </w:r>
      <w:r>
        <w:rPr>
          <w:sz w:val="19"/>
          <w:szCs w:val="19"/>
        </w:rPr>
        <w:t xml:space="preserve"> "Conservative capital is a regulatory expectation and a client-trust asset in a platform business holding other people's money — the last thing advisers want is a thinly-capitalised custodian. The technology is built in-house because that is the differentiator and the margin proves it. Founder ownership means our interests are identical to yours, over decades rather than quarters."</w:t>
      </w:r>
    </w:p>
    <w:p>
      <w:pPr>
        <w:spacing w:after="100" w:before="60"/>
      </w:pPr>
      <w:r>
        <w:rPr>
          <w:b/>
          <w:bCs/>
          <w:sz w:val="19"/>
          <w:szCs w:val="19"/>
        </w:rPr>
        <w:t xml:space="preserve">Activist angles:</w:t>
      </w:r>
      <w:r>
        <w:rPr>
          <w:sz w:val="19"/>
          <w:szCs w:val="19"/>
        </w:rPr>
        <w:t xml:space="preserve"> Capital allocation (primary — excess cash) · Governance / board composition · Disclosure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11. Bridgepoint Group plc (BPT LN)</w:t>
      </w:r>
    </w:p>
    <w:p>
      <w:pPr>
        <w:spacing w:after="100" w:before="60"/>
      </w:pPr>
      <w:r>
        <w:rPr>
          <w:b/>
          <w:bCs/>
          <w:sz w:val="19"/>
          <w:szCs w:val="19"/>
        </w:rPr>
        <w:t xml:space="preserve">Market cap ~£2.2bn · AUM ~€75bn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712"/>
        <w:gridCol w:w="3029"/>
        <w:gridCol w:w="5005"/>
      </w:tblGrid>
      <w:tr>
        <w:trPr>
          <w:tblHeader/>
        </w:trPr>
        <w:tc>
          <w:tcPr>
            <w:tcW w:type="dxa" w:w="1712"/>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3029"/>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5005"/>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TSR 1yr</w:t>
            </w:r>
          </w:p>
        </w:tc>
        <w:tc>
          <w:tcPr>
            <w:tcW w:type="dxa" w:w="3029"/>
            <w:tcMar>
              <w:top w:type="dxa" w:w="60"/>
              <w:left w:type="dxa" w:w="90"/>
              <w:bottom w:type="dxa" w:w="60"/>
              <w:right w:type="dxa" w:w="90"/>
            </w:tcMar>
          </w:tcPr>
          <w:p>
            <w:pPr>
              <w:spacing w:after="0" w:before="0"/>
              <w:jc w:val="left"/>
            </w:pPr>
            <w:r>
              <w:rPr>
                <w:color w:val="000000"/>
                <w:sz w:val="17"/>
                <w:szCs w:val="17"/>
              </w:rPr>
              <w:t xml:space="preserve">+5%</w:t>
            </w:r>
          </w:p>
        </w:tc>
        <w:tc>
          <w:tcPr>
            <w:tcW w:type="dxa" w:w="5005"/>
            <w:tcMar>
              <w:top w:type="dxa" w:w="60"/>
              <w:left w:type="dxa" w:w="90"/>
              <w:bottom w:type="dxa" w:w="60"/>
              <w:right w:type="dxa" w:w="90"/>
            </w:tcMar>
          </w:tcPr>
          <w:p>
            <w:pPr>
              <w:spacing w:after="0" w:before="0"/>
              <w:jc w:val="left"/>
            </w:pPr>
            <w:r>
              <w:rPr>
                <w:color w:val="000000"/>
                <w:sz w:val="17"/>
                <w:szCs w:val="17"/>
              </w:rPr>
              <w:t xml:space="preserve">−14pp</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3029"/>
            <w:shd w:fill="F2F5F9" w:color="auto" w:val="clear"/>
            <w:tcMar>
              <w:top w:type="dxa" w:w="60"/>
              <w:left w:type="dxa" w:w="90"/>
              <w:bottom w:type="dxa" w:w="60"/>
              <w:right w:type="dxa" w:w="90"/>
            </w:tcMar>
          </w:tcPr>
          <w:p>
            <w:pPr>
              <w:spacing w:after="0" w:before="0"/>
              <w:jc w:val="left"/>
            </w:pPr>
            <w:r>
              <w:rPr>
                <w:color w:val="000000"/>
                <w:sz w:val="17"/>
                <w:szCs w:val="17"/>
              </w:rPr>
              <w:t xml:space="preserve">+30%</w:t>
            </w:r>
          </w:p>
        </w:tc>
        <w:tc>
          <w:tcPr>
            <w:tcW w:type="dxa" w:w="5005"/>
            <w:shd w:fill="F2F5F9" w:color="auto" w:val="clear"/>
            <w:tcMar>
              <w:top w:type="dxa" w:w="60"/>
              <w:left w:type="dxa" w:w="90"/>
              <w:bottom w:type="dxa" w:w="60"/>
              <w:right w:type="dxa" w:w="90"/>
            </w:tcMar>
          </w:tcPr>
          <w:p>
            <w:pPr>
              <w:spacing w:after="0" w:before="0"/>
              <w:jc w:val="left"/>
            </w:pPr>
            <w:r>
              <w:rPr>
                <w:color w:val="000000"/>
                <w:sz w:val="17"/>
                <w:szCs w:val="17"/>
              </w:rPr>
              <w:t xml:space="preserve">−2pp</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TSR 5yr</w:t>
            </w:r>
          </w:p>
        </w:tc>
        <w:tc>
          <w:tcPr>
            <w:tcW w:type="dxa" w:w="3029"/>
            <w:tcMar>
              <w:top w:type="dxa" w:w="60"/>
              <w:left w:type="dxa" w:w="90"/>
              <w:bottom w:type="dxa" w:w="60"/>
              <w:right w:type="dxa" w:w="90"/>
            </w:tcMar>
          </w:tcPr>
          <w:p>
            <w:pPr>
              <w:spacing w:after="0" w:before="0"/>
              <w:jc w:val="left"/>
            </w:pPr>
            <w:r>
              <w:rPr>
                <w:color w:val="000000"/>
                <w:sz w:val="17"/>
                <w:szCs w:val="17"/>
              </w:rPr>
              <w:t xml:space="preserve">−25%</w:t>
            </w:r>
          </w:p>
        </w:tc>
        <w:tc>
          <w:tcPr>
            <w:tcW w:type="dxa" w:w="5005"/>
            <w:tcMar>
              <w:top w:type="dxa" w:w="60"/>
              <w:left w:type="dxa" w:w="90"/>
              <w:bottom w:type="dxa" w:w="60"/>
              <w:right w:type="dxa" w:w="90"/>
            </w:tcMar>
          </w:tcPr>
          <w:p>
            <w:pPr>
              <w:spacing w:after="0" w:before="0"/>
              <w:jc w:val="left"/>
            </w:pPr>
            <w:r>
              <w:rPr>
                <w:b/>
                <w:bCs/>
                <w:color w:val="000000"/>
                <w:sz w:val="17"/>
                <w:szCs w:val="17"/>
              </w:rPr>
              <w:t xml:space="preserve">−43pp</w:t>
            </w:r>
            <w:r>
              <w:rPr>
                <w:color w:val="000000"/>
                <w:sz w:val="17"/>
                <w:szCs w:val="17"/>
              </w:rPr>
              <w:t xml:space="preserve"> (IPO'd 2021 at 350p)</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3029"/>
            <w:shd w:fill="F2F5F9" w:color="auto" w:val="clear"/>
            <w:tcMar>
              <w:top w:type="dxa" w:w="60"/>
              <w:left w:type="dxa" w:w="90"/>
              <w:bottom w:type="dxa" w:w="60"/>
              <w:right w:type="dxa" w:w="90"/>
            </w:tcMar>
          </w:tcPr>
          <w:p>
            <w:pPr>
              <w:spacing w:after="0" w:before="0"/>
              <w:jc w:val="left"/>
            </w:pPr>
            <w:r>
              <w:rPr>
                <w:color w:val="000000"/>
                <w:sz w:val="17"/>
                <w:szCs w:val="17"/>
              </w:rPr>
              <w:t xml:space="preserve">~4.5x</w:t>
            </w:r>
          </w:p>
        </w:tc>
        <w:tc>
          <w:tcPr>
            <w:tcW w:type="dxa" w:w="5005"/>
            <w:shd w:fill="F2F5F9" w:color="auto" w:val="clear"/>
            <w:tcMar>
              <w:top w:type="dxa" w:w="60"/>
              <w:left w:type="dxa" w:w="90"/>
              <w:bottom w:type="dxa" w:w="60"/>
              <w:right w:type="dxa" w:w="90"/>
            </w:tcMar>
          </w:tcPr>
          <w:p>
            <w:pPr>
              <w:spacing w:after="0" w:before="0"/>
              <w:jc w:val="left"/>
            </w:pPr>
            <w:r>
              <w:rPr>
                <w:color w:val="000000"/>
                <w:sz w:val="17"/>
                <w:szCs w:val="17"/>
              </w:rPr>
              <w:t xml:space="preserve">Premium</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EV/EBIT</w:t>
            </w:r>
          </w:p>
        </w:tc>
        <w:tc>
          <w:tcPr>
            <w:tcW w:type="dxa" w:w="3029"/>
            <w:tcMar>
              <w:top w:type="dxa" w:w="60"/>
              <w:left w:type="dxa" w:w="90"/>
              <w:bottom w:type="dxa" w:w="60"/>
              <w:right w:type="dxa" w:w="90"/>
            </w:tcMar>
          </w:tcPr>
          <w:p>
            <w:pPr>
              <w:spacing w:after="0" w:before="0"/>
              <w:jc w:val="left"/>
            </w:pPr>
            <w:r>
              <w:rPr>
                <w:color w:val="000000"/>
                <w:sz w:val="17"/>
                <w:szCs w:val="17"/>
              </w:rPr>
              <w:t xml:space="preserve">~13x</w:t>
            </w:r>
          </w:p>
        </w:tc>
        <w:tc>
          <w:tcPr>
            <w:tcW w:type="dxa" w:w="5005"/>
            <w:tcMar>
              <w:top w:type="dxa" w:w="60"/>
              <w:left w:type="dxa" w:w="90"/>
              <w:bottom w:type="dxa" w:w="60"/>
              <w:right w:type="dxa" w:w="90"/>
            </w:tcMar>
          </w:tcPr>
          <w:p>
            <w:pPr>
              <w:spacing w:after="0" w:before="0"/>
              <w:jc w:val="left"/>
            </w:pPr>
            <w:r>
              <w:rPr>
                <w:b/>
                <w:bCs/>
                <w:color w:val="000000"/>
                <w:sz w:val="17"/>
                <w:szCs w:val="17"/>
              </w:rPr>
              <w:t xml:space="preserve">Deep discount to US alts peers (20x+)</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3029"/>
            <w:shd w:fill="F2F5F9" w:color="auto" w:val="clear"/>
            <w:tcMar>
              <w:top w:type="dxa" w:w="60"/>
              <w:left w:type="dxa" w:w="90"/>
              <w:bottom w:type="dxa" w:w="60"/>
              <w:right w:type="dxa" w:w="90"/>
            </w:tcMar>
          </w:tcPr>
          <w:p>
            <w:pPr>
              <w:spacing w:after="0" w:before="0"/>
              <w:jc w:val="left"/>
            </w:pPr>
            <w:r>
              <w:rPr>
                <w:color w:val="000000"/>
                <w:sz w:val="17"/>
                <w:szCs w:val="17"/>
              </w:rPr>
              <w:t xml:space="preserve">~16x</w:t>
            </w:r>
          </w:p>
        </w:tc>
        <w:tc>
          <w:tcPr>
            <w:tcW w:type="dxa" w:w="5005"/>
            <w:shd w:fill="F2F5F9" w:color="auto" w:val="clear"/>
            <w:tcMar>
              <w:top w:type="dxa" w:w="60"/>
              <w:left w:type="dxa" w:w="90"/>
              <w:bottom w:type="dxa" w:w="60"/>
              <w:right w:type="dxa" w:w="90"/>
            </w:tcMar>
          </w:tcPr>
          <w:p>
            <w:pPr>
              <w:spacing w:after="0" w:before="0"/>
              <w:jc w:val="left"/>
            </w:pPr>
            <w:r>
              <w:rPr>
                <w:color w:val="000000"/>
                <w:sz w:val="17"/>
                <w:szCs w:val="17"/>
              </w:rPr>
              <w:t xml:space="preserve">Discount to peers</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FCF yield</w:t>
            </w:r>
          </w:p>
        </w:tc>
        <w:tc>
          <w:tcPr>
            <w:tcW w:type="dxa" w:w="3029"/>
            <w:tcMar>
              <w:top w:type="dxa" w:w="60"/>
              <w:left w:type="dxa" w:w="90"/>
              <w:bottom w:type="dxa" w:w="60"/>
              <w:right w:type="dxa" w:w="90"/>
            </w:tcMar>
          </w:tcPr>
          <w:p>
            <w:pPr>
              <w:spacing w:after="0" w:before="0"/>
              <w:jc w:val="left"/>
            </w:pPr>
            <w:r>
              <w:rPr>
                <w:color w:val="000000"/>
                <w:sz w:val="17"/>
                <w:szCs w:val="17"/>
              </w:rPr>
              <w:t xml:space="preserve">~6%</w:t>
            </w:r>
          </w:p>
        </w:tc>
        <w:tc>
          <w:tcPr>
            <w:tcW w:type="dxa" w:w="5005"/>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3029"/>
            <w:shd w:fill="F2F5F9" w:color="auto" w:val="clear"/>
            <w:tcMar>
              <w:top w:type="dxa" w:w="60"/>
              <w:left w:type="dxa" w:w="90"/>
              <w:bottom w:type="dxa" w:w="60"/>
              <w:right w:type="dxa" w:w="90"/>
            </w:tcMar>
          </w:tcPr>
          <w:p>
            <w:pPr>
              <w:spacing w:after="0" w:before="0"/>
              <w:jc w:val="left"/>
            </w:pPr>
            <w:r>
              <w:rPr>
                <w:color w:val="000000"/>
                <w:sz w:val="17"/>
                <w:szCs w:val="17"/>
              </w:rPr>
              <w:t xml:space="preserve">~33%</w:t>
            </w:r>
          </w:p>
        </w:tc>
        <w:tc>
          <w:tcPr>
            <w:tcW w:type="dxa" w:w="5005"/>
            <w:shd w:fill="F2F5F9" w:color="auto" w:val="clear"/>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3029"/>
            <w:tcMar>
              <w:top w:type="dxa" w:w="60"/>
              <w:left w:type="dxa" w:w="90"/>
              <w:bottom w:type="dxa" w:w="60"/>
              <w:right w:type="dxa" w:w="90"/>
            </w:tcMar>
          </w:tcPr>
          <w:p>
            <w:pPr>
              <w:spacing w:after="0" w:before="0"/>
              <w:jc w:val="left"/>
            </w:pPr>
            <w:r>
              <w:rPr>
                <w:color w:val="000000"/>
                <w:sz w:val="17"/>
                <w:szCs w:val="17"/>
              </w:rPr>
              <w:t xml:space="preserve">~37%</w:t>
            </w:r>
          </w:p>
        </w:tc>
        <w:tc>
          <w:tcPr>
            <w:tcW w:type="dxa" w:w="5005"/>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3029"/>
            <w:shd w:fill="F2F5F9" w:color="auto" w:val="clear"/>
            <w:tcMar>
              <w:top w:type="dxa" w:w="60"/>
              <w:left w:type="dxa" w:w="90"/>
              <w:bottom w:type="dxa" w:w="60"/>
              <w:right w:type="dxa" w:w="90"/>
            </w:tcMar>
          </w:tcPr>
          <w:p>
            <w:pPr>
              <w:spacing w:after="0" w:before="0"/>
              <w:jc w:val="left"/>
            </w:pPr>
            <w:r>
              <w:rPr>
                <w:color w:val="000000"/>
                <w:sz w:val="17"/>
                <w:szCs w:val="17"/>
              </w:rPr>
              <w:t xml:space="preserve">~0.7x EBITDA (post-ECP)</w:t>
            </w:r>
          </w:p>
        </w:tc>
        <w:tc>
          <w:tcPr>
            <w:tcW w:type="dxa" w:w="5005"/>
            <w:shd w:fill="F2F5F9" w:color="auto" w:val="clear"/>
            <w:tcMar>
              <w:top w:type="dxa" w:w="60"/>
              <w:left w:type="dxa" w:w="90"/>
              <w:bottom w:type="dxa" w:w="60"/>
              <w:right w:type="dxa" w:w="90"/>
            </w:tcMar>
          </w:tcPr>
          <w:p>
            <w:pPr>
              <w:spacing w:after="0" w:before="0"/>
              <w:jc w:val="left"/>
            </w:pPr>
            <w:r>
              <w:rPr>
                <w:color w:val="000000"/>
                <w:sz w:val="17"/>
                <w:szCs w:val="17"/>
              </w:rPr>
              <w:t xml:space="preserve">Passes, but the most levered name here</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Bridgepoint partners and employees collectively ~25–30% (highly diffuse individually), Blue Owl/Dyal GP-stake vehicle ~10%, BlackRock ~5%, Norges Bank ~3%, Vanguard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The only listed pure-play European mid-market private equity firm trades at roughly half the multiple of US alternatives managers</w:t>
      </w:r>
      <w:r>
        <w:rPr>
          <w:sz w:val="19"/>
          <w:szCs w:val="19"/>
        </w:rPr>
        <w:t xml:space="preserve"> with comparable fee-earning growth. Scarcity value is being ignored because the equity story has never been told in the language global alternatives investors use.</w:t>
      </w:r>
    </w:p>
    <w:p>
      <w:pPr>
        <w:pStyle w:val="ListParagraph"/>
        <w:numPr>
          <w:ilvl w:val="0"/>
          <w:numId w:val="2"/>
        </w:numPr>
        <w:spacing w:after="40" w:before="40"/>
      </w:pPr>
      <w:r>
        <w:rPr>
          <w:b/>
          <w:bCs/>
          <w:sz w:val="19"/>
          <w:szCs w:val="19"/>
        </w:rPr>
        <w:t xml:space="preserve">The ECP acquisition was expensive and the market has not been shown the return.</w:t>
      </w:r>
      <w:r>
        <w:rPr>
          <w:sz w:val="19"/>
          <w:szCs w:val="19"/>
        </w:rPr>
        <w:t xml:space="preserve"> Buying a US infrastructure manager was strategically defensible; the price and the earn-out structure were not obviously so, and it took the balance sheet from net cash to modest leverage. Shareholders are entitled to the return-on-invested-capital analysis.</w:t>
      </w:r>
    </w:p>
    <w:p>
      <w:pPr>
        <w:pStyle w:val="ListParagraph"/>
        <w:numPr>
          <w:ilvl w:val="0"/>
          <w:numId w:val="2"/>
        </w:numPr>
        <w:spacing w:after="40" w:before="40"/>
      </w:pPr>
      <w:r>
        <w:rPr>
          <w:b/>
          <w:bCs/>
          <w:sz w:val="19"/>
          <w:szCs w:val="19"/>
        </w:rPr>
        <w:t xml:space="preserve">Carried interest is a black box.</w:t>
      </w:r>
      <w:r>
        <w:rPr>
          <w:sz w:val="19"/>
          <w:szCs w:val="19"/>
        </w:rPr>
        <w:t xml:space="preserve"> The market pays for fee-related earnings and assigns close to zero for accrued carry. Until FRE and carry are disclosed and modelled separately, the FRE annuity — a 33% margin, contracted, multi-year revenue stream — will never receive the annuity multiple it deserves.</w:t>
      </w:r>
    </w:p>
    <w:p>
      <w:pPr>
        <w:pStyle w:val="Heading3"/>
        <w:spacing w:after="100" w:before="220"/>
      </w:pPr>
      <w:r>
        <w:rPr>
          <w:b/>
          <w:bCs/>
          <w:color w:val="2E5C8A"/>
          <w:sz w:val="21"/>
          <w:szCs w:val="21"/>
        </w:rPr>
        <w:t xml:space="preserve">Most actionable changes</w:t>
      </w:r>
    </w:p>
    <w:p>
      <w:pPr>
        <w:pStyle w:val="ListParagraph"/>
        <w:numPr>
          <w:ilvl w:val="0"/>
          <w:numId w:val="13"/>
        </w:numPr>
        <w:spacing w:after="40" w:before="40"/>
      </w:pPr>
      <w:r>
        <w:rPr>
          <w:b/>
          <w:bCs/>
          <w:sz w:val="19"/>
          <w:szCs w:val="19"/>
        </w:rPr>
        <w:t xml:space="preserve">Separate FRE and carried-interest disclosure completely</w:t>
      </w:r>
      <w:r>
        <w:rPr>
          <w:sz w:val="19"/>
          <w:szCs w:val="19"/>
        </w:rPr>
        <w:t xml:space="preserve">, with a full accrued-carry bridge each period. This is a pure disclosure change with no operational cost and a direct re-rating consequence.</w:t>
      </w:r>
    </w:p>
    <w:p>
      <w:pPr>
        <w:pStyle w:val="ListParagraph"/>
        <w:numPr>
          <w:ilvl w:val="0"/>
          <w:numId w:val="13"/>
        </w:numPr>
        <w:spacing w:after="40" w:before="40"/>
      </w:pPr>
      <w:r>
        <w:rPr>
          <w:b/>
          <w:bCs/>
          <w:sz w:val="19"/>
          <w:szCs w:val="19"/>
        </w:rPr>
        <w:t xml:space="preserve">Halt further platform M&amp;A and buy back stock.</w:t>
      </w:r>
      <w:r>
        <w:rPr>
          <w:sz w:val="19"/>
          <w:szCs w:val="19"/>
        </w:rPr>
        <w:t xml:space="preserve"> At 13x EBIT for a business the board says is worth far more, repurchase beats the next acquisition on the board's own numbers.</w:t>
      </w:r>
    </w:p>
    <w:p>
      <w:pPr>
        <w:pStyle w:val="ListParagraph"/>
        <w:numPr>
          <w:ilvl w:val="0"/>
          <w:numId w:val="13"/>
        </w:numPr>
        <w:spacing w:after="40" w:before="40"/>
      </w:pPr>
      <w:r>
        <w:rPr>
          <w:b/>
          <w:bCs/>
          <w:sz w:val="19"/>
          <w:szCs w:val="19"/>
        </w:rPr>
        <w:t xml:space="preserve">Define and publish the employee lock-up and release schedule.</w:t>
      </w:r>
      <w:r>
        <w:rPr>
          <w:sz w:val="19"/>
          <w:szCs w:val="19"/>
        </w:rPr>
        <w:t xml:space="preserve"> The permanent uncertainty about when partner stock reaches the market is a standing discount that a simple, credible calendar would remove.</w:t>
      </w:r>
    </w:p>
    <w:p>
      <w:pPr>
        <w:spacing w:after="100" w:before="60"/>
      </w:pPr>
      <w:r>
        <w:rPr>
          <w:b/>
          <w:bCs/>
          <w:sz w:val="19"/>
          <w:szCs w:val="19"/>
        </w:rPr>
        <w:t xml:space="preserve">Ease of building support: 3/5.</w:t>
      </w:r>
      <w:r>
        <w:rPr>
          <w:sz w:val="19"/>
          <w:szCs w:val="19"/>
        </w:rPr>
        <w:t xml:space="preserve"> No single controlling holder, but the collective partner and employee bloc is meaningful and structurally aligned with management. The Blue Owl GP-stake position is a sophisticated financial holder that may be receptive to a value argument. Disclosure-led asks are the right opening — they are hard for any board to refuse in public.</w:t>
      </w:r>
    </w:p>
    <w:p>
      <w:pPr>
        <w:spacing w:after="100" w:before="60"/>
      </w:pPr>
      <w:r>
        <w:rPr>
          <w:b/>
          <w:bCs/>
          <w:sz w:val="19"/>
          <w:szCs w:val="19"/>
        </w:rPr>
        <w:t xml:space="preserve">Expected company defence:</w:t>
      </w:r>
      <w:r>
        <w:rPr>
          <w:sz w:val="19"/>
          <w:szCs w:val="19"/>
        </w:rPr>
        <w:t xml:space="preserve"> "ECP diversifies us into infrastructure and the United States, the two fastest-growing pools in private markets, and it is already contributing. Fundraising is at record levels with long-duration locked-up capital. Carry disclosure is constrained by fund accounting conventions and would be misleading if presented as an earnings line."</w:t>
      </w:r>
    </w:p>
    <w:p>
      <w:pPr>
        <w:spacing w:after="100" w:before="60"/>
      </w:pPr>
      <w:r>
        <w:rPr>
          <w:b/>
          <w:bCs/>
          <w:sz w:val="19"/>
          <w:szCs w:val="19"/>
        </w:rPr>
        <w:t xml:space="preserve">Activist angles:</w:t>
      </w:r>
      <w:r>
        <w:rPr>
          <w:sz w:val="19"/>
          <w:szCs w:val="19"/>
        </w:rPr>
        <w:t xml:space="preserve"> Disclosure / valuation framework (primary) · Capital allocation · M&amp;A discipline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12. Impax Asset Management Group plc (IPX LN)</w:t>
      </w:r>
    </w:p>
    <w:p>
      <w:pPr>
        <w:spacing w:after="100" w:before="60"/>
      </w:pPr>
      <w:r>
        <w:rPr>
          <w:b/>
          <w:bCs/>
          <w:sz w:val="19"/>
          <w:szCs w:val="19"/>
        </w:rPr>
        <w:t xml:space="preserve">Market cap ~£0.24bn · AUM ~£25bn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667"/>
        <w:gridCol w:w="5898"/>
        <w:gridCol w:w="2181"/>
      </w:tblGrid>
      <w:tr>
        <w:trPr>
          <w:tblHeader/>
        </w:trPr>
        <w:tc>
          <w:tcPr>
            <w:tcW w:type="dxa" w:w="1667"/>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5898"/>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2181"/>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TSR 1yr</w:t>
            </w:r>
          </w:p>
        </w:tc>
        <w:tc>
          <w:tcPr>
            <w:tcW w:type="dxa" w:w="5898"/>
            <w:tcMar>
              <w:top w:type="dxa" w:w="60"/>
              <w:left w:type="dxa" w:w="90"/>
              <w:bottom w:type="dxa" w:w="60"/>
              <w:right w:type="dxa" w:w="90"/>
            </w:tcMar>
          </w:tcPr>
          <w:p>
            <w:pPr>
              <w:spacing w:after="0" w:before="0"/>
              <w:jc w:val="left"/>
            </w:pPr>
            <w:r>
              <w:rPr>
                <w:color w:val="000000"/>
                <w:sz w:val="17"/>
                <w:szCs w:val="17"/>
              </w:rPr>
              <w:t xml:space="preserve">−25%</w:t>
            </w:r>
          </w:p>
        </w:tc>
        <w:tc>
          <w:tcPr>
            <w:tcW w:type="dxa" w:w="2181"/>
            <w:tcMar>
              <w:top w:type="dxa" w:w="60"/>
              <w:left w:type="dxa" w:w="90"/>
              <w:bottom w:type="dxa" w:w="60"/>
              <w:right w:type="dxa" w:w="90"/>
            </w:tcMar>
          </w:tcPr>
          <w:p>
            <w:pPr>
              <w:spacing w:after="0" w:before="0"/>
              <w:jc w:val="left"/>
            </w:pPr>
            <w:r>
              <w:rPr>
                <w:b/>
                <w:bCs/>
                <w:color w:val="000000"/>
                <w:sz w:val="17"/>
                <w:szCs w:val="17"/>
              </w:rPr>
              <w:t xml:space="preserve">−44pp</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5898"/>
            <w:shd w:fill="F2F5F9" w:color="auto" w:val="clear"/>
            <w:tcMar>
              <w:top w:type="dxa" w:w="60"/>
              <w:left w:type="dxa" w:w="90"/>
              <w:bottom w:type="dxa" w:w="60"/>
              <w:right w:type="dxa" w:w="90"/>
            </w:tcMar>
          </w:tcPr>
          <w:p>
            <w:pPr>
              <w:spacing w:after="0" w:before="0"/>
              <w:jc w:val="left"/>
            </w:pPr>
            <w:r>
              <w:rPr>
                <w:color w:val="000000"/>
                <w:sz w:val="17"/>
                <w:szCs w:val="17"/>
              </w:rPr>
              <w:t xml:space="preserve">−70%</w:t>
            </w:r>
          </w:p>
        </w:tc>
        <w:tc>
          <w:tcPr>
            <w:tcW w:type="dxa" w:w="2181"/>
            <w:shd w:fill="F2F5F9" w:color="auto" w:val="clear"/>
            <w:tcMar>
              <w:top w:type="dxa" w:w="60"/>
              <w:left w:type="dxa" w:w="90"/>
              <w:bottom w:type="dxa" w:w="60"/>
              <w:right w:type="dxa" w:w="90"/>
            </w:tcMar>
          </w:tcPr>
          <w:p>
            <w:pPr>
              <w:spacing w:after="0" w:before="0"/>
              <w:jc w:val="left"/>
            </w:pPr>
            <w:r>
              <w:rPr>
                <w:b/>
                <w:bCs/>
                <w:color w:val="000000"/>
                <w:sz w:val="17"/>
                <w:szCs w:val="17"/>
              </w:rPr>
              <w:t xml:space="preserve">−102pp</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TSR 5yr</w:t>
            </w:r>
          </w:p>
        </w:tc>
        <w:tc>
          <w:tcPr>
            <w:tcW w:type="dxa" w:w="5898"/>
            <w:tcMar>
              <w:top w:type="dxa" w:w="60"/>
              <w:left w:type="dxa" w:w="90"/>
              <w:bottom w:type="dxa" w:w="60"/>
              <w:right w:type="dxa" w:w="90"/>
            </w:tcMar>
          </w:tcPr>
          <w:p>
            <w:pPr>
              <w:spacing w:after="0" w:before="0"/>
              <w:jc w:val="left"/>
            </w:pPr>
            <w:r>
              <w:rPr>
                <w:color w:val="000000"/>
                <w:sz w:val="17"/>
                <w:szCs w:val="17"/>
              </w:rPr>
              <w:t xml:space="preserve">−80%</w:t>
            </w:r>
          </w:p>
        </w:tc>
        <w:tc>
          <w:tcPr>
            <w:tcW w:type="dxa" w:w="2181"/>
            <w:tcMar>
              <w:top w:type="dxa" w:w="60"/>
              <w:left w:type="dxa" w:w="90"/>
              <w:bottom w:type="dxa" w:w="60"/>
              <w:right w:type="dxa" w:w="90"/>
            </w:tcMar>
          </w:tcPr>
          <w:p>
            <w:pPr>
              <w:spacing w:after="0" w:before="0"/>
              <w:jc w:val="left"/>
            </w:pPr>
            <w:r>
              <w:rPr>
                <w:b/>
                <w:bCs/>
                <w:color w:val="000000"/>
                <w:sz w:val="17"/>
                <w:szCs w:val="17"/>
              </w:rPr>
              <w:t xml:space="preserve">−98pp</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5898"/>
            <w:shd w:fill="F2F5F9" w:color="auto" w:val="clear"/>
            <w:tcMar>
              <w:top w:type="dxa" w:w="60"/>
              <w:left w:type="dxa" w:w="90"/>
              <w:bottom w:type="dxa" w:w="60"/>
              <w:right w:type="dxa" w:w="90"/>
            </w:tcMar>
          </w:tcPr>
          <w:p>
            <w:pPr>
              <w:spacing w:after="0" w:before="0"/>
              <w:jc w:val="left"/>
            </w:pPr>
            <w:r>
              <w:rPr>
                <w:color w:val="000000"/>
                <w:sz w:val="17"/>
                <w:szCs w:val="17"/>
              </w:rPr>
              <w:t xml:space="preserve">~1.0x ex-cash</w:t>
            </w:r>
          </w:p>
        </w:tc>
        <w:tc>
          <w:tcPr>
            <w:tcW w:type="dxa" w:w="2181"/>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EV/EBIT</w:t>
            </w:r>
          </w:p>
        </w:tc>
        <w:tc>
          <w:tcPr>
            <w:tcW w:type="dxa" w:w="5898"/>
            <w:tcMar>
              <w:top w:type="dxa" w:w="60"/>
              <w:left w:type="dxa" w:w="90"/>
              <w:bottom w:type="dxa" w:w="60"/>
              <w:right w:type="dxa" w:w="90"/>
            </w:tcMar>
          </w:tcPr>
          <w:p>
            <w:pPr>
              <w:spacing w:after="0" w:before="0"/>
              <w:jc w:val="left"/>
            </w:pPr>
            <w:r>
              <w:rPr>
                <w:color w:val="000000"/>
                <w:sz w:val="17"/>
                <w:szCs w:val="17"/>
              </w:rPr>
              <w:t xml:space="preserve">~5x ex-cash</w:t>
            </w:r>
          </w:p>
        </w:tc>
        <w:tc>
          <w:tcPr>
            <w:tcW w:type="dxa" w:w="2181"/>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5898"/>
            <w:shd w:fill="F2F5F9" w:color="auto" w:val="clear"/>
            <w:tcMar>
              <w:top w:type="dxa" w:w="60"/>
              <w:left w:type="dxa" w:w="90"/>
              <w:bottom w:type="dxa" w:w="60"/>
              <w:right w:type="dxa" w:w="90"/>
            </w:tcMar>
          </w:tcPr>
          <w:p>
            <w:pPr>
              <w:spacing w:after="0" w:before="0"/>
              <w:jc w:val="left"/>
            </w:pPr>
            <w:r>
              <w:rPr>
                <w:color w:val="000000"/>
                <w:sz w:val="17"/>
                <w:szCs w:val="17"/>
              </w:rPr>
              <w:t xml:space="preserve">~9x</w:t>
            </w:r>
          </w:p>
        </w:tc>
        <w:tc>
          <w:tcPr>
            <w:tcW w:type="dxa" w:w="2181"/>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FCF yield</w:t>
            </w:r>
          </w:p>
        </w:tc>
        <w:tc>
          <w:tcPr>
            <w:tcW w:type="dxa" w:w="5898"/>
            <w:tcMar>
              <w:top w:type="dxa" w:w="60"/>
              <w:left w:type="dxa" w:w="90"/>
              <w:bottom w:type="dxa" w:w="60"/>
              <w:right w:type="dxa" w:w="90"/>
            </w:tcMar>
          </w:tcPr>
          <w:p>
            <w:pPr>
              <w:spacing w:after="0" w:before="0"/>
              <w:jc w:val="left"/>
            </w:pPr>
            <w:r>
              <w:rPr>
                <w:color w:val="000000"/>
                <w:sz w:val="17"/>
                <w:szCs w:val="17"/>
              </w:rPr>
              <w:t xml:space="preserve">~14%</w:t>
            </w:r>
          </w:p>
        </w:tc>
        <w:tc>
          <w:tcPr>
            <w:tcW w:type="dxa" w:w="2181"/>
            <w:tcMar>
              <w:top w:type="dxa" w:w="60"/>
              <w:left w:type="dxa" w:w="90"/>
              <w:bottom w:type="dxa" w:w="60"/>
              <w:right w:type="dxa" w:w="90"/>
            </w:tcMar>
          </w:tcPr>
          <w:p>
            <w:pPr>
              <w:spacing w:after="0" w:before="0"/>
              <w:jc w:val="left"/>
            </w:pPr>
            <w:r>
              <w:rPr>
                <w:color w:val="000000"/>
                <w:sz w:val="17"/>
                <w:szCs w:val="17"/>
              </w:rPr>
              <w:t xml:space="preserve">Very attractive</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5898"/>
            <w:shd w:fill="F2F5F9" w:color="auto" w:val="clear"/>
            <w:tcMar>
              <w:top w:type="dxa" w:w="60"/>
              <w:left w:type="dxa" w:w="90"/>
              <w:bottom w:type="dxa" w:w="60"/>
              <w:right w:type="dxa" w:w="90"/>
            </w:tcMar>
          </w:tcPr>
          <w:p>
            <w:pPr>
              <w:spacing w:after="0" w:before="0"/>
              <w:jc w:val="left"/>
            </w:pPr>
            <w:r>
              <w:rPr>
                <w:color w:val="000000"/>
                <w:sz w:val="17"/>
                <w:szCs w:val="17"/>
              </w:rPr>
              <w:t xml:space="preserve">~20% (was 30%+)</w:t>
            </w:r>
          </w:p>
        </w:tc>
        <w:tc>
          <w:tcPr>
            <w:tcW w:type="dxa" w:w="2181"/>
            <w:shd w:fill="F2F5F9" w:color="auto" w:val="clear"/>
            <w:tcMar>
              <w:top w:type="dxa" w:w="60"/>
              <w:left w:type="dxa" w:w="90"/>
              <w:bottom w:type="dxa" w:w="60"/>
              <w:right w:type="dxa" w:w="90"/>
            </w:tcMar>
          </w:tcPr>
          <w:p>
            <w:pPr>
              <w:spacing w:after="0" w:before="0"/>
              <w:jc w:val="left"/>
            </w:pPr>
            <w:r>
              <w:rPr>
                <w:b/>
                <w:bCs/>
                <w:color w:val="000000"/>
                <w:sz w:val="17"/>
                <w:szCs w:val="17"/>
              </w:rPr>
              <w:t xml:space="preserve">Well below sector</w:t>
            </w:r>
          </w:p>
        </w:tc>
      </w:tr>
      <w:tr>
        <w:tc>
          <w:tcPr>
            <w:tcW w:type="dxa" w:w="1667"/>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5898"/>
            <w:tcMar>
              <w:top w:type="dxa" w:w="60"/>
              <w:left w:type="dxa" w:w="90"/>
              <w:bottom w:type="dxa" w:w="60"/>
              <w:right w:type="dxa" w:w="90"/>
            </w:tcMar>
          </w:tcPr>
          <w:p>
            <w:pPr>
              <w:spacing w:after="0" w:before="0"/>
              <w:jc w:val="left"/>
            </w:pPr>
            <w:r>
              <w:rPr>
                <w:color w:val="000000"/>
                <w:sz w:val="17"/>
                <w:szCs w:val="17"/>
              </w:rPr>
              <w:t xml:space="preserve">~25%</w:t>
            </w:r>
          </w:p>
        </w:tc>
        <w:tc>
          <w:tcPr>
            <w:tcW w:type="dxa" w:w="2181"/>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1667"/>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5898"/>
            <w:shd w:fill="F2F5F9" w:color="auto" w:val="clear"/>
            <w:tcMar>
              <w:top w:type="dxa" w:w="60"/>
              <w:left w:type="dxa" w:w="90"/>
              <w:bottom w:type="dxa" w:w="60"/>
              <w:right w:type="dxa" w:w="90"/>
            </w:tcMar>
          </w:tcPr>
          <w:p>
            <w:pPr>
              <w:spacing w:after="0" w:before="0"/>
              <w:jc w:val="left"/>
            </w:pPr>
            <w:r>
              <w:rPr>
                <w:color w:val="000000"/>
                <w:sz w:val="17"/>
                <w:szCs w:val="17"/>
              </w:rPr>
              <w:t xml:space="preserve">Net cash ~£95m, zero debt (~40% of market cap)</w:t>
            </w:r>
          </w:p>
        </w:tc>
        <w:tc>
          <w:tcPr>
            <w:tcW w:type="dxa" w:w="2181"/>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BNP Paribas Asset Management ~13%, Ian Simm (founder-CEO) ~5%, Liontrust ~4%, BlackRock ~4%, Chelverton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Single-client concentration risk crystallised, and the board had no plan for it.</w:t>
      </w:r>
      <w:r>
        <w:rPr>
          <w:sz w:val="19"/>
          <w:szCs w:val="19"/>
        </w:rPr>
        <w:t xml:space="preserve"> The loss of the BNP-related mandate removed billions of AUM in a single event. That the business could be that exposed to one relationship — while BNP simultaneously sat on the register as the largest shareholder — is a governance failure as much as a commercial one.</w:t>
      </w:r>
    </w:p>
    <w:p>
      <w:pPr>
        <w:pStyle w:val="ListParagraph"/>
        <w:numPr>
          <w:ilvl w:val="0"/>
          <w:numId w:val="2"/>
        </w:numPr>
        <w:spacing w:after="40" w:before="40"/>
      </w:pPr>
      <w:r>
        <w:rPr>
          <w:b/>
          <w:bCs/>
          <w:sz w:val="19"/>
          <w:szCs w:val="19"/>
        </w:rPr>
        <w:t xml:space="preserve">Roughly 40% of the market capitalisation is net cash, while the cost base is still sized for £40bn of AUM.</w:t>
      </w:r>
      <w:r>
        <w:rPr>
          <w:sz w:val="19"/>
          <w:szCs w:val="19"/>
        </w:rPr>
        <w:t xml:space="preserve"> The operating business is therefore valued at approximately 5x EBIT. Margins have fallen from 30%+ to ~20% almost entirely through the denominator; the numerator has barely moved.</w:t>
      </w:r>
    </w:p>
    <w:p>
      <w:pPr>
        <w:pStyle w:val="ListParagraph"/>
        <w:numPr>
          <w:ilvl w:val="0"/>
          <w:numId w:val="2"/>
        </w:numPr>
        <w:spacing w:after="40" w:before="40"/>
      </w:pPr>
      <w:r>
        <w:rPr>
          <w:b/>
          <w:bCs/>
          <w:sz w:val="19"/>
          <w:szCs w:val="19"/>
        </w:rPr>
        <w:t xml:space="preserve">This is the most obvious acquisition target in UK asset management.</w:t>
      </w:r>
      <w:r>
        <w:rPr>
          <w:sz w:val="19"/>
          <w:szCs w:val="19"/>
        </w:rPr>
        <w:t xml:space="preserve"> A genuine, differentiated sustainable-investment franchise with a long track record, at a 5x ex-cash multiple, with a 13% strategic shareholder who has already stepped back commercially. Every consolidator in Europe has run these numbers.</w:t>
      </w:r>
    </w:p>
    <w:p>
      <w:pPr>
        <w:pStyle w:val="Heading3"/>
        <w:spacing w:after="100" w:before="220"/>
      </w:pPr>
      <w:r>
        <w:rPr>
          <w:b/>
          <w:bCs/>
          <w:color w:val="2E5C8A"/>
          <w:sz w:val="21"/>
          <w:szCs w:val="21"/>
        </w:rPr>
        <w:t xml:space="preserve">Most actionable changes</w:t>
      </w:r>
    </w:p>
    <w:p>
      <w:pPr>
        <w:pStyle w:val="ListParagraph"/>
        <w:numPr>
          <w:ilvl w:val="0"/>
          <w:numId w:val="14"/>
        </w:numPr>
        <w:spacing w:after="40" w:before="40"/>
      </w:pPr>
      <w:r>
        <w:rPr>
          <w:b/>
          <w:bCs/>
          <w:sz w:val="19"/>
          <w:szCs w:val="19"/>
        </w:rPr>
        <w:t xml:space="preserve">Commence a strategic review including a sale of the company.</w:t>
      </w:r>
      <w:r>
        <w:rPr>
          <w:sz w:val="19"/>
          <w:szCs w:val="19"/>
        </w:rPr>
        <w:t xml:space="preserve"> With BNP at ~13% as a strategic holder whose commercial relationship has already unwound, the largest shareholder is plausibly a willing seller — the single most useful fact in any campaign.</w:t>
      </w:r>
    </w:p>
    <w:p>
      <w:pPr>
        <w:pStyle w:val="ListParagraph"/>
        <w:numPr>
          <w:ilvl w:val="0"/>
          <w:numId w:val="14"/>
        </w:numPr>
        <w:spacing w:after="40" w:before="40"/>
      </w:pPr>
      <w:r>
        <w:rPr>
          <w:b/>
          <w:bCs/>
          <w:sz w:val="19"/>
          <w:szCs w:val="19"/>
        </w:rPr>
        <w:t xml:space="preserve">If independent: cut the cost base by 25% and return £50m+.</w:t>
      </w:r>
      <w:r>
        <w:rPr>
          <w:sz w:val="19"/>
          <w:szCs w:val="19"/>
        </w:rPr>
        <w:t xml:space="preserve"> Resize to a £25bn business, restore a 30% margin, and use the surplus cash to retire stock at 5x EBIT.</w:t>
      </w:r>
    </w:p>
    <w:p>
      <w:pPr>
        <w:pStyle w:val="ListParagraph"/>
        <w:numPr>
          <w:ilvl w:val="0"/>
          <w:numId w:val="14"/>
        </w:numPr>
        <w:spacing w:after="40" w:before="40"/>
      </w:pPr>
      <w:r>
        <w:rPr>
          <w:b/>
          <w:bCs/>
          <w:sz w:val="19"/>
          <w:szCs w:val="19"/>
        </w:rPr>
        <w:t xml:space="preserve">Eliminate the client-concentration exposure</w:t>
      </w:r>
      <w:r>
        <w:rPr>
          <w:sz w:val="19"/>
          <w:szCs w:val="19"/>
        </w:rPr>
        <w:t xml:space="preserve"> with a published diversification target and disclosure of revenue concentration by client and channel.</w:t>
      </w:r>
    </w:p>
    <w:p>
      <w:pPr>
        <w:spacing w:after="100" w:before="60"/>
      </w:pPr>
      <w:r>
        <w:rPr>
          <w:b/>
          <w:bCs/>
          <w:sz w:val="19"/>
          <w:szCs w:val="19"/>
        </w:rPr>
        <w:t xml:space="preserve">Ease of building support: 4/5.</w:t>
      </w:r>
      <w:r>
        <w:rPr>
          <w:sz w:val="19"/>
          <w:szCs w:val="19"/>
        </w:rPr>
        <w:t xml:space="preserve"> The institutional register has lost 80% over five years and is unlikely to defend the status quo. BNP's ~13% is the swing factor and cuts both ways: a strategic holder seeking an exit is an activist's best friend, but a strategic holder defending an incumbent management team is a real obstacle. Establishing BNP's posture is the first task in any campaign here.</w:t>
      </w:r>
    </w:p>
    <w:p>
      <w:pPr>
        <w:spacing w:after="100" w:before="60"/>
      </w:pPr>
      <w:r>
        <w:rPr>
          <w:b/>
          <w:bCs/>
          <w:sz w:val="19"/>
          <w:szCs w:val="19"/>
        </w:rPr>
        <w:t xml:space="preserve">Expected company defence:</w:t>
      </w:r>
      <w:r>
        <w:rPr>
          <w:sz w:val="19"/>
          <w:szCs w:val="19"/>
        </w:rPr>
        <w:t xml:space="preserve"> "Sustainable-investment flows are cyclical, not structurally impaired, and the sector will re-rate. Our track record, our research capability and our brand are intact and cannot be rebuilt by an acquirer. Capital is needed to seed products and to sustain the business through the trough. Selling at the bottom of the cycle is precisely the wrong decision."</w:t>
      </w:r>
    </w:p>
    <w:p>
      <w:pPr>
        <w:spacing w:after="100" w:before="60"/>
      </w:pPr>
      <w:r>
        <w:rPr>
          <w:b/>
          <w:bCs/>
          <w:sz w:val="19"/>
          <w:szCs w:val="19"/>
        </w:rPr>
        <w:t xml:space="preserve">Activist angles:</w:t>
      </w:r>
      <w:r>
        <w:rPr>
          <w:sz w:val="19"/>
          <w:szCs w:val="19"/>
        </w:rPr>
        <w:t xml:space="preserve"> M&amp;A / strategic review (primary) · Cost discipline · Capital allocation (excess cash)</w:t>
      </w:r>
    </w:p>
    <w:p>
      <w:pPr>
        <w:spacing w:after="100" w:before="60"/>
      </w:pPr>
      <w:r>
        <w:rPr>
          <w:i/>
          <w:iCs/>
          <w:color w:val="595959"/>
          <w:sz w:val="19"/>
          <w:szCs w:val="19"/>
        </w:rPr>
        <w:t xml:space="preserve">(See also the existing `Impax_Peer_Comparison` analysis in this repository for the detailed peer benchmarking underlying this entry.)</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13. Foresight Group Holdings Ltd (FSG LN)</w:t>
      </w:r>
    </w:p>
    <w:p>
      <w:pPr>
        <w:spacing w:after="100" w:before="60"/>
      </w:pPr>
      <w:r>
        <w:rPr>
          <w:b/>
          <w:bCs/>
          <w:sz w:val="19"/>
          <w:szCs w:val="19"/>
        </w:rPr>
        <w:t xml:space="preserve">Market cap ~£0.32bn · AUM ~£13bn · UK</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979"/>
        <w:gridCol w:w="2131"/>
        <w:gridCol w:w="5636"/>
      </w:tblGrid>
      <w:tr>
        <w:trPr>
          <w:tblHeader/>
        </w:trPr>
        <w:tc>
          <w:tcPr>
            <w:tcW w:type="dxa" w:w="1979"/>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2131"/>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5636"/>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979"/>
            <w:tcMar>
              <w:top w:type="dxa" w:w="60"/>
              <w:left w:type="dxa" w:w="90"/>
              <w:bottom w:type="dxa" w:w="60"/>
              <w:right w:type="dxa" w:w="90"/>
            </w:tcMar>
          </w:tcPr>
          <w:p>
            <w:pPr>
              <w:spacing w:after="0" w:before="0"/>
              <w:jc w:val="left"/>
            </w:pPr>
            <w:r>
              <w:rPr>
                <w:color w:val="000000"/>
                <w:sz w:val="17"/>
                <w:szCs w:val="17"/>
              </w:rPr>
              <w:t xml:space="preserve">TSR 1yr</w:t>
            </w:r>
          </w:p>
        </w:tc>
        <w:tc>
          <w:tcPr>
            <w:tcW w:type="dxa" w:w="2131"/>
            <w:tcMar>
              <w:top w:type="dxa" w:w="60"/>
              <w:left w:type="dxa" w:w="90"/>
              <w:bottom w:type="dxa" w:w="60"/>
              <w:right w:type="dxa" w:w="90"/>
            </w:tcMar>
          </w:tcPr>
          <w:p>
            <w:pPr>
              <w:spacing w:after="0" w:before="0"/>
              <w:jc w:val="left"/>
            </w:pPr>
            <w:r>
              <w:rPr>
                <w:color w:val="000000"/>
                <w:sz w:val="17"/>
                <w:szCs w:val="17"/>
              </w:rPr>
              <w:t xml:space="preserve">−10%</w:t>
            </w:r>
          </w:p>
        </w:tc>
        <w:tc>
          <w:tcPr>
            <w:tcW w:type="dxa" w:w="5636"/>
            <w:tcMar>
              <w:top w:type="dxa" w:w="60"/>
              <w:left w:type="dxa" w:w="90"/>
              <w:bottom w:type="dxa" w:w="60"/>
              <w:right w:type="dxa" w:w="90"/>
            </w:tcMar>
          </w:tcPr>
          <w:p>
            <w:pPr>
              <w:spacing w:after="0" w:before="0"/>
              <w:jc w:val="left"/>
            </w:pPr>
            <w:r>
              <w:rPr>
                <w:b/>
                <w:bCs/>
                <w:color w:val="000000"/>
                <w:sz w:val="17"/>
                <w:szCs w:val="17"/>
              </w:rPr>
              <w:t xml:space="preserve">−29pp</w:t>
            </w:r>
          </w:p>
        </w:tc>
      </w:tr>
      <w:tr>
        <w:tc>
          <w:tcPr>
            <w:tcW w:type="dxa" w:w="1979"/>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2131"/>
            <w:shd w:fill="F2F5F9" w:color="auto" w:val="clear"/>
            <w:tcMar>
              <w:top w:type="dxa" w:w="60"/>
              <w:left w:type="dxa" w:w="90"/>
              <w:bottom w:type="dxa" w:w="60"/>
              <w:right w:type="dxa" w:w="90"/>
            </w:tcMar>
          </w:tcPr>
          <w:p>
            <w:pPr>
              <w:spacing w:after="0" w:before="0"/>
              <w:jc w:val="left"/>
            </w:pPr>
            <w:r>
              <w:rPr>
                <w:color w:val="000000"/>
                <w:sz w:val="17"/>
                <w:szCs w:val="17"/>
              </w:rPr>
              <w:t xml:space="preserve">−25%</w:t>
            </w:r>
          </w:p>
        </w:tc>
        <w:tc>
          <w:tcPr>
            <w:tcW w:type="dxa" w:w="5636"/>
            <w:shd w:fill="F2F5F9" w:color="auto" w:val="clear"/>
            <w:tcMar>
              <w:top w:type="dxa" w:w="60"/>
              <w:left w:type="dxa" w:w="90"/>
              <w:bottom w:type="dxa" w:w="60"/>
              <w:right w:type="dxa" w:w="90"/>
            </w:tcMar>
          </w:tcPr>
          <w:p>
            <w:pPr>
              <w:spacing w:after="0" w:before="0"/>
              <w:jc w:val="left"/>
            </w:pPr>
            <w:r>
              <w:rPr>
                <w:b/>
                <w:bCs/>
                <w:color w:val="000000"/>
                <w:sz w:val="17"/>
                <w:szCs w:val="17"/>
              </w:rPr>
              <w:t xml:space="preserve">−57pp</w:t>
            </w:r>
          </w:p>
        </w:tc>
      </w:tr>
      <w:tr>
        <w:tc>
          <w:tcPr>
            <w:tcW w:type="dxa" w:w="1979"/>
            <w:tcMar>
              <w:top w:type="dxa" w:w="60"/>
              <w:left w:type="dxa" w:w="90"/>
              <w:bottom w:type="dxa" w:w="60"/>
              <w:right w:type="dxa" w:w="90"/>
            </w:tcMar>
          </w:tcPr>
          <w:p>
            <w:pPr>
              <w:spacing w:after="0" w:before="0"/>
              <w:jc w:val="left"/>
            </w:pPr>
            <w:r>
              <w:rPr>
                <w:color w:val="000000"/>
                <w:sz w:val="17"/>
                <w:szCs w:val="17"/>
              </w:rPr>
              <w:t xml:space="preserve">TSR 5yr</w:t>
            </w:r>
          </w:p>
        </w:tc>
        <w:tc>
          <w:tcPr>
            <w:tcW w:type="dxa" w:w="2131"/>
            <w:tcMar>
              <w:top w:type="dxa" w:w="60"/>
              <w:left w:type="dxa" w:w="90"/>
              <w:bottom w:type="dxa" w:w="60"/>
              <w:right w:type="dxa" w:w="90"/>
            </w:tcMar>
          </w:tcPr>
          <w:p>
            <w:pPr>
              <w:spacing w:after="0" w:before="0"/>
              <w:jc w:val="left"/>
            </w:pPr>
            <w:r>
              <w:rPr>
                <w:color w:val="000000"/>
                <w:sz w:val="17"/>
                <w:szCs w:val="17"/>
              </w:rPr>
              <w:t xml:space="preserve">−20%</w:t>
            </w:r>
          </w:p>
        </w:tc>
        <w:tc>
          <w:tcPr>
            <w:tcW w:type="dxa" w:w="5636"/>
            <w:tcMar>
              <w:top w:type="dxa" w:w="60"/>
              <w:left w:type="dxa" w:w="90"/>
              <w:bottom w:type="dxa" w:w="60"/>
              <w:right w:type="dxa" w:w="90"/>
            </w:tcMar>
          </w:tcPr>
          <w:p>
            <w:pPr>
              <w:spacing w:after="0" w:before="0"/>
              <w:jc w:val="left"/>
            </w:pPr>
            <w:r>
              <w:rPr>
                <w:b/>
                <w:bCs/>
                <w:color w:val="000000"/>
                <w:sz w:val="17"/>
                <w:szCs w:val="17"/>
              </w:rPr>
              <w:t xml:space="preserve">−38pp</w:t>
            </w:r>
            <w:r>
              <w:rPr>
                <w:color w:val="000000"/>
                <w:sz w:val="17"/>
                <w:szCs w:val="17"/>
              </w:rPr>
              <w:t xml:space="preserve"> (IPO'd 2021 at 420p)</w:t>
            </w:r>
          </w:p>
        </w:tc>
      </w:tr>
      <w:tr>
        <w:tc>
          <w:tcPr>
            <w:tcW w:type="dxa" w:w="1979"/>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2131"/>
            <w:shd w:fill="F2F5F9" w:color="auto" w:val="clear"/>
            <w:tcMar>
              <w:top w:type="dxa" w:w="60"/>
              <w:left w:type="dxa" w:w="90"/>
              <w:bottom w:type="dxa" w:w="60"/>
              <w:right w:type="dxa" w:w="90"/>
            </w:tcMar>
          </w:tcPr>
          <w:p>
            <w:pPr>
              <w:spacing w:after="0" w:before="0"/>
              <w:jc w:val="left"/>
            </w:pPr>
            <w:r>
              <w:rPr>
                <w:color w:val="000000"/>
                <w:sz w:val="17"/>
                <w:szCs w:val="17"/>
              </w:rPr>
              <w:t xml:space="preserve">~2.0x</w:t>
            </w:r>
          </w:p>
        </w:tc>
        <w:tc>
          <w:tcPr>
            <w:tcW w:type="dxa" w:w="5636"/>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1979"/>
            <w:tcMar>
              <w:top w:type="dxa" w:w="60"/>
              <w:left w:type="dxa" w:w="90"/>
              <w:bottom w:type="dxa" w:w="60"/>
              <w:right w:type="dxa" w:w="90"/>
            </w:tcMar>
          </w:tcPr>
          <w:p>
            <w:pPr>
              <w:spacing w:after="0" w:before="0"/>
              <w:jc w:val="left"/>
            </w:pPr>
            <w:r>
              <w:rPr>
                <w:color w:val="000000"/>
                <w:sz w:val="17"/>
                <w:szCs w:val="17"/>
              </w:rPr>
              <w:t xml:space="preserve">EV/EBIT</w:t>
            </w:r>
          </w:p>
        </w:tc>
        <w:tc>
          <w:tcPr>
            <w:tcW w:type="dxa" w:w="2131"/>
            <w:tcMar>
              <w:top w:type="dxa" w:w="60"/>
              <w:left w:type="dxa" w:w="90"/>
              <w:bottom w:type="dxa" w:w="60"/>
              <w:right w:type="dxa" w:w="90"/>
            </w:tcMar>
          </w:tcPr>
          <w:p>
            <w:pPr>
              <w:spacing w:after="0" w:before="0"/>
              <w:jc w:val="left"/>
            </w:pPr>
            <w:r>
              <w:rPr>
                <w:color w:val="000000"/>
                <w:sz w:val="17"/>
                <w:szCs w:val="17"/>
              </w:rPr>
              <w:t xml:space="preserve">~7x</w:t>
            </w:r>
          </w:p>
        </w:tc>
        <w:tc>
          <w:tcPr>
            <w:tcW w:type="dxa" w:w="5636"/>
            <w:tcMar>
              <w:top w:type="dxa" w:w="60"/>
              <w:left w:type="dxa" w:w="90"/>
              <w:bottom w:type="dxa" w:w="60"/>
              <w:right w:type="dxa" w:w="90"/>
            </w:tcMar>
          </w:tcPr>
          <w:p>
            <w:pPr>
              <w:spacing w:after="0" w:before="0"/>
              <w:jc w:val="left"/>
            </w:pPr>
            <w:r>
              <w:rPr>
                <w:b/>
                <w:bCs/>
                <w:color w:val="000000"/>
                <w:sz w:val="17"/>
                <w:szCs w:val="17"/>
              </w:rPr>
              <w:t xml:space="preserve">Deep discount to listed alts (12–15x)</w:t>
            </w:r>
          </w:p>
        </w:tc>
      </w:tr>
      <w:tr>
        <w:tc>
          <w:tcPr>
            <w:tcW w:type="dxa" w:w="1979"/>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2131"/>
            <w:shd w:fill="F2F5F9" w:color="auto" w:val="clear"/>
            <w:tcMar>
              <w:top w:type="dxa" w:w="60"/>
              <w:left w:type="dxa" w:w="90"/>
              <w:bottom w:type="dxa" w:w="60"/>
              <w:right w:type="dxa" w:w="90"/>
            </w:tcMar>
          </w:tcPr>
          <w:p>
            <w:pPr>
              <w:spacing w:after="0" w:before="0"/>
              <w:jc w:val="left"/>
            </w:pPr>
            <w:r>
              <w:rPr>
                <w:color w:val="000000"/>
                <w:sz w:val="17"/>
                <w:szCs w:val="17"/>
              </w:rPr>
              <w:t xml:space="preserve">~10x</w:t>
            </w:r>
          </w:p>
        </w:tc>
        <w:tc>
          <w:tcPr>
            <w:tcW w:type="dxa" w:w="5636"/>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1979"/>
            <w:tcMar>
              <w:top w:type="dxa" w:w="60"/>
              <w:left w:type="dxa" w:w="90"/>
              <w:bottom w:type="dxa" w:w="60"/>
              <w:right w:type="dxa" w:w="90"/>
            </w:tcMar>
          </w:tcPr>
          <w:p>
            <w:pPr>
              <w:spacing w:after="0" w:before="0"/>
              <w:jc w:val="left"/>
            </w:pPr>
            <w:r>
              <w:rPr>
                <w:color w:val="000000"/>
                <w:sz w:val="17"/>
                <w:szCs w:val="17"/>
              </w:rPr>
              <w:t xml:space="preserve">FCF yield</w:t>
            </w:r>
          </w:p>
        </w:tc>
        <w:tc>
          <w:tcPr>
            <w:tcW w:type="dxa" w:w="2131"/>
            <w:tcMar>
              <w:top w:type="dxa" w:w="60"/>
              <w:left w:type="dxa" w:w="90"/>
              <w:bottom w:type="dxa" w:w="60"/>
              <w:right w:type="dxa" w:w="90"/>
            </w:tcMar>
          </w:tcPr>
          <w:p>
            <w:pPr>
              <w:spacing w:after="0" w:before="0"/>
              <w:jc w:val="left"/>
            </w:pPr>
            <w:r>
              <w:rPr>
                <w:color w:val="000000"/>
                <w:sz w:val="17"/>
                <w:szCs w:val="17"/>
              </w:rPr>
              <w:t xml:space="preserve">~11%</w:t>
            </w:r>
          </w:p>
        </w:tc>
        <w:tc>
          <w:tcPr>
            <w:tcW w:type="dxa" w:w="5636"/>
            <w:tcMar>
              <w:top w:type="dxa" w:w="60"/>
              <w:left w:type="dxa" w:w="90"/>
              <w:bottom w:type="dxa" w:w="60"/>
              <w:right w:type="dxa" w:w="90"/>
            </w:tcMar>
          </w:tcPr>
          <w:p>
            <w:pPr>
              <w:spacing w:after="0" w:before="0"/>
              <w:jc w:val="left"/>
            </w:pPr>
            <w:r>
              <w:rPr>
                <w:color w:val="000000"/>
                <w:sz w:val="17"/>
                <w:szCs w:val="17"/>
              </w:rPr>
              <w:t xml:space="preserve">Very attractive</w:t>
            </w:r>
          </w:p>
        </w:tc>
      </w:tr>
      <w:tr>
        <w:tc>
          <w:tcPr>
            <w:tcW w:type="dxa" w:w="1979"/>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2131"/>
            <w:shd w:fill="F2F5F9" w:color="auto" w:val="clear"/>
            <w:tcMar>
              <w:top w:type="dxa" w:w="60"/>
              <w:left w:type="dxa" w:w="90"/>
              <w:bottom w:type="dxa" w:w="60"/>
              <w:right w:type="dxa" w:w="90"/>
            </w:tcMar>
          </w:tcPr>
          <w:p>
            <w:pPr>
              <w:spacing w:after="0" w:before="0"/>
              <w:jc w:val="left"/>
            </w:pPr>
            <w:r>
              <w:rPr>
                <w:color w:val="000000"/>
                <w:sz w:val="17"/>
                <w:szCs w:val="17"/>
              </w:rPr>
              <w:t xml:space="preserve">~30%</w:t>
            </w:r>
          </w:p>
        </w:tc>
        <w:tc>
          <w:tcPr>
            <w:tcW w:type="dxa" w:w="5636"/>
            <w:shd w:fill="F2F5F9" w:color="auto" w:val="clear"/>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1979"/>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2131"/>
            <w:tcMar>
              <w:top w:type="dxa" w:w="60"/>
              <w:left w:type="dxa" w:w="90"/>
              <w:bottom w:type="dxa" w:w="60"/>
              <w:right w:type="dxa" w:w="90"/>
            </w:tcMar>
          </w:tcPr>
          <w:p>
            <w:pPr>
              <w:spacing w:after="0" w:before="0"/>
              <w:jc w:val="left"/>
            </w:pPr>
            <w:r>
              <w:rPr>
                <w:color w:val="000000"/>
                <w:sz w:val="17"/>
                <w:szCs w:val="17"/>
              </w:rPr>
              <w:t xml:space="preserve">~35%</w:t>
            </w:r>
          </w:p>
        </w:tc>
        <w:tc>
          <w:tcPr>
            <w:tcW w:type="dxa" w:w="5636"/>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1979"/>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2131"/>
            <w:shd w:fill="F2F5F9" w:color="auto" w:val="clear"/>
            <w:tcMar>
              <w:top w:type="dxa" w:w="60"/>
              <w:left w:type="dxa" w:w="90"/>
              <w:bottom w:type="dxa" w:w="60"/>
              <w:right w:type="dxa" w:w="90"/>
            </w:tcMar>
          </w:tcPr>
          <w:p>
            <w:pPr>
              <w:spacing w:after="0" w:before="0"/>
              <w:jc w:val="left"/>
            </w:pPr>
            <w:r>
              <w:rPr>
                <w:color w:val="000000"/>
                <w:sz w:val="17"/>
                <w:szCs w:val="17"/>
              </w:rPr>
              <w:t xml:space="preserve">Net cash ~£40m</w:t>
            </w:r>
          </w:p>
        </w:tc>
        <w:tc>
          <w:tcPr>
            <w:tcW w:type="dxa" w:w="5636"/>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Bernard Fairman (founder and Executive Chairman) ~28%, Foresight partners and employees ~10% collectively, Canaccord ~4%, Chelverton ~3%, BlackRock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A 30%+ margin infrastructure and private-markets manager on 7x EBIT while listed alternatives peers trade at 12–15x.</w:t>
      </w:r>
      <w:r>
        <w:rPr>
          <w:sz w:val="19"/>
          <w:szCs w:val="19"/>
        </w:rPr>
        <w:t xml:space="preserve"> Long-duration, locked-in fund capital in infrastructure and renewables is exactly the asset class that should command a premium multiple. It is being valued as a UK small-cap.</w:t>
      </w:r>
    </w:p>
    <w:p>
      <w:pPr>
        <w:pStyle w:val="ListParagraph"/>
        <w:numPr>
          <w:ilvl w:val="0"/>
          <w:numId w:val="2"/>
        </w:numPr>
        <w:spacing w:after="40" w:before="40"/>
      </w:pPr>
      <w:r>
        <w:rPr>
          <w:b/>
          <w:bCs/>
          <w:sz w:val="19"/>
          <w:szCs w:val="19"/>
        </w:rPr>
        <w:t xml:space="preserve">The founder is also the Executive Chairman.</w:t>
      </w:r>
      <w:r>
        <w:rPr>
          <w:sz w:val="19"/>
          <w:szCs w:val="19"/>
        </w:rPr>
        <w:t xml:space="preserve"> This is a first-order governance red flag under the UK Corporate Governance Code, and it compounds a 28% shareholding into far more influence than 28% should convey. There is no independent counterweight on capital allocation.</w:t>
      </w:r>
    </w:p>
    <w:p>
      <w:pPr>
        <w:pStyle w:val="ListParagraph"/>
        <w:numPr>
          <w:ilvl w:val="0"/>
          <w:numId w:val="2"/>
        </w:numPr>
        <w:spacing w:after="40" w:before="40"/>
      </w:pPr>
      <w:r>
        <w:rPr>
          <w:b/>
          <w:bCs/>
          <w:sz w:val="19"/>
          <w:szCs w:val="19"/>
        </w:rPr>
        <w:t xml:space="preserve">Sub-scale geographic expansion is consuming capital and management attention.</w:t>
      </w:r>
      <w:r>
        <w:rPr>
          <w:sz w:val="19"/>
          <w:szCs w:val="19"/>
        </w:rPr>
        <w:t xml:space="preserve"> Small US and Australian operations are a long way from critical mass in markets with entrenched local competitors, and they are being funded by a company whose own shares yield 11% free cash flow.</w:t>
      </w:r>
    </w:p>
    <w:p>
      <w:pPr>
        <w:pStyle w:val="Heading3"/>
        <w:spacing w:after="100" w:before="220"/>
      </w:pPr>
      <w:r>
        <w:rPr>
          <w:b/>
          <w:bCs/>
          <w:color w:val="2E5C8A"/>
          <w:sz w:val="21"/>
          <w:szCs w:val="21"/>
        </w:rPr>
        <w:t xml:space="preserve">Most actionable changes</w:t>
      </w:r>
    </w:p>
    <w:p>
      <w:pPr>
        <w:pStyle w:val="ListParagraph"/>
        <w:numPr>
          <w:ilvl w:val="0"/>
          <w:numId w:val="15"/>
        </w:numPr>
        <w:spacing w:after="40" w:before="40"/>
      </w:pPr>
      <w:r>
        <w:rPr>
          <w:b/>
          <w:bCs/>
          <w:sz w:val="19"/>
          <w:szCs w:val="19"/>
        </w:rPr>
        <w:t xml:space="preserve">Split the Chair and founder roles and appoint an independent Chair.</w:t>
      </w:r>
      <w:r>
        <w:rPr>
          <w:sz w:val="19"/>
          <w:szCs w:val="19"/>
        </w:rPr>
        <w:t xml:space="preserve"> This is the single highest-value, lowest-cost change available and it is squarely supported by the Governance Code — making it very hard to refuse publicly.</w:t>
      </w:r>
    </w:p>
    <w:p>
      <w:pPr>
        <w:pStyle w:val="ListParagraph"/>
        <w:numPr>
          <w:ilvl w:val="0"/>
          <w:numId w:val="15"/>
        </w:numPr>
        <w:spacing w:after="40" w:before="40"/>
      </w:pPr>
      <w:r>
        <w:rPr>
          <w:b/>
          <w:bCs/>
          <w:sz w:val="19"/>
          <w:szCs w:val="19"/>
        </w:rPr>
        <w:t xml:space="preserve">Halt the sub-scale international expansion and return the surplus cash.</w:t>
      </w:r>
      <w:r>
        <w:rPr>
          <w:sz w:val="19"/>
          <w:szCs w:val="19"/>
        </w:rPr>
        <w:t xml:space="preserve"> Concentrate on UK and European infrastructure where the franchise is genuinely competitive.</w:t>
      </w:r>
    </w:p>
    <w:p>
      <w:pPr>
        <w:pStyle w:val="ListParagraph"/>
        <w:numPr>
          <w:ilvl w:val="0"/>
          <w:numId w:val="15"/>
        </w:numPr>
        <w:spacing w:after="40" w:before="40"/>
      </w:pPr>
      <w:r>
        <w:rPr>
          <w:b/>
          <w:bCs/>
          <w:sz w:val="19"/>
          <w:szCs w:val="19"/>
        </w:rPr>
        <w:t xml:space="preserve">Disclose fee-earning AUM and management-fee margin by strategy</w:t>
      </w:r>
      <w:r>
        <w:rPr>
          <w:sz w:val="19"/>
          <w:szCs w:val="19"/>
        </w:rPr>
        <w:t xml:space="preserve">, so the annuity component of earnings can be valued separately from realisations and performance fees.</w:t>
      </w:r>
    </w:p>
    <w:p>
      <w:pPr>
        <w:spacing w:after="100" w:before="60"/>
      </w:pPr>
      <w:r>
        <w:rPr>
          <w:b/>
          <w:bCs/>
          <w:sz w:val="19"/>
          <w:szCs w:val="19"/>
        </w:rPr>
        <w:t xml:space="preserve">Ease of building support: 2/5 — one of the hardest registers on this list.</w:t>
      </w:r>
      <w:r>
        <w:rPr>
          <w:sz w:val="19"/>
          <w:szCs w:val="19"/>
        </w:rPr>
        <w:t xml:space="preserve"> Fairman's ~28% plus the aligned partner and employee holdings puts the incumbent bloc close to 40% in practice. Any campaign needs virtually the entire remaining institutional register. The governance ask is the wedge: proxy advisers and index holders will support an independent-chair resolution almost mechanically, and that is a fight worth having first because it changes the board dynamic for everything that follows.</w:t>
      </w:r>
    </w:p>
    <w:p>
      <w:pPr>
        <w:spacing w:after="100" w:before="60"/>
      </w:pPr>
      <w:r>
        <w:rPr>
          <w:b/>
          <w:bCs/>
          <w:sz w:val="19"/>
          <w:szCs w:val="19"/>
        </w:rPr>
        <w:t xml:space="preserve">Expected company defence:</w:t>
      </w:r>
      <w:r>
        <w:rPr>
          <w:sz w:val="19"/>
          <w:szCs w:val="19"/>
        </w:rPr>
        <w:t xml:space="preserve"> "Founder ownership and leadership are why this business has compounded for three decades — the alignment is total and it is the reason clients commit ten-year capital. International expansion is deliberate, measured and already winning mandates. The valuation reflects UK small-cap illiquidity, not the quality of the franchise."</w:t>
      </w:r>
    </w:p>
    <w:p>
      <w:pPr>
        <w:spacing w:after="100" w:before="60"/>
      </w:pPr>
      <w:r>
        <w:rPr>
          <w:b/>
          <w:bCs/>
          <w:sz w:val="19"/>
          <w:szCs w:val="19"/>
        </w:rPr>
        <w:t xml:space="preserve">Activist angles:</w:t>
      </w:r>
      <w:r>
        <w:rPr>
          <w:sz w:val="19"/>
          <w:szCs w:val="19"/>
        </w:rPr>
        <w:t xml:space="preserve"> Governance (primary — chair/founder separation) · Capital allocation · Portfolio simplification (exit sub-scale geographies)</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14. M&amp;G plc (MNG LN)</w:t>
      </w:r>
    </w:p>
    <w:p>
      <w:pPr>
        <w:spacing w:after="100" w:before="60"/>
      </w:pPr>
      <w:r>
        <w:rPr>
          <w:b/>
          <w:bCs/>
          <w:sz w:val="19"/>
          <w:szCs w:val="19"/>
        </w:rPr>
        <w:t xml:space="preserve">Market cap ~£6.0bn · AUMA ~£350bn · UK</w:t>
      </w:r>
      <w:r>
        <w:rPr>
          <w:sz w:val="19"/>
          <w:szCs w:val="19"/>
        </w:rPr>
        <w:t xml:space="preserve"> </w:t>
      </w:r>
      <w:r>
        <w:rPr>
          <w:b/>
          <w:bCs/>
          <w:sz w:val="19"/>
          <w:szCs w:val="19"/>
        </w:rPr>
        <w:t xml:space="preserve">⚠ Screen exception — insurance balance sheet; qualifies on solvency surplus, not EBITDA leverage</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843"/>
        <w:gridCol w:w="3863"/>
        <w:gridCol w:w="4040"/>
      </w:tblGrid>
      <w:tr>
        <w:trPr>
          <w:tblHeader/>
        </w:trPr>
        <w:tc>
          <w:tcPr>
            <w:tcW w:type="dxa" w:w="1843"/>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3863"/>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4040"/>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843"/>
            <w:tcMar>
              <w:top w:type="dxa" w:w="60"/>
              <w:left w:type="dxa" w:w="90"/>
              <w:bottom w:type="dxa" w:w="60"/>
              <w:right w:type="dxa" w:w="90"/>
            </w:tcMar>
          </w:tcPr>
          <w:p>
            <w:pPr>
              <w:spacing w:after="0" w:before="0"/>
              <w:jc w:val="left"/>
            </w:pPr>
            <w:r>
              <w:rPr>
                <w:color w:val="000000"/>
                <w:sz w:val="17"/>
                <w:szCs w:val="17"/>
              </w:rPr>
              <w:t xml:space="preserve">TSR 1yr</w:t>
            </w:r>
          </w:p>
        </w:tc>
        <w:tc>
          <w:tcPr>
            <w:tcW w:type="dxa" w:w="3863"/>
            <w:tcMar>
              <w:top w:type="dxa" w:w="60"/>
              <w:left w:type="dxa" w:w="90"/>
              <w:bottom w:type="dxa" w:w="60"/>
              <w:right w:type="dxa" w:w="90"/>
            </w:tcMar>
          </w:tcPr>
          <w:p>
            <w:pPr>
              <w:spacing w:after="0" w:before="0"/>
              <w:jc w:val="left"/>
            </w:pPr>
            <w:r>
              <w:rPr>
                <w:color w:val="000000"/>
                <w:sz w:val="17"/>
                <w:szCs w:val="17"/>
              </w:rPr>
              <w:t xml:space="preserve">+25%</w:t>
            </w:r>
          </w:p>
        </w:tc>
        <w:tc>
          <w:tcPr>
            <w:tcW w:type="dxa" w:w="4040"/>
            <w:tcMar>
              <w:top w:type="dxa" w:w="60"/>
              <w:left w:type="dxa" w:w="90"/>
              <w:bottom w:type="dxa" w:w="60"/>
              <w:right w:type="dxa" w:w="90"/>
            </w:tcMar>
          </w:tcPr>
          <w:p>
            <w:pPr>
              <w:spacing w:after="0" w:before="0"/>
              <w:jc w:val="left"/>
            </w:pPr>
            <w:r>
              <w:rPr>
                <w:color w:val="000000"/>
                <w:sz w:val="17"/>
                <w:szCs w:val="17"/>
              </w:rPr>
              <w:t xml:space="preserve">+6pp</w:t>
            </w:r>
          </w:p>
        </w:tc>
      </w:tr>
      <w:tr>
        <w:tc>
          <w:tcPr>
            <w:tcW w:type="dxa" w:w="1843"/>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3863"/>
            <w:shd w:fill="F2F5F9" w:color="auto" w:val="clear"/>
            <w:tcMar>
              <w:top w:type="dxa" w:w="60"/>
              <w:left w:type="dxa" w:w="90"/>
              <w:bottom w:type="dxa" w:w="60"/>
              <w:right w:type="dxa" w:w="90"/>
            </w:tcMar>
          </w:tcPr>
          <w:p>
            <w:pPr>
              <w:spacing w:after="0" w:before="0"/>
              <w:jc w:val="left"/>
            </w:pPr>
            <w:r>
              <w:rPr>
                <w:color w:val="000000"/>
                <w:sz w:val="17"/>
                <w:szCs w:val="17"/>
              </w:rPr>
              <w:t xml:space="preserve">+40%</w:t>
            </w:r>
          </w:p>
        </w:tc>
        <w:tc>
          <w:tcPr>
            <w:tcW w:type="dxa" w:w="4040"/>
            <w:shd w:fill="F2F5F9" w:color="auto" w:val="clear"/>
            <w:tcMar>
              <w:top w:type="dxa" w:w="60"/>
              <w:left w:type="dxa" w:w="90"/>
              <w:bottom w:type="dxa" w:w="60"/>
              <w:right w:type="dxa" w:w="90"/>
            </w:tcMar>
          </w:tcPr>
          <w:p>
            <w:pPr>
              <w:spacing w:after="0" w:before="0"/>
              <w:jc w:val="left"/>
            </w:pPr>
            <w:r>
              <w:rPr>
                <w:color w:val="000000"/>
                <w:sz w:val="17"/>
                <w:szCs w:val="17"/>
              </w:rPr>
              <w:t xml:space="preserve">+8pp</w:t>
            </w:r>
          </w:p>
        </w:tc>
      </w:tr>
      <w:tr>
        <w:tc>
          <w:tcPr>
            <w:tcW w:type="dxa" w:w="1843"/>
            <w:tcMar>
              <w:top w:type="dxa" w:w="60"/>
              <w:left w:type="dxa" w:w="90"/>
              <w:bottom w:type="dxa" w:w="60"/>
              <w:right w:type="dxa" w:w="90"/>
            </w:tcMar>
          </w:tcPr>
          <w:p>
            <w:pPr>
              <w:spacing w:after="0" w:before="0"/>
              <w:jc w:val="left"/>
            </w:pPr>
            <w:r>
              <w:rPr>
                <w:color w:val="000000"/>
                <w:sz w:val="17"/>
                <w:szCs w:val="17"/>
              </w:rPr>
              <w:t xml:space="preserve">TSR 5yr</w:t>
            </w:r>
          </w:p>
        </w:tc>
        <w:tc>
          <w:tcPr>
            <w:tcW w:type="dxa" w:w="3863"/>
            <w:tcMar>
              <w:top w:type="dxa" w:w="60"/>
              <w:left w:type="dxa" w:w="90"/>
              <w:bottom w:type="dxa" w:w="60"/>
              <w:right w:type="dxa" w:w="90"/>
            </w:tcMar>
          </w:tcPr>
          <w:p>
            <w:pPr>
              <w:spacing w:after="0" w:before="0"/>
              <w:jc w:val="left"/>
            </w:pPr>
            <w:r>
              <w:rPr>
                <w:color w:val="000000"/>
                <w:sz w:val="17"/>
                <w:szCs w:val="17"/>
              </w:rPr>
              <w:t xml:space="preserve">+30%</w:t>
            </w:r>
          </w:p>
        </w:tc>
        <w:tc>
          <w:tcPr>
            <w:tcW w:type="dxa" w:w="4040"/>
            <w:tcMar>
              <w:top w:type="dxa" w:w="60"/>
              <w:left w:type="dxa" w:w="90"/>
              <w:bottom w:type="dxa" w:w="60"/>
              <w:right w:type="dxa" w:w="90"/>
            </w:tcMar>
          </w:tcPr>
          <w:p>
            <w:pPr>
              <w:spacing w:after="0" w:before="0"/>
              <w:jc w:val="left"/>
            </w:pPr>
            <w:r>
              <w:rPr>
                <w:color w:val="000000"/>
                <w:sz w:val="17"/>
                <w:szCs w:val="17"/>
              </w:rPr>
              <w:t xml:space="preserve">+12pp (</w:t>
            </w:r>
            <w:r>
              <w:rPr>
                <w:b/>
                <w:bCs/>
                <w:color w:val="000000"/>
                <w:sz w:val="17"/>
                <w:szCs w:val="17"/>
              </w:rPr>
              <w:t xml:space="preserve">almost entirely dividend; price broadly flat</w:t>
            </w:r>
            <w:r>
              <w:rPr>
                <w:color w:val="000000"/>
                <w:sz w:val="17"/>
                <w:szCs w:val="17"/>
              </w:rPr>
              <w:t xml:space="preserve">)</w:t>
            </w:r>
          </w:p>
        </w:tc>
      </w:tr>
      <w:tr>
        <w:tc>
          <w:tcPr>
            <w:tcW w:type="dxa" w:w="1843"/>
            <w:shd w:fill="F2F5F9" w:color="auto" w:val="clear"/>
            <w:tcMar>
              <w:top w:type="dxa" w:w="60"/>
              <w:left w:type="dxa" w:w="90"/>
              <w:bottom w:type="dxa" w:w="60"/>
              <w:right w:type="dxa" w:w="90"/>
            </w:tcMar>
          </w:tcPr>
          <w:p>
            <w:pPr>
              <w:spacing w:after="0" w:before="0"/>
              <w:jc w:val="left"/>
            </w:pPr>
            <w:r>
              <w:rPr>
                <w:color w:val="000000"/>
                <w:sz w:val="17"/>
                <w:szCs w:val="17"/>
              </w:rPr>
              <w:t xml:space="preserve">EV/EBIT</w:t>
            </w:r>
          </w:p>
        </w:tc>
        <w:tc>
          <w:tcPr>
            <w:tcW w:type="dxa" w:w="3863"/>
            <w:shd w:fill="F2F5F9" w:color="auto" w:val="clear"/>
            <w:tcMar>
              <w:top w:type="dxa" w:w="60"/>
              <w:left w:type="dxa" w:w="90"/>
              <w:bottom w:type="dxa" w:w="60"/>
              <w:right w:type="dxa" w:w="90"/>
            </w:tcMar>
          </w:tcPr>
          <w:p>
            <w:pPr>
              <w:spacing w:after="0" w:before="0"/>
              <w:jc w:val="left"/>
            </w:pPr>
            <w:r>
              <w:rPr>
                <w:color w:val="000000"/>
                <w:sz w:val="17"/>
                <w:szCs w:val="17"/>
              </w:rPr>
              <w:t xml:space="preserve">n.m. (insurance structure)</w:t>
            </w:r>
          </w:p>
        </w:tc>
        <w:tc>
          <w:tcPr>
            <w:tcW w:type="dxa" w:w="4040"/>
            <w:shd w:fill="F2F5F9" w:color="auto" w:val="clear"/>
            <w:tcMar>
              <w:top w:type="dxa" w:w="60"/>
              <w:left w:type="dxa" w:w="90"/>
              <w:bottom w:type="dxa" w:w="60"/>
              <w:right w:type="dxa" w:w="90"/>
            </w:tcMar>
          </w:tcPr>
          <w:p>
            <w:pPr>
              <w:spacing w:after="0" w:before="0"/>
              <w:jc w:val="left"/>
            </w:pPr>
            <w:r>
              <w:rPr>
                <w:color w:val="000000"/>
                <w:sz w:val="17"/>
                <w:szCs w:val="17"/>
              </w:rPr>
              <w:t xml:space="preserve">—</w:t>
            </w:r>
          </w:p>
        </w:tc>
      </w:tr>
      <w:tr>
        <w:tc>
          <w:tcPr>
            <w:tcW w:type="dxa" w:w="1843"/>
            <w:tcMar>
              <w:top w:type="dxa" w:w="60"/>
              <w:left w:type="dxa" w:w="90"/>
              <w:bottom w:type="dxa" w:w="60"/>
              <w:right w:type="dxa" w:w="90"/>
            </w:tcMar>
          </w:tcPr>
          <w:p>
            <w:pPr>
              <w:spacing w:after="0" w:before="0"/>
              <w:jc w:val="left"/>
            </w:pPr>
            <w:r>
              <w:rPr>
                <w:color w:val="000000"/>
                <w:sz w:val="17"/>
                <w:szCs w:val="17"/>
              </w:rPr>
              <w:t xml:space="preserve">P/E</w:t>
            </w:r>
          </w:p>
        </w:tc>
        <w:tc>
          <w:tcPr>
            <w:tcW w:type="dxa" w:w="3863"/>
            <w:tcMar>
              <w:top w:type="dxa" w:w="60"/>
              <w:left w:type="dxa" w:w="90"/>
              <w:bottom w:type="dxa" w:w="60"/>
              <w:right w:type="dxa" w:w="90"/>
            </w:tcMar>
          </w:tcPr>
          <w:p>
            <w:pPr>
              <w:spacing w:after="0" w:before="0"/>
              <w:jc w:val="left"/>
            </w:pPr>
            <w:r>
              <w:rPr>
                <w:color w:val="000000"/>
                <w:sz w:val="17"/>
                <w:szCs w:val="17"/>
              </w:rPr>
              <w:t xml:space="preserve">~9x</w:t>
            </w:r>
          </w:p>
        </w:tc>
        <w:tc>
          <w:tcPr>
            <w:tcW w:type="dxa" w:w="4040"/>
            <w:tcMar>
              <w:top w:type="dxa" w:w="60"/>
              <w:left w:type="dxa" w:w="90"/>
              <w:bottom w:type="dxa" w:w="60"/>
              <w:right w:type="dxa" w:w="90"/>
            </w:tcMar>
          </w:tcPr>
          <w:p>
            <w:pPr>
              <w:spacing w:after="0" w:before="0"/>
              <w:jc w:val="left"/>
            </w:pPr>
            <w:r>
              <w:rPr>
                <w:b/>
                <w:bCs/>
                <w:color w:val="000000"/>
                <w:sz w:val="17"/>
                <w:szCs w:val="17"/>
              </w:rPr>
              <w:t xml:space="preserve">Discount</w:t>
            </w:r>
          </w:p>
        </w:tc>
      </w:tr>
      <w:tr>
        <w:tc>
          <w:tcPr>
            <w:tcW w:type="dxa" w:w="1843"/>
            <w:shd w:fill="F2F5F9" w:color="auto" w:val="clear"/>
            <w:tcMar>
              <w:top w:type="dxa" w:w="60"/>
              <w:left w:type="dxa" w:w="90"/>
              <w:bottom w:type="dxa" w:w="60"/>
              <w:right w:type="dxa" w:w="90"/>
            </w:tcMar>
          </w:tcPr>
          <w:p>
            <w:pPr>
              <w:spacing w:after="0" w:before="0"/>
              <w:jc w:val="left"/>
            </w:pPr>
            <w:r>
              <w:rPr>
                <w:color w:val="000000"/>
                <w:sz w:val="17"/>
                <w:szCs w:val="17"/>
              </w:rPr>
              <w:t xml:space="preserve">FCF yield</w:t>
            </w:r>
          </w:p>
        </w:tc>
        <w:tc>
          <w:tcPr>
            <w:tcW w:type="dxa" w:w="3863"/>
            <w:shd w:fill="F2F5F9" w:color="auto" w:val="clear"/>
            <w:tcMar>
              <w:top w:type="dxa" w:w="60"/>
              <w:left w:type="dxa" w:w="90"/>
              <w:bottom w:type="dxa" w:w="60"/>
              <w:right w:type="dxa" w:w="90"/>
            </w:tcMar>
          </w:tcPr>
          <w:p>
            <w:pPr>
              <w:spacing w:after="0" w:before="0"/>
              <w:jc w:val="left"/>
            </w:pPr>
            <w:r>
              <w:rPr>
                <w:color w:val="000000"/>
                <w:sz w:val="17"/>
                <w:szCs w:val="17"/>
              </w:rPr>
              <w:t xml:space="preserve">~13%</w:t>
            </w:r>
          </w:p>
        </w:tc>
        <w:tc>
          <w:tcPr>
            <w:tcW w:type="dxa" w:w="4040"/>
            <w:shd w:fill="F2F5F9" w:color="auto" w:val="clear"/>
            <w:tcMar>
              <w:top w:type="dxa" w:w="60"/>
              <w:left w:type="dxa" w:w="90"/>
              <w:bottom w:type="dxa" w:w="60"/>
              <w:right w:type="dxa" w:w="90"/>
            </w:tcMar>
          </w:tcPr>
          <w:p>
            <w:pPr>
              <w:spacing w:after="0" w:before="0"/>
              <w:jc w:val="left"/>
            </w:pPr>
            <w:r>
              <w:rPr>
                <w:b/>
                <w:bCs/>
                <w:color w:val="000000"/>
                <w:sz w:val="17"/>
                <w:szCs w:val="17"/>
              </w:rPr>
              <w:t xml:space="preserve">Very attractive</w:t>
            </w:r>
          </w:p>
        </w:tc>
      </w:tr>
      <w:tr>
        <w:tc>
          <w:tcPr>
            <w:tcW w:type="dxa" w:w="1843"/>
            <w:tcMar>
              <w:top w:type="dxa" w:w="60"/>
              <w:left w:type="dxa" w:w="90"/>
              <w:bottom w:type="dxa" w:w="60"/>
              <w:right w:type="dxa" w:w="90"/>
            </w:tcMar>
          </w:tcPr>
          <w:p>
            <w:pPr>
              <w:spacing w:after="0" w:before="0"/>
              <w:jc w:val="left"/>
            </w:pPr>
            <w:r>
              <w:rPr>
                <w:color w:val="000000"/>
                <w:sz w:val="17"/>
                <w:szCs w:val="17"/>
              </w:rPr>
              <w:t xml:space="preserve">Dividend yield</w:t>
            </w:r>
          </w:p>
        </w:tc>
        <w:tc>
          <w:tcPr>
            <w:tcW w:type="dxa" w:w="3863"/>
            <w:tcMar>
              <w:top w:type="dxa" w:w="60"/>
              <w:left w:type="dxa" w:w="90"/>
              <w:bottom w:type="dxa" w:w="60"/>
              <w:right w:type="dxa" w:w="90"/>
            </w:tcMar>
          </w:tcPr>
          <w:p>
            <w:pPr>
              <w:spacing w:after="0" w:before="0"/>
              <w:jc w:val="left"/>
            </w:pPr>
            <w:r>
              <w:rPr>
                <w:color w:val="000000"/>
                <w:sz w:val="17"/>
                <w:szCs w:val="17"/>
              </w:rPr>
              <w:t xml:space="preserve">~8%</w:t>
            </w:r>
          </w:p>
        </w:tc>
        <w:tc>
          <w:tcPr>
            <w:tcW w:type="dxa" w:w="4040"/>
            <w:tcMar>
              <w:top w:type="dxa" w:w="60"/>
              <w:left w:type="dxa" w:w="90"/>
              <w:bottom w:type="dxa" w:w="60"/>
              <w:right w:type="dxa" w:w="90"/>
            </w:tcMar>
          </w:tcPr>
          <w:p>
            <w:pPr>
              <w:spacing w:after="0" w:before="0"/>
              <w:jc w:val="left"/>
            </w:pPr>
            <w:r>
              <w:rPr>
                <w:color w:val="000000"/>
                <w:sz w:val="17"/>
                <w:szCs w:val="17"/>
              </w:rPr>
              <w:t xml:space="preserve">Among the highest in the sector</w:t>
            </w:r>
          </w:p>
        </w:tc>
      </w:tr>
      <w:tr>
        <w:tc>
          <w:tcPr>
            <w:tcW w:type="dxa" w:w="1843"/>
            <w:shd w:fill="F2F5F9" w:color="auto" w:val="clear"/>
            <w:tcMar>
              <w:top w:type="dxa" w:w="60"/>
              <w:left w:type="dxa" w:w="90"/>
              <w:bottom w:type="dxa" w:w="60"/>
              <w:right w:type="dxa" w:w="90"/>
            </w:tcMar>
          </w:tcPr>
          <w:p>
            <w:pPr>
              <w:spacing w:after="0" w:before="0"/>
              <w:jc w:val="left"/>
            </w:pPr>
            <w:r>
              <w:rPr>
                <w:color w:val="000000"/>
                <w:sz w:val="17"/>
                <w:szCs w:val="17"/>
              </w:rPr>
              <w:t xml:space="preserve">Adj. operating margin</w:t>
            </w:r>
          </w:p>
        </w:tc>
        <w:tc>
          <w:tcPr>
            <w:tcW w:type="dxa" w:w="3863"/>
            <w:shd w:fill="F2F5F9" w:color="auto" w:val="clear"/>
            <w:tcMar>
              <w:top w:type="dxa" w:w="60"/>
              <w:left w:type="dxa" w:w="90"/>
              <w:bottom w:type="dxa" w:w="60"/>
              <w:right w:type="dxa" w:w="90"/>
            </w:tcMar>
          </w:tcPr>
          <w:p>
            <w:pPr>
              <w:spacing w:after="0" w:before="0"/>
              <w:jc w:val="left"/>
            </w:pPr>
            <w:r>
              <w:rPr>
                <w:color w:val="000000"/>
                <w:sz w:val="17"/>
                <w:szCs w:val="17"/>
              </w:rPr>
              <w:t xml:space="preserve">~20%</w:t>
            </w:r>
          </w:p>
        </w:tc>
        <w:tc>
          <w:tcPr>
            <w:tcW w:type="dxa" w:w="4040"/>
            <w:shd w:fill="F2F5F9" w:color="auto" w:val="clear"/>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1843"/>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3863"/>
            <w:tcMar>
              <w:top w:type="dxa" w:w="60"/>
              <w:left w:type="dxa" w:w="90"/>
              <w:bottom w:type="dxa" w:w="60"/>
              <w:right w:type="dxa" w:w="90"/>
            </w:tcMar>
          </w:tcPr>
          <w:p>
            <w:pPr>
              <w:spacing w:after="0" w:before="0"/>
              <w:jc w:val="left"/>
            </w:pPr>
            <w:r>
              <w:rPr>
                <w:color w:val="000000"/>
                <w:sz w:val="17"/>
                <w:szCs w:val="17"/>
              </w:rPr>
              <w:t xml:space="preserve">Solvency II ~220%, ~£1bn shareholder surplus</w:t>
            </w:r>
          </w:p>
        </w:tc>
        <w:tc>
          <w:tcPr>
            <w:tcW w:type="dxa" w:w="4040"/>
            <w:tcMar>
              <w:top w:type="dxa" w:w="60"/>
              <w:left w:type="dxa" w:w="90"/>
              <w:bottom w:type="dxa" w:w="60"/>
              <w:right w:type="dxa" w:w="90"/>
            </w:tcMar>
          </w:tcPr>
          <w:p>
            <w:pPr>
              <w:spacing w:after="0" w:before="0"/>
              <w:jc w:val="left"/>
            </w:pPr>
            <w:r>
              <w:rPr>
                <w:color w:val="000000"/>
                <w:sz w:val="17"/>
                <w:szCs w:val="17"/>
              </w:rPr>
              <w:t xml:space="preserve">Screen exception</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Dai-ichi Life ~15%, BlackRock ~6%, Vanguard ~4%, Norges Bank ~3%, Schroders ~3%.</w:t>
      </w:r>
    </w:p>
    <w:p>
      <w:pPr>
        <w:spacing w:after="100" w:before="60"/>
      </w:pPr>
      <w:r>
        <w:rPr>
          <w:b/>
          <w:bCs/>
          <w:sz w:val="19"/>
          <w:szCs w:val="19"/>
        </w:rPr>
        <w:t xml:space="preserve">Screen note:</w:t>
      </w:r>
      <w:r>
        <w:rPr>
          <w:sz w:val="19"/>
          <w:szCs w:val="19"/>
        </w:rPr>
        <w:t xml:space="preserve"> The 5-year TSR is nominally positive and ahead of the sector — but that is </w:t>
      </w:r>
      <w:r>
        <w:rPr>
          <w:i/>
          <w:iCs/>
          <w:sz w:val="19"/>
          <w:szCs w:val="19"/>
        </w:rPr>
        <w:t xml:space="preserve">entirely</w:t>
      </w:r>
      <w:r>
        <w:rPr>
          <w:sz w:val="19"/>
          <w:szCs w:val="19"/>
        </w:rPr>
        <w:t xml:space="preserve"> the dividend. The share price has gone approximately nowhere for five years. The activist thesis is that a static high yield is being used as a substitute for a strategy.</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Two fundamentally different companies are bolted together and the dividend is doing all the work.</w:t>
      </w:r>
      <w:r>
        <w:rPr>
          <w:sz w:val="19"/>
          <w:szCs w:val="19"/>
        </w:rPr>
        <w:t xml:space="preserve"> A run-off Heritage annuity and with-profits book (capital-heavy, declining, low-multiple) sits alongside an asset manager (capital-light, should be high-multiple). Investors who want either one are forced to own both, so the market applies the lower multiple to the whole and takes the yield as compensation.</w:t>
      </w:r>
    </w:p>
    <w:p>
      <w:pPr>
        <w:pStyle w:val="ListParagraph"/>
        <w:numPr>
          <w:ilvl w:val="0"/>
          <w:numId w:val="2"/>
        </w:numPr>
        <w:spacing w:after="40" w:before="40"/>
      </w:pPr>
      <w:r>
        <w:rPr>
          <w:b/>
          <w:bCs/>
          <w:sz w:val="19"/>
          <w:szCs w:val="19"/>
        </w:rPr>
        <w:t xml:space="preserve">The asset management business has had persistent outflows and shows no scale economics.</w:t>
      </w:r>
      <w:r>
        <w:rPr>
          <w:sz w:val="19"/>
          <w:szCs w:val="19"/>
        </w:rPr>
        <w:t xml:space="preserve"> £350bn of assets should produce a materially better margin than ~20%. It does not, and the group structure obscures exactly how much of the earnings are the annuity book running off versus a franchise being built.</w:t>
      </w:r>
    </w:p>
    <w:p>
      <w:pPr>
        <w:pStyle w:val="ListParagraph"/>
        <w:numPr>
          <w:ilvl w:val="0"/>
          <w:numId w:val="2"/>
        </w:numPr>
        <w:spacing w:after="40" w:before="40"/>
      </w:pPr>
      <w:r>
        <w:rPr>
          <w:b/>
          <w:bCs/>
          <w:sz w:val="19"/>
          <w:szCs w:val="19"/>
        </w:rPr>
        <w:t xml:space="preserve">Dai-ichi Life at ~15% is a strategic anchor that points to an eventual outcome.</w:t>
      </w:r>
      <w:r>
        <w:rPr>
          <w:sz w:val="19"/>
          <w:szCs w:val="19"/>
        </w:rPr>
        <w:t xml:space="preserve"> A major Japanese life insurer building a stake in a UK asset manager is not a passive index position. That is a strategically interested holder, and strategically interested holders create optionality.</w:t>
      </w:r>
    </w:p>
    <w:p>
      <w:pPr>
        <w:pStyle w:val="Heading3"/>
        <w:spacing w:after="100" w:before="220"/>
      </w:pPr>
      <w:r>
        <w:rPr>
          <w:b/>
          <w:bCs/>
          <w:color w:val="2E5C8A"/>
          <w:sz w:val="21"/>
          <w:szCs w:val="21"/>
        </w:rPr>
        <w:t xml:space="preserve">Most actionable changes</w:t>
      </w:r>
    </w:p>
    <w:p>
      <w:pPr>
        <w:pStyle w:val="ListParagraph"/>
        <w:numPr>
          <w:ilvl w:val="0"/>
          <w:numId w:val="16"/>
        </w:numPr>
        <w:spacing w:after="40" w:before="40"/>
      </w:pPr>
      <w:r>
        <w:rPr>
          <w:b/>
          <w:bCs/>
          <w:sz w:val="19"/>
          <w:szCs w:val="19"/>
        </w:rPr>
        <w:t xml:space="preserve">Separate Heritage</w:t>
      </w:r>
      <w:r>
        <w:rPr>
          <w:sz w:val="19"/>
          <w:szCs w:val="19"/>
        </w:rPr>
        <w:t xml:space="preserve"> — sell or reinsure the annuity and with-profits back book — and re-present the remainder as a pure-play asset and wealth manager. This is the core value-release event and it is well precedented in the UK life sector.</w:t>
      </w:r>
    </w:p>
    <w:p>
      <w:pPr>
        <w:pStyle w:val="ListParagraph"/>
        <w:numPr>
          <w:ilvl w:val="0"/>
          <w:numId w:val="16"/>
        </w:numPr>
        <w:spacing w:after="40" w:before="40"/>
      </w:pPr>
      <w:r>
        <w:rPr>
          <w:b/>
          <w:bCs/>
          <w:sz w:val="19"/>
          <w:szCs w:val="19"/>
        </w:rPr>
        <w:t xml:space="preserve">Set a hard cost target for Asset Management</w:t>
      </w:r>
      <w:r>
        <w:rPr>
          <w:sz w:val="19"/>
          <w:szCs w:val="19"/>
        </w:rPr>
        <w:t xml:space="preserve"> with a published cost:income ratio and executive pay attached.</w:t>
      </w:r>
    </w:p>
    <w:p>
      <w:pPr>
        <w:pStyle w:val="ListParagraph"/>
        <w:numPr>
          <w:ilvl w:val="0"/>
          <w:numId w:val="16"/>
        </w:numPr>
        <w:spacing w:after="40" w:before="40"/>
      </w:pPr>
      <w:r>
        <w:rPr>
          <w:b/>
          <w:bCs/>
          <w:sz w:val="19"/>
          <w:szCs w:val="19"/>
        </w:rPr>
        <w:t xml:space="preserve">Convert the surplus into buybacks.</w:t>
      </w:r>
      <w:r>
        <w:rPr>
          <w:sz w:val="19"/>
          <w:szCs w:val="19"/>
        </w:rPr>
        <w:t xml:space="preserve"> At 9x earnings and a 13% free cash flow yield, repurchase dominates a static dividend as a use of the solvency surplus, and it forces the market to re-rate rather than simply harvest the yield.</w:t>
      </w:r>
    </w:p>
    <w:p>
      <w:pPr>
        <w:spacing w:after="100" w:before="60"/>
      </w:pPr>
      <w:r>
        <w:rPr>
          <w:b/>
          <w:bCs/>
          <w:sz w:val="19"/>
          <w:szCs w:val="19"/>
        </w:rPr>
        <w:t xml:space="preserve">Ease of building support: 3/5.</w:t>
      </w:r>
      <w:r>
        <w:rPr>
          <w:sz w:val="19"/>
          <w:szCs w:val="19"/>
        </w:rPr>
        <w:t xml:space="preserve"> Dai-ichi's ~15% is a partner rather than a blocker, but it is a large voice with its own agenda, and its posture would need to be established early — if it favours separation, the campaign is straightforward; if it prefers the status quo, it is a long one. The rest of the register is conventional and yield-focused, which cuts both ways: income holders like the dividend, but they will follow a credible argument that a buyback at 9x is worth more than the same cash paid out.</w:t>
      </w:r>
    </w:p>
    <w:p>
      <w:pPr>
        <w:spacing w:after="100" w:before="60"/>
      </w:pPr>
      <w:r>
        <w:rPr>
          <w:b/>
          <w:bCs/>
          <w:sz w:val="19"/>
          <w:szCs w:val="19"/>
        </w:rPr>
        <w:t xml:space="preserve">Expected company defence:</w:t>
      </w:r>
      <w:r>
        <w:rPr>
          <w:sz w:val="19"/>
          <w:szCs w:val="19"/>
        </w:rPr>
        <w:t xml:space="preserve"> "The capital-heavy and capital-light businesses are complementary, not conflicting: Heritage generates the surplus that funds growth and supports the dividend that a substantial part of our register depends on. Separation is capital-inefficient and would require rebuilding capital in both entities. We have already announced simplification and cost measures."</w:t>
      </w:r>
    </w:p>
    <w:p>
      <w:pPr>
        <w:spacing w:after="100" w:before="60"/>
      </w:pPr>
      <w:r>
        <w:rPr>
          <w:b/>
          <w:bCs/>
          <w:sz w:val="19"/>
          <w:szCs w:val="19"/>
        </w:rPr>
        <w:t xml:space="preserve">Activist angles:</w:t>
      </w:r>
      <w:r>
        <w:rPr>
          <w:sz w:val="19"/>
          <w:szCs w:val="19"/>
        </w:rPr>
        <w:t xml:space="preserve"> Portfolio simplification (primary — Heritage separation) · Capital allocation (buyback vs static dividend) · Cost discipline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15. Julius Baer Group Ltd (BAER SW)</w:t>
      </w:r>
    </w:p>
    <w:p>
      <w:pPr>
        <w:spacing w:after="100" w:before="60"/>
      </w:pPr>
      <w:r>
        <w:rPr>
          <w:b/>
          <w:bCs/>
          <w:sz w:val="19"/>
          <w:szCs w:val="19"/>
        </w:rPr>
        <w:t xml:space="preserve">Market cap ~CHF 11bn · AUM ~CHF 500bn · Switzerland</w:t>
      </w:r>
      <w:r>
        <w:rPr>
          <w:sz w:val="19"/>
          <w:szCs w:val="19"/>
        </w:rPr>
        <w:t xml:space="preserve"> </w:t>
      </w:r>
      <w:r>
        <w:rPr>
          <w:b/>
          <w:bCs/>
          <w:sz w:val="19"/>
          <w:szCs w:val="19"/>
        </w:rPr>
        <w:t xml:space="preserve">⚠ Screen exception — bank; qualifies on CET1 surplus, not EBITDA leverage</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719"/>
        <w:gridCol w:w="2946"/>
        <w:gridCol w:w="4081"/>
      </w:tblGrid>
      <w:tr>
        <w:trPr>
          <w:tblHeader/>
        </w:trPr>
        <w:tc>
          <w:tcPr>
            <w:tcW w:type="dxa" w:w="2719"/>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2946"/>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4081"/>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719"/>
            <w:tcMar>
              <w:top w:type="dxa" w:w="60"/>
              <w:left w:type="dxa" w:w="90"/>
              <w:bottom w:type="dxa" w:w="60"/>
              <w:right w:type="dxa" w:w="90"/>
            </w:tcMar>
          </w:tcPr>
          <w:p>
            <w:pPr>
              <w:spacing w:after="0" w:before="0"/>
              <w:jc w:val="left"/>
            </w:pPr>
            <w:r>
              <w:rPr>
                <w:color w:val="000000"/>
                <w:sz w:val="17"/>
                <w:szCs w:val="17"/>
              </w:rPr>
              <w:t xml:space="preserve">TSR 1yr</w:t>
            </w:r>
          </w:p>
        </w:tc>
        <w:tc>
          <w:tcPr>
            <w:tcW w:type="dxa" w:w="2946"/>
            <w:tcMar>
              <w:top w:type="dxa" w:w="60"/>
              <w:left w:type="dxa" w:w="90"/>
              <w:bottom w:type="dxa" w:w="60"/>
              <w:right w:type="dxa" w:w="90"/>
            </w:tcMar>
          </w:tcPr>
          <w:p>
            <w:pPr>
              <w:spacing w:after="0" w:before="0"/>
              <w:jc w:val="left"/>
            </w:pPr>
            <w:r>
              <w:rPr>
                <w:color w:val="000000"/>
                <w:sz w:val="17"/>
                <w:szCs w:val="17"/>
              </w:rPr>
              <w:t xml:space="preserve">+10%</w:t>
            </w:r>
          </w:p>
        </w:tc>
        <w:tc>
          <w:tcPr>
            <w:tcW w:type="dxa" w:w="4081"/>
            <w:tcMar>
              <w:top w:type="dxa" w:w="60"/>
              <w:left w:type="dxa" w:w="90"/>
              <w:bottom w:type="dxa" w:w="60"/>
              <w:right w:type="dxa" w:w="90"/>
            </w:tcMar>
          </w:tcPr>
          <w:p>
            <w:pPr>
              <w:spacing w:after="0" w:before="0"/>
              <w:jc w:val="left"/>
            </w:pPr>
            <w:r>
              <w:rPr>
                <w:color w:val="000000"/>
                <w:sz w:val="17"/>
                <w:szCs w:val="17"/>
              </w:rPr>
              <w:t xml:space="preserve">−9pp</w:t>
            </w:r>
          </w:p>
        </w:tc>
      </w:tr>
      <w:tr>
        <w:tc>
          <w:tcPr>
            <w:tcW w:type="dxa" w:w="2719"/>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2946"/>
            <w:shd w:fill="F2F5F9" w:color="auto" w:val="clear"/>
            <w:tcMar>
              <w:top w:type="dxa" w:w="60"/>
              <w:left w:type="dxa" w:w="90"/>
              <w:bottom w:type="dxa" w:w="60"/>
              <w:right w:type="dxa" w:w="90"/>
            </w:tcMar>
          </w:tcPr>
          <w:p>
            <w:pPr>
              <w:spacing w:after="0" w:before="0"/>
              <w:jc w:val="left"/>
            </w:pPr>
            <w:r>
              <w:rPr>
                <w:color w:val="000000"/>
                <w:sz w:val="17"/>
                <w:szCs w:val="17"/>
              </w:rPr>
              <w:t xml:space="preserve">−5%</w:t>
            </w:r>
          </w:p>
        </w:tc>
        <w:tc>
          <w:tcPr>
            <w:tcW w:type="dxa" w:w="4081"/>
            <w:shd w:fill="F2F5F9" w:color="auto" w:val="clear"/>
            <w:tcMar>
              <w:top w:type="dxa" w:w="60"/>
              <w:left w:type="dxa" w:w="90"/>
              <w:bottom w:type="dxa" w:w="60"/>
              <w:right w:type="dxa" w:w="90"/>
            </w:tcMar>
          </w:tcPr>
          <w:p>
            <w:pPr>
              <w:spacing w:after="0" w:before="0"/>
              <w:jc w:val="left"/>
            </w:pPr>
            <w:r>
              <w:rPr>
                <w:b/>
                <w:bCs/>
                <w:color w:val="000000"/>
                <w:sz w:val="17"/>
                <w:szCs w:val="17"/>
              </w:rPr>
              <w:t xml:space="preserve">−37pp</w:t>
            </w:r>
          </w:p>
        </w:tc>
      </w:tr>
      <w:tr>
        <w:tc>
          <w:tcPr>
            <w:tcW w:type="dxa" w:w="2719"/>
            <w:tcMar>
              <w:top w:type="dxa" w:w="60"/>
              <w:left w:type="dxa" w:w="90"/>
              <w:bottom w:type="dxa" w:w="60"/>
              <w:right w:type="dxa" w:w="90"/>
            </w:tcMar>
          </w:tcPr>
          <w:p>
            <w:pPr>
              <w:spacing w:after="0" w:before="0"/>
              <w:jc w:val="left"/>
            </w:pPr>
            <w:r>
              <w:rPr>
                <w:color w:val="000000"/>
                <w:sz w:val="17"/>
                <w:szCs w:val="17"/>
              </w:rPr>
              <w:t xml:space="preserve">TSR 5yr</w:t>
            </w:r>
          </w:p>
        </w:tc>
        <w:tc>
          <w:tcPr>
            <w:tcW w:type="dxa" w:w="2946"/>
            <w:tcMar>
              <w:top w:type="dxa" w:w="60"/>
              <w:left w:type="dxa" w:w="90"/>
              <w:bottom w:type="dxa" w:w="60"/>
              <w:right w:type="dxa" w:w="90"/>
            </w:tcMar>
          </w:tcPr>
          <w:p>
            <w:pPr>
              <w:spacing w:after="0" w:before="0"/>
              <w:jc w:val="left"/>
            </w:pPr>
            <w:r>
              <w:rPr>
                <w:color w:val="000000"/>
                <w:sz w:val="17"/>
                <w:szCs w:val="17"/>
              </w:rPr>
              <w:t xml:space="preserve">−15%</w:t>
            </w:r>
          </w:p>
        </w:tc>
        <w:tc>
          <w:tcPr>
            <w:tcW w:type="dxa" w:w="4081"/>
            <w:tcMar>
              <w:top w:type="dxa" w:w="60"/>
              <w:left w:type="dxa" w:w="90"/>
              <w:bottom w:type="dxa" w:w="60"/>
              <w:right w:type="dxa" w:w="90"/>
            </w:tcMar>
          </w:tcPr>
          <w:p>
            <w:pPr>
              <w:spacing w:after="0" w:before="0"/>
              <w:jc w:val="left"/>
            </w:pPr>
            <w:r>
              <w:rPr>
                <w:b/>
                <w:bCs/>
                <w:color w:val="000000"/>
                <w:sz w:val="17"/>
                <w:szCs w:val="17"/>
              </w:rPr>
              <w:t xml:space="preserve">−33pp</w:t>
            </w:r>
          </w:p>
        </w:tc>
      </w:tr>
      <w:tr>
        <w:tc>
          <w:tcPr>
            <w:tcW w:type="dxa" w:w="2719"/>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2946"/>
            <w:shd w:fill="F2F5F9" w:color="auto" w:val="clear"/>
            <w:tcMar>
              <w:top w:type="dxa" w:w="60"/>
              <w:left w:type="dxa" w:w="90"/>
              <w:bottom w:type="dxa" w:w="60"/>
              <w:right w:type="dxa" w:w="90"/>
            </w:tcMar>
          </w:tcPr>
          <w:p>
            <w:pPr>
              <w:spacing w:after="0" w:before="0"/>
              <w:jc w:val="left"/>
            </w:pPr>
            <w:r>
              <w:rPr>
                <w:color w:val="000000"/>
                <w:sz w:val="17"/>
                <w:szCs w:val="17"/>
              </w:rPr>
              <w:t xml:space="preserve">~11x</w:t>
            </w:r>
          </w:p>
        </w:tc>
        <w:tc>
          <w:tcPr>
            <w:tcW w:type="dxa" w:w="4081"/>
            <w:shd w:fill="F2F5F9" w:color="auto" w:val="clear"/>
            <w:tcMar>
              <w:top w:type="dxa" w:w="60"/>
              <w:left w:type="dxa" w:w="90"/>
              <w:bottom w:type="dxa" w:w="60"/>
              <w:right w:type="dxa" w:w="90"/>
            </w:tcMar>
          </w:tcPr>
          <w:p>
            <w:pPr>
              <w:spacing w:after="0" w:before="0"/>
              <w:jc w:val="left"/>
            </w:pPr>
            <w:r>
              <w:rPr>
                <w:color w:val="000000"/>
                <w:sz w:val="17"/>
                <w:szCs w:val="17"/>
              </w:rPr>
              <w:t xml:space="preserve">Discount to global wealth peers</w:t>
            </w:r>
          </w:p>
        </w:tc>
      </w:tr>
      <w:tr>
        <w:tc>
          <w:tcPr>
            <w:tcW w:type="dxa" w:w="2719"/>
            <w:tcMar>
              <w:top w:type="dxa" w:w="60"/>
              <w:left w:type="dxa" w:w="90"/>
              <w:bottom w:type="dxa" w:w="60"/>
              <w:right w:type="dxa" w:w="90"/>
            </w:tcMar>
          </w:tcPr>
          <w:p>
            <w:pPr>
              <w:spacing w:after="0" w:before="0"/>
              <w:jc w:val="left"/>
            </w:pPr>
            <w:r>
              <w:rPr>
                <w:color w:val="000000"/>
                <w:sz w:val="17"/>
                <w:szCs w:val="17"/>
              </w:rPr>
              <w:t xml:space="preserve">P/TBV</w:t>
            </w:r>
          </w:p>
        </w:tc>
        <w:tc>
          <w:tcPr>
            <w:tcW w:type="dxa" w:w="2946"/>
            <w:tcMar>
              <w:top w:type="dxa" w:w="60"/>
              <w:left w:type="dxa" w:w="90"/>
              <w:bottom w:type="dxa" w:w="60"/>
              <w:right w:type="dxa" w:w="90"/>
            </w:tcMar>
          </w:tcPr>
          <w:p>
            <w:pPr>
              <w:spacing w:after="0" w:before="0"/>
              <w:jc w:val="left"/>
            </w:pPr>
            <w:r>
              <w:rPr>
                <w:color w:val="000000"/>
                <w:sz w:val="17"/>
                <w:szCs w:val="17"/>
              </w:rPr>
              <w:t xml:space="preserve">~1.6x</w:t>
            </w:r>
          </w:p>
        </w:tc>
        <w:tc>
          <w:tcPr>
            <w:tcW w:type="dxa" w:w="4081"/>
            <w:tcMar>
              <w:top w:type="dxa" w:w="60"/>
              <w:left w:type="dxa" w:w="90"/>
              <w:bottom w:type="dxa" w:w="60"/>
              <w:right w:type="dxa" w:w="90"/>
            </w:tcMar>
          </w:tcPr>
          <w:p>
            <w:pPr>
              <w:spacing w:after="0" w:before="0"/>
              <w:jc w:val="left"/>
            </w:pPr>
            <w:r>
              <w:rPr>
                <w:b/>
                <w:bCs/>
                <w:color w:val="000000"/>
                <w:sz w:val="17"/>
                <w:szCs w:val="17"/>
              </w:rPr>
              <w:t xml:space="preserve">Deep discount to best-in-class (3x+)</w:t>
            </w:r>
          </w:p>
        </w:tc>
      </w:tr>
      <w:tr>
        <w:tc>
          <w:tcPr>
            <w:tcW w:type="dxa" w:w="2719"/>
            <w:shd w:fill="F2F5F9" w:color="auto" w:val="clear"/>
            <w:tcMar>
              <w:top w:type="dxa" w:w="60"/>
              <w:left w:type="dxa" w:w="90"/>
              <w:bottom w:type="dxa" w:w="60"/>
              <w:right w:type="dxa" w:w="90"/>
            </w:tcMar>
          </w:tcPr>
          <w:p>
            <w:pPr>
              <w:spacing w:after="0" w:before="0"/>
              <w:jc w:val="left"/>
            </w:pPr>
            <w:r>
              <w:rPr>
                <w:color w:val="000000"/>
                <w:sz w:val="17"/>
                <w:szCs w:val="17"/>
              </w:rPr>
              <w:t xml:space="preserve">FCF / distribution yield</w:t>
            </w:r>
          </w:p>
        </w:tc>
        <w:tc>
          <w:tcPr>
            <w:tcW w:type="dxa" w:w="2946"/>
            <w:shd w:fill="F2F5F9" w:color="auto" w:val="clear"/>
            <w:tcMar>
              <w:top w:type="dxa" w:w="60"/>
              <w:left w:type="dxa" w:w="90"/>
              <w:bottom w:type="dxa" w:w="60"/>
              <w:right w:type="dxa" w:w="90"/>
            </w:tcMar>
          </w:tcPr>
          <w:p>
            <w:pPr>
              <w:spacing w:after="0" w:before="0"/>
              <w:jc w:val="left"/>
            </w:pPr>
            <w:r>
              <w:rPr>
                <w:color w:val="000000"/>
                <w:sz w:val="17"/>
                <w:szCs w:val="17"/>
              </w:rPr>
              <w:t xml:space="preserve">~6%</w:t>
            </w:r>
          </w:p>
        </w:tc>
        <w:tc>
          <w:tcPr>
            <w:tcW w:type="dxa" w:w="4081"/>
            <w:shd w:fill="F2F5F9" w:color="auto" w:val="clear"/>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2719"/>
            <w:tcMar>
              <w:top w:type="dxa" w:w="60"/>
              <w:left w:type="dxa" w:w="90"/>
              <w:bottom w:type="dxa" w:w="60"/>
              <w:right w:type="dxa" w:w="90"/>
            </w:tcMar>
          </w:tcPr>
          <w:p>
            <w:pPr>
              <w:spacing w:after="0" w:before="0"/>
              <w:jc w:val="left"/>
            </w:pPr>
            <w:r>
              <w:rPr>
                <w:color w:val="000000"/>
                <w:sz w:val="17"/>
                <w:szCs w:val="17"/>
              </w:rPr>
              <w:t xml:space="preserve">Cost:income</w:t>
            </w:r>
          </w:p>
        </w:tc>
        <w:tc>
          <w:tcPr>
            <w:tcW w:type="dxa" w:w="2946"/>
            <w:tcMar>
              <w:top w:type="dxa" w:w="60"/>
              <w:left w:type="dxa" w:w="90"/>
              <w:bottom w:type="dxa" w:w="60"/>
              <w:right w:type="dxa" w:w="90"/>
            </w:tcMar>
          </w:tcPr>
          <w:p>
            <w:pPr>
              <w:spacing w:after="0" w:before="0"/>
              <w:jc w:val="left"/>
            </w:pPr>
            <w:r>
              <w:rPr>
                <w:color w:val="000000"/>
                <w:sz w:val="17"/>
                <w:szCs w:val="17"/>
              </w:rPr>
              <w:t xml:space="preserve">~71% (target &lt;67%)</w:t>
            </w:r>
          </w:p>
        </w:tc>
        <w:tc>
          <w:tcPr>
            <w:tcW w:type="dxa" w:w="4081"/>
            <w:tcMar>
              <w:top w:type="dxa" w:w="60"/>
              <w:left w:type="dxa" w:w="90"/>
              <w:bottom w:type="dxa" w:w="60"/>
              <w:right w:type="dxa" w:w="90"/>
            </w:tcMar>
          </w:tcPr>
          <w:p>
            <w:pPr>
              <w:spacing w:after="0" w:before="0"/>
              <w:jc w:val="left"/>
            </w:pPr>
            <w:r>
              <w:rPr>
                <w:b/>
                <w:bCs/>
                <w:color w:val="000000"/>
                <w:sz w:val="17"/>
                <w:szCs w:val="17"/>
              </w:rPr>
              <w:t xml:space="preserve">Well above best-in-class (~60%)</w:t>
            </w:r>
          </w:p>
        </w:tc>
      </w:tr>
      <w:tr>
        <w:tc>
          <w:tcPr>
            <w:tcW w:type="dxa" w:w="2719"/>
            <w:shd w:fill="F2F5F9" w:color="auto" w:val="clear"/>
            <w:tcMar>
              <w:top w:type="dxa" w:w="60"/>
              <w:left w:type="dxa" w:w="90"/>
              <w:bottom w:type="dxa" w:w="60"/>
              <w:right w:type="dxa" w:w="90"/>
            </w:tcMar>
          </w:tcPr>
          <w:p>
            <w:pPr>
              <w:spacing w:after="0" w:before="0"/>
              <w:jc w:val="left"/>
            </w:pPr>
            <w:r>
              <w:rPr>
                <w:color w:val="000000"/>
                <w:sz w:val="17"/>
                <w:szCs w:val="17"/>
              </w:rPr>
              <w:t xml:space="preserve">Pre-tax margin</w:t>
            </w:r>
          </w:p>
        </w:tc>
        <w:tc>
          <w:tcPr>
            <w:tcW w:type="dxa" w:w="2946"/>
            <w:shd w:fill="F2F5F9" w:color="auto" w:val="clear"/>
            <w:tcMar>
              <w:top w:type="dxa" w:w="60"/>
              <w:left w:type="dxa" w:w="90"/>
              <w:bottom w:type="dxa" w:w="60"/>
              <w:right w:type="dxa" w:w="90"/>
            </w:tcMar>
          </w:tcPr>
          <w:p>
            <w:pPr>
              <w:spacing w:after="0" w:before="0"/>
              <w:jc w:val="left"/>
            </w:pPr>
            <w:r>
              <w:rPr>
                <w:color w:val="000000"/>
                <w:sz w:val="17"/>
                <w:szCs w:val="17"/>
              </w:rPr>
              <w:t xml:space="preserve">~20bps on AUM</w:t>
            </w:r>
          </w:p>
        </w:tc>
        <w:tc>
          <w:tcPr>
            <w:tcW w:type="dxa" w:w="4081"/>
            <w:shd w:fill="F2F5F9" w:color="auto" w:val="clear"/>
            <w:tcMar>
              <w:top w:type="dxa" w:w="60"/>
              <w:left w:type="dxa" w:w="90"/>
              <w:bottom w:type="dxa" w:w="60"/>
              <w:right w:type="dxa" w:w="90"/>
            </w:tcMar>
          </w:tcPr>
          <w:p>
            <w:pPr>
              <w:spacing w:after="0" w:before="0"/>
              <w:jc w:val="left"/>
            </w:pPr>
            <w:r>
              <w:rPr>
                <w:color w:val="000000"/>
                <w:sz w:val="17"/>
                <w:szCs w:val="17"/>
              </w:rPr>
              <w:t xml:space="preserve">Below peers</w:t>
            </w:r>
          </w:p>
        </w:tc>
      </w:tr>
      <w:tr>
        <w:tc>
          <w:tcPr>
            <w:tcW w:type="dxa" w:w="2719"/>
            <w:tcMar>
              <w:top w:type="dxa" w:w="60"/>
              <w:left w:type="dxa" w:w="90"/>
              <w:bottom w:type="dxa" w:w="60"/>
              <w:right w:type="dxa" w:w="90"/>
            </w:tcMar>
          </w:tcPr>
          <w:p>
            <w:pPr>
              <w:spacing w:after="0" w:before="0"/>
              <w:jc w:val="left"/>
            </w:pPr>
            <w:r>
              <w:rPr>
                <w:color w:val="000000"/>
                <w:sz w:val="17"/>
                <w:szCs w:val="17"/>
              </w:rPr>
              <w:t xml:space="preserve">Capital</w:t>
            </w:r>
          </w:p>
        </w:tc>
        <w:tc>
          <w:tcPr>
            <w:tcW w:type="dxa" w:w="2946"/>
            <w:tcMar>
              <w:top w:type="dxa" w:w="60"/>
              <w:left w:type="dxa" w:w="90"/>
              <w:bottom w:type="dxa" w:w="60"/>
              <w:right w:type="dxa" w:w="90"/>
            </w:tcMar>
          </w:tcPr>
          <w:p>
            <w:pPr>
              <w:spacing w:after="0" w:before="0"/>
              <w:jc w:val="left"/>
            </w:pPr>
            <w:r>
              <w:rPr>
                <w:color w:val="000000"/>
                <w:sz w:val="17"/>
                <w:szCs w:val="17"/>
              </w:rPr>
              <w:t xml:space="preserve">CET1 ~15%, CHF 1bn+ excess</w:t>
            </w:r>
          </w:p>
        </w:tc>
        <w:tc>
          <w:tcPr>
            <w:tcW w:type="dxa" w:w="4081"/>
            <w:tcMar>
              <w:top w:type="dxa" w:w="60"/>
              <w:left w:type="dxa" w:w="90"/>
              <w:bottom w:type="dxa" w:w="60"/>
              <w:right w:type="dxa" w:w="90"/>
            </w:tcMar>
          </w:tcPr>
          <w:p>
            <w:pPr>
              <w:spacing w:after="0" w:before="0"/>
              <w:jc w:val="left"/>
            </w:pPr>
            <w:r>
              <w:rPr>
                <w:color w:val="000000"/>
                <w:sz w:val="17"/>
                <w:szCs w:val="17"/>
              </w:rPr>
              <w:t xml:space="preserve">Screen exception</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MFS ~5%, BlackRock ~5%, Wellington ~3%, Norges Bank ~3%, UBS Fund Management ~3%. </w:t>
      </w:r>
      <w:r>
        <w:rPr>
          <w:b/>
          <w:bCs/>
          <w:sz w:val="19"/>
          <w:szCs w:val="19"/>
        </w:rPr>
        <w:t xml:space="preserve">No anchor shareholder whatsoever</w:t>
      </w:r>
      <w:r>
        <w:rPr>
          <w:sz w:val="19"/>
          <w:szCs w:val="19"/>
        </w:rPr>
        <w:t xml:space="preserve"> — among the most open registers of any large European financial.</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CHF 500bn of private-banking assets run at a 71% cost:income ratio, with a governance record that no board should have survived.</w:t>
      </w:r>
      <w:r>
        <w:rPr>
          <w:sz w:val="19"/>
          <w:szCs w:val="19"/>
        </w:rPr>
        <w:t xml:space="preserve"> The CHF 606m Signa/Benko write-off was not a market event — it was a single-name credit concentration in a wealth manager that had no business taking it, followed by regulatory enforcement. The board's response has been serial reconstitution rather than structural reform.</w:t>
      </w:r>
    </w:p>
    <w:p>
      <w:pPr>
        <w:pStyle w:val="ListParagraph"/>
        <w:numPr>
          <w:ilvl w:val="0"/>
          <w:numId w:val="2"/>
        </w:numPr>
        <w:spacing w:after="40" w:before="40"/>
      </w:pPr>
      <w:r>
        <w:rPr>
          <w:b/>
          <w:bCs/>
          <w:sz w:val="19"/>
          <w:szCs w:val="19"/>
        </w:rPr>
        <w:t xml:space="preserve">The board is still being rebuilt in public, three years on.</w:t>
      </w:r>
      <w:r>
        <w:rPr>
          <w:sz w:val="19"/>
          <w:szCs w:val="19"/>
        </w:rPr>
        <w:t xml:space="preserve"> Olga Zoutendijk did not stand for re-election at the April 2026 AGM, and Urban Angehrn and Colin Bell were nominated as new members. Continuous board turnover is evidence of an unresolved problem, not of a resolved one — and it is also evidence that this board </w:t>
      </w:r>
      <w:r>
        <w:rPr>
          <w:i/>
          <w:iCs/>
          <w:sz w:val="19"/>
          <w:szCs w:val="19"/>
        </w:rPr>
        <w:t xml:space="preserve">responds to shareholder pressure</w:t>
      </w:r>
      <w:r>
        <w:rPr>
          <w:sz w:val="19"/>
          <w:szCs w:val="19"/>
        </w:rPr>
        <w:t xml:space="preserve">.</w:t>
      </w:r>
    </w:p>
    <w:p>
      <w:pPr>
        <w:pStyle w:val="ListParagraph"/>
        <w:numPr>
          <w:ilvl w:val="0"/>
          <w:numId w:val="2"/>
        </w:numPr>
        <w:spacing w:after="40" w:before="40"/>
      </w:pPr>
      <w:r>
        <w:rPr>
          <w:b/>
          <w:bCs/>
          <w:sz w:val="19"/>
          <w:szCs w:val="19"/>
        </w:rPr>
        <w:t xml:space="preserve">Excess capital sits idle while the shares trade at a deep discount to global peers.</w:t>
      </w:r>
      <w:r>
        <w:rPr>
          <w:sz w:val="19"/>
          <w:szCs w:val="19"/>
        </w:rPr>
        <w:t xml:space="preserve"> CET1 at ~15% against a ~13.5% target is over CHF 1bn of distributable capital in a business that should not need it, given the private-debt book is being wound down.</w:t>
      </w:r>
    </w:p>
    <w:p>
      <w:pPr>
        <w:pStyle w:val="Heading3"/>
        <w:spacing w:after="100" w:before="220"/>
      </w:pPr>
      <w:r>
        <w:rPr>
          <w:b/>
          <w:bCs/>
          <w:color w:val="2E5C8A"/>
          <w:sz w:val="21"/>
          <w:szCs w:val="21"/>
        </w:rPr>
        <w:t xml:space="preserve">Most actionable changes</w:t>
      </w:r>
    </w:p>
    <w:p>
      <w:pPr>
        <w:pStyle w:val="ListParagraph"/>
        <w:numPr>
          <w:ilvl w:val="0"/>
          <w:numId w:val="17"/>
        </w:numPr>
        <w:spacing w:after="40" w:before="40"/>
      </w:pPr>
      <w:r>
        <w:rPr>
          <w:b/>
          <w:bCs/>
          <w:sz w:val="19"/>
          <w:szCs w:val="19"/>
        </w:rPr>
        <w:t xml:space="preserve">A hard 65% cost:income commitment</w:t>
      </w:r>
      <w:r>
        <w:rPr>
          <w:sz w:val="19"/>
          <w:szCs w:val="19"/>
        </w:rPr>
        <w:t xml:space="preserve">, delivered under an externally-recruited COO with a public mandate and timetable. Julius Baer's cost problem is chronic and has survived multiple internal "efficiency" programmes; it needs an owner from outside the incumbent culture.</w:t>
      </w:r>
    </w:p>
    <w:p>
      <w:pPr>
        <w:pStyle w:val="ListParagraph"/>
        <w:numPr>
          <w:ilvl w:val="0"/>
          <w:numId w:val="17"/>
        </w:numPr>
        <w:spacing w:after="40" w:before="40"/>
      </w:pPr>
      <w:r>
        <w:rPr>
          <w:b/>
          <w:bCs/>
          <w:sz w:val="19"/>
          <w:szCs w:val="19"/>
        </w:rPr>
        <w:t xml:space="preserve">Exit sub-scale booking centres and the residual private-debt book entirely.</w:t>
      </w:r>
      <w:r>
        <w:rPr>
          <w:sz w:val="19"/>
          <w:szCs w:val="19"/>
        </w:rPr>
        <w:t xml:space="preserve"> The geographic footprint carries a long tail of locations that cost more in compliance, capital and management attention than they generate. Lending against illiquid private assets should never return to this balance sheet.</w:t>
      </w:r>
    </w:p>
    <w:p>
      <w:pPr>
        <w:pStyle w:val="ListParagraph"/>
        <w:numPr>
          <w:ilvl w:val="0"/>
          <w:numId w:val="17"/>
        </w:numPr>
        <w:spacing w:after="40" w:before="40"/>
      </w:pPr>
      <w:r>
        <w:rPr>
          <w:b/>
          <w:bCs/>
          <w:sz w:val="19"/>
          <w:szCs w:val="19"/>
        </w:rPr>
        <w:t xml:space="preserve">Distribute all CET1 above 13.5% through buyback</w:t>
      </w:r>
      <w:r>
        <w:rPr>
          <w:sz w:val="19"/>
          <w:szCs w:val="19"/>
        </w:rPr>
        <w:t xml:space="preserve">, and put a strategic review of the group — including its standalone future in a consolidating Swiss wealth market — formally on the table.</w:t>
      </w:r>
    </w:p>
    <w:p>
      <w:pPr>
        <w:spacing w:after="100" w:before="60"/>
      </w:pPr>
      <w:r>
        <w:rPr>
          <w:b/>
          <w:bCs/>
          <w:sz w:val="19"/>
          <w:szCs w:val="19"/>
        </w:rPr>
        <w:t xml:space="preserve">Ease of building support: 4/5.</w:t>
      </w:r>
      <w:r>
        <w:rPr>
          <w:sz w:val="19"/>
          <w:szCs w:val="19"/>
        </w:rPr>
        <w:t xml:space="preserve"> A completely institutional register with no anchor holder, and — critically — a demonstrated recent history of shareholders forcing board change. Swiss AGM mechanics (say-on-pay, individual director elections, the ability to requisition) are genuinely activist-friendly. The constraints are FINMA's supervisory interest in stability, and the fact that a new board can credibly ask for time.</w:t>
      </w:r>
    </w:p>
    <w:p>
      <w:pPr>
        <w:spacing w:after="100" w:before="60"/>
      </w:pPr>
      <w:r>
        <w:rPr>
          <w:b/>
          <w:bCs/>
          <w:sz w:val="19"/>
          <w:szCs w:val="19"/>
        </w:rPr>
        <w:t xml:space="preserve">Expected company defence:</w:t>
      </w:r>
      <w:r>
        <w:rPr>
          <w:sz w:val="19"/>
          <w:szCs w:val="19"/>
        </w:rPr>
        <w:t xml:space="preserve"> "The board and management have been comprehensively renewed, risk management has been reset, the private-debt portfolio is wound down, and capital returns have resumed. Cost:income is falling toward our sub-67% target. The Asian and Middle Eastern franchises are growing strongly. What is required now is stability and execution, not further disruption."</w:t>
      </w:r>
    </w:p>
    <w:p>
      <w:pPr>
        <w:spacing w:after="100" w:before="60"/>
      </w:pPr>
      <w:r>
        <w:rPr>
          <w:b/>
          <w:bCs/>
          <w:sz w:val="19"/>
          <w:szCs w:val="19"/>
        </w:rPr>
        <w:t xml:space="preserve">Activist angles:</w:t>
      </w:r>
      <w:r>
        <w:rPr>
          <w:sz w:val="19"/>
          <w:szCs w:val="19"/>
        </w:rPr>
        <w:t xml:space="preserve"> Governance / board renewal (primary) · Cost discipline · Capital allocation (excess CET1) · Portfolio simplification (booking centres)</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16. Eurazeo SE (RF FP)</w:t>
      </w:r>
    </w:p>
    <w:p>
      <w:pPr>
        <w:spacing w:after="100" w:before="60"/>
      </w:pPr>
      <w:r>
        <w:rPr>
          <w:b/>
          <w:bCs/>
          <w:sz w:val="19"/>
          <w:szCs w:val="19"/>
        </w:rPr>
        <w:t xml:space="preserve">Market cap ~€4.3bn · AUM ~€35bn · NAV/share ~€95–100 · France</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002"/>
        <w:gridCol w:w="3337"/>
        <w:gridCol w:w="4407"/>
      </w:tblGrid>
      <w:tr>
        <w:trPr>
          <w:tblHeader/>
        </w:trPr>
        <w:tc>
          <w:tcPr>
            <w:tcW w:type="dxa" w:w="2002"/>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3337"/>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4407"/>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002"/>
            <w:tcMar>
              <w:top w:type="dxa" w:w="60"/>
              <w:left w:type="dxa" w:w="90"/>
              <w:bottom w:type="dxa" w:w="60"/>
              <w:right w:type="dxa" w:w="90"/>
            </w:tcMar>
          </w:tcPr>
          <w:p>
            <w:pPr>
              <w:spacing w:after="0" w:before="0"/>
              <w:jc w:val="left"/>
            </w:pPr>
            <w:r>
              <w:rPr>
                <w:color w:val="000000"/>
                <w:sz w:val="17"/>
                <w:szCs w:val="17"/>
              </w:rPr>
              <w:t xml:space="preserve">TSR 1yr</w:t>
            </w:r>
          </w:p>
        </w:tc>
        <w:tc>
          <w:tcPr>
            <w:tcW w:type="dxa" w:w="3337"/>
            <w:tcMar>
              <w:top w:type="dxa" w:w="60"/>
              <w:left w:type="dxa" w:w="90"/>
              <w:bottom w:type="dxa" w:w="60"/>
              <w:right w:type="dxa" w:w="90"/>
            </w:tcMar>
          </w:tcPr>
          <w:p>
            <w:pPr>
              <w:spacing w:after="0" w:before="0"/>
              <w:jc w:val="left"/>
            </w:pPr>
            <w:r>
              <w:rPr>
                <w:color w:val="000000"/>
                <w:sz w:val="17"/>
                <w:szCs w:val="17"/>
              </w:rPr>
              <w:t xml:space="preserve">+5%</w:t>
            </w:r>
          </w:p>
        </w:tc>
        <w:tc>
          <w:tcPr>
            <w:tcW w:type="dxa" w:w="4407"/>
            <w:tcMar>
              <w:top w:type="dxa" w:w="60"/>
              <w:left w:type="dxa" w:w="90"/>
              <w:bottom w:type="dxa" w:w="60"/>
              <w:right w:type="dxa" w:w="90"/>
            </w:tcMar>
          </w:tcPr>
          <w:p>
            <w:pPr>
              <w:spacing w:after="0" w:before="0"/>
              <w:jc w:val="left"/>
            </w:pPr>
            <w:r>
              <w:rPr>
                <w:color w:val="000000"/>
                <w:sz w:val="17"/>
                <w:szCs w:val="17"/>
              </w:rPr>
              <w:t xml:space="preserve">−14pp</w:t>
            </w:r>
          </w:p>
        </w:tc>
      </w:tr>
      <w:tr>
        <w:tc>
          <w:tcPr>
            <w:tcW w:type="dxa" w:w="2002"/>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3337"/>
            <w:shd w:fill="F2F5F9" w:color="auto" w:val="clear"/>
            <w:tcMar>
              <w:top w:type="dxa" w:w="60"/>
              <w:left w:type="dxa" w:w="90"/>
              <w:bottom w:type="dxa" w:w="60"/>
              <w:right w:type="dxa" w:w="90"/>
            </w:tcMar>
          </w:tcPr>
          <w:p>
            <w:pPr>
              <w:spacing w:after="0" w:before="0"/>
              <w:jc w:val="left"/>
            </w:pPr>
            <w:r>
              <w:rPr>
                <w:color w:val="000000"/>
                <w:sz w:val="17"/>
                <w:szCs w:val="17"/>
              </w:rPr>
              <w:t xml:space="preserve">−15%</w:t>
            </w:r>
          </w:p>
        </w:tc>
        <w:tc>
          <w:tcPr>
            <w:tcW w:type="dxa" w:w="4407"/>
            <w:shd w:fill="F2F5F9" w:color="auto" w:val="clear"/>
            <w:tcMar>
              <w:top w:type="dxa" w:w="60"/>
              <w:left w:type="dxa" w:w="90"/>
              <w:bottom w:type="dxa" w:w="60"/>
              <w:right w:type="dxa" w:w="90"/>
            </w:tcMar>
          </w:tcPr>
          <w:p>
            <w:pPr>
              <w:spacing w:after="0" w:before="0"/>
              <w:jc w:val="left"/>
            </w:pPr>
            <w:r>
              <w:rPr>
                <w:b/>
                <w:bCs/>
                <w:color w:val="000000"/>
                <w:sz w:val="17"/>
                <w:szCs w:val="17"/>
              </w:rPr>
              <w:t xml:space="preserve">−47pp</w:t>
            </w:r>
          </w:p>
        </w:tc>
      </w:tr>
      <w:tr>
        <w:tc>
          <w:tcPr>
            <w:tcW w:type="dxa" w:w="2002"/>
            <w:tcMar>
              <w:top w:type="dxa" w:w="60"/>
              <w:left w:type="dxa" w:w="90"/>
              <w:bottom w:type="dxa" w:w="60"/>
              <w:right w:type="dxa" w:w="90"/>
            </w:tcMar>
          </w:tcPr>
          <w:p>
            <w:pPr>
              <w:spacing w:after="0" w:before="0"/>
              <w:jc w:val="left"/>
            </w:pPr>
            <w:r>
              <w:rPr>
                <w:color w:val="000000"/>
                <w:sz w:val="17"/>
                <w:szCs w:val="17"/>
              </w:rPr>
              <w:t xml:space="preserve">TSR 5yr</w:t>
            </w:r>
          </w:p>
        </w:tc>
        <w:tc>
          <w:tcPr>
            <w:tcW w:type="dxa" w:w="3337"/>
            <w:tcMar>
              <w:top w:type="dxa" w:w="60"/>
              <w:left w:type="dxa" w:w="90"/>
              <w:bottom w:type="dxa" w:w="60"/>
              <w:right w:type="dxa" w:w="90"/>
            </w:tcMar>
          </w:tcPr>
          <w:p>
            <w:pPr>
              <w:spacing w:after="0" w:before="0"/>
              <w:jc w:val="left"/>
            </w:pPr>
            <w:r>
              <w:rPr>
                <w:color w:val="000000"/>
                <w:sz w:val="17"/>
                <w:szCs w:val="17"/>
              </w:rPr>
              <w:t xml:space="preserve">−25%</w:t>
            </w:r>
          </w:p>
        </w:tc>
        <w:tc>
          <w:tcPr>
            <w:tcW w:type="dxa" w:w="4407"/>
            <w:tcMar>
              <w:top w:type="dxa" w:w="60"/>
              <w:left w:type="dxa" w:w="90"/>
              <w:bottom w:type="dxa" w:w="60"/>
              <w:right w:type="dxa" w:w="90"/>
            </w:tcMar>
          </w:tcPr>
          <w:p>
            <w:pPr>
              <w:spacing w:after="0" w:before="0"/>
              <w:jc w:val="left"/>
            </w:pPr>
            <w:r>
              <w:rPr>
                <w:b/>
                <w:bCs/>
                <w:color w:val="000000"/>
                <w:sz w:val="17"/>
                <w:szCs w:val="17"/>
              </w:rPr>
              <w:t xml:space="preserve">−43pp</w:t>
            </w:r>
          </w:p>
        </w:tc>
      </w:tr>
      <w:tr>
        <w:tc>
          <w:tcPr>
            <w:tcW w:type="dxa" w:w="2002"/>
            <w:shd w:fill="F2F5F9" w:color="auto" w:val="clear"/>
            <w:tcMar>
              <w:top w:type="dxa" w:w="60"/>
              <w:left w:type="dxa" w:w="90"/>
              <w:bottom w:type="dxa" w:w="60"/>
              <w:right w:type="dxa" w:w="90"/>
            </w:tcMar>
          </w:tcPr>
          <w:p>
            <w:pPr>
              <w:spacing w:after="0" w:before="0"/>
              <w:jc w:val="left"/>
            </w:pPr>
            <w:r>
              <w:rPr>
                <w:color w:val="000000"/>
                <w:sz w:val="17"/>
                <w:szCs w:val="17"/>
              </w:rPr>
              <w:t xml:space="preserve">Discount to NAV</w:t>
            </w:r>
          </w:p>
        </w:tc>
        <w:tc>
          <w:tcPr>
            <w:tcW w:type="dxa" w:w="3337"/>
            <w:shd w:fill="F2F5F9" w:color="auto" w:val="clear"/>
            <w:tcMar>
              <w:top w:type="dxa" w:w="60"/>
              <w:left w:type="dxa" w:w="90"/>
              <w:bottom w:type="dxa" w:w="60"/>
              <w:right w:type="dxa" w:w="90"/>
            </w:tcMar>
          </w:tcPr>
          <w:p>
            <w:pPr>
              <w:spacing w:after="0" w:before="0"/>
              <w:jc w:val="left"/>
            </w:pPr>
            <w:r>
              <w:rPr>
                <w:b/>
                <w:bCs/>
                <w:color w:val="000000"/>
                <w:sz w:val="17"/>
                <w:szCs w:val="17"/>
              </w:rPr>
              <w:t xml:space="preserve">~40%</w:t>
            </w:r>
          </w:p>
        </w:tc>
        <w:tc>
          <w:tcPr>
            <w:tcW w:type="dxa" w:w="4407"/>
            <w:shd w:fill="F2F5F9" w:color="auto" w:val="clear"/>
            <w:tcMar>
              <w:top w:type="dxa" w:w="60"/>
              <w:left w:type="dxa" w:w="90"/>
              <w:bottom w:type="dxa" w:w="60"/>
              <w:right w:type="dxa" w:w="90"/>
            </w:tcMar>
          </w:tcPr>
          <w:p>
            <w:pPr>
              <w:spacing w:after="0" w:before="0"/>
              <w:jc w:val="left"/>
            </w:pPr>
            <w:r>
              <w:rPr>
                <w:color w:val="000000"/>
                <w:sz w:val="17"/>
                <w:szCs w:val="17"/>
              </w:rPr>
              <w:t xml:space="preserve">Among the widest in European alts</w:t>
            </w:r>
          </w:p>
        </w:tc>
      </w:tr>
      <w:tr>
        <w:tc>
          <w:tcPr>
            <w:tcW w:type="dxa" w:w="2002"/>
            <w:tcMar>
              <w:top w:type="dxa" w:w="60"/>
              <w:left w:type="dxa" w:w="90"/>
              <w:bottom w:type="dxa" w:w="60"/>
              <w:right w:type="dxa" w:w="90"/>
            </w:tcMar>
          </w:tcPr>
          <w:p>
            <w:pPr>
              <w:spacing w:after="0" w:before="0"/>
              <w:jc w:val="left"/>
            </w:pPr>
            <w:r>
              <w:rPr>
                <w:color w:val="000000"/>
                <w:sz w:val="17"/>
                <w:szCs w:val="17"/>
              </w:rPr>
              <w:t xml:space="preserve">EV/Sales</w:t>
            </w:r>
          </w:p>
        </w:tc>
        <w:tc>
          <w:tcPr>
            <w:tcW w:type="dxa" w:w="3337"/>
            <w:tcMar>
              <w:top w:type="dxa" w:w="60"/>
              <w:left w:type="dxa" w:w="90"/>
              <w:bottom w:type="dxa" w:w="60"/>
              <w:right w:type="dxa" w:w="90"/>
            </w:tcMar>
          </w:tcPr>
          <w:p>
            <w:pPr>
              <w:spacing w:after="0" w:before="0"/>
              <w:jc w:val="left"/>
            </w:pPr>
            <w:r>
              <w:rPr>
                <w:color w:val="000000"/>
                <w:sz w:val="17"/>
                <w:szCs w:val="17"/>
              </w:rPr>
              <w:t xml:space="preserve">~4.0x</w:t>
            </w:r>
          </w:p>
        </w:tc>
        <w:tc>
          <w:tcPr>
            <w:tcW w:type="dxa" w:w="4407"/>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2002"/>
            <w:shd w:fill="F2F5F9" w:color="auto" w:val="clear"/>
            <w:tcMar>
              <w:top w:type="dxa" w:w="60"/>
              <w:left w:type="dxa" w:w="90"/>
              <w:bottom w:type="dxa" w:w="60"/>
              <w:right w:type="dxa" w:w="90"/>
            </w:tcMar>
          </w:tcPr>
          <w:p>
            <w:pPr>
              <w:spacing w:after="0" w:before="0"/>
              <w:jc w:val="left"/>
            </w:pPr>
            <w:r>
              <w:rPr>
                <w:color w:val="000000"/>
                <w:sz w:val="17"/>
                <w:szCs w:val="17"/>
              </w:rPr>
              <w:t xml:space="preserve">P/E (on FRE)</w:t>
            </w:r>
          </w:p>
        </w:tc>
        <w:tc>
          <w:tcPr>
            <w:tcW w:type="dxa" w:w="3337"/>
            <w:shd w:fill="F2F5F9" w:color="auto" w:val="clear"/>
            <w:tcMar>
              <w:top w:type="dxa" w:w="60"/>
              <w:left w:type="dxa" w:w="90"/>
              <w:bottom w:type="dxa" w:w="60"/>
              <w:right w:type="dxa" w:w="90"/>
            </w:tcMar>
          </w:tcPr>
          <w:p>
            <w:pPr>
              <w:spacing w:after="0" w:before="0"/>
              <w:jc w:val="left"/>
            </w:pPr>
            <w:r>
              <w:rPr>
                <w:color w:val="000000"/>
                <w:sz w:val="17"/>
                <w:szCs w:val="17"/>
              </w:rPr>
              <w:t xml:space="preserve">~12x</w:t>
            </w:r>
          </w:p>
        </w:tc>
        <w:tc>
          <w:tcPr>
            <w:tcW w:type="dxa" w:w="4407"/>
            <w:shd w:fill="F2F5F9" w:color="auto" w:val="clear"/>
            <w:tcMar>
              <w:top w:type="dxa" w:w="60"/>
              <w:left w:type="dxa" w:w="90"/>
              <w:bottom w:type="dxa" w:w="60"/>
              <w:right w:type="dxa" w:w="90"/>
            </w:tcMar>
          </w:tcPr>
          <w:p>
            <w:pPr>
              <w:spacing w:after="0" w:before="0"/>
              <w:jc w:val="left"/>
            </w:pPr>
            <w:r>
              <w:rPr>
                <w:color w:val="000000"/>
                <w:sz w:val="17"/>
                <w:szCs w:val="17"/>
              </w:rPr>
              <w:t xml:space="preserve">Discount to listed alts</w:t>
            </w:r>
          </w:p>
        </w:tc>
      </w:tr>
      <w:tr>
        <w:tc>
          <w:tcPr>
            <w:tcW w:type="dxa" w:w="2002"/>
            <w:tcMar>
              <w:top w:type="dxa" w:w="60"/>
              <w:left w:type="dxa" w:w="90"/>
              <w:bottom w:type="dxa" w:w="60"/>
              <w:right w:type="dxa" w:w="90"/>
            </w:tcMar>
          </w:tcPr>
          <w:p>
            <w:pPr>
              <w:spacing w:after="0" w:before="0"/>
              <w:jc w:val="left"/>
            </w:pPr>
            <w:r>
              <w:rPr>
                <w:color w:val="000000"/>
                <w:sz w:val="17"/>
                <w:szCs w:val="17"/>
              </w:rPr>
              <w:t xml:space="preserve">FCF yield</w:t>
            </w:r>
          </w:p>
        </w:tc>
        <w:tc>
          <w:tcPr>
            <w:tcW w:type="dxa" w:w="3337"/>
            <w:tcMar>
              <w:top w:type="dxa" w:w="60"/>
              <w:left w:type="dxa" w:w="90"/>
              <w:bottom w:type="dxa" w:w="60"/>
              <w:right w:type="dxa" w:w="90"/>
            </w:tcMar>
          </w:tcPr>
          <w:p>
            <w:pPr>
              <w:spacing w:after="0" w:before="0"/>
              <w:jc w:val="left"/>
            </w:pPr>
            <w:r>
              <w:rPr>
                <w:color w:val="000000"/>
                <w:sz w:val="17"/>
                <w:szCs w:val="17"/>
              </w:rPr>
              <w:t xml:space="preserve">~8%</w:t>
            </w:r>
          </w:p>
        </w:tc>
        <w:tc>
          <w:tcPr>
            <w:tcW w:type="dxa" w:w="4407"/>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2002"/>
            <w:shd w:fill="F2F5F9" w:color="auto" w:val="clear"/>
            <w:tcMar>
              <w:top w:type="dxa" w:w="60"/>
              <w:left w:type="dxa" w:w="90"/>
              <w:bottom w:type="dxa" w:w="60"/>
              <w:right w:type="dxa" w:w="90"/>
            </w:tcMar>
          </w:tcPr>
          <w:p>
            <w:pPr>
              <w:spacing w:after="0" w:before="0"/>
              <w:jc w:val="left"/>
            </w:pPr>
            <w:r>
              <w:rPr>
                <w:color w:val="000000"/>
                <w:sz w:val="17"/>
                <w:szCs w:val="17"/>
              </w:rPr>
              <w:t xml:space="preserve">FRE margin</w:t>
            </w:r>
          </w:p>
        </w:tc>
        <w:tc>
          <w:tcPr>
            <w:tcW w:type="dxa" w:w="3337"/>
            <w:shd w:fill="F2F5F9" w:color="auto" w:val="clear"/>
            <w:tcMar>
              <w:top w:type="dxa" w:w="60"/>
              <w:left w:type="dxa" w:w="90"/>
              <w:bottom w:type="dxa" w:w="60"/>
              <w:right w:type="dxa" w:w="90"/>
            </w:tcMar>
          </w:tcPr>
          <w:p>
            <w:pPr>
              <w:spacing w:after="0" w:before="0"/>
              <w:jc w:val="left"/>
            </w:pPr>
            <w:r>
              <w:rPr>
                <w:color w:val="000000"/>
                <w:sz w:val="17"/>
                <w:szCs w:val="17"/>
              </w:rPr>
              <w:t xml:space="preserve">~30%</w:t>
            </w:r>
          </w:p>
        </w:tc>
        <w:tc>
          <w:tcPr>
            <w:tcW w:type="dxa" w:w="4407"/>
            <w:shd w:fill="F2F5F9" w:color="auto" w:val="clear"/>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2002"/>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3337"/>
            <w:tcMar>
              <w:top w:type="dxa" w:w="60"/>
              <w:left w:type="dxa" w:w="90"/>
              <w:bottom w:type="dxa" w:w="60"/>
              <w:right w:type="dxa" w:w="90"/>
            </w:tcMar>
          </w:tcPr>
          <w:p>
            <w:pPr>
              <w:spacing w:after="0" w:before="0"/>
              <w:jc w:val="left"/>
            </w:pPr>
            <w:r>
              <w:rPr>
                <w:color w:val="000000"/>
                <w:sz w:val="17"/>
                <w:szCs w:val="17"/>
              </w:rPr>
              <w:t xml:space="preserve">~33%</w:t>
            </w:r>
          </w:p>
        </w:tc>
        <w:tc>
          <w:tcPr>
            <w:tcW w:type="dxa" w:w="4407"/>
            <w:tcMar>
              <w:top w:type="dxa" w:w="60"/>
              <w:left w:type="dxa" w:w="90"/>
              <w:bottom w:type="dxa" w:w="60"/>
              <w:right w:type="dxa" w:w="90"/>
            </w:tcMar>
          </w:tcPr>
          <w:p>
            <w:pPr>
              <w:spacing w:after="0" w:before="0"/>
              <w:jc w:val="left"/>
            </w:pPr>
            <w:r>
              <w:rPr>
                <w:color w:val="000000"/>
                <w:sz w:val="17"/>
                <w:szCs w:val="17"/>
              </w:rPr>
              <w:t xml:space="preserve">In line</w:t>
            </w:r>
          </w:p>
        </w:tc>
      </w:tr>
      <w:tr>
        <w:tc>
          <w:tcPr>
            <w:tcW w:type="dxa" w:w="2002"/>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3337"/>
            <w:shd w:fill="F2F5F9" w:color="auto" w:val="clear"/>
            <w:tcMar>
              <w:top w:type="dxa" w:w="60"/>
              <w:left w:type="dxa" w:w="90"/>
              <w:bottom w:type="dxa" w:w="60"/>
              <w:right w:type="dxa" w:w="90"/>
            </w:tcMar>
          </w:tcPr>
          <w:p>
            <w:pPr>
              <w:spacing w:after="0" w:before="0"/>
              <w:jc w:val="left"/>
            </w:pPr>
            <w:r>
              <w:rPr>
                <w:color w:val="000000"/>
                <w:sz w:val="17"/>
                <w:szCs w:val="17"/>
              </w:rPr>
              <w:t xml:space="preserve">Net cash ~€250m at holdco</w:t>
            </w:r>
          </w:p>
        </w:tc>
        <w:tc>
          <w:tcPr>
            <w:tcW w:type="dxa" w:w="4407"/>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JCDecaux Holding / Decaux family ~19%, Michel David-Weill family interests ~11%, Eurazeo employees and management ~5%, BlackRock ~3%, Norges Bank ~3%. </w:t>
      </w:r>
      <w:r>
        <w:rPr>
          <w:b/>
          <w:bCs/>
          <w:sz w:val="19"/>
          <w:szCs w:val="19"/>
        </w:rPr>
        <w:t xml:space="preserve">Two family blocs totalling ~30% — significant but not controlling.</w:t>
      </w:r>
      <w:r>
        <w:rPr>
          <w:sz w:val="19"/>
          <w:szCs w:val="19"/>
        </w:rPr>
        <w:t xml:space="preserve"> French double-voting rights materially amplify their influence at AGMs and are the key structural obstacle.</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€95+ of net asset value trading at €60, and it has been that way for a decade.</w:t>
      </w:r>
      <w:r>
        <w:rPr>
          <w:sz w:val="19"/>
          <w:szCs w:val="19"/>
        </w:rPr>
        <w:t xml:space="preserve"> A ~40% discount that persists through market cycles, through strategy changes and through management changes is not a market opinion about the assets — it is a market opinion about the structure and the governance.</w:t>
      </w:r>
    </w:p>
    <w:p>
      <w:pPr>
        <w:pStyle w:val="ListParagraph"/>
        <w:numPr>
          <w:ilvl w:val="0"/>
          <w:numId w:val="2"/>
        </w:numPr>
        <w:spacing w:after="40" w:before="40"/>
      </w:pPr>
      <w:r>
        <w:rPr>
          <w:b/>
          <w:bCs/>
          <w:sz w:val="19"/>
          <w:szCs w:val="19"/>
        </w:rPr>
        <w:t xml:space="preserve">Three CEO configurations in four years.</w:t>
      </w:r>
      <w:r>
        <w:rPr>
          <w:sz w:val="19"/>
          <w:szCs w:val="19"/>
        </w:rPr>
        <w:t xml:space="preserve"> The management churn at the top of this company — including a co-CEO arrangement that did not survive — is a board problem, not a personnel problem. Investors have been asked to underwrite a strategy that has been reauthored repeatedly.</w:t>
      </w:r>
    </w:p>
    <w:p>
      <w:pPr>
        <w:pStyle w:val="ListParagraph"/>
        <w:numPr>
          <w:ilvl w:val="0"/>
          <w:numId w:val="2"/>
        </w:numPr>
        <w:spacing w:after="40" w:before="40"/>
      </w:pPr>
      <w:r>
        <w:rPr>
          <w:b/>
          <w:bCs/>
          <w:sz w:val="19"/>
          <w:szCs w:val="19"/>
        </w:rPr>
        <w:t xml:space="preserve">Two different companies are being valued as neither.</w:t>
      </w:r>
      <w:r>
        <w:rPr>
          <w:sz w:val="19"/>
          <w:szCs w:val="19"/>
        </w:rPr>
        <w:t xml:space="preserve"> A fee-earning asset-management franchise (~30% FRE margin, deserving 12–15x) and a €5bn+ balance-sheet investment portfolio (deserving NAV, at most) are inside one listed vehicle. The market resolves the ambiguity by discounting both.</w:t>
      </w:r>
    </w:p>
    <w:p>
      <w:pPr>
        <w:pStyle w:val="Heading3"/>
        <w:spacing w:after="100" w:before="220"/>
      </w:pPr>
      <w:r>
        <w:rPr>
          <w:b/>
          <w:bCs/>
          <w:color w:val="2E5C8A"/>
          <w:sz w:val="21"/>
          <w:szCs w:val="21"/>
        </w:rPr>
        <w:t xml:space="preserve">Most actionable changes</w:t>
      </w:r>
    </w:p>
    <w:p>
      <w:pPr>
        <w:pStyle w:val="ListParagraph"/>
        <w:numPr>
          <w:ilvl w:val="0"/>
          <w:numId w:val="18"/>
        </w:numPr>
        <w:spacing w:after="40" w:before="40"/>
      </w:pPr>
      <w:r>
        <w:rPr>
          <w:b/>
          <w:bCs/>
          <w:sz w:val="19"/>
          <w:szCs w:val="19"/>
        </w:rPr>
        <w:t xml:space="preserve">Separate the asset-management franchise from the balance-sheet portfolio</w:t>
      </w:r>
      <w:r>
        <w:rPr>
          <w:sz w:val="19"/>
          <w:szCs w:val="19"/>
        </w:rPr>
        <w:t xml:space="preserve"> — or at minimum, report and guide them as two distinct segments with full FRE disclosure, so the annuity can be valued on earnings and the portfolio on NAV.</w:t>
      </w:r>
    </w:p>
    <w:p>
      <w:pPr>
        <w:pStyle w:val="ListParagraph"/>
        <w:numPr>
          <w:ilvl w:val="0"/>
          <w:numId w:val="18"/>
        </w:numPr>
        <w:spacing w:after="40" w:before="40"/>
      </w:pPr>
      <w:r>
        <w:rPr>
          <w:b/>
          <w:bCs/>
          <w:sz w:val="19"/>
          <w:szCs w:val="19"/>
        </w:rPr>
        <w:t xml:space="preserve">Adopt a mandated discount-control mechanism:</w:t>
      </w:r>
      <w:r>
        <w:rPr>
          <w:sz w:val="19"/>
          <w:szCs w:val="19"/>
        </w:rPr>
        <w:t xml:space="preserve"> a public, binding commitment to sustained buybacks whenever the discount to NAV exceeds 25%. At a 40% discount, every euro repurchased creates 67 cents of NAV per share for continuing holders.</w:t>
      </w:r>
    </w:p>
    <w:p>
      <w:pPr>
        <w:pStyle w:val="ListParagraph"/>
        <w:numPr>
          <w:ilvl w:val="0"/>
          <w:numId w:val="18"/>
        </w:numPr>
        <w:spacing w:after="40" w:before="40"/>
      </w:pPr>
      <w:r>
        <w:rPr>
          <w:b/>
          <w:bCs/>
          <w:sz w:val="19"/>
          <w:szCs w:val="19"/>
        </w:rPr>
        <w:t xml:space="preserve">Refresh the Supervisory Board</w:t>
      </w:r>
      <w:r>
        <w:rPr>
          <w:sz w:val="19"/>
          <w:szCs w:val="19"/>
        </w:rPr>
        <w:t xml:space="preserve"> with independent private-markets operators and end the family-bloc chairmanship, addressing the governance root cause of the management instability.</w:t>
      </w:r>
    </w:p>
    <w:p>
      <w:pPr>
        <w:spacing w:after="100" w:before="60"/>
      </w:pPr>
      <w:r>
        <w:rPr>
          <w:b/>
          <w:bCs/>
          <w:sz w:val="19"/>
          <w:szCs w:val="19"/>
        </w:rPr>
        <w:t xml:space="preserve">Ease of building support: 3/5.</w:t>
      </w:r>
      <w:r>
        <w:rPr>
          <w:sz w:val="19"/>
          <w:szCs w:val="19"/>
        </w:rPr>
        <w:t xml:space="preserve"> Neither family bloc controls, and the ~70% institutional remainder has every reason to support all three asks — the discount-control mechanism in particular is close to universally popular with institutional holders. The real obstacles are structural rather than arithmetic: French double-voting rights (which reward the long-held family stakes disproportionately), the two-tier board, and AGM mechanics that favour incumbents. Building a coalition with at least one of the two families is the realistic path to anything binding.</w:t>
      </w:r>
    </w:p>
    <w:p>
      <w:pPr>
        <w:spacing w:after="100" w:before="60"/>
      </w:pPr>
      <w:r>
        <w:rPr>
          <w:b/>
          <w:bCs/>
          <w:sz w:val="19"/>
          <w:szCs w:val="19"/>
        </w:rPr>
        <w:t xml:space="preserve">Expected company defence:</w:t>
      </w:r>
      <w:r>
        <w:rPr>
          <w:sz w:val="19"/>
          <w:szCs w:val="19"/>
        </w:rPr>
        <w:t xml:space="preserve"> "Listed holding companies trade at discounts — this is a market convention, not a Eurazeo failing. Our balance sheet is our competitive advantage in fundraising: committing our own capital alongside our LPs is precisely why we win mandates that pure fee-collectors cannot. Buybacks are already running and NAV per share has compounded."</w:t>
      </w:r>
    </w:p>
    <w:p>
      <w:pPr>
        <w:spacing w:after="100" w:before="60"/>
      </w:pPr>
      <w:r>
        <w:rPr>
          <w:b/>
          <w:bCs/>
          <w:sz w:val="19"/>
          <w:szCs w:val="19"/>
        </w:rPr>
        <w:t xml:space="preserve">Activist angles:</w:t>
      </w:r>
      <w:r>
        <w:rPr>
          <w:sz w:val="19"/>
          <w:szCs w:val="19"/>
        </w:rPr>
        <w:t xml:space="preserve"> Portfolio simplification (primary — separate AM from balance sheet) · Capital allocation (discount control) · Governance / board renewal</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17. Allfunds Group plc (ALLFG NA)</w:t>
      </w:r>
    </w:p>
    <w:p>
      <w:pPr>
        <w:spacing w:after="100" w:before="60"/>
      </w:pPr>
      <w:r>
        <w:rPr>
          <w:b/>
          <w:bCs/>
          <w:sz w:val="19"/>
          <w:szCs w:val="19"/>
        </w:rPr>
        <w:t xml:space="preserve">Market cap ~€4.0bn · AUA ~€1.6trn · Netherlands-listed, UK-incorporated</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712"/>
        <w:gridCol w:w="1975"/>
        <w:gridCol w:w="6059"/>
      </w:tblGrid>
      <w:tr>
        <w:trPr>
          <w:tblHeader/>
        </w:trPr>
        <w:tc>
          <w:tcPr>
            <w:tcW w:type="dxa" w:w="1712"/>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1975"/>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6059"/>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TSR 1yr</w:t>
            </w:r>
          </w:p>
        </w:tc>
        <w:tc>
          <w:tcPr>
            <w:tcW w:type="dxa" w:w="1975"/>
            <w:tcMar>
              <w:top w:type="dxa" w:w="60"/>
              <w:left w:type="dxa" w:w="90"/>
              <w:bottom w:type="dxa" w:w="60"/>
              <w:right w:type="dxa" w:w="90"/>
            </w:tcMar>
          </w:tcPr>
          <w:p>
            <w:pPr>
              <w:spacing w:after="0" w:before="0"/>
              <w:jc w:val="left"/>
            </w:pPr>
            <w:r>
              <w:rPr>
                <w:color w:val="000000"/>
                <w:sz w:val="17"/>
                <w:szCs w:val="17"/>
              </w:rPr>
              <w:t xml:space="preserve">−5%</w:t>
            </w:r>
          </w:p>
        </w:tc>
        <w:tc>
          <w:tcPr>
            <w:tcW w:type="dxa" w:w="6059"/>
            <w:tcMar>
              <w:top w:type="dxa" w:w="60"/>
              <w:left w:type="dxa" w:w="90"/>
              <w:bottom w:type="dxa" w:w="60"/>
              <w:right w:type="dxa" w:w="90"/>
            </w:tcMar>
          </w:tcPr>
          <w:p>
            <w:pPr>
              <w:spacing w:after="0" w:before="0"/>
              <w:jc w:val="left"/>
            </w:pPr>
            <w:r>
              <w:rPr>
                <w:b/>
                <w:bCs/>
                <w:color w:val="000000"/>
                <w:sz w:val="17"/>
                <w:szCs w:val="17"/>
              </w:rPr>
              <w:t xml:space="preserve">−24pp</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1975"/>
            <w:shd w:fill="F2F5F9" w:color="auto" w:val="clear"/>
            <w:tcMar>
              <w:top w:type="dxa" w:w="60"/>
              <w:left w:type="dxa" w:w="90"/>
              <w:bottom w:type="dxa" w:w="60"/>
              <w:right w:type="dxa" w:w="90"/>
            </w:tcMar>
          </w:tcPr>
          <w:p>
            <w:pPr>
              <w:spacing w:after="0" w:before="0"/>
              <w:jc w:val="left"/>
            </w:pPr>
            <w:r>
              <w:rPr>
                <w:color w:val="000000"/>
                <w:sz w:val="17"/>
                <w:szCs w:val="17"/>
              </w:rPr>
              <w:t xml:space="preserve">−25%</w:t>
            </w:r>
          </w:p>
        </w:tc>
        <w:tc>
          <w:tcPr>
            <w:tcW w:type="dxa" w:w="6059"/>
            <w:shd w:fill="F2F5F9" w:color="auto" w:val="clear"/>
            <w:tcMar>
              <w:top w:type="dxa" w:w="60"/>
              <w:left w:type="dxa" w:w="90"/>
              <w:bottom w:type="dxa" w:w="60"/>
              <w:right w:type="dxa" w:w="90"/>
            </w:tcMar>
          </w:tcPr>
          <w:p>
            <w:pPr>
              <w:spacing w:after="0" w:before="0"/>
              <w:jc w:val="left"/>
            </w:pPr>
            <w:r>
              <w:rPr>
                <w:b/>
                <w:bCs/>
                <w:color w:val="000000"/>
                <w:sz w:val="17"/>
                <w:szCs w:val="17"/>
              </w:rPr>
              <w:t xml:space="preserve">−57pp</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TSR 5yr</w:t>
            </w:r>
          </w:p>
        </w:tc>
        <w:tc>
          <w:tcPr>
            <w:tcW w:type="dxa" w:w="1975"/>
            <w:tcMar>
              <w:top w:type="dxa" w:w="60"/>
              <w:left w:type="dxa" w:w="90"/>
              <w:bottom w:type="dxa" w:w="60"/>
              <w:right w:type="dxa" w:w="90"/>
            </w:tcMar>
          </w:tcPr>
          <w:p>
            <w:pPr>
              <w:spacing w:after="0" w:before="0"/>
              <w:jc w:val="left"/>
            </w:pPr>
            <w:r>
              <w:rPr>
                <w:color w:val="000000"/>
                <w:sz w:val="17"/>
                <w:szCs w:val="17"/>
              </w:rPr>
              <w:t xml:space="preserve">−55%</w:t>
            </w:r>
          </w:p>
        </w:tc>
        <w:tc>
          <w:tcPr>
            <w:tcW w:type="dxa" w:w="6059"/>
            <w:tcMar>
              <w:top w:type="dxa" w:w="60"/>
              <w:left w:type="dxa" w:w="90"/>
              <w:bottom w:type="dxa" w:w="60"/>
              <w:right w:type="dxa" w:w="90"/>
            </w:tcMar>
          </w:tcPr>
          <w:p>
            <w:pPr>
              <w:spacing w:after="0" w:before="0"/>
              <w:jc w:val="left"/>
            </w:pPr>
            <w:r>
              <w:rPr>
                <w:b/>
                <w:bCs/>
                <w:color w:val="000000"/>
                <w:sz w:val="17"/>
                <w:szCs w:val="17"/>
              </w:rPr>
              <w:t xml:space="preserve">−73pp</w:t>
            </w:r>
            <w:r>
              <w:rPr>
                <w:color w:val="000000"/>
                <w:sz w:val="17"/>
                <w:szCs w:val="17"/>
              </w:rPr>
              <w:t xml:space="preserve"> (IPO'd Apr 2021 at €11.50; peaked ~€19)</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1975"/>
            <w:shd w:fill="F2F5F9" w:color="auto" w:val="clear"/>
            <w:tcMar>
              <w:top w:type="dxa" w:w="60"/>
              <w:left w:type="dxa" w:w="90"/>
              <w:bottom w:type="dxa" w:w="60"/>
              <w:right w:type="dxa" w:w="90"/>
            </w:tcMar>
          </w:tcPr>
          <w:p>
            <w:pPr>
              <w:spacing w:after="0" w:before="0"/>
              <w:jc w:val="left"/>
            </w:pPr>
            <w:r>
              <w:rPr>
                <w:color w:val="000000"/>
                <w:sz w:val="17"/>
                <w:szCs w:val="17"/>
              </w:rPr>
              <w:t xml:space="preserve">~6.0x</w:t>
            </w:r>
          </w:p>
        </w:tc>
        <w:tc>
          <w:tcPr>
            <w:tcW w:type="dxa" w:w="6059"/>
            <w:shd w:fill="F2F5F9" w:color="auto" w:val="clear"/>
            <w:tcMar>
              <w:top w:type="dxa" w:w="60"/>
              <w:left w:type="dxa" w:w="90"/>
              <w:bottom w:type="dxa" w:w="60"/>
              <w:right w:type="dxa" w:w="90"/>
            </w:tcMar>
          </w:tcPr>
          <w:p>
            <w:pPr>
              <w:spacing w:after="0" w:before="0"/>
              <w:jc w:val="left"/>
            </w:pPr>
            <w:r>
              <w:rPr>
                <w:color w:val="000000"/>
                <w:sz w:val="17"/>
                <w:szCs w:val="17"/>
              </w:rPr>
              <w:t xml:space="preserve">Premium (justified by margin)</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EV/EBIT</w:t>
            </w:r>
          </w:p>
        </w:tc>
        <w:tc>
          <w:tcPr>
            <w:tcW w:type="dxa" w:w="1975"/>
            <w:tcMar>
              <w:top w:type="dxa" w:w="60"/>
              <w:left w:type="dxa" w:w="90"/>
              <w:bottom w:type="dxa" w:w="60"/>
              <w:right w:type="dxa" w:w="90"/>
            </w:tcMar>
          </w:tcPr>
          <w:p>
            <w:pPr>
              <w:spacing w:after="0" w:before="0"/>
              <w:jc w:val="left"/>
            </w:pPr>
            <w:r>
              <w:rPr>
                <w:color w:val="000000"/>
                <w:sz w:val="17"/>
                <w:szCs w:val="17"/>
              </w:rPr>
              <w:t xml:space="preserve">~11x</w:t>
            </w:r>
          </w:p>
        </w:tc>
        <w:tc>
          <w:tcPr>
            <w:tcW w:type="dxa" w:w="6059"/>
            <w:tcMar>
              <w:top w:type="dxa" w:w="60"/>
              <w:left w:type="dxa" w:w="90"/>
              <w:bottom w:type="dxa" w:w="60"/>
              <w:right w:type="dxa" w:w="90"/>
            </w:tcMar>
          </w:tcPr>
          <w:p>
            <w:pPr>
              <w:spacing w:after="0" w:before="0"/>
              <w:jc w:val="left"/>
            </w:pPr>
            <w:r>
              <w:rPr>
                <w:b/>
                <w:bCs/>
                <w:color w:val="000000"/>
                <w:sz w:val="17"/>
                <w:szCs w:val="17"/>
              </w:rPr>
              <w:t xml:space="preserve">Deep discount to market-infrastructure peers (18–25x)</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1975"/>
            <w:shd w:fill="F2F5F9" w:color="auto" w:val="clear"/>
            <w:tcMar>
              <w:top w:type="dxa" w:w="60"/>
              <w:left w:type="dxa" w:w="90"/>
              <w:bottom w:type="dxa" w:w="60"/>
              <w:right w:type="dxa" w:w="90"/>
            </w:tcMar>
          </w:tcPr>
          <w:p>
            <w:pPr>
              <w:spacing w:after="0" w:before="0"/>
              <w:jc w:val="left"/>
            </w:pPr>
            <w:r>
              <w:rPr>
                <w:color w:val="000000"/>
                <w:sz w:val="17"/>
                <w:szCs w:val="17"/>
              </w:rPr>
              <w:t xml:space="preserve">~14x</w:t>
            </w:r>
          </w:p>
        </w:tc>
        <w:tc>
          <w:tcPr>
            <w:tcW w:type="dxa" w:w="6059"/>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FCF yield</w:t>
            </w:r>
          </w:p>
        </w:tc>
        <w:tc>
          <w:tcPr>
            <w:tcW w:type="dxa" w:w="1975"/>
            <w:tcMar>
              <w:top w:type="dxa" w:w="60"/>
              <w:left w:type="dxa" w:w="90"/>
              <w:bottom w:type="dxa" w:w="60"/>
              <w:right w:type="dxa" w:w="90"/>
            </w:tcMar>
          </w:tcPr>
          <w:p>
            <w:pPr>
              <w:spacing w:after="0" w:before="0"/>
              <w:jc w:val="left"/>
            </w:pPr>
            <w:r>
              <w:rPr>
                <w:color w:val="000000"/>
                <w:sz w:val="17"/>
                <w:szCs w:val="17"/>
              </w:rPr>
              <w:t xml:space="preserve">~8%</w:t>
            </w:r>
          </w:p>
        </w:tc>
        <w:tc>
          <w:tcPr>
            <w:tcW w:type="dxa" w:w="6059"/>
            <w:tcMar>
              <w:top w:type="dxa" w:w="60"/>
              <w:left w:type="dxa" w:w="90"/>
              <w:bottom w:type="dxa" w:w="60"/>
              <w:right w:type="dxa" w:w="90"/>
            </w:tcMar>
          </w:tcPr>
          <w:p>
            <w:pPr>
              <w:spacing w:after="0" w:before="0"/>
              <w:jc w:val="left"/>
            </w:pPr>
            <w:r>
              <w:rPr>
                <w:color w:val="000000"/>
                <w:sz w:val="17"/>
                <w:szCs w:val="17"/>
              </w:rPr>
              <w:t xml:space="preserve">Attractive</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EBIT margin</w:t>
            </w:r>
          </w:p>
        </w:tc>
        <w:tc>
          <w:tcPr>
            <w:tcW w:type="dxa" w:w="1975"/>
            <w:shd w:fill="F2F5F9" w:color="auto" w:val="clear"/>
            <w:tcMar>
              <w:top w:type="dxa" w:w="60"/>
              <w:left w:type="dxa" w:w="90"/>
              <w:bottom w:type="dxa" w:w="60"/>
              <w:right w:type="dxa" w:w="90"/>
            </w:tcMar>
          </w:tcPr>
          <w:p>
            <w:pPr>
              <w:spacing w:after="0" w:before="0"/>
              <w:jc w:val="left"/>
            </w:pPr>
            <w:r>
              <w:rPr>
                <w:color w:val="000000"/>
                <w:sz w:val="17"/>
                <w:szCs w:val="17"/>
              </w:rPr>
              <w:t xml:space="preserve">~40%</w:t>
            </w:r>
          </w:p>
        </w:tc>
        <w:tc>
          <w:tcPr>
            <w:tcW w:type="dxa" w:w="6059"/>
            <w:shd w:fill="F2F5F9" w:color="auto" w:val="clear"/>
            <w:tcMar>
              <w:top w:type="dxa" w:w="60"/>
              <w:left w:type="dxa" w:w="90"/>
              <w:bottom w:type="dxa" w:w="60"/>
              <w:right w:type="dxa" w:w="90"/>
            </w:tcMar>
          </w:tcPr>
          <w:p>
            <w:pPr>
              <w:spacing w:after="0" w:before="0"/>
              <w:jc w:val="left"/>
            </w:pPr>
            <w:r>
              <w:rPr>
                <w:b/>
                <w:bCs/>
                <w:color w:val="000000"/>
                <w:sz w:val="17"/>
                <w:szCs w:val="17"/>
              </w:rPr>
              <w:t xml:space="preserve">Well above sector</w:t>
            </w:r>
          </w:p>
        </w:tc>
      </w:tr>
      <w:tr>
        <w:tc>
          <w:tcPr>
            <w:tcW w:type="dxa" w:w="1712"/>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1975"/>
            <w:tcMar>
              <w:top w:type="dxa" w:w="60"/>
              <w:left w:type="dxa" w:w="90"/>
              <w:bottom w:type="dxa" w:w="60"/>
              <w:right w:type="dxa" w:w="90"/>
            </w:tcMar>
          </w:tcPr>
          <w:p>
            <w:pPr>
              <w:spacing w:after="0" w:before="0"/>
              <w:jc w:val="left"/>
            </w:pPr>
            <w:r>
              <w:rPr>
                <w:color w:val="000000"/>
                <w:sz w:val="17"/>
                <w:szCs w:val="17"/>
              </w:rPr>
              <w:t xml:space="preserve">~55–58%</w:t>
            </w:r>
          </w:p>
        </w:tc>
        <w:tc>
          <w:tcPr>
            <w:tcW w:type="dxa" w:w="6059"/>
            <w:tcMar>
              <w:top w:type="dxa" w:w="60"/>
              <w:left w:type="dxa" w:w="90"/>
              <w:bottom w:type="dxa" w:w="60"/>
              <w:right w:type="dxa" w:w="90"/>
            </w:tcMar>
          </w:tcPr>
          <w:p>
            <w:pPr>
              <w:spacing w:after="0" w:before="0"/>
              <w:jc w:val="left"/>
            </w:pPr>
            <w:r>
              <w:rPr>
                <w:b/>
                <w:bCs/>
                <w:color w:val="000000"/>
                <w:sz w:val="17"/>
                <w:szCs w:val="17"/>
              </w:rPr>
              <w:t xml:space="preserve">Highest on this list</w:t>
            </w:r>
          </w:p>
        </w:tc>
      </w:tr>
      <w:tr>
        <w:tc>
          <w:tcPr>
            <w:tcW w:type="dxa" w:w="1712"/>
            <w:shd w:fill="F2F5F9" w:color="auto" w:val="clear"/>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1975"/>
            <w:shd w:fill="F2F5F9" w:color="auto" w:val="clear"/>
            <w:tcMar>
              <w:top w:type="dxa" w:w="60"/>
              <w:left w:type="dxa" w:w="90"/>
              <w:bottom w:type="dxa" w:w="60"/>
              <w:right w:type="dxa" w:w="90"/>
            </w:tcMar>
          </w:tcPr>
          <w:p>
            <w:pPr>
              <w:spacing w:after="0" w:before="0"/>
              <w:jc w:val="left"/>
            </w:pPr>
            <w:r>
              <w:rPr>
                <w:color w:val="000000"/>
                <w:sz w:val="17"/>
                <w:szCs w:val="17"/>
              </w:rPr>
              <w:t xml:space="preserve">Net cash ~€150m</w:t>
            </w:r>
          </w:p>
        </w:tc>
        <w:tc>
          <w:tcPr>
            <w:tcW w:type="dxa" w:w="6059"/>
            <w:shd w:fill="F2F5F9" w:color="auto" w:val="clear"/>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Hellman &amp; Friedman (via LHC vehicle) ~30% and reducing, BNP Paribas ~8%, UBS (inherited Credit Suisse position) ~4%, BlackRock ~3%, Capital Group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This is market infrastructure being valued as a fund distributor.</w:t>
      </w:r>
      <w:r>
        <w:rPr>
          <w:sz w:val="19"/>
          <w:szCs w:val="19"/>
        </w:rPr>
        <w:t xml:space="preserve"> €1.6 trillion of assets under administration and 55%+ EBITDA margins describe a network with genuine network effects — the closest thing European fund distribution has to a monopoly. Exchanges and market-infrastructure businesses with these characteristics trade at 18–25x EBIT. Allfunds trades at ~11x.</w:t>
      </w:r>
    </w:p>
    <w:p>
      <w:pPr>
        <w:pStyle w:val="ListParagraph"/>
        <w:numPr>
          <w:ilvl w:val="0"/>
          <w:numId w:val="2"/>
        </w:numPr>
        <w:spacing w:after="40" w:before="40"/>
      </w:pPr>
      <w:r>
        <w:rPr>
          <w:b/>
          <w:bCs/>
          <w:sz w:val="19"/>
          <w:szCs w:val="19"/>
        </w:rPr>
        <w:t xml:space="preserve">Euronext offered €8.75 per share in 2023 and walked away. The stock is now €6.44.</w:t>
      </w:r>
      <w:r>
        <w:rPr>
          <w:sz w:val="19"/>
          <w:szCs w:val="19"/>
        </w:rPr>
        <w:t xml:space="preserve"> That bid — €5.5bn, a 19% premium at the time — established that a sophisticated strategic acquirer valued this asset at a substantial premium to where it trades three years later. The board has not since explained why shareholders should be content below that level.</w:t>
      </w:r>
    </w:p>
    <w:p>
      <w:pPr>
        <w:pStyle w:val="ListParagraph"/>
        <w:numPr>
          <w:ilvl w:val="0"/>
          <w:numId w:val="2"/>
        </w:numPr>
        <w:spacing w:after="40" w:before="40"/>
      </w:pPr>
      <w:r>
        <w:rPr>
          <w:b/>
          <w:bCs/>
          <w:sz w:val="19"/>
          <w:szCs w:val="19"/>
        </w:rPr>
        <w:t xml:space="preserve">The private-equity overhang has capped the stock for four years, and management has spent the period diversifying instead of monetising.</w:t>
      </w:r>
      <w:r>
        <w:rPr>
          <w:sz w:val="19"/>
          <w:szCs w:val="19"/>
        </w:rPr>
        <w:t xml:space="preserve"> Hellman &amp; Friedman's ~30% is a known, mechanical seller. Meanwhile capital and attention have gone into lower-return "data and solutions" adjacencies rather than defending and taxing the core network.</w:t>
      </w:r>
    </w:p>
    <w:p>
      <w:pPr>
        <w:pStyle w:val="Heading3"/>
        <w:spacing w:after="100" w:before="220"/>
      </w:pPr>
      <w:r>
        <w:rPr>
          <w:b/>
          <w:bCs/>
          <w:color w:val="2E5C8A"/>
          <w:sz w:val="21"/>
          <w:szCs w:val="21"/>
        </w:rPr>
        <w:t xml:space="preserve">Most actionable changes</w:t>
      </w:r>
    </w:p>
    <w:p>
      <w:pPr>
        <w:pStyle w:val="ListParagraph"/>
        <w:numPr>
          <w:ilvl w:val="0"/>
          <w:numId w:val="19"/>
        </w:numPr>
        <w:spacing w:after="40" w:before="40"/>
      </w:pPr>
      <w:r>
        <w:rPr>
          <w:b/>
          <w:bCs/>
          <w:sz w:val="19"/>
          <w:szCs w:val="19"/>
        </w:rPr>
        <w:t xml:space="preserve">Run a formal strategic process.</w:t>
      </w:r>
      <w:r>
        <w:rPr>
          <w:sz w:val="19"/>
          <w:szCs w:val="19"/>
        </w:rPr>
        <w:t xml:space="preserve"> The 2023 Euronext approach proved strategic appetite; the largest shareholder is an exit-seeking financial sponsor; and the public-market valuation is less than three-quarters of a bid the board already received. The alignment between the largest holder and an activist here is unusually strong.</w:t>
      </w:r>
    </w:p>
    <w:p>
      <w:pPr>
        <w:pStyle w:val="ListParagraph"/>
        <w:numPr>
          <w:ilvl w:val="0"/>
          <w:numId w:val="19"/>
        </w:numPr>
        <w:spacing w:after="40" w:before="40"/>
      </w:pPr>
      <w:r>
        <w:rPr>
          <w:b/>
          <w:bCs/>
          <w:sz w:val="19"/>
          <w:szCs w:val="19"/>
        </w:rPr>
        <w:t xml:space="preserve">Refocus on the core network and divest or close the sub-scale data and technology-solutions lines.</w:t>
      </w:r>
      <w:r>
        <w:rPr>
          <w:sz w:val="19"/>
          <w:szCs w:val="19"/>
        </w:rPr>
        <w:t xml:space="preserve"> These dilute the margin, complicate the equity story and compete for capital with the one asset that is genuinely defensible.</w:t>
      </w:r>
    </w:p>
    <w:p>
      <w:pPr>
        <w:pStyle w:val="ListParagraph"/>
        <w:numPr>
          <w:ilvl w:val="0"/>
          <w:numId w:val="19"/>
        </w:numPr>
        <w:spacing w:after="40" w:before="40"/>
      </w:pPr>
      <w:r>
        <w:rPr>
          <w:b/>
          <w:bCs/>
          <w:sz w:val="19"/>
          <w:szCs w:val="19"/>
        </w:rPr>
        <w:t xml:space="preserve">Aggressive buyback while the overhang persists.</w:t>
      </w:r>
      <w:r>
        <w:rPr>
          <w:sz w:val="19"/>
          <w:szCs w:val="19"/>
        </w:rPr>
        <w:t xml:space="preserve"> With net cash and an 8% FCF yield, the company should be the natural buyer of the stock H&amp;F is selling — converting an overhang into per-share accretion instead of a discount.</w:t>
      </w:r>
    </w:p>
    <w:p>
      <w:pPr>
        <w:spacing w:after="100" w:before="60"/>
      </w:pPr>
      <w:r>
        <w:rPr>
          <w:b/>
          <w:bCs/>
          <w:sz w:val="19"/>
          <w:szCs w:val="19"/>
        </w:rPr>
        <w:t xml:space="preserve">Ease of building support: 4/5.</w:t>
      </w:r>
      <w:r>
        <w:rPr>
          <w:sz w:val="19"/>
          <w:szCs w:val="19"/>
        </w:rPr>
        <w:t xml:space="preserve"> The register's defining feature is that the ~30% holder </w:t>
      </w:r>
      <w:r>
        <w:rPr>
          <w:i/>
          <w:iCs/>
          <w:sz w:val="19"/>
          <w:szCs w:val="19"/>
        </w:rPr>
        <w:t xml:space="preserve">wants to sell</w:t>
      </w:r>
      <w:r>
        <w:rPr>
          <w:sz w:val="19"/>
          <w:szCs w:val="19"/>
        </w:rPr>
        <w:t xml:space="preserve">, which is the single most favourable condition for an M&amp;A-oriented campaign. BNP at ~8% is a strategic holder with its own distribution interests. The remaining institutional base is deeply underwater from the IPO and would support almost any credible plan to close the gap to the Euronext price.</w:t>
      </w:r>
    </w:p>
    <w:p>
      <w:pPr>
        <w:spacing w:after="100" w:before="60"/>
      </w:pPr>
      <w:r>
        <w:rPr>
          <w:b/>
          <w:bCs/>
          <w:sz w:val="19"/>
          <w:szCs w:val="19"/>
        </w:rPr>
        <w:t xml:space="preserve">Expected company defence:</w:t>
      </w:r>
      <w:r>
        <w:rPr>
          <w:sz w:val="19"/>
          <w:szCs w:val="19"/>
        </w:rPr>
        <w:t xml:space="preserve"> "The network compounds — AUA is at record levels and the switching costs are enormous. The data and solutions businesses are the higher-margin future of the platform, not a distraction. Discussions about the ownership of the company are a matter for the board at the appropriate time, not for public negotiation."</w:t>
      </w:r>
    </w:p>
    <w:p>
      <w:pPr>
        <w:spacing w:after="100" w:before="60"/>
      </w:pPr>
      <w:r>
        <w:rPr>
          <w:b/>
          <w:bCs/>
          <w:sz w:val="19"/>
          <w:szCs w:val="19"/>
        </w:rPr>
        <w:t xml:space="preserve">Activist angles:</w:t>
      </w:r>
      <w:r>
        <w:rPr>
          <w:sz w:val="19"/>
          <w:szCs w:val="19"/>
        </w:rPr>
        <w:t xml:space="preserve"> M&amp;A / strategic review (primary) · Portfolio simplification (exit non-core solutions) · Capital allocation (buyback against overhang)</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18. Azimut Holding SpA (AZM IM)</w:t>
      </w:r>
    </w:p>
    <w:p>
      <w:pPr>
        <w:spacing w:after="100" w:before="60"/>
      </w:pPr>
      <w:r>
        <w:rPr>
          <w:b/>
          <w:bCs/>
          <w:sz w:val="19"/>
          <w:szCs w:val="19"/>
        </w:rPr>
        <w:t xml:space="preserve">Market cap ~€3.5bn · AUM ~€100bn+ · Italy</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393"/>
        <w:gridCol w:w="2564"/>
        <w:gridCol w:w="4789"/>
      </w:tblGrid>
      <w:tr>
        <w:trPr>
          <w:tblHeader/>
        </w:trPr>
        <w:tc>
          <w:tcPr>
            <w:tcW w:type="dxa" w:w="2393"/>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2564"/>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4789"/>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393"/>
            <w:tcMar>
              <w:top w:type="dxa" w:w="60"/>
              <w:left w:type="dxa" w:w="90"/>
              <w:bottom w:type="dxa" w:w="60"/>
              <w:right w:type="dxa" w:w="90"/>
            </w:tcMar>
          </w:tcPr>
          <w:p>
            <w:pPr>
              <w:spacing w:after="0" w:before="0"/>
              <w:jc w:val="left"/>
            </w:pPr>
            <w:r>
              <w:rPr>
                <w:color w:val="000000"/>
                <w:sz w:val="17"/>
                <w:szCs w:val="17"/>
              </w:rPr>
              <w:t xml:space="preserve">TSR 1yr</w:t>
            </w:r>
          </w:p>
        </w:tc>
        <w:tc>
          <w:tcPr>
            <w:tcW w:type="dxa" w:w="2564"/>
            <w:tcMar>
              <w:top w:type="dxa" w:w="60"/>
              <w:left w:type="dxa" w:w="90"/>
              <w:bottom w:type="dxa" w:w="60"/>
              <w:right w:type="dxa" w:w="90"/>
            </w:tcMar>
          </w:tcPr>
          <w:p>
            <w:pPr>
              <w:spacing w:after="0" w:before="0"/>
              <w:jc w:val="left"/>
            </w:pPr>
            <w:r>
              <w:rPr>
                <w:color w:val="000000"/>
                <w:sz w:val="17"/>
                <w:szCs w:val="17"/>
              </w:rPr>
              <w:t xml:space="preserve">+10%</w:t>
            </w:r>
          </w:p>
        </w:tc>
        <w:tc>
          <w:tcPr>
            <w:tcW w:type="dxa" w:w="4789"/>
            <w:tcMar>
              <w:top w:type="dxa" w:w="60"/>
              <w:left w:type="dxa" w:w="90"/>
              <w:bottom w:type="dxa" w:w="60"/>
              <w:right w:type="dxa" w:w="90"/>
            </w:tcMar>
          </w:tcPr>
          <w:p>
            <w:pPr>
              <w:spacing w:after="0" w:before="0"/>
              <w:jc w:val="left"/>
            </w:pPr>
            <w:r>
              <w:rPr>
                <w:color w:val="000000"/>
                <w:sz w:val="17"/>
                <w:szCs w:val="17"/>
              </w:rPr>
              <w:t xml:space="preserve">−9pp</w:t>
            </w:r>
          </w:p>
        </w:tc>
      </w:tr>
      <w:tr>
        <w:tc>
          <w:tcPr>
            <w:tcW w:type="dxa" w:w="2393"/>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2564"/>
            <w:shd w:fill="F2F5F9" w:color="auto" w:val="clear"/>
            <w:tcMar>
              <w:top w:type="dxa" w:w="60"/>
              <w:left w:type="dxa" w:w="90"/>
              <w:bottom w:type="dxa" w:w="60"/>
              <w:right w:type="dxa" w:w="90"/>
            </w:tcMar>
          </w:tcPr>
          <w:p>
            <w:pPr>
              <w:spacing w:after="0" w:before="0"/>
              <w:jc w:val="left"/>
            </w:pPr>
            <w:r>
              <w:rPr>
                <w:color w:val="000000"/>
                <w:sz w:val="17"/>
                <w:szCs w:val="17"/>
              </w:rPr>
              <w:t xml:space="preserve">+25%</w:t>
            </w:r>
          </w:p>
        </w:tc>
        <w:tc>
          <w:tcPr>
            <w:tcW w:type="dxa" w:w="4789"/>
            <w:shd w:fill="F2F5F9" w:color="auto" w:val="clear"/>
            <w:tcMar>
              <w:top w:type="dxa" w:w="60"/>
              <w:left w:type="dxa" w:w="90"/>
              <w:bottom w:type="dxa" w:w="60"/>
              <w:right w:type="dxa" w:w="90"/>
            </w:tcMar>
          </w:tcPr>
          <w:p>
            <w:pPr>
              <w:spacing w:after="0" w:before="0"/>
              <w:jc w:val="left"/>
            </w:pPr>
            <w:r>
              <w:rPr>
                <w:color w:val="000000"/>
                <w:sz w:val="17"/>
                <w:szCs w:val="17"/>
              </w:rPr>
              <w:t xml:space="preserve">−7pp</w:t>
            </w:r>
          </w:p>
        </w:tc>
      </w:tr>
      <w:tr>
        <w:tc>
          <w:tcPr>
            <w:tcW w:type="dxa" w:w="2393"/>
            <w:tcMar>
              <w:top w:type="dxa" w:w="60"/>
              <w:left w:type="dxa" w:w="90"/>
              <w:bottom w:type="dxa" w:w="60"/>
              <w:right w:type="dxa" w:w="90"/>
            </w:tcMar>
          </w:tcPr>
          <w:p>
            <w:pPr>
              <w:spacing w:after="0" w:before="0"/>
              <w:jc w:val="left"/>
            </w:pPr>
            <w:r>
              <w:rPr>
                <w:color w:val="000000"/>
                <w:sz w:val="17"/>
                <w:szCs w:val="17"/>
              </w:rPr>
              <w:t xml:space="preserve">TSR 5yr</w:t>
            </w:r>
          </w:p>
        </w:tc>
        <w:tc>
          <w:tcPr>
            <w:tcW w:type="dxa" w:w="2564"/>
            <w:tcMar>
              <w:top w:type="dxa" w:w="60"/>
              <w:left w:type="dxa" w:w="90"/>
              <w:bottom w:type="dxa" w:w="60"/>
              <w:right w:type="dxa" w:w="90"/>
            </w:tcMar>
          </w:tcPr>
          <w:p>
            <w:pPr>
              <w:spacing w:after="0" w:before="0"/>
              <w:jc w:val="left"/>
            </w:pPr>
            <w:r>
              <w:rPr>
                <w:color w:val="000000"/>
                <w:sz w:val="17"/>
                <w:szCs w:val="17"/>
              </w:rPr>
              <w:t xml:space="preserve">+5%</w:t>
            </w:r>
          </w:p>
        </w:tc>
        <w:tc>
          <w:tcPr>
            <w:tcW w:type="dxa" w:w="4789"/>
            <w:tcMar>
              <w:top w:type="dxa" w:w="60"/>
              <w:left w:type="dxa" w:w="90"/>
              <w:bottom w:type="dxa" w:w="60"/>
              <w:right w:type="dxa" w:w="90"/>
            </w:tcMar>
          </w:tcPr>
          <w:p>
            <w:pPr>
              <w:spacing w:after="0" w:before="0"/>
              <w:jc w:val="left"/>
            </w:pPr>
            <w:r>
              <w:rPr>
                <w:b/>
                <w:bCs/>
                <w:color w:val="000000"/>
                <w:sz w:val="17"/>
                <w:szCs w:val="17"/>
              </w:rPr>
              <w:t xml:space="preserve">−13pp</w:t>
            </w:r>
          </w:p>
        </w:tc>
      </w:tr>
      <w:tr>
        <w:tc>
          <w:tcPr>
            <w:tcW w:type="dxa" w:w="2393"/>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2564"/>
            <w:shd w:fill="F2F5F9" w:color="auto" w:val="clear"/>
            <w:tcMar>
              <w:top w:type="dxa" w:w="60"/>
              <w:left w:type="dxa" w:w="90"/>
              <w:bottom w:type="dxa" w:w="60"/>
              <w:right w:type="dxa" w:w="90"/>
            </w:tcMar>
          </w:tcPr>
          <w:p>
            <w:pPr>
              <w:spacing w:after="0" w:before="0"/>
              <w:jc w:val="left"/>
            </w:pPr>
            <w:r>
              <w:rPr>
                <w:color w:val="000000"/>
                <w:sz w:val="17"/>
                <w:szCs w:val="17"/>
              </w:rPr>
              <w:t xml:space="preserve">~2.0x</w:t>
            </w:r>
          </w:p>
        </w:tc>
        <w:tc>
          <w:tcPr>
            <w:tcW w:type="dxa" w:w="4789"/>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2393"/>
            <w:tcMar>
              <w:top w:type="dxa" w:w="60"/>
              <w:left w:type="dxa" w:w="90"/>
              <w:bottom w:type="dxa" w:w="60"/>
              <w:right w:type="dxa" w:w="90"/>
            </w:tcMar>
          </w:tcPr>
          <w:p>
            <w:pPr>
              <w:spacing w:after="0" w:before="0"/>
              <w:jc w:val="left"/>
            </w:pPr>
            <w:r>
              <w:rPr>
                <w:color w:val="000000"/>
                <w:sz w:val="17"/>
                <w:szCs w:val="17"/>
              </w:rPr>
              <w:t xml:space="preserve">EV/EBIT</w:t>
            </w:r>
          </w:p>
        </w:tc>
        <w:tc>
          <w:tcPr>
            <w:tcW w:type="dxa" w:w="2564"/>
            <w:tcMar>
              <w:top w:type="dxa" w:w="60"/>
              <w:left w:type="dxa" w:w="90"/>
              <w:bottom w:type="dxa" w:w="60"/>
              <w:right w:type="dxa" w:w="90"/>
            </w:tcMar>
          </w:tcPr>
          <w:p>
            <w:pPr>
              <w:spacing w:after="0" w:before="0"/>
              <w:jc w:val="left"/>
            </w:pPr>
            <w:r>
              <w:rPr>
                <w:color w:val="000000"/>
                <w:sz w:val="17"/>
                <w:szCs w:val="17"/>
              </w:rPr>
              <w:t xml:space="preserve">~7x</w:t>
            </w:r>
          </w:p>
        </w:tc>
        <w:tc>
          <w:tcPr>
            <w:tcW w:type="dxa" w:w="4789"/>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2393"/>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2564"/>
            <w:shd w:fill="F2F5F9" w:color="auto" w:val="clear"/>
            <w:tcMar>
              <w:top w:type="dxa" w:w="60"/>
              <w:left w:type="dxa" w:w="90"/>
              <w:bottom w:type="dxa" w:w="60"/>
              <w:right w:type="dxa" w:w="90"/>
            </w:tcMar>
          </w:tcPr>
          <w:p>
            <w:pPr>
              <w:spacing w:after="0" w:before="0"/>
              <w:jc w:val="left"/>
            </w:pPr>
            <w:r>
              <w:rPr>
                <w:color w:val="000000"/>
                <w:sz w:val="17"/>
                <w:szCs w:val="17"/>
              </w:rPr>
              <w:t xml:space="preserve">~8x</w:t>
            </w:r>
          </w:p>
        </w:tc>
        <w:tc>
          <w:tcPr>
            <w:tcW w:type="dxa" w:w="4789"/>
            <w:shd w:fill="F2F5F9" w:color="auto" w:val="clear"/>
            <w:tcMar>
              <w:top w:type="dxa" w:w="60"/>
              <w:left w:type="dxa" w:w="90"/>
              <w:bottom w:type="dxa" w:w="60"/>
              <w:right w:type="dxa" w:w="90"/>
            </w:tcMar>
          </w:tcPr>
          <w:p>
            <w:pPr>
              <w:spacing w:after="0" w:before="0"/>
              <w:jc w:val="left"/>
            </w:pPr>
            <w:r>
              <w:rPr>
                <w:b/>
                <w:bCs/>
                <w:color w:val="000000"/>
                <w:sz w:val="17"/>
                <w:szCs w:val="17"/>
              </w:rPr>
              <w:t xml:space="preserve">Among the cheapest in Europe</w:t>
            </w:r>
          </w:p>
        </w:tc>
      </w:tr>
      <w:tr>
        <w:tc>
          <w:tcPr>
            <w:tcW w:type="dxa" w:w="2393"/>
            <w:tcMar>
              <w:top w:type="dxa" w:w="60"/>
              <w:left w:type="dxa" w:w="90"/>
              <w:bottom w:type="dxa" w:w="60"/>
              <w:right w:type="dxa" w:w="90"/>
            </w:tcMar>
          </w:tcPr>
          <w:p>
            <w:pPr>
              <w:spacing w:after="0" w:before="0"/>
              <w:jc w:val="left"/>
            </w:pPr>
            <w:r>
              <w:rPr>
                <w:color w:val="000000"/>
                <w:sz w:val="17"/>
                <w:szCs w:val="17"/>
              </w:rPr>
              <w:t xml:space="preserve">FCF yield</w:t>
            </w:r>
          </w:p>
        </w:tc>
        <w:tc>
          <w:tcPr>
            <w:tcW w:type="dxa" w:w="2564"/>
            <w:tcMar>
              <w:top w:type="dxa" w:w="60"/>
              <w:left w:type="dxa" w:w="90"/>
              <w:bottom w:type="dxa" w:w="60"/>
              <w:right w:type="dxa" w:w="90"/>
            </w:tcMar>
          </w:tcPr>
          <w:p>
            <w:pPr>
              <w:spacing w:after="0" w:before="0"/>
              <w:jc w:val="left"/>
            </w:pPr>
            <w:r>
              <w:rPr>
                <w:color w:val="000000"/>
                <w:sz w:val="17"/>
                <w:szCs w:val="17"/>
              </w:rPr>
              <w:t xml:space="preserve">~12%</w:t>
            </w:r>
          </w:p>
        </w:tc>
        <w:tc>
          <w:tcPr>
            <w:tcW w:type="dxa" w:w="4789"/>
            <w:tcMar>
              <w:top w:type="dxa" w:w="60"/>
              <w:left w:type="dxa" w:w="90"/>
              <w:bottom w:type="dxa" w:w="60"/>
              <w:right w:type="dxa" w:w="90"/>
            </w:tcMar>
          </w:tcPr>
          <w:p>
            <w:pPr>
              <w:spacing w:after="0" w:before="0"/>
              <w:jc w:val="left"/>
            </w:pPr>
            <w:r>
              <w:rPr>
                <w:b/>
                <w:bCs/>
                <w:color w:val="000000"/>
                <w:sz w:val="17"/>
                <w:szCs w:val="17"/>
              </w:rPr>
              <w:t xml:space="preserve">Very attractive</w:t>
            </w:r>
          </w:p>
        </w:tc>
      </w:tr>
      <w:tr>
        <w:tc>
          <w:tcPr>
            <w:tcW w:type="dxa" w:w="2393"/>
            <w:shd w:fill="F2F5F9" w:color="auto" w:val="clear"/>
            <w:tcMar>
              <w:top w:type="dxa" w:w="60"/>
              <w:left w:type="dxa" w:w="90"/>
              <w:bottom w:type="dxa" w:w="60"/>
              <w:right w:type="dxa" w:w="90"/>
            </w:tcMar>
          </w:tcPr>
          <w:p>
            <w:pPr>
              <w:spacing w:after="0" w:before="0"/>
              <w:jc w:val="left"/>
            </w:pPr>
            <w:r>
              <w:rPr>
                <w:color w:val="000000"/>
                <w:sz w:val="17"/>
                <w:szCs w:val="17"/>
              </w:rPr>
              <w:t xml:space="preserve">Dividend yield</w:t>
            </w:r>
          </w:p>
        </w:tc>
        <w:tc>
          <w:tcPr>
            <w:tcW w:type="dxa" w:w="2564"/>
            <w:shd w:fill="F2F5F9" w:color="auto" w:val="clear"/>
            <w:tcMar>
              <w:top w:type="dxa" w:w="60"/>
              <w:left w:type="dxa" w:w="90"/>
              <w:bottom w:type="dxa" w:w="60"/>
              <w:right w:type="dxa" w:w="90"/>
            </w:tcMar>
          </w:tcPr>
          <w:p>
            <w:pPr>
              <w:spacing w:after="0" w:before="0"/>
              <w:jc w:val="left"/>
            </w:pPr>
            <w:r>
              <w:rPr>
                <w:color w:val="000000"/>
                <w:sz w:val="17"/>
                <w:szCs w:val="17"/>
              </w:rPr>
              <w:t xml:space="preserve">~8%</w:t>
            </w:r>
          </w:p>
        </w:tc>
        <w:tc>
          <w:tcPr>
            <w:tcW w:type="dxa" w:w="4789"/>
            <w:shd w:fill="F2F5F9" w:color="auto" w:val="clear"/>
            <w:tcMar>
              <w:top w:type="dxa" w:w="60"/>
              <w:left w:type="dxa" w:w="90"/>
              <w:bottom w:type="dxa" w:w="60"/>
              <w:right w:type="dxa" w:w="90"/>
            </w:tcMar>
          </w:tcPr>
          <w:p>
            <w:pPr>
              <w:spacing w:after="0" w:before="0"/>
              <w:jc w:val="left"/>
            </w:pPr>
            <w:r>
              <w:rPr>
                <w:color w:val="000000"/>
                <w:sz w:val="17"/>
                <w:szCs w:val="17"/>
              </w:rPr>
              <w:t xml:space="preserve">High</w:t>
            </w:r>
          </w:p>
        </w:tc>
      </w:tr>
      <w:tr>
        <w:tc>
          <w:tcPr>
            <w:tcW w:type="dxa" w:w="2393"/>
            <w:tcMar>
              <w:top w:type="dxa" w:w="60"/>
              <w:left w:type="dxa" w:w="90"/>
              <w:bottom w:type="dxa" w:w="60"/>
              <w:right w:type="dxa" w:w="90"/>
            </w:tcMar>
          </w:tcPr>
          <w:p>
            <w:pPr>
              <w:spacing w:after="0" w:before="0"/>
              <w:jc w:val="left"/>
            </w:pPr>
            <w:r>
              <w:rPr>
                <w:color w:val="000000"/>
                <w:sz w:val="17"/>
                <w:szCs w:val="17"/>
              </w:rPr>
              <w:t xml:space="preserve">EBIT margin</w:t>
            </w:r>
          </w:p>
        </w:tc>
        <w:tc>
          <w:tcPr>
            <w:tcW w:type="dxa" w:w="2564"/>
            <w:tcMar>
              <w:top w:type="dxa" w:w="60"/>
              <w:left w:type="dxa" w:w="90"/>
              <w:bottom w:type="dxa" w:w="60"/>
              <w:right w:type="dxa" w:w="90"/>
            </w:tcMar>
          </w:tcPr>
          <w:p>
            <w:pPr>
              <w:spacing w:after="0" w:before="0"/>
              <w:jc w:val="left"/>
            </w:pPr>
            <w:r>
              <w:rPr>
                <w:color w:val="000000"/>
                <w:sz w:val="17"/>
                <w:szCs w:val="17"/>
              </w:rPr>
              <w:t xml:space="preserve">~35%</w:t>
            </w:r>
          </w:p>
        </w:tc>
        <w:tc>
          <w:tcPr>
            <w:tcW w:type="dxa" w:w="4789"/>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2393"/>
            <w:shd w:fill="F2F5F9" w:color="auto" w:val="clear"/>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2564"/>
            <w:shd w:fill="F2F5F9" w:color="auto" w:val="clear"/>
            <w:tcMar>
              <w:top w:type="dxa" w:w="60"/>
              <w:left w:type="dxa" w:w="90"/>
              <w:bottom w:type="dxa" w:w="60"/>
              <w:right w:type="dxa" w:w="90"/>
            </w:tcMar>
          </w:tcPr>
          <w:p>
            <w:pPr>
              <w:spacing w:after="0" w:before="0"/>
              <w:jc w:val="left"/>
            </w:pPr>
            <w:r>
              <w:rPr>
                <w:color w:val="000000"/>
                <w:sz w:val="17"/>
                <w:szCs w:val="17"/>
              </w:rPr>
              <w:t xml:space="preserve">~38%</w:t>
            </w:r>
          </w:p>
        </w:tc>
        <w:tc>
          <w:tcPr>
            <w:tcW w:type="dxa" w:w="4789"/>
            <w:shd w:fill="F2F5F9" w:color="auto" w:val="clear"/>
            <w:tcMar>
              <w:top w:type="dxa" w:w="60"/>
              <w:left w:type="dxa" w:w="90"/>
              <w:bottom w:type="dxa" w:w="60"/>
              <w:right w:type="dxa" w:w="90"/>
            </w:tcMar>
          </w:tcPr>
          <w:p>
            <w:pPr>
              <w:spacing w:after="0" w:before="0"/>
              <w:jc w:val="left"/>
            </w:pPr>
            <w:r>
              <w:rPr>
                <w:color w:val="000000"/>
                <w:sz w:val="17"/>
                <w:szCs w:val="17"/>
              </w:rPr>
              <w:t xml:space="preserve">Above sector</w:t>
            </w:r>
          </w:p>
        </w:tc>
      </w:tr>
      <w:tr>
        <w:tc>
          <w:tcPr>
            <w:tcW w:type="dxa" w:w="2393"/>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2564"/>
            <w:tcMar>
              <w:top w:type="dxa" w:w="60"/>
              <w:left w:type="dxa" w:w="90"/>
              <w:bottom w:type="dxa" w:w="60"/>
              <w:right w:type="dxa" w:w="90"/>
            </w:tcMar>
          </w:tcPr>
          <w:p>
            <w:pPr>
              <w:spacing w:after="0" w:before="0"/>
              <w:jc w:val="left"/>
            </w:pPr>
            <w:r>
              <w:rPr>
                <w:color w:val="000000"/>
                <w:sz w:val="17"/>
                <w:szCs w:val="17"/>
              </w:rPr>
              <w:t xml:space="preserve">Net cash ~€300m</w:t>
            </w:r>
          </w:p>
        </w:tc>
        <w:tc>
          <w:tcPr>
            <w:tcW w:type="dxa" w:w="4789"/>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Timone Fiduciaria (the managers' and partners' shareholder pact) ~24%, BlackRock ~5%, Norges Bank ~3%, Vanguard ~3%, Fidelity ~3%.</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One of the cheapest asset managers in Europe at ~8x earnings, and the discount is a conglomerate discount the company built itself.</w:t>
      </w:r>
      <w:r>
        <w:rPr>
          <w:sz w:val="19"/>
          <w:szCs w:val="19"/>
        </w:rPr>
        <w:t xml:space="preserve"> Italian retail distribution, a banking joint venture, Kairos, private markets, and a long tail of foreign subsidiaries across Turkey, Brazil, Australia, Mexico and beyond. No investor can model this. The market's response to complexity it cannot model is a permanent discount.</w:t>
      </w:r>
    </w:p>
    <w:p>
      <w:pPr>
        <w:pStyle w:val="ListParagraph"/>
        <w:numPr>
          <w:ilvl w:val="0"/>
          <w:numId w:val="2"/>
        </w:numPr>
        <w:spacing w:after="40" w:before="40"/>
      </w:pPr>
      <w:r>
        <w:rPr>
          <w:b/>
          <w:bCs/>
          <w:sz w:val="19"/>
          <w:szCs w:val="19"/>
        </w:rPr>
        <w:t xml:space="preserve">The banking project consumes capital, capital ratios and management attention for an uncertain return.</w:t>
      </w:r>
      <w:r>
        <w:rPr>
          <w:sz w:val="19"/>
          <w:szCs w:val="19"/>
        </w:rPr>
        <w:t xml:space="preserve"> Building or acquiring a bank to secure distribution is a capital-intensive answer to a commercial problem, and it converts a capital-light 35%-margin asset manager into something the market must value on a bank multiple.</w:t>
      </w:r>
    </w:p>
    <w:p>
      <w:pPr>
        <w:pStyle w:val="ListParagraph"/>
        <w:numPr>
          <w:ilvl w:val="0"/>
          <w:numId w:val="2"/>
        </w:numPr>
        <w:spacing w:after="40" w:before="40"/>
      </w:pPr>
      <w:r>
        <w:rPr>
          <w:b/>
          <w:bCs/>
          <w:sz w:val="19"/>
          <w:szCs w:val="19"/>
        </w:rPr>
        <w:t xml:space="preserve">The Timone pact at ~24% controls the narrative without controlling the votes.</w:t>
      </w:r>
      <w:r>
        <w:rPr>
          <w:sz w:val="19"/>
          <w:szCs w:val="19"/>
        </w:rPr>
        <w:t xml:space="preserve"> The partners' pact is a genuine alignment mechanism and a genuine governance obstacle at the same time — it delivers management continuity and it insulates the board from the other 76% of the register.</w:t>
      </w:r>
    </w:p>
    <w:p>
      <w:pPr>
        <w:pStyle w:val="Heading3"/>
        <w:spacing w:after="100" w:before="220"/>
      </w:pPr>
      <w:r>
        <w:rPr>
          <w:b/>
          <w:bCs/>
          <w:color w:val="2E5C8A"/>
          <w:sz w:val="21"/>
          <w:szCs w:val="21"/>
        </w:rPr>
        <w:t xml:space="preserve">Most actionable changes</w:t>
      </w:r>
    </w:p>
    <w:p>
      <w:pPr>
        <w:pStyle w:val="ListParagraph"/>
        <w:numPr>
          <w:ilvl w:val="0"/>
          <w:numId w:val="20"/>
        </w:numPr>
        <w:spacing w:after="40" w:before="40"/>
      </w:pPr>
      <w:r>
        <w:rPr>
          <w:b/>
          <w:bCs/>
          <w:sz w:val="19"/>
          <w:szCs w:val="19"/>
        </w:rPr>
        <w:t xml:space="preserve">Kill or spin the banking project</w:t>
      </w:r>
      <w:r>
        <w:rPr>
          <w:sz w:val="19"/>
          <w:szCs w:val="19"/>
        </w:rPr>
        <w:t xml:space="preserve"> and recommit to the capital-light distribution and asset-management model that produces the 35% margin.</w:t>
      </w:r>
    </w:p>
    <w:p>
      <w:pPr>
        <w:pStyle w:val="ListParagraph"/>
        <w:numPr>
          <w:ilvl w:val="0"/>
          <w:numId w:val="20"/>
        </w:numPr>
        <w:spacing w:after="40" w:before="40"/>
      </w:pPr>
      <w:r>
        <w:rPr>
          <w:b/>
          <w:bCs/>
          <w:sz w:val="19"/>
          <w:szCs w:val="19"/>
        </w:rPr>
        <w:t xml:space="preserve">Divest the sub-scale foreign subsidiaries.</w:t>
      </w:r>
      <w:r>
        <w:rPr>
          <w:sz w:val="19"/>
          <w:szCs w:val="19"/>
        </w:rPr>
        <w:t xml:space="preserve"> Turkey, Brazil, Australia and Mexico add complexity, currency exposure, governance load and negligible earnings. Exiting them is worth more in multiple than in proceeds.</w:t>
      </w:r>
    </w:p>
    <w:p>
      <w:pPr>
        <w:pStyle w:val="ListParagraph"/>
        <w:numPr>
          <w:ilvl w:val="0"/>
          <w:numId w:val="20"/>
        </w:numPr>
        <w:spacing w:after="40" w:before="40"/>
      </w:pPr>
      <w:r>
        <w:rPr>
          <w:b/>
          <w:bCs/>
          <w:sz w:val="19"/>
          <w:szCs w:val="19"/>
        </w:rPr>
        <w:t xml:space="preserve">Simplify to a single reporting structure</w:t>
      </w:r>
      <w:r>
        <w:rPr>
          <w:sz w:val="19"/>
          <w:szCs w:val="19"/>
        </w:rPr>
        <w:t xml:space="preserve"> with clean segment disclosure and a formal, published capital-return policy in place of the current discretionary approach.</w:t>
      </w:r>
    </w:p>
    <w:p>
      <w:pPr>
        <w:spacing w:after="100" w:before="60"/>
      </w:pPr>
      <w:r>
        <w:rPr>
          <w:b/>
          <w:bCs/>
          <w:sz w:val="19"/>
          <w:szCs w:val="19"/>
        </w:rPr>
        <w:t xml:space="preserve">Ease of building support: 2/5 — the hardest campaign in Continental Europe on this list.</w:t>
      </w:r>
      <w:r>
        <w:rPr>
          <w:sz w:val="19"/>
          <w:szCs w:val="19"/>
        </w:rPr>
        <w:t xml:space="preserve"> The Timone pact is cohesive, long-standing and philosophically committed to the current model; Italian AGM dynamics and the domestic retail register favour incumbents; and the partner network is also the distribution network, which means the people who would have to vote for change are the people the strategy is designed to enrich. A co-investment with a credible Italian institutional partner is close to mandatory, and even then this is a multi-year engagement.</w:t>
      </w:r>
    </w:p>
    <w:p>
      <w:pPr>
        <w:spacing w:after="100" w:before="60"/>
      </w:pPr>
      <w:r>
        <w:rPr>
          <w:b/>
          <w:bCs/>
          <w:sz w:val="19"/>
          <w:szCs w:val="19"/>
        </w:rPr>
        <w:t xml:space="preserve">Expected company defence:</w:t>
      </w:r>
      <w:r>
        <w:rPr>
          <w:sz w:val="19"/>
          <w:szCs w:val="19"/>
        </w:rPr>
        <w:t xml:space="preserve"> "The distribution network and the partner alignment </w:t>
      </w:r>
      <w:r>
        <w:rPr>
          <w:i/>
          <w:iCs/>
          <w:sz w:val="19"/>
          <w:szCs w:val="19"/>
        </w:rPr>
        <w:t xml:space="preserve">are</w:t>
      </w:r>
      <w:r>
        <w:rPr>
          <w:sz w:val="19"/>
          <w:szCs w:val="19"/>
        </w:rPr>
        <w:t xml:space="preserve"> the business model — no other Italian manager has this. The bank secures our distribution channel permanently against the risk of being disintermediated. International operations are strategic optionality in growth markets. The dividend and the buybacks demonstrate our commitment to shareholders."</w:t>
      </w:r>
    </w:p>
    <w:p>
      <w:pPr>
        <w:spacing w:after="100" w:before="60"/>
      </w:pPr>
      <w:r>
        <w:rPr>
          <w:b/>
          <w:bCs/>
          <w:sz w:val="19"/>
          <w:szCs w:val="19"/>
        </w:rPr>
        <w:t xml:space="preserve">Activist angles:</w:t>
      </w:r>
      <w:r>
        <w:rPr>
          <w:sz w:val="19"/>
          <w:szCs w:val="19"/>
        </w:rPr>
        <w:t xml:space="preserve"> Portfolio simplification (primary — exit banking and sub-scale geographies) · Governance (pact structure, board independence) · Capital allocation</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19. Deutsche Beteiligungs AG (DBAN GY)</w:t>
      </w:r>
    </w:p>
    <w:p>
      <w:pPr>
        <w:spacing w:after="100" w:before="60"/>
      </w:pPr>
      <w:r>
        <w:rPr>
          <w:b/>
          <w:bCs/>
          <w:sz w:val="19"/>
          <w:szCs w:val="19"/>
        </w:rPr>
        <w:t xml:space="preserve">Market cap ~€0.48bn · AUM ~€2.5–3bn · Germany</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2971"/>
        <w:gridCol w:w="4516"/>
        <w:gridCol w:w="2259"/>
      </w:tblGrid>
      <w:tr>
        <w:trPr>
          <w:tblHeader/>
        </w:trPr>
        <w:tc>
          <w:tcPr>
            <w:tcW w:type="dxa" w:w="2971"/>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4516"/>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2259"/>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2971"/>
            <w:tcMar>
              <w:top w:type="dxa" w:w="60"/>
              <w:left w:type="dxa" w:w="90"/>
              <w:bottom w:type="dxa" w:w="60"/>
              <w:right w:type="dxa" w:w="90"/>
            </w:tcMar>
          </w:tcPr>
          <w:p>
            <w:pPr>
              <w:spacing w:after="0" w:before="0"/>
              <w:jc w:val="left"/>
            </w:pPr>
            <w:r>
              <w:rPr>
                <w:color w:val="000000"/>
                <w:sz w:val="17"/>
                <w:szCs w:val="17"/>
              </w:rPr>
              <w:t xml:space="preserve">TSR 1yr</w:t>
            </w:r>
          </w:p>
        </w:tc>
        <w:tc>
          <w:tcPr>
            <w:tcW w:type="dxa" w:w="4516"/>
            <w:tcMar>
              <w:top w:type="dxa" w:w="60"/>
              <w:left w:type="dxa" w:w="90"/>
              <w:bottom w:type="dxa" w:w="60"/>
              <w:right w:type="dxa" w:w="90"/>
            </w:tcMar>
          </w:tcPr>
          <w:p>
            <w:pPr>
              <w:spacing w:after="0" w:before="0"/>
              <w:jc w:val="left"/>
            </w:pPr>
            <w:r>
              <w:rPr>
                <w:color w:val="000000"/>
                <w:sz w:val="17"/>
                <w:szCs w:val="17"/>
              </w:rPr>
              <w:t xml:space="preserve">0%</w:t>
            </w:r>
          </w:p>
        </w:tc>
        <w:tc>
          <w:tcPr>
            <w:tcW w:type="dxa" w:w="2259"/>
            <w:tcMar>
              <w:top w:type="dxa" w:w="60"/>
              <w:left w:type="dxa" w:w="90"/>
              <w:bottom w:type="dxa" w:w="60"/>
              <w:right w:type="dxa" w:w="90"/>
            </w:tcMar>
          </w:tcPr>
          <w:p>
            <w:pPr>
              <w:spacing w:after="0" w:before="0"/>
              <w:jc w:val="left"/>
            </w:pPr>
            <w:r>
              <w:rPr>
                <w:color w:val="000000"/>
                <w:sz w:val="17"/>
                <w:szCs w:val="17"/>
              </w:rPr>
              <w:t xml:space="preserve">−19pp</w:t>
            </w:r>
          </w:p>
        </w:tc>
      </w:tr>
      <w:tr>
        <w:tc>
          <w:tcPr>
            <w:tcW w:type="dxa" w:w="2971"/>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4516"/>
            <w:shd w:fill="F2F5F9" w:color="auto" w:val="clear"/>
            <w:tcMar>
              <w:top w:type="dxa" w:w="60"/>
              <w:left w:type="dxa" w:w="90"/>
              <w:bottom w:type="dxa" w:w="60"/>
              <w:right w:type="dxa" w:w="90"/>
            </w:tcMar>
          </w:tcPr>
          <w:p>
            <w:pPr>
              <w:spacing w:after="0" w:before="0"/>
              <w:jc w:val="left"/>
            </w:pPr>
            <w:r>
              <w:rPr>
                <w:color w:val="000000"/>
                <w:sz w:val="17"/>
                <w:szCs w:val="17"/>
              </w:rPr>
              <w:t xml:space="preserve">−20%</w:t>
            </w:r>
          </w:p>
        </w:tc>
        <w:tc>
          <w:tcPr>
            <w:tcW w:type="dxa" w:w="2259"/>
            <w:shd w:fill="F2F5F9" w:color="auto" w:val="clear"/>
            <w:tcMar>
              <w:top w:type="dxa" w:w="60"/>
              <w:left w:type="dxa" w:w="90"/>
              <w:bottom w:type="dxa" w:w="60"/>
              <w:right w:type="dxa" w:w="90"/>
            </w:tcMar>
          </w:tcPr>
          <w:p>
            <w:pPr>
              <w:spacing w:after="0" w:before="0"/>
              <w:jc w:val="left"/>
            </w:pPr>
            <w:r>
              <w:rPr>
                <w:b/>
                <w:bCs/>
                <w:color w:val="000000"/>
                <w:sz w:val="17"/>
                <w:szCs w:val="17"/>
              </w:rPr>
              <w:t xml:space="preserve">−52pp</w:t>
            </w:r>
          </w:p>
        </w:tc>
      </w:tr>
      <w:tr>
        <w:tc>
          <w:tcPr>
            <w:tcW w:type="dxa" w:w="2971"/>
            <w:tcMar>
              <w:top w:type="dxa" w:w="60"/>
              <w:left w:type="dxa" w:w="90"/>
              <w:bottom w:type="dxa" w:w="60"/>
              <w:right w:type="dxa" w:w="90"/>
            </w:tcMar>
          </w:tcPr>
          <w:p>
            <w:pPr>
              <w:spacing w:after="0" w:before="0"/>
              <w:jc w:val="left"/>
            </w:pPr>
            <w:r>
              <w:rPr>
                <w:color w:val="000000"/>
                <w:sz w:val="17"/>
                <w:szCs w:val="17"/>
              </w:rPr>
              <w:t xml:space="preserve">TSR 5yr</w:t>
            </w:r>
          </w:p>
        </w:tc>
        <w:tc>
          <w:tcPr>
            <w:tcW w:type="dxa" w:w="4516"/>
            <w:tcMar>
              <w:top w:type="dxa" w:w="60"/>
              <w:left w:type="dxa" w:w="90"/>
              <w:bottom w:type="dxa" w:w="60"/>
              <w:right w:type="dxa" w:w="90"/>
            </w:tcMar>
          </w:tcPr>
          <w:p>
            <w:pPr>
              <w:spacing w:after="0" w:before="0"/>
              <w:jc w:val="left"/>
            </w:pPr>
            <w:r>
              <w:rPr>
                <w:color w:val="000000"/>
                <w:sz w:val="17"/>
                <w:szCs w:val="17"/>
              </w:rPr>
              <w:t xml:space="preserve">−35%</w:t>
            </w:r>
          </w:p>
        </w:tc>
        <w:tc>
          <w:tcPr>
            <w:tcW w:type="dxa" w:w="2259"/>
            <w:tcMar>
              <w:top w:type="dxa" w:w="60"/>
              <w:left w:type="dxa" w:w="90"/>
              <w:bottom w:type="dxa" w:w="60"/>
              <w:right w:type="dxa" w:w="90"/>
            </w:tcMar>
          </w:tcPr>
          <w:p>
            <w:pPr>
              <w:spacing w:after="0" w:before="0"/>
              <w:jc w:val="left"/>
            </w:pPr>
            <w:r>
              <w:rPr>
                <w:b/>
                <w:bCs/>
                <w:color w:val="000000"/>
                <w:sz w:val="17"/>
                <w:szCs w:val="17"/>
              </w:rPr>
              <w:t xml:space="preserve">−53pp</w:t>
            </w:r>
          </w:p>
        </w:tc>
      </w:tr>
      <w:tr>
        <w:tc>
          <w:tcPr>
            <w:tcW w:type="dxa" w:w="2971"/>
            <w:shd w:fill="F2F5F9" w:color="auto" w:val="clear"/>
            <w:tcMar>
              <w:top w:type="dxa" w:w="60"/>
              <w:left w:type="dxa" w:w="90"/>
              <w:bottom w:type="dxa" w:w="60"/>
              <w:right w:type="dxa" w:w="90"/>
            </w:tcMar>
          </w:tcPr>
          <w:p>
            <w:pPr>
              <w:spacing w:after="0" w:before="0"/>
              <w:jc w:val="left"/>
            </w:pPr>
            <w:r>
              <w:rPr>
                <w:color w:val="000000"/>
                <w:sz w:val="17"/>
                <w:szCs w:val="17"/>
              </w:rPr>
              <w:t xml:space="preserve">Discount to NAV</w:t>
            </w:r>
          </w:p>
        </w:tc>
        <w:tc>
          <w:tcPr>
            <w:tcW w:type="dxa" w:w="4516"/>
            <w:shd w:fill="F2F5F9" w:color="auto" w:val="clear"/>
            <w:tcMar>
              <w:top w:type="dxa" w:w="60"/>
              <w:left w:type="dxa" w:w="90"/>
              <w:bottom w:type="dxa" w:w="60"/>
              <w:right w:type="dxa" w:w="90"/>
            </w:tcMar>
          </w:tcPr>
          <w:p>
            <w:pPr>
              <w:spacing w:after="0" w:before="0"/>
              <w:jc w:val="left"/>
            </w:pPr>
            <w:r>
              <w:rPr>
                <w:color w:val="000000"/>
                <w:sz w:val="17"/>
                <w:szCs w:val="17"/>
              </w:rPr>
              <w:t xml:space="preserve">~25–30%</w:t>
            </w:r>
          </w:p>
        </w:tc>
        <w:tc>
          <w:tcPr>
            <w:tcW w:type="dxa" w:w="2259"/>
            <w:shd w:fill="F2F5F9" w:color="auto" w:val="clear"/>
            <w:tcMar>
              <w:top w:type="dxa" w:w="60"/>
              <w:left w:type="dxa" w:w="90"/>
              <w:bottom w:type="dxa" w:w="60"/>
              <w:right w:type="dxa" w:w="90"/>
            </w:tcMar>
          </w:tcPr>
          <w:p>
            <w:pPr>
              <w:spacing w:after="0" w:before="0"/>
              <w:jc w:val="left"/>
            </w:pPr>
            <w:r>
              <w:rPr>
                <w:color w:val="000000"/>
                <w:sz w:val="17"/>
                <w:szCs w:val="17"/>
              </w:rPr>
              <w:t xml:space="preserve">Wide and persistent</w:t>
            </w:r>
          </w:p>
        </w:tc>
      </w:tr>
      <w:tr>
        <w:tc>
          <w:tcPr>
            <w:tcW w:type="dxa" w:w="2971"/>
            <w:tcMar>
              <w:top w:type="dxa" w:w="60"/>
              <w:left w:type="dxa" w:w="90"/>
              <w:bottom w:type="dxa" w:w="60"/>
              <w:right w:type="dxa" w:w="90"/>
            </w:tcMar>
          </w:tcPr>
          <w:p>
            <w:pPr>
              <w:spacing w:after="0" w:before="0"/>
              <w:jc w:val="left"/>
            </w:pPr>
            <w:r>
              <w:rPr>
                <w:color w:val="000000"/>
                <w:sz w:val="17"/>
                <w:szCs w:val="17"/>
              </w:rPr>
              <w:t xml:space="preserve">EV/EBIT (fund services)</w:t>
            </w:r>
          </w:p>
        </w:tc>
        <w:tc>
          <w:tcPr>
            <w:tcW w:type="dxa" w:w="4516"/>
            <w:tcMar>
              <w:top w:type="dxa" w:w="60"/>
              <w:left w:type="dxa" w:w="90"/>
              <w:bottom w:type="dxa" w:w="60"/>
              <w:right w:type="dxa" w:w="90"/>
            </w:tcMar>
          </w:tcPr>
          <w:p>
            <w:pPr>
              <w:spacing w:after="0" w:before="0"/>
              <w:jc w:val="left"/>
            </w:pPr>
            <w:r>
              <w:rPr>
                <w:color w:val="000000"/>
                <w:sz w:val="17"/>
                <w:szCs w:val="17"/>
              </w:rPr>
              <w:t xml:space="preserve">~6x</w:t>
            </w:r>
          </w:p>
        </w:tc>
        <w:tc>
          <w:tcPr>
            <w:tcW w:type="dxa" w:w="2259"/>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2971"/>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4516"/>
            <w:shd w:fill="F2F5F9" w:color="auto" w:val="clear"/>
            <w:tcMar>
              <w:top w:type="dxa" w:w="60"/>
              <w:left w:type="dxa" w:w="90"/>
              <w:bottom w:type="dxa" w:w="60"/>
              <w:right w:type="dxa" w:w="90"/>
            </w:tcMar>
          </w:tcPr>
          <w:p>
            <w:pPr>
              <w:spacing w:after="0" w:before="0"/>
              <w:jc w:val="left"/>
            </w:pPr>
            <w:r>
              <w:rPr>
                <w:color w:val="000000"/>
                <w:sz w:val="17"/>
                <w:szCs w:val="17"/>
              </w:rPr>
              <w:t xml:space="preserve">n.m. (portfolio revaluations dominate)</w:t>
            </w:r>
          </w:p>
        </w:tc>
        <w:tc>
          <w:tcPr>
            <w:tcW w:type="dxa" w:w="2259"/>
            <w:shd w:fill="F2F5F9" w:color="auto" w:val="clear"/>
            <w:tcMar>
              <w:top w:type="dxa" w:w="60"/>
              <w:left w:type="dxa" w:w="90"/>
              <w:bottom w:type="dxa" w:w="60"/>
              <w:right w:type="dxa" w:w="90"/>
            </w:tcMar>
          </w:tcPr>
          <w:p>
            <w:pPr>
              <w:spacing w:after="0" w:before="0"/>
              <w:jc w:val="left"/>
            </w:pPr>
            <w:r>
              <w:rPr>
                <w:color w:val="000000"/>
                <w:sz w:val="17"/>
                <w:szCs w:val="17"/>
              </w:rPr>
              <w:t xml:space="preserve">—</w:t>
            </w:r>
          </w:p>
        </w:tc>
      </w:tr>
      <w:tr>
        <w:tc>
          <w:tcPr>
            <w:tcW w:type="dxa" w:w="2971"/>
            <w:tcMar>
              <w:top w:type="dxa" w:w="60"/>
              <w:left w:type="dxa" w:w="90"/>
              <w:bottom w:type="dxa" w:w="60"/>
              <w:right w:type="dxa" w:w="90"/>
            </w:tcMar>
          </w:tcPr>
          <w:p>
            <w:pPr>
              <w:spacing w:after="0" w:before="0"/>
              <w:jc w:val="left"/>
            </w:pPr>
            <w:r>
              <w:rPr>
                <w:color w:val="000000"/>
                <w:sz w:val="17"/>
                <w:szCs w:val="17"/>
              </w:rPr>
              <w:t xml:space="preserve">FCF yield</w:t>
            </w:r>
          </w:p>
        </w:tc>
        <w:tc>
          <w:tcPr>
            <w:tcW w:type="dxa" w:w="4516"/>
            <w:tcMar>
              <w:top w:type="dxa" w:w="60"/>
              <w:left w:type="dxa" w:w="90"/>
              <w:bottom w:type="dxa" w:w="60"/>
              <w:right w:type="dxa" w:w="90"/>
            </w:tcMar>
          </w:tcPr>
          <w:p>
            <w:pPr>
              <w:spacing w:after="0" w:before="0"/>
              <w:jc w:val="left"/>
            </w:pPr>
            <w:r>
              <w:rPr>
                <w:color w:val="000000"/>
                <w:sz w:val="17"/>
                <w:szCs w:val="17"/>
              </w:rPr>
              <w:t xml:space="preserve">n.m.</w:t>
            </w:r>
          </w:p>
        </w:tc>
        <w:tc>
          <w:tcPr>
            <w:tcW w:type="dxa" w:w="2259"/>
            <w:tcMar>
              <w:top w:type="dxa" w:w="60"/>
              <w:left w:type="dxa" w:w="90"/>
              <w:bottom w:type="dxa" w:w="60"/>
              <w:right w:type="dxa" w:w="90"/>
            </w:tcMar>
          </w:tcPr>
          <w:p>
            <w:pPr>
              <w:spacing w:after="0" w:before="0"/>
              <w:jc w:val="left"/>
            </w:pPr>
            <w:r>
              <w:rPr>
                <w:color w:val="000000"/>
                <w:sz w:val="17"/>
                <w:szCs w:val="17"/>
              </w:rPr>
              <w:t xml:space="preserve">—</w:t>
            </w:r>
          </w:p>
        </w:tc>
      </w:tr>
      <w:tr>
        <w:tc>
          <w:tcPr>
            <w:tcW w:type="dxa" w:w="2971"/>
            <w:shd w:fill="F2F5F9" w:color="auto" w:val="clear"/>
            <w:tcMar>
              <w:top w:type="dxa" w:w="60"/>
              <w:left w:type="dxa" w:w="90"/>
              <w:bottom w:type="dxa" w:w="60"/>
              <w:right w:type="dxa" w:w="90"/>
            </w:tcMar>
          </w:tcPr>
          <w:p>
            <w:pPr>
              <w:spacing w:after="0" w:before="0"/>
              <w:jc w:val="left"/>
            </w:pPr>
            <w:r>
              <w:rPr>
                <w:color w:val="000000"/>
                <w:sz w:val="17"/>
                <w:szCs w:val="17"/>
              </w:rPr>
              <w:t xml:space="preserve">Fund-services EBIT margin</w:t>
            </w:r>
          </w:p>
        </w:tc>
        <w:tc>
          <w:tcPr>
            <w:tcW w:type="dxa" w:w="4516"/>
            <w:shd w:fill="F2F5F9" w:color="auto" w:val="clear"/>
            <w:tcMar>
              <w:top w:type="dxa" w:w="60"/>
              <w:left w:type="dxa" w:w="90"/>
              <w:bottom w:type="dxa" w:w="60"/>
              <w:right w:type="dxa" w:w="90"/>
            </w:tcMar>
          </w:tcPr>
          <w:p>
            <w:pPr>
              <w:spacing w:after="0" w:before="0"/>
              <w:jc w:val="left"/>
            </w:pPr>
            <w:r>
              <w:rPr>
                <w:color w:val="000000"/>
                <w:sz w:val="17"/>
                <w:szCs w:val="17"/>
              </w:rPr>
              <w:t xml:space="preserve">~25%</w:t>
            </w:r>
          </w:p>
        </w:tc>
        <w:tc>
          <w:tcPr>
            <w:tcW w:type="dxa" w:w="2259"/>
            <w:shd w:fill="F2F5F9" w:color="auto" w:val="clear"/>
            <w:tcMar>
              <w:top w:type="dxa" w:w="60"/>
              <w:left w:type="dxa" w:w="90"/>
              <w:bottom w:type="dxa" w:w="60"/>
              <w:right w:type="dxa" w:w="90"/>
            </w:tcMar>
          </w:tcPr>
          <w:p>
            <w:pPr>
              <w:spacing w:after="0" w:before="0"/>
              <w:jc w:val="left"/>
            </w:pPr>
            <w:r>
              <w:rPr>
                <w:color w:val="000000"/>
                <w:sz w:val="17"/>
                <w:szCs w:val="17"/>
              </w:rPr>
              <w:t xml:space="preserve">Below sector</w:t>
            </w:r>
          </w:p>
        </w:tc>
      </w:tr>
      <w:tr>
        <w:tc>
          <w:tcPr>
            <w:tcW w:type="dxa" w:w="2971"/>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4516"/>
            <w:tcMar>
              <w:top w:type="dxa" w:w="60"/>
              <w:left w:type="dxa" w:w="90"/>
              <w:bottom w:type="dxa" w:w="60"/>
              <w:right w:type="dxa" w:w="90"/>
            </w:tcMar>
          </w:tcPr>
          <w:p>
            <w:pPr>
              <w:spacing w:after="0" w:before="0"/>
              <w:jc w:val="left"/>
            </w:pPr>
            <w:r>
              <w:rPr>
                <w:color w:val="000000"/>
                <w:sz w:val="17"/>
                <w:szCs w:val="17"/>
              </w:rPr>
              <w:t xml:space="preserve">Net cash / minimal debt at AG level</w:t>
            </w:r>
          </w:p>
        </w:tc>
        <w:tc>
          <w:tcPr>
            <w:tcW w:type="dxa" w:w="2259"/>
            <w:tcMar>
              <w:top w:type="dxa" w:w="60"/>
              <w:left w:type="dxa" w:w="90"/>
              <w:bottom w:type="dxa" w:w="60"/>
              <w:right w:type="dxa" w:w="90"/>
            </w:tcMar>
          </w:tcPr>
          <w:p>
            <w:pPr>
              <w:spacing w:after="0" w:before="0"/>
              <w:jc w:val="left"/>
            </w:pPr>
            <w:r>
              <w:rPr>
                <w:color w:val="000000"/>
                <w:sz w:val="17"/>
                <w:szCs w:val="17"/>
              </w:rPr>
              <w:t xml:space="preserve">Passes</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Rossmann Beteiligungs GmbH (Dirk Rossmann family) ~28%, Universal-Investment funds ~5%, Allianz Global Investors ~3%, Deutsche Balaton ~3%, plus a substantial and diffuse German retail base.</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A sixty-year-old German Mittelstand private-equity franchise trading at a persistent 25–30% discount to a conservatively-marked NAV</w:t>
      </w:r>
      <w:r>
        <w:rPr>
          <w:sz w:val="19"/>
          <w:szCs w:val="19"/>
        </w:rPr>
        <w:t xml:space="preserve"> that realisations have repeatedly validated. The discount is not a mark-to-market dispute; it is a structural and governance discount.</w:t>
      </w:r>
    </w:p>
    <w:p>
      <w:pPr>
        <w:pStyle w:val="ListParagraph"/>
        <w:numPr>
          <w:ilvl w:val="0"/>
          <w:numId w:val="2"/>
        </w:numPr>
        <w:spacing w:after="40" w:before="40"/>
      </w:pPr>
      <w:r>
        <w:rPr>
          <w:b/>
          <w:bCs/>
          <w:sz w:val="19"/>
          <w:szCs w:val="19"/>
        </w:rPr>
        <w:t xml:space="preserve">The balance sheet is used to co-invest rather than to buy back stock at seventy cents on the euro.</w:t>
      </w:r>
      <w:r>
        <w:rPr>
          <w:sz w:val="19"/>
          <w:szCs w:val="19"/>
        </w:rPr>
        <w:t xml:space="preserve"> Every euro committed to a new co-investment at full price, while the company's own portfolio is available at a 30% discount, is a capital-allocation decision the board should have to defend.</w:t>
      </w:r>
    </w:p>
    <w:p>
      <w:pPr>
        <w:pStyle w:val="ListParagraph"/>
        <w:numPr>
          <w:ilvl w:val="0"/>
          <w:numId w:val="2"/>
        </w:numPr>
        <w:spacing w:after="40" w:before="40"/>
      </w:pPr>
      <w:r>
        <w:rPr>
          <w:b/>
          <w:bCs/>
          <w:sz w:val="19"/>
          <w:szCs w:val="19"/>
        </w:rPr>
        <w:t xml:space="preserve">Two economically distinct businesses that the market cannot value together.</w:t>
      </w:r>
      <w:r>
        <w:rPr>
          <w:sz w:val="19"/>
          <w:szCs w:val="19"/>
        </w:rPr>
        <w:t xml:space="preserve"> A fund-management company earning fees (an annuity, worth a multiple of earnings) and a balance-sheet co-investment portfolio (worth NAV). Presented as one, the market applies a discount to both.</w:t>
      </w:r>
    </w:p>
    <w:p>
      <w:pPr>
        <w:pStyle w:val="Heading3"/>
        <w:spacing w:after="100" w:before="220"/>
      </w:pPr>
      <w:r>
        <w:rPr>
          <w:b/>
          <w:bCs/>
          <w:color w:val="2E5C8A"/>
          <w:sz w:val="21"/>
          <w:szCs w:val="21"/>
        </w:rPr>
        <w:t xml:space="preserve">Most actionable changes</w:t>
      </w:r>
    </w:p>
    <w:p>
      <w:pPr>
        <w:pStyle w:val="ListParagraph"/>
        <w:numPr>
          <w:ilvl w:val="0"/>
          <w:numId w:val="21"/>
        </w:numPr>
        <w:spacing w:after="40" w:before="40"/>
      </w:pPr>
      <w:r>
        <w:rPr>
          <w:b/>
          <w:bCs/>
          <w:sz w:val="19"/>
          <w:szCs w:val="19"/>
        </w:rPr>
        <w:t xml:space="preserve">Separate — or at minimum separately report and guide — the fund-services business from the co-investment portfolio,</w:t>
      </w:r>
      <w:r>
        <w:rPr>
          <w:sz w:val="19"/>
          <w:szCs w:val="19"/>
        </w:rPr>
        <w:t xml:space="preserve"> with a full fee-earning AUM and FRE disclosure so the annuity can be valued on its own terms.</w:t>
      </w:r>
    </w:p>
    <w:p>
      <w:pPr>
        <w:pStyle w:val="ListParagraph"/>
        <w:numPr>
          <w:ilvl w:val="0"/>
          <w:numId w:val="21"/>
        </w:numPr>
        <w:spacing w:after="40" w:before="40"/>
      </w:pPr>
      <w:r>
        <w:rPr>
          <w:b/>
          <w:bCs/>
          <w:sz w:val="19"/>
          <w:szCs w:val="19"/>
        </w:rPr>
        <w:t xml:space="preserve">Institute a standing discount-control mechanism:</w:t>
      </w:r>
      <w:r>
        <w:rPr>
          <w:sz w:val="19"/>
          <w:szCs w:val="19"/>
        </w:rPr>
        <w:t xml:space="preserve"> buy back stock whenever the discount to NAV exceeds 20%, funded by realisation proceeds ahead of new co-investment.</w:t>
      </w:r>
    </w:p>
    <w:p>
      <w:pPr>
        <w:pStyle w:val="ListParagraph"/>
        <w:numPr>
          <w:ilvl w:val="0"/>
          <w:numId w:val="21"/>
        </w:numPr>
        <w:spacing w:after="40" w:before="40"/>
      </w:pPr>
      <w:r>
        <w:rPr>
          <w:b/>
          <w:bCs/>
          <w:sz w:val="19"/>
          <w:szCs w:val="19"/>
        </w:rPr>
        <w:t xml:space="preserve">Refresh the Supervisory Board</w:t>
      </w:r>
      <w:r>
        <w:rPr>
          <w:sz w:val="19"/>
          <w:szCs w:val="19"/>
        </w:rPr>
        <w:t xml:space="preserve"> with independent private-markets professionals, and introduce full English-language reporting and an international investor-relations programme. A significant part of this discount is simply that global private-markets investors have never heard of the company.</w:t>
      </w:r>
    </w:p>
    <w:p>
      <w:pPr>
        <w:spacing w:after="100" w:before="60"/>
      </w:pPr>
      <w:r>
        <w:rPr>
          <w:b/>
          <w:bCs/>
          <w:sz w:val="19"/>
          <w:szCs w:val="19"/>
        </w:rPr>
        <w:t xml:space="preserve">Ease of building support: 2/5.</w:t>
      </w:r>
      <w:r>
        <w:rPr>
          <w:sz w:val="19"/>
          <w:szCs w:val="19"/>
        </w:rPr>
        <w:t xml:space="preserve"> Rossmann's ~28%, the German two-tier board structure (which insulates the management board from direct shareholder pressure) and a large, passive domestic retail register make this a long campaign. The mitigating factor is that the asks are conventional and hard to argue against publicly — discount control and segment disclosure are not radical demands, and German institutional holders and proxy advisers have become materially more receptive to both.</w:t>
      </w:r>
    </w:p>
    <w:p>
      <w:pPr>
        <w:spacing w:after="100" w:before="60"/>
      </w:pPr>
      <w:r>
        <w:rPr>
          <w:b/>
          <w:bCs/>
          <w:sz w:val="19"/>
          <w:szCs w:val="19"/>
        </w:rPr>
        <w:t xml:space="preserve">Expected company defence:</w:t>
      </w:r>
      <w:r>
        <w:rPr>
          <w:sz w:val="19"/>
          <w:szCs w:val="19"/>
        </w:rPr>
        <w:t xml:space="preserve"> "Our NAV is conservatively marked and our realisation history proves it — we have consistently exited above carrying value. Balance-sheet co-investment is what allows us to raise funds at all; LPs require it. We have focused on the German mid-market for six decades and that focus is the moat. The discount reflects small-cap illiquidity, not our strategy."</w:t>
      </w:r>
    </w:p>
    <w:p>
      <w:pPr>
        <w:spacing w:after="100" w:before="60"/>
      </w:pPr>
      <w:r>
        <w:rPr>
          <w:b/>
          <w:bCs/>
          <w:sz w:val="19"/>
          <w:szCs w:val="19"/>
        </w:rPr>
        <w:t xml:space="preserve">Activist angles:</w:t>
      </w:r>
      <w:r>
        <w:rPr>
          <w:sz w:val="19"/>
          <w:szCs w:val="19"/>
        </w:rPr>
        <w:t xml:space="preserve"> Capital allocation (primary — discount control) · Portfolio simplification (separate AM from balance sheet) · Governance and disclosure</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20. ABG Sundal Collier Holding ASA (ABG NO)</w:t>
      </w:r>
    </w:p>
    <w:p>
      <w:pPr>
        <w:spacing w:after="100" w:before="60"/>
      </w:pPr>
      <w:r>
        <w:rPr>
          <w:b/>
          <w:bCs/>
          <w:sz w:val="19"/>
          <w:szCs w:val="19"/>
        </w:rPr>
        <w:t xml:space="preserve">Market cap ~NOK 3.0bn (~US$290m) · Norway</w:t>
      </w:r>
      <w:r>
        <w:rPr>
          <w:sz w:val="19"/>
          <w:szCs w:val="19"/>
        </w:rPr>
        <w:t xml:space="preserve"> </w:t>
      </w:r>
      <w:r>
        <w:rPr>
          <w:b/>
          <w:bCs/>
          <w:sz w:val="19"/>
          <w:szCs w:val="19"/>
        </w:rPr>
        <w:t xml:space="preserve">⚠ Sector-fit caveat — capital-markets-adjacent (advisory + asset management), not a pure-play manager</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921"/>
        <w:gridCol w:w="4118"/>
        <w:gridCol w:w="3707"/>
      </w:tblGrid>
      <w:tr>
        <w:trPr>
          <w:tblHeader/>
        </w:trPr>
        <w:tc>
          <w:tcPr>
            <w:tcW w:type="dxa" w:w="1921"/>
            <w:shd w:fill="1F3864" w:color="auto" w:val="clear"/>
            <w:tcMar>
              <w:top w:type="dxa" w:w="60"/>
              <w:left w:type="dxa" w:w="90"/>
              <w:bottom w:type="dxa" w:w="60"/>
              <w:right w:type="dxa" w:w="90"/>
            </w:tcMar>
          </w:tcPr>
          <w:p>
            <w:pPr>
              <w:spacing w:after="0" w:before="0"/>
              <w:jc w:val="left"/>
            </w:pPr>
            <w:r>
              <w:rPr>
                <w:b/>
                <w:bCs/>
                <w:color w:val="FFFFFF"/>
                <w:sz w:val="17"/>
                <w:szCs w:val="17"/>
              </w:rPr>
              <w:t xml:space="preserve">Metric</w:t>
            </w:r>
          </w:p>
        </w:tc>
        <w:tc>
          <w:tcPr>
            <w:tcW w:type="dxa" w:w="4118"/>
            <w:shd w:fill="1F3864" w:color="auto" w:val="clear"/>
            <w:tcMar>
              <w:top w:type="dxa" w:w="60"/>
              <w:left w:type="dxa" w:w="90"/>
              <w:bottom w:type="dxa" w:w="60"/>
              <w:right w:type="dxa" w:w="90"/>
            </w:tcMar>
          </w:tcPr>
          <w:p>
            <w:pPr>
              <w:spacing w:after="0" w:before="0"/>
              <w:jc w:val="left"/>
            </w:pPr>
            <w:r>
              <w:rPr>
                <w:b/>
                <w:bCs/>
                <w:color w:val="FFFFFF"/>
                <w:sz w:val="17"/>
                <w:szCs w:val="17"/>
              </w:rPr>
              <w:t xml:space="preserve">Value</w:t>
            </w:r>
          </w:p>
        </w:tc>
        <w:tc>
          <w:tcPr>
            <w:tcW w:type="dxa" w:w="3707"/>
            <w:shd w:fill="1F3864" w:color="auto" w:val="clear"/>
            <w:tcMar>
              <w:top w:type="dxa" w:w="60"/>
              <w:left w:type="dxa" w:w="90"/>
              <w:bottom w:type="dxa" w:w="60"/>
              <w:right w:type="dxa" w:w="90"/>
            </w:tcMar>
          </w:tcPr>
          <w:p>
            <w:pPr>
              <w:spacing w:after="0" w:before="0"/>
              <w:jc w:val="left"/>
            </w:pPr>
            <w:r>
              <w:rPr>
                <w:b/>
                <w:bCs/>
                <w:color w:val="FFFFFF"/>
                <w:sz w:val="17"/>
                <w:szCs w:val="17"/>
              </w:rPr>
              <w:t xml:space="preserve">vs sector</w:t>
            </w:r>
          </w:p>
        </w:tc>
      </w:tr>
      <w:tr>
        <w:tc>
          <w:tcPr>
            <w:tcW w:type="dxa" w:w="1921"/>
            <w:tcMar>
              <w:top w:type="dxa" w:w="60"/>
              <w:left w:type="dxa" w:w="90"/>
              <w:bottom w:type="dxa" w:w="60"/>
              <w:right w:type="dxa" w:w="90"/>
            </w:tcMar>
          </w:tcPr>
          <w:p>
            <w:pPr>
              <w:spacing w:after="0" w:before="0"/>
              <w:jc w:val="left"/>
            </w:pPr>
            <w:r>
              <w:rPr>
                <w:color w:val="000000"/>
                <w:sz w:val="17"/>
                <w:szCs w:val="17"/>
              </w:rPr>
              <w:t xml:space="preserve">TSR 1yr</w:t>
            </w:r>
          </w:p>
        </w:tc>
        <w:tc>
          <w:tcPr>
            <w:tcW w:type="dxa" w:w="4118"/>
            <w:tcMar>
              <w:top w:type="dxa" w:w="60"/>
              <w:left w:type="dxa" w:w="90"/>
              <w:bottom w:type="dxa" w:w="60"/>
              <w:right w:type="dxa" w:w="90"/>
            </w:tcMar>
          </w:tcPr>
          <w:p>
            <w:pPr>
              <w:spacing w:after="0" w:before="0"/>
              <w:jc w:val="left"/>
            </w:pPr>
            <w:r>
              <w:rPr>
                <w:color w:val="000000"/>
                <w:sz w:val="17"/>
                <w:szCs w:val="17"/>
              </w:rPr>
              <w:t xml:space="preserve">+5%</w:t>
            </w:r>
          </w:p>
        </w:tc>
        <w:tc>
          <w:tcPr>
            <w:tcW w:type="dxa" w:w="3707"/>
            <w:tcMar>
              <w:top w:type="dxa" w:w="60"/>
              <w:left w:type="dxa" w:w="90"/>
              <w:bottom w:type="dxa" w:w="60"/>
              <w:right w:type="dxa" w:w="90"/>
            </w:tcMar>
          </w:tcPr>
          <w:p>
            <w:pPr>
              <w:spacing w:after="0" w:before="0"/>
              <w:jc w:val="left"/>
            </w:pPr>
            <w:r>
              <w:rPr>
                <w:color w:val="000000"/>
                <w:sz w:val="17"/>
                <w:szCs w:val="17"/>
              </w:rPr>
              <w:t xml:space="preserve">−14pp</w:t>
            </w:r>
          </w:p>
        </w:tc>
      </w:tr>
      <w:tr>
        <w:tc>
          <w:tcPr>
            <w:tcW w:type="dxa" w:w="1921"/>
            <w:shd w:fill="F2F5F9" w:color="auto" w:val="clear"/>
            <w:tcMar>
              <w:top w:type="dxa" w:w="60"/>
              <w:left w:type="dxa" w:w="90"/>
              <w:bottom w:type="dxa" w:w="60"/>
              <w:right w:type="dxa" w:w="90"/>
            </w:tcMar>
          </w:tcPr>
          <w:p>
            <w:pPr>
              <w:spacing w:after="0" w:before="0"/>
              <w:jc w:val="left"/>
            </w:pPr>
            <w:r>
              <w:rPr>
                <w:color w:val="000000"/>
                <w:sz w:val="17"/>
                <w:szCs w:val="17"/>
              </w:rPr>
              <w:t xml:space="preserve">TSR 3yr</w:t>
            </w:r>
          </w:p>
        </w:tc>
        <w:tc>
          <w:tcPr>
            <w:tcW w:type="dxa" w:w="4118"/>
            <w:shd w:fill="F2F5F9" w:color="auto" w:val="clear"/>
            <w:tcMar>
              <w:top w:type="dxa" w:w="60"/>
              <w:left w:type="dxa" w:w="90"/>
              <w:bottom w:type="dxa" w:w="60"/>
              <w:right w:type="dxa" w:w="90"/>
            </w:tcMar>
          </w:tcPr>
          <w:p>
            <w:pPr>
              <w:spacing w:after="0" w:before="0"/>
              <w:jc w:val="left"/>
            </w:pPr>
            <w:r>
              <w:rPr>
                <w:color w:val="000000"/>
                <w:sz w:val="17"/>
                <w:szCs w:val="17"/>
              </w:rPr>
              <w:t xml:space="preserve">−20%</w:t>
            </w:r>
          </w:p>
        </w:tc>
        <w:tc>
          <w:tcPr>
            <w:tcW w:type="dxa" w:w="3707"/>
            <w:shd w:fill="F2F5F9" w:color="auto" w:val="clear"/>
            <w:tcMar>
              <w:top w:type="dxa" w:w="60"/>
              <w:left w:type="dxa" w:w="90"/>
              <w:bottom w:type="dxa" w:w="60"/>
              <w:right w:type="dxa" w:w="90"/>
            </w:tcMar>
          </w:tcPr>
          <w:p>
            <w:pPr>
              <w:spacing w:after="0" w:before="0"/>
              <w:jc w:val="left"/>
            </w:pPr>
            <w:r>
              <w:rPr>
                <w:b/>
                <w:bCs/>
                <w:color w:val="000000"/>
                <w:sz w:val="17"/>
                <w:szCs w:val="17"/>
              </w:rPr>
              <w:t xml:space="preserve">−52pp</w:t>
            </w:r>
          </w:p>
        </w:tc>
      </w:tr>
      <w:tr>
        <w:tc>
          <w:tcPr>
            <w:tcW w:type="dxa" w:w="1921"/>
            <w:tcMar>
              <w:top w:type="dxa" w:w="60"/>
              <w:left w:type="dxa" w:w="90"/>
              <w:bottom w:type="dxa" w:w="60"/>
              <w:right w:type="dxa" w:w="90"/>
            </w:tcMar>
          </w:tcPr>
          <w:p>
            <w:pPr>
              <w:spacing w:after="0" w:before="0"/>
              <w:jc w:val="left"/>
            </w:pPr>
            <w:r>
              <w:rPr>
                <w:color w:val="000000"/>
                <w:sz w:val="17"/>
                <w:szCs w:val="17"/>
              </w:rPr>
              <w:t xml:space="preserve">TSR 5yr</w:t>
            </w:r>
          </w:p>
        </w:tc>
        <w:tc>
          <w:tcPr>
            <w:tcW w:type="dxa" w:w="4118"/>
            <w:tcMar>
              <w:top w:type="dxa" w:w="60"/>
              <w:left w:type="dxa" w:w="90"/>
              <w:bottom w:type="dxa" w:w="60"/>
              <w:right w:type="dxa" w:w="90"/>
            </w:tcMar>
          </w:tcPr>
          <w:p>
            <w:pPr>
              <w:spacing w:after="0" w:before="0"/>
              <w:jc w:val="left"/>
            </w:pPr>
            <w:r>
              <w:rPr>
                <w:color w:val="000000"/>
                <w:sz w:val="17"/>
                <w:szCs w:val="17"/>
              </w:rPr>
              <w:t xml:space="preserve">−30%</w:t>
            </w:r>
          </w:p>
        </w:tc>
        <w:tc>
          <w:tcPr>
            <w:tcW w:type="dxa" w:w="3707"/>
            <w:tcMar>
              <w:top w:type="dxa" w:w="60"/>
              <w:left w:type="dxa" w:w="90"/>
              <w:bottom w:type="dxa" w:w="60"/>
              <w:right w:type="dxa" w:w="90"/>
            </w:tcMar>
          </w:tcPr>
          <w:p>
            <w:pPr>
              <w:spacing w:after="0" w:before="0"/>
              <w:jc w:val="left"/>
            </w:pPr>
            <w:r>
              <w:rPr>
                <w:b/>
                <w:bCs/>
                <w:color w:val="000000"/>
                <w:sz w:val="17"/>
                <w:szCs w:val="17"/>
              </w:rPr>
              <w:t xml:space="preserve">−48pp</w:t>
            </w:r>
          </w:p>
        </w:tc>
      </w:tr>
      <w:tr>
        <w:tc>
          <w:tcPr>
            <w:tcW w:type="dxa" w:w="1921"/>
            <w:shd w:fill="F2F5F9" w:color="auto" w:val="clear"/>
            <w:tcMar>
              <w:top w:type="dxa" w:w="60"/>
              <w:left w:type="dxa" w:w="90"/>
              <w:bottom w:type="dxa" w:w="60"/>
              <w:right w:type="dxa" w:w="90"/>
            </w:tcMar>
          </w:tcPr>
          <w:p>
            <w:pPr>
              <w:spacing w:after="0" w:before="0"/>
              <w:jc w:val="left"/>
            </w:pPr>
            <w:r>
              <w:rPr>
                <w:color w:val="000000"/>
                <w:sz w:val="17"/>
                <w:szCs w:val="17"/>
              </w:rPr>
              <w:t xml:space="preserve">EV/Sales</w:t>
            </w:r>
          </w:p>
        </w:tc>
        <w:tc>
          <w:tcPr>
            <w:tcW w:type="dxa" w:w="4118"/>
            <w:shd w:fill="F2F5F9" w:color="auto" w:val="clear"/>
            <w:tcMar>
              <w:top w:type="dxa" w:w="60"/>
              <w:left w:type="dxa" w:w="90"/>
              <w:bottom w:type="dxa" w:w="60"/>
              <w:right w:type="dxa" w:w="90"/>
            </w:tcMar>
          </w:tcPr>
          <w:p>
            <w:pPr>
              <w:spacing w:after="0" w:before="0"/>
              <w:jc w:val="left"/>
            </w:pPr>
            <w:r>
              <w:rPr>
                <w:color w:val="000000"/>
                <w:sz w:val="17"/>
                <w:szCs w:val="17"/>
              </w:rPr>
              <w:t xml:space="preserve">~1.0x</w:t>
            </w:r>
          </w:p>
        </w:tc>
        <w:tc>
          <w:tcPr>
            <w:tcW w:type="dxa" w:w="3707"/>
            <w:shd w:fill="F2F5F9" w:color="auto" w:val="clear"/>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921"/>
            <w:tcMar>
              <w:top w:type="dxa" w:w="60"/>
              <w:left w:type="dxa" w:w="90"/>
              <w:bottom w:type="dxa" w:w="60"/>
              <w:right w:type="dxa" w:w="90"/>
            </w:tcMar>
          </w:tcPr>
          <w:p>
            <w:pPr>
              <w:spacing w:after="0" w:before="0"/>
              <w:jc w:val="left"/>
            </w:pPr>
            <w:r>
              <w:rPr>
                <w:color w:val="000000"/>
                <w:sz w:val="17"/>
                <w:szCs w:val="17"/>
              </w:rPr>
              <w:t xml:space="preserve">EV/EBIT</w:t>
            </w:r>
          </w:p>
        </w:tc>
        <w:tc>
          <w:tcPr>
            <w:tcW w:type="dxa" w:w="4118"/>
            <w:tcMar>
              <w:top w:type="dxa" w:w="60"/>
              <w:left w:type="dxa" w:w="90"/>
              <w:bottom w:type="dxa" w:w="60"/>
              <w:right w:type="dxa" w:w="90"/>
            </w:tcMar>
          </w:tcPr>
          <w:p>
            <w:pPr>
              <w:spacing w:after="0" w:before="0"/>
              <w:jc w:val="left"/>
            </w:pPr>
            <w:r>
              <w:rPr>
                <w:color w:val="000000"/>
                <w:sz w:val="17"/>
                <w:szCs w:val="17"/>
              </w:rPr>
              <w:t xml:space="preserve">~7x</w:t>
            </w:r>
          </w:p>
        </w:tc>
        <w:tc>
          <w:tcPr>
            <w:tcW w:type="dxa" w:w="3707"/>
            <w:tcMar>
              <w:top w:type="dxa" w:w="60"/>
              <w:left w:type="dxa" w:w="90"/>
              <w:bottom w:type="dxa" w:w="60"/>
              <w:right w:type="dxa" w:w="90"/>
            </w:tcMar>
          </w:tcPr>
          <w:p>
            <w:pPr>
              <w:spacing w:after="0" w:before="0"/>
              <w:jc w:val="left"/>
            </w:pPr>
            <w:r>
              <w:rPr>
                <w:b/>
                <w:bCs/>
                <w:color w:val="000000"/>
                <w:sz w:val="17"/>
                <w:szCs w:val="17"/>
              </w:rPr>
              <w:t xml:space="preserve">Deep discount</w:t>
            </w:r>
          </w:p>
        </w:tc>
      </w:tr>
      <w:tr>
        <w:tc>
          <w:tcPr>
            <w:tcW w:type="dxa" w:w="1921"/>
            <w:shd w:fill="F2F5F9" w:color="auto" w:val="clear"/>
            <w:tcMar>
              <w:top w:type="dxa" w:w="60"/>
              <w:left w:type="dxa" w:w="90"/>
              <w:bottom w:type="dxa" w:w="60"/>
              <w:right w:type="dxa" w:w="90"/>
            </w:tcMar>
          </w:tcPr>
          <w:p>
            <w:pPr>
              <w:spacing w:after="0" w:before="0"/>
              <w:jc w:val="left"/>
            </w:pPr>
            <w:r>
              <w:rPr>
                <w:color w:val="000000"/>
                <w:sz w:val="17"/>
                <w:szCs w:val="17"/>
              </w:rPr>
              <w:t xml:space="preserve">P/E</w:t>
            </w:r>
          </w:p>
        </w:tc>
        <w:tc>
          <w:tcPr>
            <w:tcW w:type="dxa" w:w="4118"/>
            <w:shd w:fill="F2F5F9" w:color="auto" w:val="clear"/>
            <w:tcMar>
              <w:top w:type="dxa" w:w="60"/>
              <w:left w:type="dxa" w:w="90"/>
              <w:bottom w:type="dxa" w:w="60"/>
              <w:right w:type="dxa" w:w="90"/>
            </w:tcMar>
          </w:tcPr>
          <w:p>
            <w:pPr>
              <w:spacing w:after="0" w:before="0"/>
              <w:jc w:val="left"/>
            </w:pPr>
            <w:r>
              <w:rPr>
                <w:color w:val="000000"/>
                <w:sz w:val="17"/>
                <w:szCs w:val="17"/>
              </w:rPr>
              <w:t xml:space="preserve">~9x</w:t>
            </w:r>
          </w:p>
        </w:tc>
        <w:tc>
          <w:tcPr>
            <w:tcW w:type="dxa" w:w="3707"/>
            <w:shd w:fill="F2F5F9" w:color="auto" w:val="clear"/>
            <w:tcMar>
              <w:top w:type="dxa" w:w="60"/>
              <w:left w:type="dxa" w:w="90"/>
              <w:bottom w:type="dxa" w:w="60"/>
              <w:right w:type="dxa" w:w="90"/>
            </w:tcMar>
          </w:tcPr>
          <w:p>
            <w:pPr>
              <w:spacing w:after="0" w:before="0"/>
              <w:jc w:val="left"/>
            </w:pPr>
            <w:r>
              <w:rPr>
                <w:color w:val="000000"/>
                <w:sz w:val="17"/>
                <w:szCs w:val="17"/>
              </w:rPr>
              <w:t xml:space="preserve">Discount</w:t>
            </w:r>
          </w:p>
        </w:tc>
      </w:tr>
      <w:tr>
        <w:tc>
          <w:tcPr>
            <w:tcW w:type="dxa" w:w="1921"/>
            <w:tcMar>
              <w:top w:type="dxa" w:w="60"/>
              <w:left w:type="dxa" w:w="90"/>
              <w:bottom w:type="dxa" w:w="60"/>
              <w:right w:type="dxa" w:w="90"/>
            </w:tcMar>
          </w:tcPr>
          <w:p>
            <w:pPr>
              <w:spacing w:after="0" w:before="0"/>
              <w:jc w:val="left"/>
            </w:pPr>
            <w:r>
              <w:rPr>
                <w:color w:val="000000"/>
                <w:sz w:val="17"/>
                <w:szCs w:val="17"/>
              </w:rPr>
              <w:t xml:space="preserve">FCF yield</w:t>
            </w:r>
          </w:p>
        </w:tc>
        <w:tc>
          <w:tcPr>
            <w:tcW w:type="dxa" w:w="4118"/>
            <w:tcMar>
              <w:top w:type="dxa" w:w="60"/>
              <w:left w:type="dxa" w:w="90"/>
              <w:bottom w:type="dxa" w:w="60"/>
              <w:right w:type="dxa" w:w="90"/>
            </w:tcMar>
          </w:tcPr>
          <w:p>
            <w:pPr>
              <w:spacing w:after="0" w:before="0"/>
              <w:jc w:val="left"/>
            </w:pPr>
            <w:r>
              <w:rPr>
                <w:color w:val="000000"/>
                <w:sz w:val="17"/>
                <w:szCs w:val="17"/>
              </w:rPr>
              <w:t xml:space="preserve">~12%</w:t>
            </w:r>
          </w:p>
        </w:tc>
        <w:tc>
          <w:tcPr>
            <w:tcW w:type="dxa" w:w="3707"/>
            <w:tcMar>
              <w:top w:type="dxa" w:w="60"/>
              <w:left w:type="dxa" w:w="90"/>
              <w:bottom w:type="dxa" w:w="60"/>
              <w:right w:type="dxa" w:w="90"/>
            </w:tcMar>
          </w:tcPr>
          <w:p>
            <w:pPr>
              <w:spacing w:after="0" w:before="0"/>
              <w:jc w:val="left"/>
            </w:pPr>
            <w:r>
              <w:rPr>
                <w:color w:val="000000"/>
                <w:sz w:val="17"/>
                <w:szCs w:val="17"/>
              </w:rPr>
              <w:t xml:space="preserve">Very attractive</w:t>
            </w:r>
          </w:p>
        </w:tc>
      </w:tr>
      <w:tr>
        <w:tc>
          <w:tcPr>
            <w:tcW w:type="dxa" w:w="1921"/>
            <w:shd w:fill="F2F5F9" w:color="auto" w:val="clear"/>
            <w:tcMar>
              <w:top w:type="dxa" w:w="60"/>
              <w:left w:type="dxa" w:w="90"/>
              <w:bottom w:type="dxa" w:w="60"/>
              <w:right w:type="dxa" w:w="90"/>
            </w:tcMar>
          </w:tcPr>
          <w:p>
            <w:pPr>
              <w:spacing w:after="0" w:before="0"/>
              <w:jc w:val="left"/>
            </w:pPr>
            <w:r>
              <w:rPr>
                <w:color w:val="000000"/>
                <w:sz w:val="17"/>
                <w:szCs w:val="17"/>
              </w:rPr>
              <w:t xml:space="preserve">Dividend yield</w:t>
            </w:r>
          </w:p>
        </w:tc>
        <w:tc>
          <w:tcPr>
            <w:tcW w:type="dxa" w:w="4118"/>
            <w:shd w:fill="F2F5F9" w:color="auto" w:val="clear"/>
            <w:tcMar>
              <w:top w:type="dxa" w:w="60"/>
              <w:left w:type="dxa" w:w="90"/>
              <w:bottom w:type="dxa" w:w="60"/>
              <w:right w:type="dxa" w:w="90"/>
            </w:tcMar>
          </w:tcPr>
          <w:p>
            <w:pPr>
              <w:spacing w:after="0" w:before="0"/>
              <w:jc w:val="left"/>
            </w:pPr>
            <w:r>
              <w:rPr>
                <w:color w:val="000000"/>
                <w:sz w:val="17"/>
                <w:szCs w:val="17"/>
              </w:rPr>
              <w:t xml:space="preserve">~10%</w:t>
            </w:r>
          </w:p>
        </w:tc>
        <w:tc>
          <w:tcPr>
            <w:tcW w:type="dxa" w:w="3707"/>
            <w:shd w:fill="F2F5F9" w:color="auto" w:val="clear"/>
            <w:tcMar>
              <w:top w:type="dxa" w:w="60"/>
              <w:left w:type="dxa" w:w="90"/>
              <w:bottom w:type="dxa" w:w="60"/>
              <w:right w:type="dxa" w:w="90"/>
            </w:tcMar>
          </w:tcPr>
          <w:p>
            <w:pPr>
              <w:spacing w:after="0" w:before="0"/>
              <w:jc w:val="left"/>
            </w:pPr>
            <w:r>
              <w:rPr>
                <w:color w:val="000000"/>
                <w:sz w:val="17"/>
                <w:szCs w:val="17"/>
              </w:rPr>
              <w:t xml:space="preserve">Among the highest in Europe</w:t>
            </w:r>
          </w:p>
        </w:tc>
      </w:tr>
      <w:tr>
        <w:tc>
          <w:tcPr>
            <w:tcW w:type="dxa" w:w="1921"/>
            <w:tcMar>
              <w:top w:type="dxa" w:w="60"/>
              <w:left w:type="dxa" w:w="90"/>
              <w:bottom w:type="dxa" w:w="60"/>
              <w:right w:type="dxa" w:w="90"/>
            </w:tcMar>
          </w:tcPr>
          <w:p>
            <w:pPr>
              <w:spacing w:after="0" w:before="0"/>
              <w:jc w:val="left"/>
            </w:pPr>
            <w:r>
              <w:rPr>
                <w:color w:val="000000"/>
                <w:sz w:val="17"/>
                <w:szCs w:val="17"/>
              </w:rPr>
              <w:t xml:space="preserve">EBIT margin</w:t>
            </w:r>
          </w:p>
        </w:tc>
        <w:tc>
          <w:tcPr>
            <w:tcW w:type="dxa" w:w="4118"/>
            <w:tcMar>
              <w:top w:type="dxa" w:w="60"/>
              <w:left w:type="dxa" w:w="90"/>
              <w:bottom w:type="dxa" w:w="60"/>
              <w:right w:type="dxa" w:w="90"/>
            </w:tcMar>
          </w:tcPr>
          <w:p>
            <w:pPr>
              <w:spacing w:after="0" w:before="0"/>
              <w:jc w:val="left"/>
            </w:pPr>
            <w:r>
              <w:rPr>
                <w:color w:val="000000"/>
                <w:sz w:val="17"/>
                <w:szCs w:val="17"/>
              </w:rPr>
              <w:t xml:space="preserve">~13–15%</w:t>
            </w:r>
          </w:p>
        </w:tc>
        <w:tc>
          <w:tcPr>
            <w:tcW w:type="dxa" w:w="3707"/>
            <w:tcMar>
              <w:top w:type="dxa" w:w="60"/>
              <w:left w:type="dxa" w:w="90"/>
              <w:bottom w:type="dxa" w:w="60"/>
              <w:right w:type="dxa" w:w="90"/>
            </w:tcMar>
          </w:tcPr>
          <w:p>
            <w:pPr>
              <w:spacing w:after="0" w:before="0"/>
              <w:jc w:val="left"/>
            </w:pPr>
            <w:r>
              <w:rPr>
                <w:b/>
                <w:bCs/>
                <w:color w:val="000000"/>
                <w:sz w:val="17"/>
                <w:szCs w:val="17"/>
              </w:rPr>
              <w:t xml:space="preserve">Lowest on this list</w:t>
            </w:r>
          </w:p>
        </w:tc>
      </w:tr>
      <w:tr>
        <w:tc>
          <w:tcPr>
            <w:tcW w:type="dxa" w:w="1921"/>
            <w:shd w:fill="F2F5F9" w:color="auto" w:val="clear"/>
            <w:tcMar>
              <w:top w:type="dxa" w:w="60"/>
              <w:left w:type="dxa" w:w="90"/>
              <w:bottom w:type="dxa" w:w="60"/>
              <w:right w:type="dxa" w:w="90"/>
            </w:tcMar>
          </w:tcPr>
          <w:p>
            <w:pPr>
              <w:spacing w:after="0" w:before="0"/>
              <w:jc w:val="left"/>
            </w:pPr>
            <w:r>
              <w:rPr>
                <w:color w:val="000000"/>
                <w:sz w:val="17"/>
                <w:szCs w:val="17"/>
              </w:rPr>
              <w:t xml:space="preserve">EBITDA margin</w:t>
            </w:r>
          </w:p>
        </w:tc>
        <w:tc>
          <w:tcPr>
            <w:tcW w:type="dxa" w:w="4118"/>
            <w:shd w:fill="F2F5F9" w:color="auto" w:val="clear"/>
            <w:tcMar>
              <w:top w:type="dxa" w:w="60"/>
              <w:left w:type="dxa" w:w="90"/>
              <w:bottom w:type="dxa" w:w="60"/>
              <w:right w:type="dxa" w:w="90"/>
            </w:tcMar>
          </w:tcPr>
          <w:p>
            <w:pPr>
              <w:spacing w:after="0" w:before="0"/>
              <w:jc w:val="left"/>
            </w:pPr>
            <w:r>
              <w:rPr>
                <w:color w:val="000000"/>
                <w:sz w:val="17"/>
                <w:szCs w:val="17"/>
              </w:rPr>
              <w:t xml:space="preserve">~18%</w:t>
            </w:r>
          </w:p>
        </w:tc>
        <w:tc>
          <w:tcPr>
            <w:tcW w:type="dxa" w:w="3707"/>
            <w:shd w:fill="F2F5F9" w:color="auto" w:val="clear"/>
            <w:tcMar>
              <w:top w:type="dxa" w:w="60"/>
              <w:left w:type="dxa" w:w="90"/>
              <w:bottom w:type="dxa" w:w="60"/>
              <w:right w:type="dxa" w:w="90"/>
            </w:tcMar>
          </w:tcPr>
          <w:p>
            <w:pPr>
              <w:spacing w:after="0" w:before="0"/>
              <w:jc w:val="left"/>
            </w:pPr>
            <w:r>
              <w:rPr>
                <w:color w:val="000000"/>
                <w:sz w:val="17"/>
                <w:szCs w:val="17"/>
              </w:rPr>
              <w:t xml:space="preserve">Well below sector</w:t>
            </w:r>
          </w:p>
        </w:tc>
      </w:tr>
      <w:tr>
        <w:tc>
          <w:tcPr>
            <w:tcW w:type="dxa" w:w="1921"/>
            <w:tcMar>
              <w:top w:type="dxa" w:w="60"/>
              <w:left w:type="dxa" w:w="90"/>
              <w:bottom w:type="dxa" w:w="60"/>
              <w:right w:type="dxa" w:w="90"/>
            </w:tcMar>
          </w:tcPr>
          <w:p>
            <w:pPr>
              <w:spacing w:after="0" w:before="0"/>
              <w:jc w:val="left"/>
            </w:pPr>
            <w:r>
              <w:rPr>
                <w:color w:val="000000"/>
                <w:sz w:val="17"/>
                <w:szCs w:val="17"/>
              </w:rPr>
              <w:t xml:space="preserve">Net leverage</w:t>
            </w:r>
          </w:p>
        </w:tc>
        <w:tc>
          <w:tcPr>
            <w:tcW w:type="dxa" w:w="4118"/>
            <w:tcMar>
              <w:top w:type="dxa" w:w="60"/>
              <w:left w:type="dxa" w:w="90"/>
              <w:bottom w:type="dxa" w:w="60"/>
              <w:right w:type="dxa" w:w="90"/>
            </w:tcMar>
          </w:tcPr>
          <w:p>
            <w:pPr>
              <w:spacing w:after="0" w:before="0"/>
              <w:jc w:val="left"/>
            </w:pPr>
            <w:r>
              <w:rPr>
                <w:color w:val="000000"/>
                <w:sz w:val="17"/>
                <w:szCs w:val="17"/>
              </w:rPr>
              <w:t xml:space="preserve">Net cash ~NOK 0.9bn, zero debt</w:t>
            </w:r>
          </w:p>
        </w:tc>
        <w:tc>
          <w:tcPr>
            <w:tcW w:type="dxa" w:w="3707"/>
            <w:tcMar>
              <w:top w:type="dxa" w:w="60"/>
              <w:left w:type="dxa" w:w="90"/>
              <w:bottom w:type="dxa" w:w="60"/>
              <w:right w:type="dxa" w:w="90"/>
            </w:tcMar>
          </w:tcPr>
          <w:p>
            <w:pPr>
              <w:spacing w:after="0" w:before="0"/>
              <w:jc w:val="left"/>
            </w:pPr>
            <w:r>
              <w:rPr>
                <w:color w:val="000000"/>
                <w:sz w:val="17"/>
                <w:szCs w:val="17"/>
              </w:rPr>
              <w:t xml:space="preserve">Passes comfortably</w:t>
            </w:r>
          </w:p>
        </w:tc>
      </w:tr>
    </w:tbl>
    <w:p>
      <w:pPr>
        <w:spacing w:after="160"/>
      </w:pPr>
      <w:r>
        <w:t xml:space="preserve"/>
      </w:r>
    </w:p>
    <w:p>
      <w:pPr>
        <w:spacing w:after="100" w:before="60"/>
      </w:pPr>
      <w:r>
        <w:rPr>
          <w:b/>
          <w:bCs/>
          <w:sz w:val="19"/>
          <w:szCs w:val="19"/>
        </w:rPr>
        <w:t xml:space="preserve">Top 5 shareholders (indicative):</w:t>
      </w:r>
      <w:r>
        <w:rPr>
          <w:sz w:val="19"/>
          <w:szCs w:val="19"/>
        </w:rPr>
        <w:t xml:space="preserve"> Employee and partner holdings collectively ~25% (individually small and diffuse), plus Norwegian institutional funds — Verdipapirfondet Alfred Berg, Nordea funds, Fondsfinans and similar — each in the low single digits. </w:t>
      </w:r>
      <w:r>
        <w:rPr>
          <w:b/>
          <w:bCs/>
          <w:sz w:val="19"/>
          <w:szCs w:val="19"/>
        </w:rPr>
        <w:t xml:space="preserve">No holder close to a blocking stake.</w:t>
      </w:r>
    </w:p>
    <w:p>
      <w:pPr>
        <w:pStyle w:val="Heading3"/>
        <w:spacing w:after="100" w:before="220"/>
      </w:pPr>
      <w:r>
        <w:rPr>
          <w:b/>
          <w:bCs/>
          <w:color w:val="2E5C8A"/>
          <w:sz w:val="21"/>
          <w:szCs w:val="21"/>
        </w:rPr>
        <w:t xml:space="preserve">The activist pitch</w:t>
      </w:r>
    </w:p>
    <w:p>
      <w:pPr>
        <w:pStyle w:val="ListParagraph"/>
        <w:numPr>
          <w:ilvl w:val="0"/>
          <w:numId w:val="2"/>
        </w:numPr>
        <w:spacing w:after="40" w:before="40"/>
      </w:pPr>
      <w:r>
        <w:rPr>
          <w:b/>
          <w:bCs/>
          <w:sz w:val="19"/>
          <w:szCs w:val="19"/>
        </w:rPr>
        <w:t xml:space="preserve">The compensation ratio has captured essentially all of the value creation.</w:t>
      </w:r>
      <w:r>
        <w:rPr>
          <w:sz w:val="19"/>
          <w:szCs w:val="19"/>
        </w:rPr>
        <w:t xml:space="preserve"> At a ~55–60% comp ratio, shareholders own a NOK 3bn stub with NOK 0.9bn of net cash sitting inside it. A 13–15% EBIT margin in a business with no capital intensity and no balance-sheet risk is not a market outcome; it is a distribution decision made by the people receiving the distribution.</w:t>
      </w:r>
    </w:p>
    <w:p>
      <w:pPr>
        <w:pStyle w:val="ListParagraph"/>
        <w:numPr>
          <w:ilvl w:val="0"/>
          <w:numId w:val="2"/>
        </w:numPr>
        <w:spacing w:after="40" w:before="40"/>
      </w:pPr>
      <w:r>
        <w:rPr>
          <w:b/>
          <w:bCs/>
          <w:sz w:val="19"/>
          <w:szCs w:val="19"/>
        </w:rPr>
        <w:t xml:space="preserve">The cost base does not flex down in weak markets.</w:t>
      </w:r>
      <w:r>
        <w:rPr>
          <w:sz w:val="19"/>
          <w:szCs w:val="19"/>
        </w:rPr>
        <w:t xml:space="preserve"> The comp ratio expands in downturns and does not fully contract in upturns — a ratchet that transfers cyclical risk to shareholders and cyclical reward to employees.</w:t>
      </w:r>
    </w:p>
    <w:p>
      <w:pPr>
        <w:pStyle w:val="ListParagraph"/>
        <w:numPr>
          <w:ilvl w:val="0"/>
          <w:numId w:val="2"/>
        </w:numPr>
        <w:spacing w:after="40" w:before="40"/>
      </w:pPr>
      <w:r>
        <w:rPr>
          <w:b/>
          <w:bCs/>
          <w:sz w:val="19"/>
          <w:szCs w:val="19"/>
        </w:rPr>
        <w:t xml:space="preserve">The asset-management business is a hidden, sub-scale asset.</w:t>
      </w:r>
      <w:r>
        <w:rPr>
          <w:sz w:val="19"/>
          <w:szCs w:val="19"/>
        </w:rPr>
        <w:t xml:space="preserve"> ABG's fund-management and real-estate fund operations are worth materially more inside a Nordic consolidator than as an appendage to an advisory business, and their earnings are invisible inside group reporting.</w:t>
      </w:r>
    </w:p>
    <w:p>
      <w:pPr>
        <w:pStyle w:val="Heading3"/>
        <w:spacing w:after="100" w:before="220"/>
      </w:pPr>
      <w:r>
        <w:rPr>
          <w:b/>
          <w:bCs/>
          <w:color w:val="2E5C8A"/>
          <w:sz w:val="21"/>
          <w:szCs w:val="21"/>
        </w:rPr>
        <w:t xml:space="preserve">Most actionable changes</w:t>
      </w:r>
    </w:p>
    <w:p>
      <w:pPr>
        <w:pStyle w:val="ListParagraph"/>
        <w:numPr>
          <w:ilvl w:val="0"/>
          <w:numId w:val="22"/>
        </w:numPr>
        <w:spacing w:after="40" w:before="40"/>
      </w:pPr>
      <w:r>
        <w:rPr>
          <w:b/>
          <w:bCs/>
          <w:sz w:val="19"/>
          <w:szCs w:val="19"/>
        </w:rPr>
        <w:t xml:space="preserve">Cap the compensation ratio at 50% with a published, board-approved policy</w:t>
      </w:r>
      <w:r>
        <w:rPr>
          <w:sz w:val="19"/>
          <w:szCs w:val="19"/>
        </w:rPr>
        <w:t xml:space="preserve">, and tie non-executive and management board remuneration to adherence. Every point of comp ratio is roughly a point of EBIT margin.</w:t>
      </w:r>
    </w:p>
    <w:p>
      <w:pPr>
        <w:pStyle w:val="ListParagraph"/>
        <w:numPr>
          <w:ilvl w:val="0"/>
          <w:numId w:val="22"/>
        </w:numPr>
        <w:spacing w:after="40" w:before="40"/>
      </w:pPr>
      <w:r>
        <w:rPr>
          <w:b/>
          <w:bCs/>
          <w:sz w:val="19"/>
          <w:szCs w:val="19"/>
        </w:rPr>
        <w:t xml:space="preserve">Separate or sell the asset-management business</w:t>
      </w:r>
      <w:r>
        <w:rPr>
          <w:sz w:val="19"/>
          <w:szCs w:val="19"/>
        </w:rPr>
        <w:t xml:space="preserve"> to a Nordic consolidator, and disclose its standalone economics in the interim.</w:t>
      </w:r>
    </w:p>
    <w:p>
      <w:pPr>
        <w:pStyle w:val="ListParagraph"/>
        <w:numPr>
          <w:ilvl w:val="0"/>
          <w:numId w:val="22"/>
        </w:numPr>
        <w:spacing w:after="40" w:before="40"/>
      </w:pPr>
      <w:r>
        <w:rPr>
          <w:b/>
          <w:bCs/>
          <w:sz w:val="19"/>
          <w:szCs w:val="19"/>
        </w:rPr>
        <w:t xml:space="preserve">Return the excess NOK 900m+ of balance-sheet cash via tender offer.</w:t>
      </w:r>
      <w:r>
        <w:rPr>
          <w:sz w:val="19"/>
          <w:szCs w:val="19"/>
        </w:rPr>
        <w:t xml:space="preserve"> The advisory business needs a fraction of this capital; the rest is a permanent drag on return on equity.</w:t>
      </w:r>
    </w:p>
    <w:p>
      <w:pPr>
        <w:spacing w:after="100" w:before="60"/>
      </w:pPr>
      <w:r>
        <w:rPr>
          <w:b/>
          <w:bCs/>
          <w:sz w:val="19"/>
          <w:szCs w:val="19"/>
        </w:rPr>
        <w:t xml:space="preserve">Ease of building support: 3/5.</w:t>
      </w:r>
      <w:r>
        <w:rPr>
          <w:sz w:val="19"/>
          <w:szCs w:val="19"/>
        </w:rPr>
        <w:t xml:space="preserve"> No controlling holder and a straightforward Norwegian governance framework where shareholders can requisition and vote effectively. The obstacle is the ~25% employee and partner bloc, which is the direct beneficiary of the compensation status quo and will vote as one on any comp-ratio resolution. Norwegian institutions are, however, unusually receptive to governance and remuneration arguments, and the arithmetic here is very easy to explain.</w:t>
      </w:r>
    </w:p>
    <w:p>
      <w:pPr>
        <w:spacing w:after="100" w:before="60"/>
      </w:pPr>
      <w:r>
        <w:rPr>
          <w:b/>
          <w:bCs/>
          <w:sz w:val="19"/>
          <w:szCs w:val="19"/>
        </w:rPr>
        <w:t xml:space="preserve">Expected company defence:</w:t>
      </w:r>
      <w:r>
        <w:rPr>
          <w:sz w:val="19"/>
          <w:szCs w:val="19"/>
        </w:rPr>
        <w:t xml:space="preserve"> "The compensation ratio is the price of retaining senior bankers in a small, intensely competitive Nordic market — cap it and the revenue leaves with the people. Balance-sheet capital supports underwriting commitments and market-making, and regulatory capital requirements are not optional. Advisory is cyclical and we are near a trough; the dividend has been maintained throughout."</w:t>
      </w:r>
    </w:p>
    <w:p>
      <w:pPr>
        <w:spacing w:after="100" w:before="60"/>
      </w:pPr>
      <w:r>
        <w:rPr>
          <w:b/>
          <w:bCs/>
          <w:sz w:val="19"/>
          <w:szCs w:val="19"/>
        </w:rPr>
        <w:t xml:space="preserve">Activist angles:</w:t>
      </w:r>
      <w:r>
        <w:rPr>
          <w:sz w:val="19"/>
          <w:szCs w:val="19"/>
        </w:rPr>
        <w:t xml:space="preserve"> Cost / compensation discipline (primary) · Portfolio simplification (separate asset management) · Capital allocation (excess cash)</w:t>
      </w:r>
    </w:p>
    <w:p>
      <w:pPr>
        <w:pBdr>
          <w:bottom w:val="single" w:color="BFBFBF" w:sz="6" w:space="1"/>
        </w:pBdr>
        <w:spacing w:after="160" w:before="160"/>
      </w:pPr>
      <w:r>
        <w:t xml:space="preserve"/>
      </w:r>
    </w:p>
    <w:p>
      <w:pPr>
        <w:pStyle w:val="Heading1"/>
        <w:spacing w:after="140" w:before="240"/>
      </w:pPr>
      <w:r>
        <w:br w:type="page"/>
      </w:r>
      <w:r>
        <w:rPr>
          <w:b/>
          <w:bCs/>
          <w:color w:val="1F3864"/>
          <w:sz w:val="30"/>
          <w:szCs w:val="30"/>
        </w:rPr>
        <w:t xml:space="preserve">4. Cross-cutting observations</w:t>
      </w:r>
    </w:p>
    <w:p>
      <w:pPr>
        <w:pStyle w:val="Heading3"/>
        <w:spacing w:after="100" w:before="220"/>
      </w:pPr>
      <w:r>
        <w:rPr>
          <w:b/>
          <w:bCs/>
          <w:color w:val="2E5C8A"/>
          <w:sz w:val="21"/>
          <w:szCs w:val="21"/>
        </w:rPr>
        <w:t xml:space="preserve">The four repeating patterns</w:t>
      </w:r>
    </w:p>
    <w:p>
      <w:pPr>
        <w:spacing w:after="100" w:before="60"/>
      </w:pPr>
      <w:r>
        <w:rPr>
          <w:sz w:val="19"/>
          <w:szCs w:val="19"/>
        </w:rPr>
        <w:t xml:space="preserve">Across all twenty names, essentially the same four problems recur — which is itself the strongest argument that these are management and board failures rather than market conditions:</w:t>
      </w:r>
    </w:p>
    <w:p>
      <w:pPr>
        <w:spacing w:after="100" w:before="60"/>
      </w:pPr>
      <w:r>
        <w:rPr>
          <w:b/>
          <w:bCs/>
          <w:sz w:val="19"/>
          <w:szCs w:val="19"/>
        </w:rPr>
        <w:t xml:space="preserve">1. Idle balance sheets (12 of 20 names).</w:t>
      </w:r>
      <w:r>
        <w:rPr>
          <w:sz w:val="19"/>
          <w:szCs w:val="19"/>
        </w:rPr>
        <w:t xml:space="preserve"> Ashmore, Impax, IntegraFin, Man Group, Ninety One, ABG Sundal Collier and others hold net cash equal to 10–50% of market capitalisation while their own equity trades at 5–8x EBIT. In several cases the arithmetic is stark enough that a single tender offer would be the highest-return capital deployment available to the board by an order of magnitude. Boards defend this cash as "regulatory," "client trust" or "seed capital" — but almost none of them publish the calculation that separates required capital from surplus. </w:t>
      </w:r>
      <w:r>
        <w:rPr>
          <w:b/>
          <w:bCs/>
          <w:sz w:val="19"/>
          <w:szCs w:val="19"/>
        </w:rPr>
        <w:t xml:space="preserve">Forcing that disclosure is the single most repeatable ask across the whole list.</w:t>
      </w:r>
    </w:p>
    <w:p>
      <w:pPr>
        <w:spacing w:after="100" w:before="60"/>
      </w:pPr>
      <w:r>
        <w:rPr>
          <w:b/>
          <w:bCs/>
          <w:sz w:val="19"/>
          <w:szCs w:val="19"/>
        </w:rPr>
        <w:t xml:space="preserve">2. Cost bases sized for assets that left (9 of 20).</w:t>
      </w:r>
      <w:r>
        <w:rPr>
          <w:sz w:val="19"/>
          <w:szCs w:val="19"/>
        </w:rPr>
        <w:t xml:space="preserve"> Ashmore, Impax, Jupiter, Ninety One, Liontrust and Julius Baer all run cost structures built for a larger business. The tell is consistent: margins that have fallen 8–15 points while revenue fell, meaning almost no cost flexed with the decline. Jupiter is the useful precedent for every other name here — it took cost:income from 82% to 77% inside a year through the CCLA integration, proving the cost was always removable.</w:t>
      </w:r>
    </w:p>
    <w:p>
      <w:pPr>
        <w:spacing w:after="100" w:before="60"/>
      </w:pPr>
      <w:r>
        <w:rPr>
          <w:b/>
          <w:bCs/>
          <w:sz w:val="19"/>
          <w:szCs w:val="19"/>
        </w:rPr>
        <w:t xml:space="preserve">3. Structural complexity that no investor can model (8 of 20).</w:t>
      </w:r>
      <w:r>
        <w:rPr>
          <w:sz w:val="19"/>
          <w:szCs w:val="19"/>
        </w:rPr>
        <w:t xml:space="preserve"> Aberdeen's three unrelated businesses, Ninety One's dual-listed structure, Quilter's vertical integration, M&amp;G's insurance-plus-asset-management hybrid, Eurazeo's and Deutsche Beteiligungs' balance-sheet-plus-fee-stream mix, Azimut's bank and geographic sprawl. In every case the market resolves the ambiguity in the same direction: it applies the lowest defensible multiple to the whole. Simplification is the highest-value single action available at Aberdeen, Ninety One, M&amp;G, Eurazeo and Allfunds.</w:t>
      </w:r>
    </w:p>
    <w:p>
      <w:pPr>
        <w:spacing w:after="100" w:before="60"/>
      </w:pPr>
      <w:r>
        <w:rPr>
          <w:b/>
          <w:bCs/>
          <w:sz w:val="19"/>
          <w:szCs w:val="19"/>
        </w:rPr>
        <w:t xml:space="preserve">4. Boards that have presided through the entire de-rating (all 20).</w:t>
      </w:r>
      <w:r>
        <w:rPr>
          <w:sz w:val="19"/>
          <w:szCs w:val="19"/>
        </w:rPr>
        <w:t xml:space="preserve"> Founder-chairs at Foresight, founder-CEOs at Ashmore and Impax, family blocs at Eurazeo and Deutsche Beteiligungs, partner pacts at Azimut, and serially-reconstituted boards at Julius Baer and St. James's Place. Governance is the wedge issue in nearly every campaign here — not because governance itself creates value, but because governance resolutions are the ones proxy advisers and index funds support almost mechanically, which makes them the cheapest way to establish that a board can in fact be moved.</w:t>
      </w:r>
    </w:p>
    <w:p>
      <w:pPr>
        <w:pStyle w:val="Heading3"/>
        <w:spacing w:after="100" w:before="220"/>
      </w:pPr>
      <w:r>
        <w:rPr>
          <w:b/>
          <w:bCs/>
          <w:color w:val="2E5C8A"/>
          <w:sz w:val="21"/>
          <w:szCs w:val="21"/>
        </w:rPr>
        <w:t xml:space="preserve">On sequencing</w:t>
      </w:r>
    </w:p>
    <w:p>
      <w:pPr>
        <w:spacing w:after="100" w:before="60"/>
      </w:pPr>
      <w:r>
        <w:rPr>
          <w:sz w:val="19"/>
          <w:szCs w:val="19"/>
        </w:rPr>
        <w:t xml:space="preserve">The right first ask at most of these companies is a </w:t>
      </w:r>
      <w:r>
        <w:rPr>
          <w:b/>
          <w:bCs/>
          <w:sz w:val="19"/>
          <w:szCs w:val="19"/>
        </w:rPr>
        <w:t xml:space="preserve">disclosure</w:t>
      </w:r>
      <w:r>
        <w:rPr>
          <w:sz w:val="19"/>
          <w:szCs w:val="19"/>
        </w:rPr>
        <w:t xml:space="preserve"> ask, not a structural one. Required-versus-surplus capital, fee-earning AUM and FRE, platform unit economics, segment-level margins — these are impossible to refuse in public, cost the company nothing, and in roughly half these cases the disclosure itself does substantial work on the discount. It also establishes the engagement and reveals which boards will move without a fight.</w:t>
      </w:r>
    </w:p>
    <w:p>
      <w:pPr>
        <w:pStyle w:val="Heading3"/>
        <w:spacing w:after="100" w:before="220"/>
      </w:pPr>
      <w:r>
        <w:rPr>
          <w:b/>
          <w:bCs/>
          <w:color w:val="2E5C8A"/>
          <w:sz w:val="21"/>
          <w:szCs w:val="21"/>
        </w:rPr>
        <w:t xml:space="preserve">On the Continental European problem</w:t>
      </w:r>
    </w:p>
    <w:p>
      <w:pPr>
        <w:spacing w:after="100" w:before="60"/>
      </w:pPr>
      <w:r>
        <w:rPr>
          <w:b/>
          <w:bCs/>
          <w:sz w:val="19"/>
          <w:szCs w:val="19"/>
        </w:rPr>
        <w:t xml:space="preserve">The strict "no &gt;40% holder" test removes most of Continental Europe.</w:t>
      </w:r>
      <w:r>
        <w:rPr>
          <w:sz w:val="19"/>
          <w:szCs w:val="19"/>
        </w:rPr>
        <w:t xml:space="preserve"> Amundi, DWS, Banca Generali, Banca Mediolanum, Vontobel, EFG, Tikehau, Antin and DeA Capital are all excluded on ownership alone, and several of them would otherwise rank among the very best targets on economics. This is the structural reason UK activism accounts for ~42% of European campaigns despite the UK being a much smaller share of European market capitalisation: </w:t>
      </w:r>
      <w:r>
        <w:rPr>
          <w:b/>
          <w:bCs/>
          <w:sz w:val="19"/>
          <w:szCs w:val="19"/>
        </w:rPr>
        <w:t xml:space="preserve">the UK is where the registers are actually open.</w:t>
      </w:r>
      <w:r>
        <w:rPr>
          <w:sz w:val="19"/>
          <w:szCs w:val="19"/>
        </w:rPr>
        <w:t xml:space="preserve"> Any European mandate in this sector will be UK-weighted whether or not that is the intention, and the six Continental names here are correspondingly harder campaigns — four of the six sit in the bottom tier on support ease.</w:t>
      </w:r>
    </w:p>
    <w:p>
      <w:pPr>
        <w:pBdr>
          <w:bottom w:val="single" w:color="BFBFBF" w:sz="6" w:space="1"/>
        </w:pBdr>
        <w:spacing w:after="160" w:before="160"/>
      </w:pPr>
      <w:r>
        <w:t xml:space="preserve"/>
      </w:r>
    </w:p>
    <w:p>
      <w:pPr>
        <w:pStyle w:val="Heading1"/>
        <w:spacing w:after="140" w:before="240"/>
      </w:pPr>
      <w:r>
        <w:br w:type="page"/>
      </w:r>
      <w:r>
        <w:rPr>
          <w:b/>
          <w:bCs/>
          <w:color w:val="1F3864"/>
          <w:sz w:val="30"/>
          <w:szCs w:val="30"/>
        </w:rPr>
        <w:t xml:space="preserve">5. Appendices — names excluded, and why</w:t>
      </w:r>
    </w:p>
    <w:p>
      <w:pPr>
        <w:pStyle w:val="Heading3"/>
        <w:spacing w:after="100" w:before="220"/>
      </w:pPr>
      <w:r>
        <w:rPr>
          <w:b/>
          <w:bCs/>
          <w:color w:val="2E5C8A"/>
          <w:sz w:val="21"/>
          <w:szCs w:val="21"/>
        </w:rPr>
        <w:t xml:space="preserve">A. Excluded on ownership (&gt;40% controlling shareholder)</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1949"/>
        <w:gridCol w:w="779"/>
        <w:gridCol w:w="2533"/>
        <w:gridCol w:w="4485"/>
      </w:tblGrid>
      <w:tr>
        <w:trPr>
          <w:tblHeader/>
        </w:trPr>
        <w:tc>
          <w:tcPr>
            <w:tcW w:type="dxa" w:w="1949"/>
            <w:shd w:fill="1F3864" w:color="auto" w:val="clear"/>
            <w:tcMar>
              <w:top w:type="dxa" w:w="60"/>
              <w:left w:type="dxa" w:w="90"/>
              <w:bottom w:type="dxa" w:w="60"/>
              <w:right w:type="dxa" w:w="90"/>
            </w:tcMar>
          </w:tcPr>
          <w:p>
            <w:pPr>
              <w:spacing w:after="0" w:before="0"/>
              <w:jc w:val="left"/>
            </w:pPr>
            <w:r>
              <w:rPr>
                <w:b/>
                <w:bCs/>
                <w:color w:val="FFFFFF"/>
                <w:sz w:val="17"/>
                <w:szCs w:val="17"/>
              </w:rPr>
              <w:t xml:space="preserve">Company</w:t>
            </w:r>
          </w:p>
        </w:tc>
        <w:tc>
          <w:tcPr>
            <w:tcW w:type="dxa" w:w="779"/>
            <w:shd w:fill="1F3864" w:color="auto" w:val="clear"/>
            <w:tcMar>
              <w:top w:type="dxa" w:w="60"/>
              <w:left w:type="dxa" w:w="90"/>
              <w:bottom w:type="dxa" w:w="60"/>
              <w:right w:type="dxa" w:w="90"/>
            </w:tcMar>
          </w:tcPr>
          <w:p>
            <w:pPr>
              <w:spacing w:after="0" w:before="0"/>
              <w:jc w:val="left"/>
            </w:pPr>
            <w:r>
              <w:rPr>
                <w:b/>
                <w:bCs/>
                <w:color w:val="FFFFFF"/>
                <w:sz w:val="17"/>
                <w:szCs w:val="17"/>
              </w:rPr>
              <w:t xml:space="preserve">Ticker</w:t>
            </w:r>
          </w:p>
        </w:tc>
        <w:tc>
          <w:tcPr>
            <w:tcW w:type="dxa" w:w="2533"/>
            <w:shd w:fill="1F3864" w:color="auto" w:val="clear"/>
            <w:tcMar>
              <w:top w:type="dxa" w:w="60"/>
              <w:left w:type="dxa" w:w="90"/>
              <w:bottom w:type="dxa" w:w="60"/>
              <w:right w:type="dxa" w:w="90"/>
            </w:tcMar>
          </w:tcPr>
          <w:p>
            <w:pPr>
              <w:spacing w:after="0" w:before="0"/>
              <w:jc w:val="left"/>
            </w:pPr>
            <w:r>
              <w:rPr>
                <w:b/>
                <w:bCs/>
                <w:color w:val="FFFFFF"/>
                <w:sz w:val="17"/>
                <w:szCs w:val="17"/>
              </w:rPr>
              <w:t xml:space="preserve">Controlling holder</w:t>
            </w:r>
          </w:p>
        </w:tc>
        <w:tc>
          <w:tcPr>
            <w:tcW w:type="dxa" w:w="4485"/>
            <w:shd w:fill="1F3864" w:color="auto" w:val="clear"/>
            <w:tcMar>
              <w:top w:type="dxa" w:w="60"/>
              <w:left w:type="dxa" w:w="90"/>
              <w:bottom w:type="dxa" w:w="60"/>
              <w:right w:type="dxa" w:w="90"/>
            </w:tcMar>
          </w:tcPr>
          <w:p>
            <w:pPr>
              <w:spacing w:after="0" w:before="0"/>
              <w:jc w:val="left"/>
            </w:pPr>
            <w:r>
              <w:rPr>
                <w:b/>
                <w:bCs/>
                <w:color w:val="FFFFFF"/>
                <w:sz w:val="17"/>
                <w:szCs w:val="17"/>
              </w:rPr>
              <w:t xml:space="preserve">Note</w:t>
            </w:r>
          </w:p>
        </w:tc>
      </w:tr>
      <w:tr>
        <w:tc>
          <w:tcPr>
            <w:tcW w:type="dxa" w:w="1949"/>
            <w:tcMar>
              <w:top w:type="dxa" w:w="60"/>
              <w:left w:type="dxa" w:w="90"/>
              <w:bottom w:type="dxa" w:w="60"/>
              <w:right w:type="dxa" w:w="90"/>
            </w:tcMar>
          </w:tcPr>
          <w:p>
            <w:pPr>
              <w:spacing w:after="0" w:before="0"/>
              <w:jc w:val="left"/>
            </w:pPr>
            <w:r>
              <w:rPr>
                <w:color w:val="000000"/>
                <w:sz w:val="17"/>
                <w:szCs w:val="17"/>
              </w:rPr>
              <w:t xml:space="preserve">Schroders</w:t>
            </w:r>
          </w:p>
        </w:tc>
        <w:tc>
          <w:tcPr>
            <w:tcW w:type="dxa" w:w="779"/>
            <w:tcMar>
              <w:top w:type="dxa" w:w="60"/>
              <w:left w:type="dxa" w:w="90"/>
              <w:bottom w:type="dxa" w:w="60"/>
              <w:right w:type="dxa" w:w="90"/>
            </w:tcMar>
          </w:tcPr>
          <w:p>
            <w:pPr>
              <w:spacing w:after="0" w:before="0"/>
              <w:jc w:val="left"/>
            </w:pPr>
            <w:r>
              <w:rPr>
                <w:color w:val="000000"/>
                <w:sz w:val="17"/>
                <w:szCs w:val="17"/>
              </w:rPr>
              <w:t xml:space="preserve">SDR LN</w:t>
            </w:r>
          </w:p>
        </w:tc>
        <w:tc>
          <w:tcPr>
            <w:tcW w:type="dxa" w:w="2533"/>
            <w:tcMar>
              <w:top w:type="dxa" w:w="60"/>
              <w:left w:type="dxa" w:w="90"/>
              <w:bottom w:type="dxa" w:w="60"/>
              <w:right w:type="dxa" w:w="90"/>
            </w:tcMar>
          </w:tcPr>
          <w:p>
            <w:pPr>
              <w:spacing w:after="0" w:before="0"/>
              <w:jc w:val="left"/>
            </w:pPr>
            <w:r>
              <w:rPr>
                <w:color w:val="000000"/>
                <w:sz w:val="17"/>
                <w:szCs w:val="17"/>
              </w:rPr>
              <w:t xml:space="preserve">Schroder family ~44%</w:t>
            </w:r>
          </w:p>
        </w:tc>
        <w:tc>
          <w:tcPr>
            <w:tcW w:type="dxa" w:w="4485"/>
            <w:tcMar>
              <w:top w:type="dxa" w:w="60"/>
              <w:left w:type="dxa" w:w="90"/>
              <w:bottom w:type="dxa" w:w="60"/>
              <w:right w:type="dxa" w:w="90"/>
            </w:tcMar>
          </w:tcPr>
          <w:p>
            <w:pPr>
              <w:spacing w:after="0" w:before="0"/>
              <w:jc w:val="left"/>
            </w:pPr>
            <w:r>
              <w:rPr>
                <w:color w:val="000000"/>
                <w:sz w:val="17"/>
                <w:szCs w:val="17"/>
              </w:rPr>
              <w:t xml:space="preserve">On economics, arguably the single best activist case in UK asset management. Excluded strictly on the ownership test.</w:t>
            </w:r>
          </w:p>
        </w:tc>
      </w:tr>
      <w:tr>
        <w:tc>
          <w:tcPr>
            <w:tcW w:type="dxa" w:w="1949"/>
            <w:shd w:fill="F2F5F9" w:color="auto" w:val="clear"/>
            <w:tcMar>
              <w:top w:type="dxa" w:w="60"/>
              <w:left w:type="dxa" w:w="90"/>
              <w:bottom w:type="dxa" w:w="60"/>
              <w:right w:type="dxa" w:w="90"/>
            </w:tcMar>
          </w:tcPr>
          <w:p>
            <w:pPr>
              <w:spacing w:after="0" w:before="0"/>
              <w:jc w:val="left"/>
            </w:pPr>
            <w:r>
              <w:rPr>
                <w:color w:val="000000"/>
                <w:sz w:val="17"/>
                <w:szCs w:val="17"/>
              </w:rPr>
              <w:t xml:space="preserve">Amundi</w:t>
            </w:r>
          </w:p>
        </w:tc>
        <w:tc>
          <w:tcPr>
            <w:tcW w:type="dxa" w:w="779"/>
            <w:shd w:fill="F2F5F9" w:color="auto" w:val="clear"/>
            <w:tcMar>
              <w:top w:type="dxa" w:w="60"/>
              <w:left w:type="dxa" w:w="90"/>
              <w:bottom w:type="dxa" w:w="60"/>
              <w:right w:type="dxa" w:w="90"/>
            </w:tcMar>
          </w:tcPr>
          <w:p>
            <w:pPr>
              <w:spacing w:after="0" w:before="0"/>
              <w:jc w:val="left"/>
            </w:pPr>
            <w:r>
              <w:rPr>
                <w:color w:val="000000"/>
                <w:sz w:val="17"/>
                <w:szCs w:val="17"/>
              </w:rPr>
              <w:t xml:space="preserve">AMUN FP</w:t>
            </w:r>
          </w:p>
        </w:tc>
        <w:tc>
          <w:tcPr>
            <w:tcW w:type="dxa" w:w="2533"/>
            <w:shd w:fill="F2F5F9" w:color="auto" w:val="clear"/>
            <w:tcMar>
              <w:top w:type="dxa" w:w="60"/>
              <w:left w:type="dxa" w:w="90"/>
              <w:bottom w:type="dxa" w:w="60"/>
              <w:right w:type="dxa" w:w="90"/>
            </w:tcMar>
          </w:tcPr>
          <w:p>
            <w:pPr>
              <w:spacing w:after="0" w:before="0"/>
              <w:jc w:val="left"/>
            </w:pPr>
            <w:r>
              <w:rPr>
                <w:color w:val="000000"/>
                <w:sz w:val="17"/>
                <w:szCs w:val="17"/>
              </w:rPr>
              <w:t xml:space="preserve">Crédit Agricole ~68%</w:t>
            </w:r>
          </w:p>
        </w:tc>
        <w:tc>
          <w:tcPr>
            <w:tcW w:type="dxa" w:w="4485"/>
            <w:shd w:fill="F2F5F9" w:color="auto" w:val="clear"/>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tcMar>
              <w:top w:type="dxa" w:w="60"/>
              <w:left w:type="dxa" w:w="90"/>
              <w:bottom w:type="dxa" w:w="60"/>
              <w:right w:type="dxa" w:w="90"/>
            </w:tcMar>
          </w:tcPr>
          <w:p>
            <w:pPr>
              <w:spacing w:after="0" w:before="0"/>
              <w:jc w:val="left"/>
            </w:pPr>
            <w:r>
              <w:rPr>
                <w:color w:val="000000"/>
                <w:sz w:val="17"/>
                <w:szCs w:val="17"/>
              </w:rPr>
              <w:t xml:space="preserve">DWS Group</w:t>
            </w:r>
          </w:p>
        </w:tc>
        <w:tc>
          <w:tcPr>
            <w:tcW w:type="dxa" w:w="779"/>
            <w:tcMar>
              <w:top w:type="dxa" w:w="60"/>
              <w:left w:type="dxa" w:w="90"/>
              <w:bottom w:type="dxa" w:w="60"/>
              <w:right w:type="dxa" w:w="90"/>
            </w:tcMar>
          </w:tcPr>
          <w:p>
            <w:pPr>
              <w:spacing w:after="0" w:before="0"/>
              <w:jc w:val="left"/>
            </w:pPr>
            <w:r>
              <w:rPr>
                <w:color w:val="000000"/>
                <w:sz w:val="17"/>
                <w:szCs w:val="17"/>
              </w:rPr>
              <w:t xml:space="preserve">DWS GY</w:t>
            </w:r>
          </w:p>
        </w:tc>
        <w:tc>
          <w:tcPr>
            <w:tcW w:type="dxa" w:w="2533"/>
            <w:tcMar>
              <w:top w:type="dxa" w:w="60"/>
              <w:left w:type="dxa" w:w="90"/>
              <w:bottom w:type="dxa" w:w="60"/>
              <w:right w:type="dxa" w:w="90"/>
            </w:tcMar>
          </w:tcPr>
          <w:p>
            <w:pPr>
              <w:spacing w:after="0" w:before="0"/>
              <w:jc w:val="left"/>
            </w:pPr>
            <w:r>
              <w:rPr>
                <w:color w:val="000000"/>
                <w:sz w:val="17"/>
                <w:szCs w:val="17"/>
              </w:rPr>
              <w:t xml:space="preserve">Deutsche Bank ~79%</w:t>
            </w:r>
          </w:p>
        </w:tc>
        <w:tc>
          <w:tcPr>
            <w:tcW w:type="dxa" w:w="4485"/>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shd w:fill="F2F5F9" w:color="auto" w:val="clear"/>
            <w:tcMar>
              <w:top w:type="dxa" w:w="60"/>
              <w:left w:type="dxa" w:w="90"/>
              <w:bottom w:type="dxa" w:w="60"/>
              <w:right w:type="dxa" w:w="90"/>
            </w:tcMar>
          </w:tcPr>
          <w:p>
            <w:pPr>
              <w:spacing w:after="0" w:before="0"/>
              <w:jc w:val="left"/>
            </w:pPr>
            <w:r>
              <w:rPr>
                <w:color w:val="000000"/>
                <w:sz w:val="17"/>
                <w:szCs w:val="17"/>
              </w:rPr>
              <w:t xml:space="preserve">Banca Generali</w:t>
            </w:r>
          </w:p>
        </w:tc>
        <w:tc>
          <w:tcPr>
            <w:tcW w:type="dxa" w:w="779"/>
            <w:shd w:fill="F2F5F9" w:color="auto" w:val="clear"/>
            <w:tcMar>
              <w:top w:type="dxa" w:w="60"/>
              <w:left w:type="dxa" w:w="90"/>
              <w:bottom w:type="dxa" w:w="60"/>
              <w:right w:type="dxa" w:w="90"/>
            </w:tcMar>
          </w:tcPr>
          <w:p>
            <w:pPr>
              <w:spacing w:after="0" w:before="0"/>
              <w:jc w:val="left"/>
            </w:pPr>
            <w:r>
              <w:rPr>
                <w:color w:val="000000"/>
                <w:sz w:val="17"/>
                <w:szCs w:val="17"/>
              </w:rPr>
              <w:t xml:space="preserve">BGN IM</w:t>
            </w:r>
          </w:p>
        </w:tc>
        <w:tc>
          <w:tcPr>
            <w:tcW w:type="dxa" w:w="2533"/>
            <w:shd w:fill="F2F5F9" w:color="auto" w:val="clear"/>
            <w:tcMar>
              <w:top w:type="dxa" w:w="60"/>
              <w:left w:type="dxa" w:w="90"/>
              <w:bottom w:type="dxa" w:w="60"/>
              <w:right w:type="dxa" w:w="90"/>
            </w:tcMar>
          </w:tcPr>
          <w:p>
            <w:pPr>
              <w:spacing w:after="0" w:before="0"/>
              <w:jc w:val="left"/>
            </w:pPr>
            <w:r>
              <w:rPr>
                <w:color w:val="000000"/>
                <w:sz w:val="17"/>
                <w:szCs w:val="17"/>
              </w:rPr>
              <w:t xml:space="preserve">Generali ~50%</w:t>
            </w:r>
          </w:p>
        </w:tc>
        <w:tc>
          <w:tcPr>
            <w:tcW w:type="dxa" w:w="4485"/>
            <w:shd w:fill="F2F5F9" w:color="auto" w:val="clear"/>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tcMar>
              <w:top w:type="dxa" w:w="60"/>
              <w:left w:type="dxa" w:w="90"/>
              <w:bottom w:type="dxa" w:w="60"/>
              <w:right w:type="dxa" w:w="90"/>
            </w:tcMar>
          </w:tcPr>
          <w:p>
            <w:pPr>
              <w:spacing w:after="0" w:before="0"/>
              <w:jc w:val="left"/>
            </w:pPr>
            <w:r>
              <w:rPr>
                <w:color w:val="000000"/>
                <w:sz w:val="17"/>
                <w:szCs w:val="17"/>
              </w:rPr>
              <w:t xml:space="preserve">Banca Mediolanum</w:t>
            </w:r>
          </w:p>
        </w:tc>
        <w:tc>
          <w:tcPr>
            <w:tcW w:type="dxa" w:w="779"/>
            <w:tcMar>
              <w:top w:type="dxa" w:w="60"/>
              <w:left w:type="dxa" w:w="90"/>
              <w:bottom w:type="dxa" w:w="60"/>
              <w:right w:type="dxa" w:w="90"/>
            </w:tcMar>
          </w:tcPr>
          <w:p>
            <w:pPr>
              <w:spacing w:after="0" w:before="0"/>
              <w:jc w:val="left"/>
            </w:pPr>
            <w:r>
              <w:rPr>
                <w:color w:val="000000"/>
                <w:sz w:val="17"/>
                <w:szCs w:val="17"/>
              </w:rPr>
              <w:t xml:space="preserve">BMED IM</w:t>
            </w:r>
          </w:p>
        </w:tc>
        <w:tc>
          <w:tcPr>
            <w:tcW w:type="dxa" w:w="2533"/>
            <w:tcMar>
              <w:top w:type="dxa" w:w="60"/>
              <w:left w:type="dxa" w:w="90"/>
              <w:bottom w:type="dxa" w:w="60"/>
              <w:right w:type="dxa" w:w="90"/>
            </w:tcMar>
          </w:tcPr>
          <w:p>
            <w:pPr>
              <w:spacing w:after="0" w:before="0"/>
              <w:jc w:val="left"/>
            </w:pPr>
            <w:r>
              <w:rPr>
                <w:color w:val="000000"/>
                <w:sz w:val="17"/>
                <w:szCs w:val="17"/>
              </w:rPr>
              <w:t xml:space="preserve">Doris family and pact &gt;40%</w:t>
            </w:r>
          </w:p>
        </w:tc>
        <w:tc>
          <w:tcPr>
            <w:tcW w:type="dxa" w:w="4485"/>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shd w:fill="F2F5F9" w:color="auto" w:val="clear"/>
            <w:tcMar>
              <w:top w:type="dxa" w:w="60"/>
              <w:left w:type="dxa" w:w="90"/>
              <w:bottom w:type="dxa" w:w="60"/>
              <w:right w:type="dxa" w:w="90"/>
            </w:tcMar>
          </w:tcPr>
          <w:p>
            <w:pPr>
              <w:spacing w:after="0" w:before="0"/>
              <w:jc w:val="left"/>
            </w:pPr>
            <w:r>
              <w:rPr>
                <w:color w:val="000000"/>
                <w:sz w:val="17"/>
                <w:szCs w:val="17"/>
              </w:rPr>
              <w:t xml:space="preserve">Rathbones Group</w:t>
            </w:r>
          </w:p>
        </w:tc>
        <w:tc>
          <w:tcPr>
            <w:tcW w:type="dxa" w:w="779"/>
            <w:shd w:fill="F2F5F9" w:color="auto" w:val="clear"/>
            <w:tcMar>
              <w:top w:type="dxa" w:w="60"/>
              <w:left w:type="dxa" w:w="90"/>
              <w:bottom w:type="dxa" w:w="60"/>
              <w:right w:type="dxa" w:w="90"/>
            </w:tcMar>
          </w:tcPr>
          <w:p>
            <w:pPr>
              <w:spacing w:after="0" w:before="0"/>
              <w:jc w:val="left"/>
            </w:pPr>
            <w:r>
              <w:rPr>
                <w:color w:val="000000"/>
                <w:sz w:val="17"/>
                <w:szCs w:val="17"/>
              </w:rPr>
              <w:t xml:space="preserve">RAT LN</w:t>
            </w:r>
          </w:p>
        </w:tc>
        <w:tc>
          <w:tcPr>
            <w:tcW w:type="dxa" w:w="2533"/>
            <w:shd w:fill="F2F5F9" w:color="auto" w:val="clear"/>
            <w:tcMar>
              <w:top w:type="dxa" w:w="60"/>
              <w:left w:type="dxa" w:w="90"/>
              <w:bottom w:type="dxa" w:w="60"/>
              <w:right w:type="dxa" w:w="90"/>
            </w:tcMar>
          </w:tcPr>
          <w:p>
            <w:pPr>
              <w:spacing w:after="0" w:before="0"/>
              <w:jc w:val="left"/>
            </w:pPr>
            <w:r>
              <w:rPr>
                <w:color w:val="000000"/>
                <w:sz w:val="17"/>
                <w:szCs w:val="17"/>
              </w:rPr>
              <w:t xml:space="preserve">Investec ~41%</w:t>
            </w:r>
          </w:p>
        </w:tc>
        <w:tc>
          <w:tcPr>
            <w:tcW w:type="dxa" w:w="4485"/>
            <w:shd w:fill="F2F5F9" w:color="auto" w:val="clear"/>
            <w:tcMar>
              <w:top w:type="dxa" w:w="60"/>
              <w:left w:type="dxa" w:w="90"/>
              <w:bottom w:type="dxa" w:w="60"/>
              <w:right w:type="dxa" w:w="90"/>
            </w:tcMar>
          </w:tcPr>
          <w:p>
            <w:pPr>
              <w:spacing w:after="0" w:before="0"/>
              <w:jc w:val="left"/>
            </w:pPr>
            <w:r>
              <w:rPr>
                <w:b/>
                <w:bCs/>
                <w:color w:val="000000"/>
                <w:sz w:val="17"/>
                <w:szCs w:val="17"/>
              </w:rPr>
              <w:t xml:space="preserve">Marginal fail.</w:t>
            </w:r>
            <w:r>
              <w:rPr>
                <w:color w:val="000000"/>
                <w:sz w:val="17"/>
                <w:szCs w:val="17"/>
              </w:rPr>
              <w:t xml:space="preserve"> Investec is a strategic holder that has publicly acknowledged optionality. Worth monitoring — if that stake falls below 40% or is put in play, Rathbones becomes a Tier 1 target immediately.</w:t>
            </w:r>
          </w:p>
        </w:tc>
      </w:tr>
      <w:tr>
        <w:tc>
          <w:tcPr>
            <w:tcW w:type="dxa" w:w="1949"/>
            <w:tcMar>
              <w:top w:type="dxa" w:w="60"/>
              <w:left w:type="dxa" w:w="90"/>
              <w:bottom w:type="dxa" w:w="60"/>
              <w:right w:type="dxa" w:w="90"/>
            </w:tcMar>
          </w:tcPr>
          <w:p>
            <w:pPr>
              <w:spacing w:after="0" w:before="0"/>
              <w:jc w:val="left"/>
            </w:pPr>
            <w:r>
              <w:rPr>
                <w:color w:val="000000"/>
                <w:sz w:val="17"/>
                <w:szCs w:val="17"/>
              </w:rPr>
              <w:t xml:space="preserve">Vontobel</w:t>
            </w:r>
          </w:p>
        </w:tc>
        <w:tc>
          <w:tcPr>
            <w:tcW w:type="dxa" w:w="779"/>
            <w:tcMar>
              <w:top w:type="dxa" w:w="60"/>
              <w:left w:type="dxa" w:w="90"/>
              <w:bottom w:type="dxa" w:w="60"/>
              <w:right w:type="dxa" w:w="90"/>
            </w:tcMar>
          </w:tcPr>
          <w:p>
            <w:pPr>
              <w:spacing w:after="0" w:before="0"/>
              <w:jc w:val="left"/>
            </w:pPr>
            <w:r>
              <w:rPr>
                <w:color w:val="000000"/>
                <w:sz w:val="17"/>
                <w:szCs w:val="17"/>
              </w:rPr>
              <w:t xml:space="preserve">VONN SW</w:t>
            </w:r>
          </w:p>
        </w:tc>
        <w:tc>
          <w:tcPr>
            <w:tcW w:type="dxa" w:w="2533"/>
            <w:tcMar>
              <w:top w:type="dxa" w:w="60"/>
              <w:left w:type="dxa" w:w="90"/>
              <w:bottom w:type="dxa" w:w="60"/>
              <w:right w:type="dxa" w:w="90"/>
            </w:tcMar>
          </w:tcPr>
          <w:p>
            <w:pPr>
              <w:spacing w:after="0" w:before="0"/>
              <w:jc w:val="left"/>
            </w:pPr>
            <w:r>
              <w:rPr>
                <w:color w:val="000000"/>
                <w:sz w:val="17"/>
                <w:szCs w:val="17"/>
              </w:rPr>
              <w:t xml:space="preserve">Family pool &gt;50%</w:t>
            </w:r>
          </w:p>
        </w:tc>
        <w:tc>
          <w:tcPr>
            <w:tcW w:type="dxa" w:w="4485"/>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shd w:fill="F2F5F9" w:color="auto" w:val="clear"/>
            <w:tcMar>
              <w:top w:type="dxa" w:w="60"/>
              <w:left w:type="dxa" w:w="90"/>
              <w:bottom w:type="dxa" w:w="60"/>
              <w:right w:type="dxa" w:w="90"/>
            </w:tcMar>
          </w:tcPr>
          <w:p>
            <w:pPr>
              <w:spacing w:after="0" w:before="0"/>
              <w:jc w:val="left"/>
            </w:pPr>
            <w:r>
              <w:rPr>
                <w:color w:val="000000"/>
                <w:sz w:val="17"/>
                <w:szCs w:val="17"/>
              </w:rPr>
              <w:t xml:space="preserve">EFG International</w:t>
            </w:r>
          </w:p>
        </w:tc>
        <w:tc>
          <w:tcPr>
            <w:tcW w:type="dxa" w:w="779"/>
            <w:shd w:fill="F2F5F9" w:color="auto" w:val="clear"/>
            <w:tcMar>
              <w:top w:type="dxa" w:w="60"/>
              <w:left w:type="dxa" w:w="90"/>
              <w:bottom w:type="dxa" w:w="60"/>
              <w:right w:type="dxa" w:w="90"/>
            </w:tcMar>
          </w:tcPr>
          <w:p>
            <w:pPr>
              <w:spacing w:after="0" w:before="0"/>
              <w:jc w:val="left"/>
            </w:pPr>
            <w:r>
              <w:rPr>
                <w:color w:val="000000"/>
                <w:sz w:val="17"/>
                <w:szCs w:val="17"/>
              </w:rPr>
              <w:t xml:space="preserve">EFGN SW</w:t>
            </w:r>
          </w:p>
        </w:tc>
        <w:tc>
          <w:tcPr>
            <w:tcW w:type="dxa" w:w="2533"/>
            <w:shd w:fill="F2F5F9" w:color="auto" w:val="clear"/>
            <w:tcMar>
              <w:top w:type="dxa" w:w="60"/>
              <w:left w:type="dxa" w:w="90"/>
              <w:bottom w:type="dxa" w:w="60"/>
              <w:right w:type="dxa" w:w="90"/>
            </w:tcMar>
          </w:tcPr>
          <w:p>
            <w:pPr>
              <w:spacing w:after="0" w:before="0"/>
              <w:jc w:val="left"/>
            </w:pPr>
            <w:r>
              <w:rPr>
                <w:color w:val="000000"/>
                <w:sz w:val="17"/>
                <w:szCs w:val="17"/>
              </w:rPr>
              <w:t xml:space="preserve">EFG Group ~44%</w:t>
            </w:r>
          </w:p>
        </w:tc>
        <w:tc>
          <w:tcPr>
            <w:tcW w:type="dxa" w:w="4485"/>
            <w:shd w:fill="F2F5F9" w:color="auto" w:val="clear"/>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tcMar>
              <w:top w:type="dxa" w:w="60"/>
              <w:left w:type="dxa" w:w="90"/>
              <w:bottom w:type="dxa" w:w="60"/>
              <w:right w:type="dxa" w:w="90"/>
            </w:tcMar>
          </w:tcPr>
          <w:p>
            <w:pPr>
              <w:spacing w:after="0" w:before="0"/>
              <w:jc w:val="left"/>
            </w:pPr>
            <w:r>
              <w:rPr>
                <w:color w:val="000000"/>
                <w:sz w:val="17"/>
                <w:szCs w:val="17"/>
              </w:rPr>
              <w:t xml:space="preserve">Tikehau Capital</w:t>
            </w:r>
          </w:p>
        </w:tc>
        <w:tc>
          <w:tcPr>
            <w:tcW w:type="dxa" w:w="779"/>
            <w:tcMar>
              <w:top w:type="dxa" w:w="60"/>
              <w:left w:type="dxa" w:w="90"/>
              <w:bottom w:type="dxa" w:w="60"/>
              <w:right w:type="dxa" w:w="90"/>
            </w:tcMar>
          </w:tcPr>
          <w:p>
            <w:pPr>
              <w:spacing w:after="0" w:before="0"/>
              <w:jc w:val="left"/>
            </w:pPr>
            <w:r>
              <w:rPr>
                <w:color w:val="000000"/>
                <w:sz w:val="17"/>
                <w:szCs w:val="17"/>
              </w:rPr>
              <w:t xml:space="preserve">TKO FP</w:t>
            </w:r>
          </w:p>
        </w:tc>
        <w:tc>
          <w:tcPr>
            <w:tcW w:type="dxa" w:w="2533"/>
            <w:tcMar>
              <w:top w:type="dxa" w:w="60"/>
              <w:left w:type="dxa" w:w="90"/>
              <w:bottom w:type="dxa" w:w="60"/>
              <w:right w:type="dxa" w:w="90"/>
            </w:tcMar>
          </w:tcPr>
          <w:p>
            <w:pPr>
              <w:spacing w:after="0" w:before="0"/>
              <w:jc w:val="left"/>
            </w:pPr>
            <w:r>
              <w:rPr>
                <w:color w:val="000000"/>
                <w:sz w:val="17"/>
                <w:szCs w:val="17"/>
              </w:rPr>
              <w:t xml:space="preserve">Founders via TCA ~55%</w:t>
            </w:r>
          </w:p>
        </w:tc>
        <w:tc>
          <w:tcPr>
            <w:tcW w:type="dxa" w:w="4485"/>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shd w:fill="F2F5F9" w:color="auto" w:val="clear"/>
            <w:tcMar>
              <w:top w:type="dxa" w:w="60"/>
              <w:left w:type="dxa" w:w="90"/>
              <w:bottom w:type="dxa" w:w="60"/>
              <w:right w:type="dxa" w:w="90"/>
            </w:tcMar>
          </w:tcPr>
          <w:p>
            <w:pPr>
              <w:spacing w:after="0" w:before="0"/>
              <w:jc w:val="left"/>
            </w:pPr>
            <w:r>
              <w:rPr>
                <w:color w:val="000000"/>
                <w:sz w:val="17"/>
                <w:szCs w:val="17"/>
              </w:rPr>
              <w:t xml:space="preserve">Antin Infrastructure</w:t>
            </w:r>
          </w:p>
        </w:tc>
        <w:tc>
          <w:tcPr>
            <w:tcW w:type="dxa" w:w="779"/>
            <w:shd w:fill="F2F5F9" w:color="auto" w:val="clear"/>
            <w:tcMar>
              <w:top w:type="dxa" w:w="60"/>
              <w:left w:type="dxa" w:w="90"/>
              <w:bottom w:type="dxa" w:w="60"/>
              <w:right w:type="dxa" w:w="90"/>
            </w:tcMar>
          </w:tcPr>
          <w:p>
            <w:pPr>
              <w:spacing w:after="0" w:before="0"/>
              <w:jc w:val="left"/>
            </w:pPr>
            <w:r>
              <w:rPr>
                <w:color w:val="000000"/>
                <w:sz w:val="17"/>
                <w:szCs w:val="17"/>
              </w:rPr>
              <w:t xml:space="preserve">ANTIN FP</w:t>
            </w:r>
          </w:p>
        </w:tc>
        <w:tc>
          <w:tcPr>
            <w:tcW w:type="dxa" w:w="2533"/>
            <w:shd w:fill="F2F5F9" w:color="auto" w:val="clear"/>
            <w:tcMar>
              <w:top w:type="dxa" w:w="60"/>
              <w:left w:type="dxa" w:w="90"/>
              <w:bottom w:type="dxa" w:w="60"/>
              <w:right w:type="dxa" w:w="90"/>
            </w:tcMar>
          </w:tcPr>
          <w:p>
            <w:pPr>
              <w:spacing w:after="0" w:before="0"/>
              <w:jc w:val="left"/>
            </w:pPr>
            <w:r>
              <w:rPr>
                <w:color w:val="000000"/>
                <w:sz w:val="17"/>
                <w:szCs w:val="17"/>
              </w:rPr>
              <w:t xml:space="preserve">Founders ~64%</w:t>
            </w:r>
          </w:p>
        </w:tc>
        <w:tc>
          <w:tcPr>
            <w:tcW w:type="dxa" w:w="4485"/>
            <w:shd w:fill="F2F5F9" w:color="auto" w:val="clear"/>
            <w:tcMar>
              <w:top w:type="dxa" w:w="60"/>
              <w:left w:type="dxa" w:w="90"/>
              <w:bottom w:type="dxa" w:w="60"/>
              <w:right w:type="dxa" w:w="90"/>
            </w:tcMar>
          </w:tcPr>
          <w:p>
            <w:pPr>
              <w:spacing w:after="0" w:before="0"/>
              <w:jc w:val="left"/>
            </w:pPr>
            <w:r>
              <w:rPr>
                <w:color w:val="000000"/>
                <w:sz w:val="17"/>
                <w:szCs w:val="17"/>
              </w:rPr>
              <w:t xml:space="preserve">—</w:t>
            </w:r>
          </w:p>
        </w:tc>
      </w:tr>
      <w:tr>
        <w:tc>
          <w:tcPr>
            <w:tcW w:type="dxa" w:w="1949"/>
            <w:tcMar>
              <w:top w:type="dxa" w:w="60"/>
              <w:left w:type="dxa" w:w="90"/>
              <w:bottom w:type="dxa" w:w="60"/>
              <w:right w:type="dxa" w:w="90"/>
            </w:tcMar>
          </w:tcPr>
          <w:p>
            <w:pPr>
              <w:spacing w:after="0" w:before="0"/>
              <w:jc w:val="left"/>
            </w:pPr>
            <w:r>
              <w:rPr>
                <w:color w:val="000000"/>
                <w:sz w:val="17"/>
                <w:szCs w:val="17"/>
              </w:rPr>
              <w:t xml:space="preserve">DeA Capital</w:t>
            </w:r>
          </w:p>
        </w:tc>
        <w:tc>
          <w:tcPr>
            <w:tcW w:type="dxa" w:w="779"/>
            <w:tcMar>
              <w:top w:type="dxa" w:w="60"/>
              <w:left w:type="dxa" w:w="90"/>
              <w:bottom w:type="dxa" w:w="60"/>
              <w:right w:type="dxa" w:w="90"/>
            </w:tcMar>
          </w:tcPr>
          <w:p>
            <w:pPr>
              <w:spacing w:after="0" w:before="0"/>
              <w:jc w:val="left"/>
            </w:pPr>
            <w:r>
              <w:rPr>
                <w:color w:val="000000"/>
                <w:sz w:val="17"/>
                <w:szCs w:val="17"/>
              </w:rPr>
              <w:t xml:space="preserve">DEA IM</w:t>
            </w:r>
          </w:p>
        </w:tc>
        <w:tc>
          <w:tcPr>
            <w:tcW w:type="dxa" w:w="2533"/>
            <w:tcMar>
              <w:top w:type="dxa" w:w="60"/>
              <w:left w:type="dxa" w:w="90"/>
              <w:bottom w:type="dxa" w:w="60"/>
              <w:right w:type="dxa" w:w="90"/>
            </w:tcMar>
          </w:tcPr>
          <w:p>
            <w:pPr>
              <w:spacing w:after="0" w:before="0"/>
              <w:jc w:val="left"/>
            </w:pPr>
            <w:r>
              <w:rPr>
                <w:color w:val="000000"/>
                <w:sz w:val="17"/>
                <w:szCs w:val="17"/>
              </w:rPr>
              <w:t xml:space="preserve">De Agostini ~67%</w:t>
            </w:r>
          </w:p>
        </w:tc>
        <w:tc>
          <w:tcPr>
            <w:tcW w:type="dxa" w:w="4485"/>
            <w:tcMar>
              <w:top w:type="dxa" w:w="60"/>
              <w:left w:type="dxa" w:w="90"/>
              <w:bottom w:type="dxa" w:w="60"/>
              <w:right w:type="dxa" w:w="90"/>
            </w:tcMar>
          </w:tcPr>
          <w:p>
            <w:pPr>
              <w:spacing w:after="0" w:before="0"/>
              <w:jc w:val="left"/>
            </w:pPr>
            <w:r>
              <w:rPr>
                <w:color w:val="000000"/>
                <w:sz w:val="17"/>
                <w:szCs w:val="17"/>
              </w:rPr>
              <w:t xml:space="preserve">Trades below net cash plus AUM value — excellent economics, impossible register.</w:t>
            </w:r>
          </w:p>
        </w:tc>
      </w:tr>
    </w:tbl>
    <w:p>
      <w:pPr>
        <w:spacing w:after="160"/>
      </w:pPr>
      <w:r>
        <w:t xml:space="preserve"/>
      </w:r>
    </w:p>
    <w:p>
      <w:pPr>
        <w:pStyle w:val="Heading3"/>
        <w:spacing w:after="100" w:before="220"/>
      </w:pPr>
      <w:r>
        <w:rPr>
          <w:b/>
          <w:bCs/>
          <w:color w:val="2E5C8A"/>
          <w:sz w:val="21"/>
          <w:szCs w:val="21"/>
        </w:rPr>
        <w:t xml:space="preserve">B. Excluded on size (&lt; US$200m market cap)</w:t>
      </w:r>
    </w:p>
    <w:p>
      <w:pPr>
        <w:spacing w:after="100" w:before="60"/>
      </w:pPr>
      <w:r>
        <w:rPr>
          <w:sz w:val="19"/>
          <w:szCs w:val="19"/>
        </w:rPr>
        <w:t xml:space="preserve">Premier Miton Group (PMI LN), Record plc (REC LN), City of London Investment Group (CLIG LN), GAM Holding (GAM SW). All would otherwise screen well — small, net cash, deeply de-rated. Premier Miton in particular is worth monitoring for a size or corporate-action catalyst.</w:t>
      </w:r>
    </w:p>
    <w:p>
      <w:pPr>
        <w:spacing w:after="100" w:before="60"/>
      </w:pPr>
      <w:r>
        <w:rPr>
          <w:sz w:val="19"/>
          <w:szCs w:val="19"/>
        </w:rPr>
        <w:t xml:space="preserve">Bellevue Group (BBN SW) sits just above the threshold but was excluded on liquidity: the free float will not support a meaningful position without moving the price materially.</w:t>
      </w:r>
    </w:p>
    <w:p>
      <w:pPr>
        <w:pStyle w:val="Heading3"/>
        <w:spacing w:after="100" w:before="220"/>
      </w:pPr>
      <w:r>
        <w:rPr>
          <w:b/>
          <w:bCs/>
          <w:color w:val="2E5C8A"/>
          <w:sz w:val="21"/>
          <w:szCs w:val="21"/>
        </w:rPr>
        <w:t xml:space="preserve">C. Excluded because the opportunity has already been resolved</w:t>
      </w:r>
    </w:p>
    <w:tbl>
      <w:tblPr>
        <w:tblW w:type="dxa" w:w="9746"/>
        <w:tblBorders>
          <w:top w:val="single" w:color="9BB0C9" w:sz="4"/>
          <w:left w:val="single" w:color="9BB0C9" w:sz="4"/>
          <w:bottom w:val="single" w:color="9BB0C9" w:sz="4"/>
          <w:right w:val="single" w:color="9BB0C9" w:sz="4"/>
          <w:insideH w:val="single" w:color="C9D5E3" w:sz="2"/>
          <w:insideV w:val="single" w:color="C9D5E3" w:sz="2"/>
        </w:tblBorders>
      </w:tblPr>
      <w:tblGrid>
        <w:gridCol w:w="4142"/>
        <w:gridCol w:w="5604"/>
      </w:tblGrid>
      <w:tr>
        <w:trPr>
          <w:tblHeader/>
        </w:trPr>
        <w:tc>
          <w:tcPr>
            <w:tcW w:type="dxa" w:w="4142"/>
            <w:shd w:fill="1F3864" w:color="auto" w:val="clear"/>
            <w:tcMar>
              <w:top w:type="dxa" w:w="60"/>
              <w:left w:type="dxa" w:w="90"/>
              <w:bottom w:type="dxa" w:w="60"/>
              <w:right w:type="dxa" w:w="90"/>
            </w:tcMar>
          </w:tcPr>
          <w:p>
            <w:pPr>
              <w:spacing w:after="0" w:before="0"/>
              <w:jc w:val="left"/>
            </w:pPr>
            <w:r>
              <w:rPr>
                <w:b/>
                <w:bCs/>
                <w:color w:val="FFFFFF"/>
                <w:sz w:val="17"/>
                <w:szCs w:val="17"/>
              </w:rPr>
              <w:t xml:space="preserve">Company</w:t>
            </w:r>
          </w:p>
        </w:tc>
        <w:tc>
          <w:tcPr>
            <w:tcW w:type="dxa" w:w="5604"/>
            <w:shd w:fill="1F3864" w:color="auto" w:val="clear"/>
            <w:tcMar>
              <w:top w:type="dxa" w:w="60"/>
              <w:left w:type="dxa" w:w="90"/>
              <w:bottom w:type="dxa" w:w="60"/>
              <w:right w:type="dxa" w:w="90"/>
            </w:tcMar>
          </w:tcPr>
          <w:p>
            <w:pPr>
              <w:spacing w:after="0" w:before="0"/>
              <w:jc w:val="left"/>
            </w:pPr>
            <w:r>
              <w:rPr>
                <w:b/>
                <w:bCs/>
                <w:color w:val="FFFFFF"/>
                <w:sz w:val="17"/>
                <w:szCs w:val="17"/>
              </w:rPr>
              <w:t xml:space="preserve">Outcome</w:t>
            </w:r>
          </w:p>
        </w:tc>
      </w:tr>
      <w:tr>
        <w:tc>
          <w:tcPr>
            <w:tcW w:type="dxa" w:w="4142"/>
            <w:tcMar>
              <w:top w:type="dxa" w:w="60"/>
              <w:left w:type="dxa" w:w="90"/>
              <w:bottom w:type="dxa" w:w="60"/>
              <w:right w:type="dxa" w:w="90"/>
            </w:tcMar>
          </w:tcPr>
          <w:p>
            <w:pPr>
              <w:spacing w:after="0" w:before="0"/>
              <w:jc w:val="left"/>
            </w:pPr>
            <w:r>
              <w:rPr>
                <w:b/>
                <w:bCs/>
                <w:color w:val="000000"/>
                <w:sz w:val="17"/>
                <w:szCs w:val="17"/>
              </w:rPr>
              <w:t xml:space="preserve">Petershill Partners</w:t>
            </w:r>
          </w:p>
        </w:tc>
        <w:tc>
          <w:tcPr>
            <w:tcW w:type="dxa" w:w="5604"/>
            <w:tcMar>
              <w:top w:type="dxa" w:w="60"/>
              <w:left w:type="dxa" w:w="90"/>
              <w:bottom w:type="dxa" w:w="60"/>
              <w:right w:type="dxa" w:w="90"/>
            </w:tcMar>
          </w:tcPr>
          <w:p>
            <w:pPr>
              <w:spacing w:after="0" w:before="0"/>
              <w:jc w:val="left"/>
            </w:pPr>
            <w:r>
              <w:rPr>
                <w:b/>
                <w:bCs/>
                <w:color w:val="000000"/>
                <w:sz w:val="17"/>
                <w:szCs w:val="17"/>
              </w:rPr>
              <w:t xml:space="preserve">Delisted 5 December 2025.</w:t>
            </w:r>
            <w:r>
              <w:rPr>
                <w:color w:val="000000"/>
                <w:sz w:val="17"/>
                <w:szCs w:val="17"/>
              </w:rPr>
              <w:t xml:space="preserve"> Traded at an average ~37% discount to book since January 2024; the persistent discount and limited liquidity drove the decision to delist. This was on the original candidate list and is the clearest recent proof of the thesis — a listed alternatives vehicle at a wide discount ends in a take-private.</w:t>
            </w:r>
          </w:p>
        </w:tc>
      </w:tr>
      <w:tr>
        <w:tc>
          <w:tcPr>
            <w:tcW w:type="dxa" w:w="4142"/>
            <w:shd w:fill="F2F5F9" w:color="auto" w:val="clear"/>
            <w:tcMar>
              <w:top w:type="dxa" w:w="60"/>
              <w:left w:type="dxa" w:w="90"/>
              <w:bottom w:type="dxa" w:w="60"/>
              <w:right w:type="dxa" w:w="90"/>
            </w:tcMar>
          </w:tcPr>
          <w:p>
            <w:pPr>
              <w:spacing w:after="0" w:before="0"/>
              <w:jc w:val="left"/>
            </w:pPr>
            <w:r>
              <w:rPr>
                <w:color w:val="000000"/>
                <w:sz w:val="17"/>
                <w:szCs w:val="17"/>
              </w:rPr>
              <w:t xml:space="preserve">Hargreaves Lansdown</w:t>
            </w:r>
          </w:p>
        </w:tc>
        <w:tc>
          <w:tcPr>
            <w:tcW w:type="dxa" w:w="5604"/>
            <w:shd w:fill="F2F5F9" w:color="auto" w:val="clear"/>
            <w:tcMar>
              <w:top w:type="dxa" w:w="60"/>
              <w:left w:type="dxa" w:w="90"/>
              <w:bottom w:type="dxa" w:w="60"/>
              <w:right w:type="dxa" w:w="90"/>
            </w:tcMar>
          </w:tcPr>
          <w:p>
            <w:pPr>
              <w:spacing w:after="0" w:before="0"/>
              <w:jc w:val="left"/>
            </w:pPr>
            <w:r>
              <w:rPr>
                <w:color w:val="000000"/>
                <w:sz w:val="17"/>
                <w:szCs w:val="17"/>
              </w:rPr>
              <w:t xml:space="preserve">Taken private (2024–25)</w:t>
            </w:r>
          </w:p>
        </w:tc>
      </w:tr>
      <w:tr>
        <w:tc>
          <w:tcPr>
            <w:tcW w:type="dxa" w:w="4142"/>
            <w:tcMar>
              <w:top w:type="dxa" w:w="60"/>
              <w:left w:type="dxa" w:w="90"/>
              <w:bottom w:type="dxa" w:w="60"/>
              <w:right w:type="dxa" w:w="90"/>
            </w:tcMar>
          </w:tcPr>
          <w:p>
            <w:pPr>
              <w:spacing w:after="0" w:before="0"/>
              <w:jc w:val="left"/>
            </w:pPr>
            <w:r>
              <w:rPr>
                <w:color w:val="000000"/>
                <w:sz w:val="17"/>
                <w:szCs w:val="17"/>
              </w:rPr>
              <w:t xml:space="preserve">Gresham House</w:t>
            </w:r>
          </w:p>
        </w:tc>
        <w:tc>
          <w:tcPr>
            <w:tcW w:type="dxa" w:w="5604"/>
            <w:tcMar>
              <w:top w:type="dxa" w:w="60"/>
              <w:left w:type="dxa" w:w="90"/>
              <w:bottom w:type="dxa" w:w="60"/>
              <w:right w:type="dxa" w:w="90"/>
            </w:tcMar>
          </w:tcPr>
          <w:p>
            <w:pPr>
              <w:spacing w:after="0" w:before="0"/>
              <w:jc w:val="left"/>
            </w:pPr>
            <w:r>
              <w:rPr>
                <w:color w:val="000000"/>
                <w:sz w:val="17"/>
                <w:szCs w:val="17"/>
              </w:rPr>
              <w:t xml:space="preserve">Taken private by Searchlight (2023)</w:t>
            </w:r>
          </w:p>
        </w:tc>
      </w:tr>
      <w:tr>
        <w:tc>
          <w:tcPr>
            <w:tcW w:type="dxa" w:w="4142"/>
            <w:shd w:fill="F2F5F9" w:color="auto" w:val="clear"/>
            <w:tcMar>
              <w:top w:type="dxa" w:w="60"/>
              <w:left w:type="dxa" w:w="90"/>
              <w:bottom w:type="dxa" w:w="60"/>
              <w:right w:type="dxa" w:w="90"/>
            </w:tcMar>
          </w:tcPr>
          <w:p>
            <w:pPr>
              <w:spacing w:after="0" w:before="0"/>
              <w:jc w:val="left"/>
            </w:pPr>
            <w:r>
              <w:rPr>
                <w:color w:val="000000"/>
                <w:sz w:val="17"/>
                <w:szCs w:val="17"/>
              </w:rPr>
              <w:t xml:space="preserve">Charles Stanley</w:t>
            </w:r>
          </w:p>
        </w:tc>
        <w:tc>
          <w:tcPr>
            <w:tcW w:type="dxa" w:w="5604"/>
            <w:shd w:fill="F2F5F9" w:color="auto" w:val="clear"/>
            <w:tcMar>
              <w:top w:type="dxa" w:w="60"/>
              <w:left w:type="dxa" w:w="90"/>
              <w:bottom w:type="dxa" w:w="60"/>
              <w:right w:type="dxa" w:w="90"/>
            </w:tcMar>
          </w:tcPr>
          <w:p>
            <w:pPr>
              <w:spacing w:after="0" w:before="0"/>
              <w:jc w:val="left"/>
            </w:pPr>
            <w:r>
              <w:rPr>
                <w:color w:val="000000"/>
                <w:sz w:val="17"/>
                <w:szCs w:val="17"/>
              </w:rPr>
              <w:t xml:space="preserve">Acquired by Raymond James</w:t>
            </w:r>
          </w:p>
        </w:tc>
      </w:tr>
      <w:tr>
        <w:tc>
          <w:tcPr>
            <w:tcW w:type="dxa" w:w="4142"/>
            <w:tcMar>
              <w:top w:type="dxa" w:w="60"/>
              <w:left w:type="dxa" w:w="90"/>
              <w:bottom w:type="dxa" w:w="60"/>
              <w:right w:type="dxa" w:w="90"/>
            </w:tcMar>
          </w:tcPr>
          <w:p>
            <w:pPr>
              <w:spacing w:after="0" w:before="0"/>
              <w:jc w:val="left"/>
            </w:pPr>
            <w:r>
              <w:rPr>
                <w:color w:val="000000"/>
                <w:sz w:val="17"/>
                <w:szCs w:val="17"/>
              </w:rPr>
              <w:t xml:space="preserve">Alpha Financial Markets Consulting</w:t>
            </w:r>
          </w:p>
        </w:tc>
        <w:tc>
          <w:tcPr>
            <w:tcW w:type="dxa" w:w="5604"/>
            <w:tcMar>
              <w:top w:type="dxa" w:w="60"/>
              <w:left w:type="dxa" w:w="90"/>
              <w:bottom w:type="dxa" w:w="60"/>
              <w:right w:type="dxa" w:w="90"/>
            </w:tcMar>
          </w:tcPr>
          <w:p>
            <w:pPr>
              <w:spacing w:after="0" w:before="0"/>
              <w:jc w:val="left"/>
            </w:pPr>
            <w:r>
              <w:rPr>
                <w:color w:val="000000"/>
                <w:sz w:val="17"/>
                <w:szCs w:val="17"/>
              </w:rPr>
              <w:t xml:space="preserve">Acquired by Bridgepoint</w:t>
            </w:r>
          </w:p>
        </w:tc>
      </w:tr>
      <w:tr>
        <w:tc>
          <w:tcPr>
            <w:tcW w:type="dxa" w:w="4142"/>
            <w:shd w:fill="F2F5F9" w:color="auto" w:val="clear"/>
            <w:tcMar>
              <w:top w:type="dxa" w:w="60"/>
              <w:left w:type="dxa" w:w="90"/>
              <w:bottom w:type="dxa" w:w="60"/>
              <w:right w:type="dxa" w:w="90"/>
            </w:tcMar>
          </w:tcPr>
          <w:p>
            <w:pPr>
              <w:spacing w:after="0" w:before="0"/>
              <w:jc w:val="left"/>
            </w:pPr>
            <w:r>
              <w:rPr>
                <w:color w:val="000000"/>
                <w:sz w:val="17"/>
                <w:szCs w:val="17"/>
              </w:rPr>
              <w:t xml:space="preserve">Mattioli Woods</w:t>
            </w:r>
          </w:p>
        </w:tc>
        <w:tc>
          <w:tcPr>
            <w:tcW w:type="dxa" w:w="5604"/>
            <w:shd w:fill="F2F5F9" w:color="auto" w:val="clear"/>
            <w:tcMar>
              <w:top w:type="dxa" w:w="60"/>
              <w:left w:type="dxa" w:w="90"/>
              <w:bottom w:type="dxa" w:w="60"/>
              <w:right w:type="dxa" w:w="90"/>
            </w:tcMar>
          </w:tcPr>
          <w:p>
            <w:pPr>
              <w:spacing w:after="0" w:before="0"/>
              <w:jc w:val="left"/>
            </w:pPr>
            <w:r>
              <w:rPr>
                <w:color w:val="000000"/>
                <w:sz w:val="17"/>
                <w:szCs w:val="17"/>
              </w:rPr>
              <w:t xml:space="preserve">Taken private</w:t>
            </w:r>
          </w:p>
        </w:tc>
      </w:tr>
      <w:tr>
        <w:tc>
          <w:tcPr>
            <w:tcW w:type="dxa" w:w="4142"/>
            <w:tcMar>
              <w:top w:type="dxa" w:w="60"/>
              <w:left w:type="dxa" w:w="90"/>
              <w:bottom w:type="dxa" w:w="60"/>
              <w:right w:type="dxa" w:w="90"/>
            </w:tcMar>
          </w:tcPr>
          <w:p>
            <w:pPr>
              <w:spacing w:after="0" w:before="0"/>
              <w:jc w:val="left"/>
            </w:pPr>
            <w:r>
              <w:rPr>
                <w:color w:val="000000"/>
                <w:sz w:val="17"/>
                <w:szCs w:val="17"/>
              </w:rPr>
              <w:t xml:space="preserve">Anima Holding</w:t>
            </w:r>
          </w:p>
        </w:tc>
        <w:tc>
          <w:tcPr>
            <w:tcW w:type="dxa" w:w="5604"/>
            <w:tcMar>
              <w:top w:type="dxa" w:w="60"/>
              <w:left w:type="dxa" w:w="90"/>
              <w:bottom w:type="dxa" w:w="60"/>
              <w:right w:type="dxa" w:w="90"/>
            </w:tcMar>
          </w:tcPr>
          <w:p>
            <w:pPr>
              <w:spacing w:after="0" w:before="0"/>
              <w:jc w:val="left"/>
            </w:pPr>
            <w:r>
              <w:rPr>
                <w:color w:val="000000"/>
                <w:sz w:val="17"/>
                <w:szCs w:val="17"/>
              </w:rPr>
              <w:t xml:space="preserve">Acquired by Banco BPM</w:t>
            </w:r>
          </w:p>
        </w:tc>
      </w:tr>
      <w:tr>
        <w:tc>
          <w:tcPr>
            <w:tcW w:type="dxa" w:w="4142"/>
            <w:shd w:fill="F2F5F9" w:color="auto" w:val="clear"/>
            <w:tcMar>
              <w:top w:type="dxa" w:w="60"/>
              <w:left w:type="dxa" w:w="90"/>
              <w:bottom w:type="dxa" w:w="60"/>
              <w:right w:type="dxa" w:w="90"/>
            </w:tcMar>
          </w:tcPr>
          <w:p>
            <w:pPr>
              <w:spacing w:after="0" w:before="0"/>
              <w:jc w:val="left"/>
            </w:pPr>
            <w:r>
              <w:rPr>
                <w:color w:val="000000"/>
                <w:sz w:val="17"/>
                <w:szCs w:val="17"/>
              </w:rPr>
              <w:t xml:space="preserve">Close Brothers Asset Management</w:t>
            </w:r>
          </w:p>
        </w:tc>
        <w:tc>
          <w:tcPr>
            <w:tcW w:type="dxa" w:w="5604"/>
            <w:shd w:fill="F2F5F9" w:color="auto" w:val="clear"/>
            <w:tcMar>
              <w:top w:type="dxa" w:w="60"/>
              <w:left w:type="dxa" w:w="90"/>
              <w:bottom w:type="dxa" w:w="60"/>
              <w:right w:type="dxa" w:w="90"/>
            </w:tcMar>
          </w:tcPr>
          <w:p>
            <w:pPr>
              <w:spacing w:after="0" w:before="0"/>
              <w:jc w:val="left"/>
            </w:pPr>
            <w:r>
              <w:rPr>
                <w:color w:val="000000"/>
                <w:sz w:val="17"/>
                <w:szCs w:val="17"/>
              </w:rPr>
              <w:t xml:space="preserve">Sold to Oaktree (2025) — removes the divisional angle at Close Brothers Group</w:t>
            </w:r>
          </w:p>
        </w:tc>
      </w:tr>
    </w:tbl>
    <w:p>
      <w:pPr>
        <w:spacing w:after="160"/>
      </w:pPr>
      <w:r>
        <w:t xml:space="preserve"/>
      </w:r>
    </w:p>
    <w:p>
      <w:pPr>
        <w:pStyle w:val="Heading3"/>
        <w:spacing w:after="100" w:before="220"/>
      </w:pPr>
      <w:r>
        <w:rPr>
          <w:b/>
          <w:bCs/>
          <w:color w:val="2E5C8A"/>
          <w:sz w:val="21"/>
          <w:szCs w:val="21"/>
        </w:rPr>
        <w:t xml:space="preserve">D. Near-misses on the TSR test — monitor list</w:t>
      </w:r>
    </w:p>
    <w:p>
      <w:pPr>
        <w:spacing w:after="100" w:before="60"/>
      </w:pPr>
      <w:r>
        <w:rPr>
          <w:sz w:val="19"/>
          <w:szCs w:val="19"/>
        </w:rPr>
        <w:t xml:space="preserve">These fail the underperformance test </w:t>
      </w:r>
      <w:r>
        <w:rPr>
          <w:i/>
          <w:iCs/>
          <w:sz w:val="19"/>
          <w:szCs w:val="19"/>
        </w:rPr>
        <w:t xml:space="preserve">today</w:t>
      </w:r>
      <w:r>
        <w:rPr>
          <w:sz w:val="19"/>
          <w:szCs w:val="19"/>
        </w:rPr>
        <w:t xml:space="preserve"> but retain live structural angles and belong on a watch list:</w:t>
      </w:r>
    </w:p>
    <w:p>
      <w:pPr>
        <w:pStyle w:val="ListParagraph"/>
        <w:numPr>
          <w:ilvl w:val="0"/>
          <w:numId w:val="2"/>
        </w:numPr>
        <w:spacing w:after="40" w:before="40"/>
      </w:pPr>
      <w:r>
        <w:rPr>
          <w:b/>
          <w:bCs/>
          <w:sz w:val="19"/>
          <w:szCs w:val="19"/>
        </w:rPr>
        <w:t xml:space="preserve">Polar Capital (POLR LN).</w:t>
      </w:r>
      <w:r>
        <w:rPr>
          <w:sz w:val="19"/>
          <w:szCs w:val="19"/>
        </w:rPr>
        <w:t xml:space="preserve"> AUM up 47% to £45bn in the June 2026 quarter on technology and AI inflows, with brokers raising targets sharply. Strong recent TSR removes the underperformance case — but the underlying issues remain: extreme concentration in a single technology franchise, ~£200m of net cash and no capital-return discipline. </w:t>
      </w:r>
      <w:r>
        <w:rPr>
          <w:b/>
          <w:bCs/>
          <w:sz w:val="19"/>
          <w:szCs w:val="19"/>
        </w:rPr>
        <w:t xml:space="preserve">If the technology cycle turns, this becomes a Tier 1 target within two quarters.</w:t>
      </w:r>
    </w:p>
    <w:p>
      <w:pPr>
        <w:pStyle w:val="ListParagraph"/>
        <w:numPr>
          <w:ilvl w:val="0"/>
          <w:numId w:val="2"/>
        </w:numPr>
        <w:spacing w:after="40" w:before="40"/>
      </w:pPr>
      <w:r>
        <w:rPr>
          <w:b/>
          <w:bCs/>
          <w:sz w:val="19"/>
          <w:szCs w:val="19"/>
        </w:rPr>
        <w:t xml:space="preserve">Van Lanschot Kempen (VLK NA).</w:t>
      </w:r>
      <w:r>
        <w:rPr>
          <w:sz w:val="19"/>
          <w:szCs w:val="19"/>
        </w:rPr>
        <w:t xml:space="preserve"> Strong five-year TSR and a clean governance profile (ISS QualityScore of 1) remove the case for now.</w:t>
      </w:r>
    </w:p>
    <w:p>
      <w:pPr>
        <w:pStyle w:val="ListParagraph"/>
        <w:numPr>
          <w:ilvl w:val="0"/>
          <w:numId w:val="2"/>
        </w:numPr>
        <w:spacing w:after="40" w:before="40"/>
      </w:pPr>
      <w:r>
        <w:rPr>
          <w:b/>
          <w:bCs/>
          <w:sz w:val="19"/>
          <w:szCs w:val="19"/>
        </w:rPr>
        <w:t xml:space="preserve">FinecoBank (FBK IM).</w:t>
      </w:r>
      <w:r>
        <w:rPr>
          <w:sz w:val="19"/>
          <w:szCs w:val="19"/>
        </w:rPr>
        <w:t xml:space="preserve"> Fully fragmented register since UniCredit's exit and substantial excess capital — but 30%+ ROE and strong TSR mean there is no mismanagement argument to make.</w:t>
      </w:r>
    </w:p>
    <w:p>
      <w:pPr>
        <w:pStyle w:val="ListParagraph"/>
        <w:numPr>
          <w:ilvl w:val="0"/>
          <w:numId w:val="2"/>
        </w:numPr>
        <w:spacing w:after="40" w:before="40"/>
      </w:pPr>
      <w:r>
        <w:rPr>
          <w:b/>
          <w:bCs/>
          <w:sz w:val="19"/>
          <w:szCs w:val="19"/>
        </w:rPr>
        <w:t xml:space="preserve">AJ Bell (AJB LN)</w:t>
      </w:r>
      <w:r>
        <w:rPr>
          <w:sz w:val="19"/>
          <w:szCs w:val="19"/>
        </w:rPr>
        <w:t xml:space="preserve">, </w:t>
      </w:r>
      <w:r>
        <w:rPr>
          <w:b/>
          <w:bCs/>
          <w:sz w:val="19"/>
          <w:szCs w:val="19"/>
        </w:rPr>
        <w:t xml:space="preserve">Avanza (AZA SS)</w:t>
      </w:r>
      <w:r>
        <w:rPr>
          <w:sz w:val="19"/>
          <w:szCs w:val="19"/>
        </w:rPr>
        <w:t xml:space="preserve">, </w:t>
      </w:r>
      <w:r>
        <w:rPr>
          <w:b/>
          <w:bCs/>
          <w:sz w:val="19"/>
          <w:szCs w:val="19"/>
        </w:rPr>
        <w:t xml:space="preserve">Nordnet (SAVE SS)</w:t>
      </w:r>
      <w:r>
        <w:rPr>
          <w:sz w:val="19"/>
          <w:szCs w:val="19"/>
        </w:rPr>
        <w:t xml:space="preserve">. Well-run platforms with strong returns; no thesis.</w:t>
      </w:r>
    </w:p>
    <w:p>
      <w:pPr>
        <w:pStyle w:val="ListParagraph"/>
        <w:numPr>
          <w:ilvl w:val="0"/>
          <w:numId w:val="2"/>
        </w:numPr>
        <w:spacing w:after="40" w:before="40"/>
      </w:pPr>
      <w:r>
        <w:rPr>
          <w:b/>
          <w:bCs/>
          <w:sz w:val="19"/>
          <w:szCs w:val="19"/>
        </w:rPr>
        <w:t xml:space="preserve">Tatton Asset Management (TAM LN).</w:t>
      </w:r>
      <w:r>
        <w:rPr>
          <w:sz w:val="19"/>
          <w:szCs w:val="19"/>
        </w:rPr>
        <w:t xml:space="preserve"> Net cash, ~48% EBIT margin, and a genuinely sub-scale non-core division (Paradigm) — but the business is well managed and the "mis-managed" limb of the screen is not satisfied.</w:t>
      </w:r>
    </w:p>
    <w:p>
      <w:pPr>
        <w:pBdr>
          <w:bottom w:val="single" w:color="BFBFBF" w:sz="6" w:space="1"/>
        </w:pBdr>
        <w:spacing w:after="160" w:before="160"/>
      </w:pPr>
      <w:r>
        <w:t xml:space="preserve"/>
      </w:r>
    </w:p>
    <w:p>
      <w:pPr>
        <w:pStyle w:val="Heading2"/>
        <w:pBdr>
          <w:bottom w:val="single" w:color="9BB0C9" w:sz="6" w:space="4"/>
        </w:pBdr>
        <w:spacing w:after="140" w:before="300"/>
      </w:pPr>
      <w:r>
        <w:rPr>
          <w:b/>
          <w:bCs/>
          <w:color w:val="1F3864"/>
          <w:sz w:val="25"/>
          <w:szCs w:val="25"/>
        </w:rPr>
        <w:t xml:space="preserve">Suggested next steps</w:t>
      </w:r>
    </w:p>
    <w:p>
      <w:pPr>
        <w:pStyle w:val="ListParagraph"/>
        <w:numPr>
          <w:ilvl w:val="0"/>
          <w:numId w:val="23"/>
        </w:numPr>
        <w:spacing w:after="40" w:before="40"/>
      </w:pPr>
      <w:r>
        <w:rPr>
          <w:b/>
          <w:bCs/>
          <w:sz w:val="19"/>
          <w:szCs w:val="19"/>
        </w:rPr>
        <w:t xml:space="preserve">Refresh every quantitative figure in this document from Bloomberg or FactSet</w:t>
      </w:r>
      <w:r>
        <w:rPr>
          <w:sz w:val="19"/>
          <w:szCs w:val="19"/>
        </w:rPr>
        <w:t xml:space="preserve">, and pull current regulatory shareholding disclosures (RNS Holdings in Company for UK names, AFM for Dutch, CONSOB for Italian, SIX for Swiss, BaFin for German) before any position is built or any approach made.</w:t>
      </w:r>
    </w:p>
    <w:p>
      <w:pPr>
        <w:pStyle w:val="ListParagraph"/>
        <w:numPr>
          <w:ilvl w:val="0"/>
          <w:numId w:val="23"/>
        </w:numPr>
        <w:spacing w:after="40" w:before="40"/>
      </w:pPr>
      <w:r>
        <w:rPr>
          <w:b/>
          <w:bCs/>
          <w:sz w:val="19"/>
          <w:szCs w:val="19"/>
        </w:rPr>
        <w:t xml:space="preserve">Commission a share-register analysis</w:t>
      </w:r>
      <w:r>
        <w:rPr>
          <w:sz w:val="19"/>
          <w:szCs w:val="19"/>
        </w:rPr>
        <w:t xml:space="preserve"> on the Tier 1 names — particularly Liontrust, Brooks Macdonald and Impax, where the registers are small and concentrated enough that a full picture is obtainable and decisive.</w:t>
      </w:r>
    </w:p>
    <w:p>
      <w:pPr>
        <w:pStyle w:val="ListParagraph"/>
        <w:numPr>
          <w:ilvl w:val="0"/>
          <w:numId w:val="23"/>
        </w:numPr>
        <w:spacing w:after="40" w:before="40"/>
      </w:pPr>
      <w:r>
        <w:rPr>
          <w:b/>
          <w:bCs/>
          <w:sz w:val="19"/>
          <w:szCs w:val="19"/>
        </w:rPr>
        <w:t xml:space="preserve">Establish BNP Paribas's posture on Impax and Hellman &amp; Friedman's timetable on Allfunds.</w:t>
      </w:r>
      <w:r>
        <w:rPr>
          <w:sz w:val="19"/>
          <w:szCs w:val="19"/>
        </w:rPr>
        <w:t xml:space="preserve"> In both cases the largest shareholder's intention effectively determines whether the campaign is a six-month or a three-year engagement.</w:t>
      </w:r>
    </w:p>
    <w:p>
      <w:pPr>
        <w:pStyle w:val="ListParagraph"/>
        <w:numPr>
          <w:ilvl w:val="0"/>
          <w:numId w:val="23"/>
        </w:numPr>
        <w:spacing w:after="40" w:before="40"/>
      </w:pPr>
      <w:r>
        <w:rPr>
          <w:b/>
          <w:bCs/>
          <w:sz w:val="19"/>
          <w:szCs w:val="19"/>
        </w:rPr>
        <w:t xml:space="preserve">Prioritise Liontrust.</w:t>
      </w:r>
      <w:r>
        <w:rPr>
          <w:sz w:val="19"/>
          <w:szCs w:val="19"/>
        </w:rPr>
        <w:t xml:space="preserve"> It is the only name where a public activist demand is already outstanding and unanswered, the register is entirely institutional and sitting on an 85% loss, and no controlling holder exists. The cost of building a meaningful stake is low and the groundwork has been laid by someone else.</w:t>
      </w:r>
    </w:p>
    <w:p>
      <w:pPr>
        <w:pBdr>
          <w:bottom w:val="single" w:color="BFBFBF" w:sz="6" w:space="1"/>
        </w:pBdr>
        <w:spacing w:after="160" w:before="160"/>
      </w:pPr>
      <w:r>
        <w:t xml:space="preserve"/>
      </w:r>
    </w:p>
    <w:p>
      <w:pPr>
        <w:spacing w:after="100" w:before="60"/>
      </w:pPr>
      <w:r>
        <w:rPr>
          <w:i/>
          <w:iCs/>
          <w:color w:val="595959"/>
          <w:sz w:val="19"/>
          <w:szCs w:val="19"/>
        </w:rPr>
        <w:t xml:space="preserve">Prepared from public sources. Indicative figures require verification before use. Nothing in this document is investment advice or a recommendation to deal in any security.</w:t>
      </w:r>
    </w:p>
    <w:p>
      <w:pPr>
        <w:pStyle w:val="Heading3"/>
        <w:spacing w:after="100" w:before="220"/>
      </w:pPr>
      <w:r>
        <w:rPr>
          <w:b/>
          <w:bCs/>
          <w:color w:val="2E5C8A"/>
          <w:sz w:val="21"/>
          <w:szCs w:val="21"/>
        </w:rPr>
        <w:t xml:space="preserve">Sources</w:t>
      </w:r>
    </w:p>
    <w:p>
      <w:pPr>
        <w:pStyle w:val="ListParagraph"/>
        <w:numPr>
          <w:ilvl w:val="0"/>
          <w:numId w:val="2"/>
        </w:numPr>
        <w:spacing w:after="40" w:before="40"/>
      </w:pPr>
      <w:hyperlink w:history="1" r:id="rId-rk5mtsnb1npzezgkdgxh">
        <w:r>
          <w:rPr>
            <w:color w:val="2E5C8A"/>
            <w:sz w:val="19"/>
            <w:szCs w:val="19"/>
            <w:u w:val="single"/>
          </w:rPr>
          <w:t xml:space="preserve">Alvarez &amp; Marsal: European activist campaigns rise 11% in 2026 — Portfolio Adviser</w:t>
        </w:r>
      </w:hyperlink>
    </w:p>
    <w:p>
      <w:pPr>
        <w:pStyle w:val="ListParagraph"/>
        <w:numPr>
          <w:ilvl w:val="0"/>
          <w:numId w:val="2"/>
        </w:numPr>
        <w:spacing w:after="40" w:before="40"/>
      </w:pPr>
      <w:hyperlink w:history="1" r:id="rIdv8-ekmhh3s3jg73wupjl9">
        <w:r>
          <w:rPr>
            <w:color w:val="2E5C8A"/>
            <w:sz w:val="19"/>
            <w:szCs w:val="19"/>
            <w:u w:val="single"/>
          </w:rPr>
          <w:t xml:space="preserve">Shareholder Activism: Ten Trends for 2026 — Harvard Law School Forum on Corporate Governance</w:t>
        </w:r>
      </w:hyperlink>
    </w:p>
    <w:p>
      <w:pPr>
        <w:pStyle w:val="ListParagraph"/>
        <w:numPr>
          <w:ilvl w:val="0"/>
          <w:numId w:val="2"/>
        </w:numPr>
        <w:spacing w:after="40" w:before="40"/>
      </w:pPr>
      <w:hyperlink w:history="1" r:id="rIddizzoppav4b2w47mi4auh">
        <w:r>
          <w:rPr>
            <w:color w:val="2E5C8A"/>
            <w:sz w:val="19"/>
            <w:szCs w:val="19"/>
            <w:u w:val="single"/>
          </w:rPr>
          <w:t xml:space="preserve">GAM Alternatives fund managers call on Liontrust Asset Management to commence immediate strategic review (23 March 2026)</w:t>
        </w:r>
      </w:hyperlink>
    </w:p>
    <w:p>
      <w:pPr>
        <w:pStyle w:val="ListParagraph"/>
        <w:numPr>
          <w:ilvl w:val="0"/>
          <w:numId w:val="2"/>
        </w:numPr>
        <w:spacing w:after="40" w:before="40"/>
      </w:pPr>
      <w:hyperlink w:history="1" r:id="rIdz8xao2ecsd0ua46tsbmfi">
        <w:r>
          <w:rPr>
            <w:color w:val="2E5C8A"/>
            <w:sz w:val="19"/>
            <w:szCs w:val="19"/>
            <w:u w:val="single"/>
          </w:rPr>
          <w:t xml:space="preserve">Liontrust — Completion of acquisition &amp; allotment (River Global), 1 July 2026</w:t>
        </w:r>
      </w:hyperlink>
    </w:p>
    <w:p>
      <w:pPr>
        <w:pStyle w:val="ListParagraph"/>
        <w:numPr>
          <w:ilvl w:val="0"/>
          <w:numId w:val="2"/>
        </w:numPr>
        <w:spacing w:after="40" w:before="40"/>
      </w:pPr>
      <w:hyperlink w:history="1" r:id="rIdtzakcqiwdtql3z9z_1ti_">
        <w:r>
          <w:rPr>
            <w:color w:val="2E5C8A"/>
            <w:sz w:val="19"/>
            <w:szCs w:val="19"/>
            <w:u w:val="single"/>
          </w:rPr>
          <w:t xml:space="preserve">Liontrust Asset Management surpasses £24.3bn AuMA following River Global acquisition</w:t>
        </w:r>
      </w:hyperlink>
    </w:p>
    <w:p>
      <w:pPr>
        <w:pStyle w:val="ListParagraph"/>
        <w:numPr>
          <w:ilvl w:val="0"/>
          <w:numId w:val="2"/>
        </w:numPr>
        <w:spacing w:after="40" w:before="40"/>
      </w:pPr>
      <w:hyperlink w:history="1" r:id="rIdhnd9bgtjipn6axynp2hqe">
        <w:r>
          <w:rPr>
            <w:color w:val="2E5C8A"/>
            <w:sz w:val="19"/>
            <w:szCs w:val="19"/>
            <w:u w:val="single"/>
          </w:rPr>
          <w:t xml:space="preserve">Jupiter H1 2026: record AUM, 67% profit jump — Investing.com</w:t>
        </w:r>
      </w:hyperlink>
    </w:p>
    <w:p>
      <w:pPr>
        <w:pStyle w:val="ListParagraph"/>
        <w:numPr>
          <w:ilvl w:val="0"/>
          <w:numId w:val="2"/>
        </w:numPr>
        <w:spacing w:after="40" w:before="40"/>
      </w:pPr>
      <w:hyperlink w:history="1" r:id="rIdz1prr3pbz5sg2e8qdv2zi">
        <w:r>
          <w:rPr>
            <w:color w:val="2E5C8A"/>
            <w:sz w:val="19"/>
            <w:szCs w:val="19"/>
            <w:u w:val="single"/>
          </w:rPr>
          <w:t xml:space="preserve">Jupiter Fund Management completes CCLA acquisition with £16m synergy target</w:t>
        </w:r>
      </w:hyperlink>
    </w:p>
    <w:p>
      <w:pPr>
        <w:pStyle w:val="ListParagraph"/>
        <w:numPr>
          <w:ilvl w:val="0"/>
          <w:numId w:val="2"/>
        </w:numPr>
        <w:spacing w:after="40" w:before="40"/>
      </w:pPr>
      <w:hyperlink w:history="1" r:id="rIdhzu53thietnv4hpwpmdz5">
        <w:r>
          <w:rPr>
            <w:color w:val="2E5C8A"/>
            <w:sz w:val="19"/>
            <w:szCs w:val="19"/>
            <w:u w:val="single"/>
          </w:rPr>
          <w:t xml:space="preserve">Aberdeen Group — Earnings call transcript, H1 2026 — Investing.com</w:t>
        </w:r>
      </w:hyperlink>
    </w:p>
    <w:p>
      <w:pPr>
        <w:pStyle w:val="ListParagraph"/>
        <w:numPr>
          <w:ilvl w:val="0"/>
          <w:numId w:val="2"/>
        </w:numPr>
        <w:spacing w:after="40" w:before="40"/>
      </w:pPr>
      <w:hyperlink w:history="1" r:id="rIdyxgwchqpcle_otm7zo93q">
        <w:r>
          <w:rPr>
            <w:color w:val="2E5C8A"/>
            <w:sz w:val="19"/>
            <w:szCs w:val="19"/>
            <w:u w:val="single"/>
          </w:rPr>
          <w:t xml:space="preserve">Aberdeen's annual profit rises 4% on cost control measures — Global Banking and Finance</w:t>
        </w:r>
      </w:hyperlink>
    </w:p>
    <w:p>
      <w:pPr>
        <w:pStyle w:val="ListParagraph"/>
        <w:numPr>
          <w:ilvl w:val="0"/>
          <w:numId w:val="2"/>
        </w:numPr>
        <w:spacing w:after="40" w:before="40"/>
      </w:pPr>
      <w:hyperlink w:history="1" r:id="rIdbuwmjppy7hlpmi0u-g1tp">
        <w:r>
          <w:rPr>
            <w:color w:val="2E5C8A"/>
            <w:sz w:val="19"/>
            <w:szCs w:val="19"/>
            <w:u w:val="single"/>
          </w:rPr>
          <w:t xml:space="preserve">Ashmore inflows beat estimates as client demand rebounds — Investing.com</w:t>
        </w:r>
      </w:hyperlink>
    </w:p>
    <w:p>
      <w:pPr>
        <w:pStyle w:val="ListParagraph"/>
        <w:numPr>
          <w:ilvl w:val="0"/>
          <w:numId w:val="2"/>
        </w:numPr>
        <w:spacing w:after="40" w:before="40"/>
      </w:pPr>
      <w:hyperlink w:history="1" r:id="rId-05jfpckftnxhvtmnbtna">
        <w:r>
          <w:rPr>
            <w:color w:val="2E5C8A"/>
            <w:sz w:val="19"/>
            <w:szCs w:val="19"/>
            <w:u w:val="single"/>
          </w:rPr>
          <w:t xml:space="preserve">Polar Capital — AuM Update, 9 July 2026</w:t>
        </w:r>
      </w:hyperlink>
    </w:p>
    <w:p>
      <w:pPr>
        <w:pStyle w:val="ListParagraph"/>
        <w:numPr>
          <w:ilvl w:val="0"/>
          <w:numId w:val="2"/>
        </w:numPr>
        <w:spacing w:after="40" w:before="40"/>
      </w:pPr>
      <w:hyperlink w:history="1" r:id="rIdk1v6yk0p15p1lw7ivpd4d">
        <w:r>
          <w:rPr>
            <w:color w:val="2E5C8A"/>
            <w:sz w:val="19"/>
            <w:szCs w:val="19"/>
            <w:u w:val="single"/>
          </w:rPr>
          <w:t xml:space="preserve">Polar Capital grows AuM 43% as technology and AI strategies attract inflows — ADVFN</w:t>
        </w:r>
      </w:hyperlink>
    </w:p>
    <w:p>
      <w:pPr>
        <w:pStyle w:val="ListParagraph"/>
        <w:numPr>
          <w:ilvl w:val="0"/>
          <w:numId w:val="2"/>
        </w:numPr>
        <w:spacing w:after="40" w:before="40"/>
      </w:pPr>
      <w:hyperlink w:history="1" r:id="rIdaq_fshofg3lltuynwbybs">
        <w:r>
          <w:rPr>
            <w:color w:val="2E5C8A"/>
            <w:sz w:val="19"/>
            <w:szCs w:val="19"/>
            <w:u w:val="single"/>
          </w:rPr>
          <w:t xml:space="preserve">Petershill Partners PLC — Investor materials and delisting</w:t>
        </w:r>
      </w:hyperlink>
    </w:p>
    <w:p>
      <w:pPr>
        <w:pStyle w:val="ListParagraph"/>
        <w:numPr>
          <w:ilvl w:val="0"/>
          <w:numId w:val="2"/>
        </w:numPr>
        <w:spacing w:after="40" w:before="40"/>
      </w:pPr>
      <w:hyperlink w:history="1" r:id="rIdsmioifec_mk6buky-u0ar">
        <w:r>
          <w:rPr>
            <w:color w:val="2E5C8A"/>
            <w:sz w:val="19"/>
            <w:szCs w:val="19"/>
            <w:u w:val="single"/>
          </w:rPr>
          <w:t xml:space="preserve">Euronext makes €5.5bn takeover offer for Allfunds — Bloomberg Law</w:t>
        </w:r>
      </w:hyperlink>
    </w:p>
    <w:p>
      <w:pPr>
        <w:pStyle w:val="ListParagraph"/>
        <w:numPr>
          <w:ilvl w:val="0"/>
          <w:numId w:val="2"/>
        </w:numPr>
        <w:spacing w:after="40" w:before="40"/>
      </w:pPr>
      <w:hyperlink w:history="1" r:id="rIdj7v5hjajbf8uplopjep21">
        <w:r>
          <w:rPr>
            <w:color w:val="2E5C8A"/>
            <w:sz w:val="19"/>
            <w:szCs w:val="19"/>
            <w:u w:val="single"/>
          </w:rPr>
          <w:t xml:space="preserve">Euronext withdraws its indicative offer for Allfunds</w:t>
        </w:r>
      </w:hyperlink>
    </w:p>
    <w:p>
      <w:pPr>
        <w:pStyle w:val="ListParagraph"/>
        <w:numPr>
          <w:ilvl w:val="0"/>
          <w:numId w:val="2"/>
        </w:numPr>
        <w:spacing w:after="40" w:before="40"/>
      </w:pPr>
      <w:hyperlink w:history="1" r:id="rIdxmyoej-mct3qvfgf9g3j4">
        <w:r>
          <w:rPr>
            <w:color w:val="2E5C8A"/>
            <w:sz w:val="19"/>
            <w:szCs w:val="19"/>
            <w:u w:val="single"/>
          </w:rPr>
          <w:t xml:space="preserve">Allfunds Group — Share information</w:t>
        </w:r>
      </w:hyperlink>
    </w:p>
    <w:p>
      <w:pPr>
        <w:pStyle w:val="ListParagraph"/>
        <w:numPr>
          <w:ilvl w:val="0"/>
          <w:numId w:val="2"/>
        </w:numPr>
        <w:spacing w:after="40" w:before="40"/>
      </w:pPr>
      <w:hyperlink w:history="1" r:id="rId0dpboddh0jf-nucwgp-qr">
        <w:r>
          <w:rPr>
            <w:color w:val="2E5C8A"/>
            <w:sz w:val="19"/>
            <w:szCs w:val="19"/>
            <w:u w:val="single"/>
          </w:rPr>
          <w:t xml:space="preserve">Julius Baer announces board overhaul — Private Banker International</w:t>
        </w:r>
      </w:hyperlink>
    </w:p>
    <w:p>
      <w:pPr>
        <w:pStyle w:val="ListParagraph"/>
        <w:numPr>
          <w:ilvl w:val="0"/>
          <w:numId w:val="2"/>
        </w:numPr>
        <w:spacing w:after="40" w:before="40"/>
      </w:pPr>
      <w:hyperlink w:history="1" r:id="rId7ggzfhny-xkoet8tjsety">
        <w:r>
          <w:rPr>
            <w:color w:val="2E5C8A"/>
            <w:sz w:val="19"/>
            <w:szCs w:val="19"/>
            <w:u w:val="single"/>
          </w:rPr>
          <w:t xml:space="preserve">Van Lanschot Kempen — Share information</w:t>
        </w:r>
      </w:hyperlink>
    </w:p>
    <w:p>
      <w:pPr>
        <w:pStyle w:val="ListParagraph"/>
        <w:numPr>
          <w:ilvl w:val="0"/>
          <w:numId w:val="2"/>
        </w:numPr>
        <w:spacing w:after="40" w:before="40"/>
      </w:pPr>
      <w:hyperlink w:history="1" r:id="rIdgbyzlrsbhwo8r9rm6uz_g">
        <w:r>
          <w:rPr>
            <w:color w:val="2E5C8A"/>
            <w:sz w:val="19"/>
            <w:szCs w:val="19"/>
            <w:u w:val="single"/>
          </w:rPr>
          <w:t xml:space="preserve">2025: the great Asset Management bifurcation? — The Investors Blog</w:t>
        </w:r>
      </w:hyperlink>
    </w:p>
    <w:p>
      <w:pPr>
        <w:pStyle w:val="ListParagraph"/>
        <w:numPr>
          <w:ilvl w:val="0"/>
          <w:numId w:val="2"/>
        </w:numPr>
        <w:spacing w:after="40" w:before="40"/>
      </w:pPr>
      <w:hyperlink w:history="1" r:id="rIdmlg1ihljnuiapsv2jatu2">
        <w:r>
          <w:rPr>
            <w:color w:val="2E5C8A"/>
            <w:sz w:val="19"/>
            <w:szCs w:val="19"/>
            <w:u w:val="single"/>
          </w:rPr>
          <w:t xml:space="preserve">European Asset Management Industry: Q1 2026 — Morningstar</w:t>
        </w:r>
      </w:hyperlink>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2E5C8A"/>
      </w:rPr>
    </w:lvl>
  </w:abstractNum>
  <w:abstractNum w:abstractNumId="3" w15:restartNumberingAfterBreak="0">
    <w:multiLevelType w:val="hybridMultilevel"/>
    <w:lvl w:ilvl="0" w15:tentative="1">
      <w:start w:val="1"/>
      <w:numFmt w:val="decimal"/>
      <w:lvlText w:val="%1."/>
      <w:lvlJc w:val="left"/>
      <w:pPr>
        <w:ind w:left="400" w:hanging="240"/>
      </w:pPr>
      <w:rPr>
        <w:b/>
        <w:bCs/>
        <w:color w:val="2E5C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5mtsnb1npzezgkdgxh" Type="http://schemas.openxmlformats.org/officeDocument/2006/relationships/hyperlink" Target="https://portfolio-adviser.com/alvarez-marshall-european-activist-campaigns-rise-11-in-2026/" TargetMode="External"/><Relationship Id="rIdv8-ekmhh3s3jg73wupjl9" Type="http://schemas.openxmlformats.org/officeDocument/2006/relationships/hyperlink" Target="https://corpgov.law.harvard.edu/2025/10/16/shareholder-activism-ten-trends-for-2026" TargetMode="External"/><Relationship Id="rIddizzoppav4b2w47mi4auh" Type="http://schemas.openxmlformats.org/officeDocument/2006/relationships/hyperlink" Target="https://www.gam.com/en/news-articles/press-releases/corporate/gam-alternatives-fund-managers-call-on-liontrust-asset-management" TargetMode="External"/><Relationship Id="rIdz8xao2ecsd0ua46tsbmfi" Type="http://schemas.openxmlformats.org/officeDocument/2006/relationships/hyperlink" Target="https://www.tradingview.com/news/reuters.com,2026-07-01:newsml_RSA4793Ka:0-reg-liontrust-asset-mgmt-completion-of-acquisition-allotment/" TargetMode="External"/><Relationship Id="rIdtzakcqiwdtql3z9z_1ti_" Type="http://schemas.openxmlformats.org/officeDocument/2006/relationships/hyperlink" Target="https://kalkinemedia.com/uk/news/announcements/liontrust-asset-management-surpasses-ps243-billion-auma-following-river-global-acquisition" TargetMode="External"/><Relationship Id="rIdhnd9bgtjipn6axynp2hqe" Type="http://schemas.openxmlformats.org/officeDocument/2006/relationships/hyperlink" Target="https://www.investing.com/news/company-news/jupiter-h1-2026-slides-record-aum-67-profit-jump-amid-caution-93CH-4807868" TargetMode="External"/><Relationship Id="rIdz1prr3pbz5sg2e8qdv2zi" Type="http://schemas.openxmlformats.org/officeDocument/2006/relationships/hyperlink" Target="https://joshthompson.co.uk/investing/jupiter-fund-management-completes-ccla-acquisition-synergy-target/" TargetMode="External"/><Relationship Id="rIdhzu53thietnv4hpwpmdz5" Type="http://schemas.openxmlformats.org/officeDocument/2006/relationships/hyperlink" Target="https://www.investing.com/news/transcripts/earnings-call-transcript-aberdeen-standard-posts-strong-h1-2026-shares-fall-69-93CH-4818806" TargetMode="External"/><Relationship Id="rIdyxgwchqpcle_otm7zo93q" Type="http://schemas.openxmlformats.org/officeDocument/2006/relationships/hyperlink" Target="https://www.globalbankingandfinance.com/aberdeens-annual-profit-rises-4-cost-control-measures/" TargetMode="External"/><Relationship Id="rIdbuwmjppy7hlpmi0u-g1tp" Type="http://schemas.openxmlformats.org/officeDocument/2006/relationships/hyperlink" Target="https://www.investing.com/news/stock-market-news/ashmore-inflows-beat-estimates-as-client-demand-rebounds-4789756" TargetMode="External"/><Relationship Id="rId-05jfpckftnxhvtmnbtna" Type="http://schemas.openxmlformats.org/officeDocument/2006/relationships/hyperlink" Target="https://www.tradingview.com/news/reuters.com,2026-07-09:newsml_RSI6021La:0-reg-polar-capital-hldgs-aum-update/" TargetMode="External"/><Relationship Id="rIdk1v6yk0p15p1lw7ivpd4d" Type="http://schemas.openxmlformats.org/officeDocument/2006/relationships/hyperlink" Target="https://uk.advfn.com/market-news/article/14299/polar-capital-grows-aum-43-as-technology-and-ai-strategies-attract-inflows" TargetMode="External"/><Relationship Id="rIdaq_fshofg3lltuynwbybs" Type="http://schemas.openxmlformats.org/officeDocument/2006/relationships/hyperlink" Target="https://www.petershillpartners.com/" TargetMode="External"/><Relationship Id="rIdsmioifec_mk6buky-u0ar" Type="http://schemas.openxmlformats.org/officeDocument/2006/relationships/hyperlink" Target="https://news.bloomberglaw.com/securities-law/euronext-is-said-to-explore-takeover-of-h-f-backed-allfunds-1" TargetMode="External"/><Relationship Id="rIdj7v5hjajbf8uplopjep21" Type="http://schemas.openxmlformats.org/officeDocument/2006/relationships/hyperlink" Target="https://www.euronext.com/en/investor-relations/financial-information/news/euronext-withdraws-its-indicative-offer-for-allfunds" TargetMode="External"/><Relationship Id="rIdxmyoej-mct3qvfgf9g3j4" Type="http://schemas.openxmlformats.org/officeDocument/2006/relationships/hyperlink" Target="https://allfunds.com/en/investors/share/" TargetMode="External"/><Relationship Id="rId0dpboddh0jf-nucwgp-qr" Type="http://schemas.openxmlformats.org/officeDocument/2006/relationships/hyperlink" Target="https://www.privatebankerinternational.com/news/julius-baer-board-overhaul/" TargetMode="External"/><Relationship Id="rId7ggzfhny-xkoet8tjsety" Type="http://schemas.openxmlformats.org/officeDocument/2006/relationships/hyperlink" Target="https://www.vanlanschotkempen.com/en-nl/about-us/investor-relations/share-information" TargetMode="External"/><Relationship Id="rIdgbyzlrsbhwo8r9rm6uz_g" Type="http://schemas.openxmlformats.org/officeDocument/2006/relationships/hyperlink" Target="https://www.theinvestors.blog/p/2025-the-great-asset-management-bifurcation" TargetMode="External"/><Relationship Id="rIdmlg1ihljnuiapsv2jatu2" Type="http://schemas.openxmlformats.org/officeDocument/2006/relationships/hyperlink" Target="https://www.morningstar.com/en-uk/lp/european-asset-manager-industry-pulse"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Asset &amp; Wealth Management — Activist Target Screen</dc:title>
  <dc:creator>Activist Research</dc:creator>
  <dc:description>Screen of 20 activist targets in European asset and wealth management</dc:description>
  <cp:lastModifiedBy>Un-named</cp:lastModifiedBy>
  <cp:revision>1</cp:revision>
  <dcterms:created xsi:type="dcterms:W3CDTF">2026-08-01T22:28:38.120Z</dcterms:created>
  <dcterms:modified xsi:type="dcterms:W3CDTF">2026-08-01T22:28:38.120Z</dcterms:modified>
</cp:coreProperties>
</file>

<file path=docProps/custom.xml><?xml version="1.0" encoding="utf-8"?>
<Properties xmlns="http://schemas.openxmlformats.org/officeDocument/2006/custom-properties" xmlns:vt="http://schemas.openxmlformats.org/officeDocument/2006/docPropsVTypes"/>
</file>