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pPr>
      <w:r>
        <w:rPr>
          <w:rFonts w:ascii="Calibri" w:cs="Calibri" w:eastAsia="Calibri" w:hAnsi="Calibri"/>
          <w:b/>
          <w:bCs/>
          <w:color w:val="44546A"/>
          <w:spacing w:val="80"/>
          <w:sz w:val="22"/>
          <w:szCs w:val="22"/>
        </w:rPr>
        <w:t xml:space="preserve">ACTIVIST SCREEN</w:t>
      </w:r>
    </w:p>
    <w:p>
      <w:pPr>
        <w:pBdr>
          <w:bottom w:val="single" w:color="1F3864" w:sz="12" w:space="8"/>
        </w:pBdr>
        <w:spacing w:after="0"/>
      </w:pPr>
      <w:r>
        <w:rPr>
          <w:rFonts w:ascii="Calibri Light" w:cs="Calibri Light" w:eastAsia="Calibri Light" w:hAnsi="Calibri Light"/>
          <w:b/>
          <w:bCs/>
          <w:color w:val="1F3864"/>
          <w:sz w:val="68"/>
          <w:szCs w:val="68"/>
        </w:rPr>
        <w:t xml:space="preserve">Japan</w:t>
      </w:r>
    </w:p>
    <w:p>
      <w:pPr>
        <w:spacing w:after="60" w:before="220"/>
      </w:pPr>
      <w:r>
        <w:rPr>
          <w:rFonts w:ascii="Calibri Light" w:cs="Calibri Light" w:eastAsia="Calibri Light" w:hAnsi="Calibri Light"/>
          <w:color w:val="1A1A1A"/>
          <w:sz w:val="30"/>
          <w:szCs w:val="30"/>
        </w:rPr>
        <w:t xml:space="preserve">Twenty structurally sound, mis-managed businesses</w:t>
      </w:r>
    </w:p>
    <w:p>
      <w:pPr>
        <w:spacing w:after="500"/>
      </w:pPr>
      <w:r>
        <w:rPr>
          <w:rFonts w:ascii="Calibri" w:cs="Calibri" w:eastAsia="Calibri" w:hAnsi="Calibri"/>
          <w:i/>
          <w:iCs/>
          <w:color w:val="44546A"/>
          <w:sz w:val="21"/>
          <w:szCs w:val="21"/>
        </w:rPr>
        <w:t xml:space="preserve">Sound assets · weak capital discipline · attackable registers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890"/>
      </w:tblGrid>
      <w:tr>
        <w:tc>
          <w:tcPr>
            <w:tcW w:type="dxa" w:w="2000"/>
            <w:tcBorders>
              <w:top w:val="none"/>
              <w:left w:val="none"/>
              <w:bottom w:val="single" w:color="BFBFBF" w:sz="2"/>
              <w:right w:val="none"/>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8"/>
                <w:szCs w:val="18"/>
              </w:rPr>
              <w:t xml:space="preserve">Universe</w:t>
            </w:r>
          </w:p>
        </w:tc>
        <w:tc>
          <w:tcPr>
            <w:tcW w:type="dxa" w:w="7890"/>
            <w:tcBorders>
              <w:top w:val="none"/>
              <w:left w:val="none"/>
              <w:bottom w:val="single" w:color="BFBFBF" w:sz="2"/>
              <w:right w:val="none"/>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8"/>
                <w:szCs w:val="18"/>
              </w:rPr>
              <w:t xml:space="preserve">TSE Prime and Standard listings, market capitalisation above US$200m</w:t>
            </w:r>
          </w:p>
        </w:tc>
      </w:tr>
      <w:tr>
        <w:tc>
          <w:tcPr>
            <w:tcW w:type="dxa" w:w="2000"/>
            <w:tcBorders>
              <w:top w:val="none"/>
              <w:left w:val="none"/>
              <w:bottom w:val="single" w:color="BFBFBF" w:sz="2"/>
              <w:right w:val="none"/>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8"/>
                <w:szCs w:val="18"/>
              </w:rPr>
              <w:t xml:space="preserve">Screen date</w:t>
            </w:r>
          </w:p>
        </w:tc>
        <w:tc>
          <w:tcPr>
            <w:tcW w:type="dxa" w:w="7890"/>
            <w:tcBorders>
              <w:top w:val="none"/>
              <w:left w:val="none"/>
              <w:bottom w:val="single" w:color="BFBFBF" w:sz="2"/>
              <w:right w:val="none"/>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8"/>
                <w:szCs w:val="18"/>
              </w:rPr>
              <w:t xml:space="preserve">August 2026</w:t>
            </w:r>
          </w:p>
        </w:tc>
      </w:tr>
      <w:tr>
        <w:tc>
          <w:tcPr>
            <w:tcW w:type="dxa" w:w="2000"/>
            <w:tcBorders>
              <w:top w:val="none"/>
              <w:left w:val="none"/>
              <w:bottom w:val="single" w:color="BFBFBF" w:sz="2"/>
              <w:right w:val="none"/>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8"/>
                <w:szCs w:val="18"/>
              </w:rPr>
              <w:t xml:space="preserve">Names</w:t>
            </w:r>
          </w:p>
        </w:tc>
        <w:tc>
          <w:tcPr>
            <w:tcW w:type="dxa" w:w="7890"/>
            <w:tcBorders>
              <w:top w:val="none"/>
              <w:left w:val="none"/>
              <w:bottom w:val="single" w:color="BFBFBF" w:sz="2"/>
              <w:right w:val="none"/>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8"/>
                <w:szCs w:val="18"/>
              </w:rPr>
              <w:t xml:space="preserve">20, across nine sectors, grouped into three conviction tiers</w:t>
            </w:r>
          </w:p>
        </w:tc>
      </w:tr>
      <w:tr>
        <w:tc>
          <w:tcPr>
            <w:tcW w:type="dxa" w:w="2000"/>
            <w:tcBorders>
              <w:top w:val="none"/>
              <w:left w:val="none"/>
              <w:bottom w:val="single" w:color="BFBFBF" w:sz="2"/>
              <w:right w:val="none"/>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8"/>
                <w:szCs w:val="18"/>
              </w:rPr>
              <w:t xml:space="preserve">Purpose</w:t>
            </w:r>
          </w:p>
        </w:tc>
        <w:tc>
          <w:tcPr>
            <w:tcW w:type="dxa" w:w="7890"/>
            <w:tcBorders>
              <w:top w:val="none"/>
              <w:left w:val="none"/>
              <w:bottom w:val="single" w:color="BFBFBF" w:sz="2"/>
              <w:right w:val="none"/>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8"/>
                <w:szCs w:val="18"/>
              </w:rPr>
              <w:t xml:space="preserve">Origination shortlist for an engaged / activist mandate</w:t>
            </w:r>
          </w:p>
        </w:tc>
      </w:tr>
    </w:tbl>
    <w:p>
      <w:pPr>
        <w:spacing w:before="600"/>
      </w:pP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single" w:color="E8C9A0" w:sz="2"/>
              <w:left w:val="single" w:color="C8853A" w:sz="18"/>
              <w:bottom w:val="single" w:color="E8C9A0" w:sz="2"/>
              <w:right w:val="single" w:color="E8C9A0" w:sz="2"/>
            </w:tcBorders>
            <w:shd w:fill="FDF6EC" w:color="auto" w:val="clear"/>
            <w:tcMar>
              <w:top w:type="dxa" w:w="70"/>
              <w:left w:type="dxa" w:w="100"/>
              <w:bottom w:type="dxa" w:w="70"/>
              <w:right w:type="dxa" w:w="100"/>
            </w:tcMar>
            <w:vAlign w:val="center"/>
          </w:tcPr>
          <w:p>
            <w:pPr>
              <w:spacing w:after="60"/>
            </w:pPr>
            <w:r>
              <w:rPr>
                <w:rFonts w:ascii="Calibri" w:cs="Calibri" w:eastAsia="Calibri" w:hAnsi="Calibri"/>
                <w:b/>
                <w:bCs/>
                <w:color w:val="8B3A00"/>
                <w:sz w:val="17"/>
                <w:szCs w:val="17"/>
              </w:rPr>
              <w:t xml:space="preserve">IMPORTANT — ON THE FINANCIAL DATA IN THIS DOCUMENT</w:t>
            </w:r>
          </w:p>
          <w:p>
            <w:pPr>
              <w:spacing w:after="0" w:line="250"/>
            </w:pPr>
            <w:r>
              <w:rPr>
                <w:rFonts w:ascii="Calibri" w:cs="Calibri" w:eastAsia="Calibri" w:hAnsi="Calibri"/>
                <w:color w:val="5C3317"/>
                <w:sz w:val="17"/>
                <w:szCs w:val="17"/>
              </w:rPr>
              <w:t xml:space="preserve">All TSR, valuation, margin, leverage and shareholder figures are indicative analyst estimates assembled from public sources and stated as approximations. They are intended to establish relative magnitude and direction, and to support name selection — not to serve as position-sizing inputs. Every figure should be refreshed from Bloomberg, FactSet or the companies' own filings before capital is committed. Shareholder lists in particular are simplified: Japanese registers are dominated by nominee trust accounts (Master Trust Bank, Custody Bank of Japan) that mask the underlying beneficial owners, so beneficial-ownership work is required on any name that advances.</w:t>
            </w:r>
          </w:p>
        </w:tc>
      </w:tr>
    </w:tbl>
    <w:p>
      <w:r>
        <w:br w:type="page"/>
      </w:r>
    </w:p>
    <w:p>
      <w:pPr>
        <w:pStyle w:val="Heading1"/>
        <w:pBdr>
          <w:bottom w:val="single" w:color="1F3864" w:sz="8" w:space="6"/>
        </w:pBdr>
        <w:spacing w:after="160" w:before="60"/>
      </w:pPr>
      <w:r>
        <w:rPr>
          <w:rFonts w:ascii="Calibri Light" w:cs="Calibri Light" w:eastAsia="Calibri Light" w:hAnsi="Calibri Light"/>
          <w:b/>
          <w:bCs/>
          <w:color w:val="1F3864"/>
          <w:sz w:val="30"/>
          <w:szCs w:val="30"/>
        </w:rPr>
        <w:t xml:space="preserve">1.  Mandate, screen and market context</w:t>
      </w:r>
    </w:p>
    <w:p>
      <w:pPr>
        <w:pStyle w:val="Heading2"/>
        <w:spacing w:after="100" w:before="240"/>
      </w:pPr>
      <w:r>
        <w:rPr>
          <w:rFonts w:ascii="Calibri" w:cs="Calibri" w:eastAsia="Calibri" w:hAnsi="Calibri"/>
          <w:b/>
          <w:bCs/>
          <w:color w:val="1F3864"/>
          <w:sz w:val="22"/>
          <w:szCs w:val="22"/>
        </w:rPr>
        <w:t xml:space="preserve">Why Japan, and why now</w:t>
      </w:r>
    </w:p>
    <w:p>
      <w:pPr>
        <w:spacing w:after="100" w:before="0" w:line="264"/>
      </w:pPr>
      <w:r>
        <w:rPr>
          <w:rFonts w:ascii="Calibri" w:cs="Calibri" w:eastAsia="Calibri" w:hAnsi="Calibri"/>
          <w:color w:val="1A1A1A"/>
          <w:sz w:val="19"/>
          <w:szCs w:val="19"/>
        </w:rPr>
        <w:t xml:space="preserve">Japan is the most productive market in the world for engaged capital, and the structural reason is that the state is on the activist's side. The Tokyo Stock Exchange's directive requiring companies to disclose their cost of capital and demonstrate capital efficiency did something no foreign fund could achieve alone: it converted "return our cash" from an adversarial foreign demand into compliance with domestic policy. Domestic institutions that would once have voted with management by default now need a reason not to support capital-efficiency proposals.</w:t>
      </w:r>
    </w:p>
    <w:p>
      <w:pPr>
        <w:spacing w:after="100" w:before="0" w:line="264"/>
      </w:pPr>
      <w:r>
        <w:rPr>
          <w:rFonts w:ascii="Calibri" w:cs="Calibri" w:eastAsia="Calibri" w:hAnsi="Calibri"/>
          <w:color w:val="1A1A1A"/>
          <w:sz w:val="19"/>
          <w:szCs w:val="19"/>
        </w:rPr>
        <w:t xml:space="preserve">The consequence is visible in the data. 2025 was the busiest year on record with 56 campaigns, and activity through the first quarter of 2026 ran ahead of that pace again, with more than 190 new positions or stake increases. Non-Japanese funds accounted for roughly 43% of activity, with Elliott, ValueAct and Palliser operating alongside domestic and regional specialists such as Strategic Capital, 3D Investment Partners, Oasis and the Dalton complex.</w:t>
      </w:r>
    </w:p>
    <w:p>
      <w:pPr>
        <w:spacing w:after="100" w:before="0" w:line="264"/>
      </w:pPr>
      <w:r>
        <w:rPr>
          <w:rFonts w:ascii="Calibri" w:cs="Calibri" w:eastAsia="Calibri" w:hAnsi="Calibri"/>
          <w:color w:val="1A1A1A"/>
          <w:sz w:val="19"/>
          <w:szCs w:val="19"/>
        </w:rPr>
        <w:t xml:space="preserve">Two features of the 2026 environment shape how this screen was built. First, the opportunity has migrated beyond simple low-PBR names: roughly 65% of companies newly targeted in 2026 trade above 1x book, and the profit pool has shifted from correcting undervaluation toward driving genuine business restructuring. Buying cheap assets is no longer the edge — identifying fixable operating and portfolio problems is. Second, the regulatory direction is not uniformly favourable: Japan has moved to tighten the rules around shareholder proposals, which raises the value of campaigns that can win on economic logic and proxy adviser support rather than on procedural mechanics.</w:t>
      </w:r>
    </w:p>
    <w:p>
      <w:pPr>
        <w:pStyle w:val="Heading2"/>
        <w:spacing w:after="100" w:before="240"/>
      </w:pPr>
      <w:r>
        <w:rPr>
          <w:rFonts w:ascii="Calibri" w:cs="Calibri" w:eastAsia="Calibri" w:hAnsi="Calibri"/>
          <w:b/>
          <w:bCs/>
          <w:color w:val="1F3864"/>
          <w:sz w:val="22"/>
          <w:szCs w:val="22"/>
        </w:rPr>
        <w:t xml:space="preserve">Screen criteria applied</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590"/>
      </w:tblGrid>
      <w:tr>
        <w:trPr>
          <w:tblHeader/>
        </w:trPr>
        <w:tc>
          <w:tcPr>
            <w:tcW w:type="dxa" w:w="230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7"/>
                <w:szCs w:val="17"/>
              </w:rPr>
              <w:t xml:space="preserve">Criterion</w:t>
            </w:r>
          </w:p>
        </w:tc>
        <w:tc>
          <w:tcPr>
            <w:tcW w:type="dxa" w:w="759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7"/>
                <w:szCs w:val="17"/>
              </w:rPr>
              <w:t xml:space="preserve">Definition applied</w:t>
            </w:r>
          </w:p>
        </w:tc>
      </w:tr>
      <w:tr>
        <w:tc>
          <w:tcPr>
            <w:tcW w:type="dxa" w:w="23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7"/>
                <w:szCs w:val="17"/>
              </w:rPr>
              <w:t xml:space="preserve">Business quality</w:t>
            </w:r>
          </w:p>
        </w:tc>
        <w:tc>
          <w:tcPr>
            <w:tcW w:type="dxa" w:w="75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7"/>
                <w:szCs w:val="17"/>
              </w:rPr>
              <w:t xml:space="preserve">Structurally sound franchise — defensible share, durable demand, real assets or brand. The problem must be management, not the market.</w:t>
            </w:r>
          </w:p>
        </w:tc>
      </w:tr>
      <w:tr>
        <w:tc>
          <w:tcPr>
            <w:tcW w:type="dxa" w:w="23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7"/>
                <w:szCs w:val="17"/>
              </w:rPr>
              <w:t xml:space="preserve">TSR underperformance</w:t>
            </w:r>
          </w:p>
        </w:tc>
        <w:tc>
          <w:tcPr>
            <w:tcW w:type="dxa" w:w="759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7"/>
                <w:szCs w:val="17"/>
              </w:rPr>
              <w:t xml:space="preserve">3-year and 5-year total shareholder return below both the sector and TOPIX. Two names are flagged as partial fails and included on asset grounds.</w:t>
            </w:r>
          </w:p>
        </w:tc>
      </w:tr>
      <w:tr>
        <w:tc>
          <w:tcPr>
            <w:tcW w:type="dxa" w:w="23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7"/>
                <w:szCs w:val="17"/>
              </w:rPr>
              <w:t xml:space="preserve">Balance sheet capacity</w:t>
            </w:r>
          </w:p>
        </w:tc>
        <w:tc>
          <w:tcPr>
            <w:tcW w:type="dxa" w:w="75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7"/>
                <w:szCs w:val="17"/>
              </w:rPr>
              <w:t xml:space="preserve">Net debt / EBITDA below 1.0x, or net cash. Every name in the screen clears this; most are materially net cash.</w:t>
            </w:r>
          </w:p>
        </w:tc>
      </w:tr>
      <w:tr>
        <w:tc>
          <w:tcPr>
            <w:tcW w:type="dxa" w:w="23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7"/>
                <w:szCs w:val="17"/>
              </w:rPr>
              <w:t xml:space="preserve">Scale</w:t>
            </w:r>
          </w:p>
        </w:tc>
        <w:tc>
          <w:tcPr>
            <w:tcW w:type="dxa" w:w="759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7"/>
                <w:szCs w:val="17"/>
              </w:rPr>
              <w:t xml:space="preserve">Market capitalisation above US$200m. The realised range is roughly US$1.2bn to US$23bn.</w:t>
            </w:r>
          </w:p>
        </w:tc>
      </w:tr>
      <w:tr>
        <w:tc>
          <w:tcPr>
            <w:tcW w:type="dxa" w:w="23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7"/>
                <w:szCs w:val="17"/>
              </w:rPr>
              <w:t xml:space="preserve">Ownership</w:t>
            </w:r>
          </w:p>
        </w:tc>
        <w:tc>
          <w:tcPr>
            <w:tcW w:type="dxa" w:w="75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7"/>
                <w:szCs w:val="17"/>
              </w:rPr>
              <w:t xml:space="preserve">No single shareholder above 40%. Registers are trust-bank and institution heavy, with founder blocs where present held below ~20%.</w:t>
            </w:r>
          </w:p>
        </w:tc>
      </w:tr>
      <w:tr>
        <w:tc>
          <w:tcPr>
            <w:tcW w:type="dxa" w:w="23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7"/>
                <w:szCs w:val="17"/>
              </w:rPr>
              <w:t xml:space="preserve">Fixable issues</w:t>
            </w:r>
          </w:p>
        </w:tc>
        <w:tc>
          <w:tcPr>
            <w:tcW w:type="dxa" w:w="759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7"/>
                <w:szCs w:val="17"/>
              </w:rPr>
              <w:t xml:space="preserve">At least two of: excess overhead, undisciplined M&amp;A, subscale non-core segments, undervalued assets, excess cash, cross-shareholdings, weak board.</w:t>
            </w:r>
          </w:p>
        </w:tc>
      </w:tr>
    </w:tbl>
    <w:p>
      <w:pPr>
        <w:pStyle w:val="Heading2"/>
        <w:spacing w:after="100" w:before="240"/>
      </w:pPr>
      <w:r>
        <w:rPr>
          <w:rFonts w:ascii="Calibri" w:cs="Calibri" w:eastAsia="Calibri" w:hAnsi="Calibri"/>
          <w:b/>
          <w:bCs/>
          <w:color w:val="1F3864"/>
          <w:sz w:val="22"/>
          <w:szCs w:val="22"/>
        </w:rPr>
        <w:t xml:space="preserve">How to read the conviction tiers</w:t>
      </w:r>
    </w:p>
    <w:p>
      <w:pPr>
        <w:pStyle w:val="ListParagraph"/>
        <w:numPr>
          <w:ilvl w:val="0"/>
          <w:numId w:val="2"/>
        </w:numPr>
        <w:spacing w:after="90" w:before="40" w:line="264"/>
      </w:pPr>
      <w:r>
        <w:rPr>
          <w:rFonts w:ascii="Calibri" w:cs="Calibri" w:eastAsia="Calibri" w:hAnsi="Calibri"/>
          <w:color w:val="1A1A1A"/>
          <w:sz w:val="19"/>
          <w:szCs w:val="19"/>
        </w:rPr>
        <w:t xml:space="preserve">Tier 1 — flagship. The clearest combination of a good business, an indefensible record, and an attackable register. These carry the campaign.</w:t>
      </w:r>
    </w:p>
    <w:p>
      <w:pPr>
        <w:pStyle w:val="ListParagraph"/>
        <w:numPr>
          <w:ilvl w:val="0"/>
          <w:numId w:val="2"/>
        </w:numPr>
        <w:spacing w:after="90" w:before="40" w:line="264"/>
      </w:pPr>
      <w:r>
        <w:rPr>
          <w:rFonts w:ascii="Calibri" w:cs="Calibri" w:eastAsia="Calibri" w:hAnsi="Calibri"/>
          <w:color w:val="1A1A1A"/>
          <w:sz w:val="19"/>
          <w:szCs w:val="19"/>
        </w:rPr>
        <w:t xml:space="preserve">Tier 2 — high conviction. Strong theses where either the fix is more operational, the market cap is smaller, or a founder bloc adds friction.</w:t>
      </w:r>
    </w:p>
    <w:p>
      <w:pPr>
        <w:pStyle w:val="ListParagraph"/>
        <w:numPr>
          <w:ilvl w:val="0"/>
          <w:numId w:val="2"/>
        </w:numPr>
        <w:spacing w:after="90" w:before="40" w:line="264"/>
      </w:pPr>
      <w:r>
        <w:rPr>
          <w:rFonts w:ascii="Calibri" w:cs="Calibri" w:eastAsia="Calibri" w:hAnsi="Calibri"/>
          <w:color w:val="1A1A1A"/>
          <w:sz w:val="19"/>
          <w:szCs w:val="19"/>
        </w:rPr>
        <w:t xml:space="preserve">Tier 3 — asset-backed value. Wide discounts to realisable asset value, but harder registers or longer duration. Lower position sizes, disclosure-led engagement.</w:t>
      </w:r>
    </w:p>
    <w:p>
      <w:pPr>
        <w:spacing w:after="100" w:before="0" w:line="264"/>
      </w:pPr>
      <w:r>
        <w:rPr>
          <w:rFonts w:ascii="Calibri" w:cs="Calibri" w:eastAsia="Calibri" w:hAnsi="Calibri"/>
          <w:i/>
          <w:iCs/>
          <w:color w:val="44546A"/>
          <w:sz w:val="19"/>
          <w:szCs w:val="19"/>
        </w:rPr>
        <w:t xml:space="preserve">Several names are marked "crowded" — an activist is already public on the register. Crowding is not a disqualifier; it lowers the cost of establishing that a company is contestable and raises the probability of a concession. It does raise entry prices and reduces the share of value the incremental holder captures.</w:t>
      </w:r>
    </w:p>
    <w:p>
      <w:r>
        <w:br w:type="page"/>
      </w:r>
    </w:p>
    <w:p>
      <w:pPr>
        <w:pStyle w:val="Heading1"/>
        <w:pBdr>
          <w:bottom w:val="single" w:color="1F3864" w:sz="8" w:space="6"/>
        </w:pBdr>
        <w:spacing w:after="160" w:before="60"/>
      </w:pPr>
      <w:r>
        <w:rPr>
          <w:rFonts w:ascii="Calibri Light" w:cs="Calibri Light" w:eastAsia="Calibri Light" w:hAnsi="Calibri Light"/>
          <w:b/>
          <w:bCs/>
          <w:color w:val="1F3864"/>
          <w:sz w:val="30"/>
          <w:szCs w:val="30"/>
        </w:rPr>
        <w:t xml:space="preserve">2.  The screen — twenty names</w:t>
      </w:r>
    </w:p>
    <w:p>
      <w:pPr>
        <w:spacing w:after="180" w:before="0" w:line="264"/>
      </w:pPr>
      <w:r>
        <w:rPr>
          <w:rFonts w:ascii="Calibri" w:cs="Calibri" w:eastAsia="Calibri" w:hAnsi="Calibri"/>
          <w:color w:val="44546A"/>
          <w:sz w:val="19"/>
          <w:szCs w:val="19"/>
        </w:rPr>
        <w:t xml:space="preserve">Ranked by conviction tier, then by the strength of the capital-structure argument. Support ratings reflect the assessed ease of building a winning shareholder coalition, given ownership and governance profile.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
        <w:gridCol w:w="1750"/>
        <w:gridCol w:w="560"/>
        <w:gridCol w:w="900"/>
        <w:gridCol w:w="780"/>
        <w:gridCol w:w="1900"/>
        <w:gridCol w:w="1000"/>
        <w:gridCol w:w="2660"/>
      </w:tblGrid>
      <w:tr>
        <w:trPr>
          <w:tblHeader/>
        </w:trPr>
        <w:tc>
          <w:tcPr>
            <w:tcW w:type="dxa" w:w="34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b/>
                <w:bCs/>
                <w:color w:val="FFFFFF"/>
                <w:sz w:val="15"/>
                <w:szCs w:val="15"/>
              </w:rPr>
              <w:t xml:space="preserve">#</w:t>
            </w:r>
          </w:p>
        </w:tc>
        <w:tc>
          <w:tcPr>
            <w:tcW w:type="dxa" w:w="175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5"/>
                <w:szCs w:val="15"/>
              </w:rPr>
              <w:t xml:space="preserve">Company</w:t>
            </w:r>
          </w:p>
        </w:tc>
        <w:tc>
          <w:tcPr>
            <w:tcW w:type="dxa" w:w="56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5"/>
                <w:szCs w:val="15"/>
              </w:rPr>
              <w:t xml:space="preserve">Ticker</w:t>
            </w:r>
          </w:p>
        </w:tc>
        <w:tc>
          <w:tcPr>
            <w:tcW w:type="dxa" w:w="90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5"/>
                <w:szCs w:val="15"/>
              </w:rPr>
              <w:t xml:space="preserve">Mkt cap</w:t>
            </w:r>
          </w:p>
        </w:tc>
        <w:tc>
          <w:tcPr>
            <w:tcW w:type="dxa" w:w="78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5"/>
                <w:szCs w:val="15"/>
              </w:rPr>
              <w:t xml:space="preserve">3yr TSR</w:t>
            </w:r>
          </w:p>
        </w:tc>
        <w:tc>
          <w:tcPr>
            <w:tcW w:type="dxa" w:w="190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5"/>
                <w:szCs w:val="15"/>
              </w:rPr>
              <w:t xml:space="preserve">Net leverage</w:t>
            </w:r>
          </w:p>
        </w:tc>
        <w:tc>
          <w:tcPr>
            <w:tcW w:type="dxa" w:w="100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5"/>
                <w:szCs w:val="15"/>
              </w:rPr>
              <w:t xml:space="preserve">Support</w:t>
            </w:r>
          </w:p>
        </w:tc>
        <w:tc>
          <w:tcPr>
            <w:tcW w:type="dxa" w:w="266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5"/>
                <w:szCs w:val="15"/>
              </w:rPr>
              <w:t xml:space="preserve">Tier</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Shimano</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7309</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~¥1.9tn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-25%</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¥550bn</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MOD-HIGH</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1 — flagship</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2</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SMC Corporation</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6273</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~¥3.5tn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-10%</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¥1.1tn</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HIGH</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1 — flagship (crowded)</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3</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Kyocera</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6971</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~¥3.0tn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-5%</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 KDDI stake</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HIGH</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1 — flagship (crowded)</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4</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Omron</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6645</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~¥1.0tn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-35%</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 JMDC stake</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HIGH</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1 — flagship</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5</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Nikon</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7731</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~¥600bn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-25%</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¥200bn+</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HIGH</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1 — flagship</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6</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Casio Computer</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6952</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~¥300bn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-30%</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¥80–100bn</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MOD-HIGH</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2 — high conviction</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7</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Mabuchi Motor</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6592</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~¥180bn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A1A1A"/>
                <w:sz w:val="15"/>
                <w:szCs w:val="15"/>
              </w:rPr>
              <w:t xml:space="preserve">+10%</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¥130bn</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HIGH</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1 — highest mechanical certainty</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8</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Hirose Electric</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6806</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~¥700bn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-10%</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¥250bn+</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HIGH</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2 — high conviction</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9</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Alps Alpine</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6770</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~¥300bn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-10%</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Modest net cash</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HIGH</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2 — high conviction (crowded)</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10</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Yamaha Corporation</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7951</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~¥600bn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-35%</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¥100bn + stake</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MOD-HIGH</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2 — high conviction</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11</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Kamigumi</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9364</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~¥500bn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A1A1A"/>
                <w:sz w:val="15"/>
                <w:szCs w:val="15"/>
              </w:rPr>
              <w:t xml:space="preserve">+30%</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 securities</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MODERATE</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3 — asset-backed value</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12</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Mitsubishi Logistics</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9301</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~¥400bn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A1A1A"/>
                <w:sz w:val="15"/>
                <w:szCs w:val="15"/>
              </w:rPr>
              <w:t xml:space="preserve">+15%</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~0.3x + securities</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MODERATE</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3 — asset-backed value</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13</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Yamato Holdings</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9064</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~¥600bn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-40%</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¥100bn</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VERY HIGH</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1 — flagship (highest fixability)</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14</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Shimamura</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8227</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~¥400bn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-10%</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¥150bn+</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MOD-HIGH</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2 — high conviction</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15</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Wacoal Holdings</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3591</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~¥250bn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A1A1A"/>
                <w:sz w:val="15"/>
                <w:szCs w:val="15"/>
              </w:rPr>
              <w:t xml:space="preserve">+20%</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 securities</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MODERATE</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3 — asset-backed value (crowded)</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16</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TBS Holdings</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9401</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~¥600bn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A1A1A"/>
                <w:sz w:val="15"/>
                <w:szCs w:val="15"/>
              </w:rPr>
              <w:t xml:space="preserve">+50%</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 ¥800bn secs</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LOW-MOD</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3 — asset-backed value (difficult register)</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17</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Square Enix Holdings</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9684</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~¥1.1tn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A1A1A"/>
                <w:sz w:val="15"/>
                <w:szCs w:val="15"/>
              </w:rPr>
              <w:t xml:space="preserve">+10%</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¥250bn</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HIGH</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2 — high conviction</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18</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Nihon Kohden</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6849</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~¥350bn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9E2A2B"/>
                <w:sz w:val="15"/>
                <w:szCs w:val="15"/>
              </w:rPr>
              <w:t xml:space="preserve">-30%</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Net cash ¥50bn</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MOD-HIGH</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2 — high conviction</w:t>
            </w:r>
          </w:p>
        </w:tc>
      </w:tr>
      <w:tr>
        <w:tc>
          <w:tcPr>
            <w:tcW w:type="dxa" w:w="34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19</w:t>
            </w:r>
          </w:p>
        </w:tc>
        <w:tc>
          <w:tcPr>
            <w:tcW w:type="dxa" w:w="175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Shimizu Corporation</w:t>
            </w:r>
          </w:p>
        </w:tc>
        <w:tc>
          <w:tcPr>
            <w:tcW w:type="dxa" w:w="5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1803</w:t>
            </w:r>
          </w:p>
        </w:tc>
        <w:tc>
          <w:tcPr>
            <w:tcW w:type="dxa" w:w="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~¥900bn</w:t>
            </w:r>
          </w:p>
        </w:tc>
        <w:tc>
          <w:tcPr>
            <w:tcW w:type="dxa" w:w="78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A1A1A"/>
                <w:sz w:val="15"/>
                <w:szCs w:val="15"/>
              </w:rPr>
              <w:t xml:space="preserve">+20%</w:t>
            </w:r>
          </w:p>
        </w:tc>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~0.5x + property</w:t>
            </w:r>
          </w:p>
        </w:tc>
        <w:tc>
          <w:tcPr>
            <w:tcW w:type="dxa" w:w="10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MOD-HIGH</w:t>
            </w:r>
          </w:p>
        </w:tc>
        <w:tc>
          <w:tcPr>
            <w:tcW w:type="dxa" w:w="266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3 — asset-backed value</w:t>
            </w:r>
          </w:p>
        </w:tc>
      </w:tr>
      <w:tr>
        <w:tc>
          <w:tcPr>
            <w:tcW w:type="dxa" w:w="34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jc w:val="center"/>
            </w:pPr>
            <w:r>
              <w:rPr>
                <w:rFonts w:ascii="Calibri" w:cs="Calibri" w:eastAsia="Calibri" w:hAnsi="Calibri"/>
                <w:color w:val="44546A"/>
                <w:sz w:val="15"/>
                <w:szCs w:val="15"/>
              </w:rPr>
              <w:t xml:space="preserve">20</w:t>
            </w:r>
          </w:p>
        </w:tc>
        <w:tc>
          <w:tcPr>
            <w:tcW w:type="dxa" w:w="175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Nippon Shokubai</w:t>
            </w:r>
          </w:p>
        </w:tc>
        <w:tc>
          <w:tcPr>
            <w:tcW w:type="dxa" w:w="5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4114</w:t>
            </w:r>
          </w:p>
        </w:tc>
        <w:tc>
          <w:tcPr>
            <w:tcW w:type="dxa" w:w="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~¥300bn</w:t>
            </w:r>
          </w:p>
        </w:tc>
        <w:tc>
          <w:tcPr>
            <w:tcW w:type="dxa" w:w="78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A1A1A"/>
                <w:sz w:val="15"/>
                <w:szCs w:val="15"/>
              </w:rPr>
              <w:t xml:space="preserve">flat</w:t>
            </w:r>
          </w:p>
        </w:tc>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5"/>
                <w:szCs w:val="15"/>
              </w:rPr>
              <w:t xml:space="preserve">~0.3x + securities</w:t>
            </w:r>
          </w:p>
        </w:tc>
        <w:tc>
          <w:tcPr>
            <w:tcW w:type="dxa" w:w="10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5"/>
                <w:szCs w:val="15"/>
              </w:rPr>
              <w:t xml:space="preserve">MOD-HIGH</w:t>
            </w:r>
          </w:p>
        </w:tc>
        <w:tc>
          <w:tcPr>
            <w:tcW w:type="dxa" w:w="266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44546A"/>
                <w:sz w:val="15"/>
                <w:szCs w:val="15"/>
              </w:rPr>
              <w:t xml:space="preserve">Tier 3 — deep value, longer duration</w:t>
            </w:r>
          </w:p>
        </w:tc>
      </w:tr>
    </w:tbl>
    <w:p>
      <w:pPr>
        <w:spacing w:after="100" w:before="160" w:line="264"/>
      </w:pPr>
      <w:r>
        <w:rPr>
          <w:rFonts w:ascii="Calibri" w:cs="Calibri" w:eastAsia="Calibri" w:hAnsi="Calibri"/>
          <w:i/>
          <w:iCs/>
          <w:color w:val="44546A"/>
          <w:sz w:val="17"/>
          <w:szCs w:val="17"/>
        </w:rPr>
        <w:t xml:space="preserve">Ten of the twenty are net cash by more than 20% of market capitalisation. Fourteen fail the TSR screen on all three horizons; two (Kamigumi, TBS Holdings) are flagged partial fails and carried on asset-value grounds, and are noted as such in their profiles.</w:t>
      </w:r>
    </w:p>
    <w:p>
      <w:r>
        <w:br w:type="page"/>
      </w:r>
    </w:p>
    <w:p>
      <w:pPr>
        <w:pStyle w:val="Heading1"/>
        <w:pBdr>
          <w:bottom w:val="single" w:color="1F3864" w:sz="8" w:space="6"/>
        </w:pBdr>
        <w:spacing w:after="160" w:before="60"/>
      </w:pPr>
      <w:r>
        <w:rPr>
          <w:rFonts w:ascii="Calibri Light" w:cs="Calibri Light" w:eastAsia="Calibri Light" w:hAnsi="Calibri Light"/>
          <w:b/>
          <w:bCs/>
          <w:color w:val="1F3864"/>
          <w:sz w:val="30"/>
          <w:szCs w:val="30"/>
        </w:rPr>
        <w:t xml:space="preserve">3.  Company profiles</w:t>
      </w:r>
    </w:p>
    <w:p>
      <w:pPr>
        <w:spacing w:after="220" w:before="0" w:line="264"/>
      </w:pPr>
      <w:r>
        <w:rPr>
          <w:rFonts w:ascii="Calibri" w:cs="Calibri" w:eastAsia="Calibri" w:hAnsi="Calibri"/>
          <w:color w:val="44546A"/>
          <w:sz w:val="19"/>
          <w:szCs w:val="19"/>
        </w:rPr>
        <w:t xml:space="preserve">Each profile follows the same structure: the metric set, the register, the three-bullet pitch, the actionable changes, an assessment of shareholder support, the defence to expect, and the activist angles.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  </w:t>
            </w:r>
            <w:r>
              <w:rPr>
                <w:rFonts w:ascii="Calibri Light" w:cs="Calibri Light" w:eastAsia="Calibri Light" w:hAnsi="Calibri Light"/>
                <w:b/>
                <w:bCs/>
                <w:color w:val="FFFFFF"/>
                <w:sz w:val="26"/>
                <w:szCs w:val="26"/>
              </w:rPr>
              <w:t xml:space="preserve">Shimano</w:t>
            </w:r>
            <w:r>
              <w:rPr>
                <w:rFonts w:ascii="Calibri" w:cs="Calibri" w:eastAsia="Calibri" w:hAnsi="Calibri"/>
                <w:color w:val="AFC0DA"/>
                <w:sz w:val="20"/>
                <w:szCs w:val="20"/>
              </w:rPr>
              <w:t xml:space="preserve">   7309.T</w:t>
            </w:r>
          </w:p>
          <w:p>
            <w:pPr>
              <w:spacing w:after="0"/>
            </w:pPr>
            <w:r>
              <w:rPr>
                <w:rFonts w:ascii="Calibri" w:cs="Calibri" w:eastAsia="Calibri" w:hAnsi="Calibri"/>
                <w:color w:val="D2DCEC"/>
                <w:sz w:val="17"/>
                <w:szCs w:val="17"/>
              </w:rPr>
              <w:t xml:space="preserve">Consumer Discretionary — Bicycle components</w:t>
            </w:r>
            <w:r>
              <w:rPr>
                <w:rFonts w:ascii="Calibri" w:cs="Calibri" w:eastAsia="Calibri" w:hAnsi="Calibri"/>
                <w:color w:val="D2DCEC"/>
                <w:sz w:val="17"/>
                <w:szCs w:val="17"/>
              </w:rPr>
              <w:t xml:space="preserve">   ·   ~¥1.9tn (~US$12.5bn)</w:t>
            </w:r>
            <w:r>
              <w:rPr>
                <w:rFonts w:ascii="Calibri" w:cs="Calibri" w:eastAsia="Calibri" w:hAnsi="Calibri"/>
                <w:b/>
                <w:bCs/>
                <w:color w:val="F0C987"/>
                <w:sz w:val="17"/>
                <w:szCs w:val="17"/>
              </w:rPr>
              <w:t xml:space="preserve">   ·   Tier 1 — flagship</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-5% (sector +12%); 3yr ~ -25% (sector +30%); 5yr ~ -35% (TOPIX +55%)</w:t>
            </w:r>
          </w:p>
          <w:p>
            <w:pPr>
              <w:spacing w:after="0" w:line="240"/>
            </w:pPr>
            <w:r>
              <w:rPr>
                <w:rFonts w:ascii="Calibri" w:cs="Calibri" w:eastAsia="Calibri" w:hAnsi="Calibri"/>
                <w:i/>
                <w:iCs/>
                <w:color w:val="44546A"/>
                <w:sz w:val="15"/>
                <w:szCs w:val="15"/>
              </w:rPr>
              <w:t xml:space="preserve">Clear fail vs both sector and index. De-rated ~40% from the 2021 pandemic-bicycle peak and has never re-based its cost structure.</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~2.5x; EV/EBIT ~11x; P/E ~19x; FCF yield ~4%; PBR ~1.4x</w:t>
            </w:r>
          </w:p>
          <w:p>
            <w:pPr>
              <w:spacing w:after="0" w:line="240"/>
            </w:pPr>
            <w:r>
              <w:rPr>
                <w:rFonts w:ascii="Calibri" w:cs="Calibri" w:eastAsia="Calibri" w:hAnsi="Calibri"/>
                <w:i/>
                <w:iCs/>
                <w:color w:val="44546A"/>
                <w:sz w:val="15"/>
                <w:szCs w:val="15"/>
              </w:rPr>
              <w:t xml:space="preserve">Optically not cheap on P/E, but ~29% of market cap is idle cash — EV multiples are materially below the global branded-components peer set.</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~17% (peak 27%); EBITDA ~22%</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~¥550bn. Net debt/EBITDA ~ -2.5x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Shimano family and related entities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~9%</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State Street / SSBTC omnibus accounts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~4%</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Nippon Life / domestic insurers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bl>
    <w:p>
      <w:pPr>
        <w:spacing w:after="100" w:before="70" w:line="264"/>
      </w:pPr>
      <w:r>
        <w:rPr>
          <w:rFonts w:ascii="Calibri" w:cs="Calibri" w:eastAsia="Calibri" w:hAnsi="Calibri"/>
          <w:i/>
          <w:iCs/>
          <w:color w:val="44546A"/>
          <w:sz w:val="16"/>
          <w:szCs w:val="16"/>
        </w:rPr>
        <w:t xml:space="preserve">No controlling block. Family aggregate is influential but well below a blocking stake; foreign institutional ownership is ~35–40%.</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Shimano owns one of the best industrial franchises in the world — ~70% share of a duopoly market with genuine pricing power — and is run like a family savings account, not a business. Roughly a third of the market cap sits in cash earning nothing.</w:t>
      </w:r>
    </w:p>
    <w:p>
      <w:pPr>
        <w:pStyle w:val="ListParagraph"/>
        <w:numPr>
          <w:ilvl w:val="0"/>
          <w:numId w:val="2"/>
        </w:numPr>
        <w:spacing w:after="90" w:before="40" w:line="264"/>
      </w:pPr>
      <w:r>
        <w:rPr>
          <w:rFonts w:ascii="Calibri" w:cs="Calibri" w:eastAsia="Calibri" w:hAnsi="Calibri"/>
          <w:color w:val="1A1A1A"/>
          <w:sz w:val="19"/>
          <w:szCs w:val="19"/>
        </w:rPr>
        <w:t xml:space="preserve">Management treated the 2021 bicycle bubble as the new normal. Revenue has normalised but the fixed cost base has not: EBIT margin has fallen from 27% to ~17% with no credible plan to recover it.</w:t>
      </w:r>
    </w:p>
    <w:p>
      <w:pPr>
        <w:pStyle w:val="ListParagraph"/>
        <w:numPr>
          <w:ilvl w:val="0"/>
          <w:numId w:val="2"/>
        </w:numPr>
        <w:spacing w:after="90" w:before="40" w:line="264"/>
      </w:pPr>
      <w:r>
        <w:rPr>
          <w:rFonts w:ascii="Calibri" w:cs="Calibri" w:eastAsia="Calibri" w:hAnsi="Calibri"/>
          <w:color w:val="1A1A1A"/>
          <w:sz w:val="19"/>
          <w:szCs w:val="19"/>
        </w:rPr>
        <w:t xml:space="preserve">There is no capital allocation framework at all — no ROE target, no payout policy, no buyback discipline. The equity story is a great business permanently diluted by a bad balance sheet.</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Adopt a formal capital allocation policy: target net cash capped at ~1 year of capex plus working capital, returning the surplus (~¥300–350bn) via a multi-year buyback. This alone is ~18% of market cap.</w:t>
      </w:r>
    </w:p>
    <w:p>
      <w:pPr>
        <w:pStyle w:val="ListParagraph"/>
        <w:numPr>
          <w:ilvl w:val="0"/>
          <w:numId w:val="3"/>
        </w:numPr>
        <w:spacing w:after="90" w:before="40" w:line="264"/>
      </w:pPr>
      <w:r>
        <w:rPr>
          <w:rFonts w:ascii="Calibri" w:cs="Calibri" w:eastAsia="Calibri" w:hAnsi="Calibri"/>
          <w:color w:val="1A1A1A"/>
          <w:sz w:val="19"/>
          <w:szCs w:val="19"/>
        </w:rPr>
        <w:t xml:space="preserve">Right-size the post-bubble cost base with a public margin bridge back to a 22–24% EBIT target, including capacity rationalisation in Southeast Asian assembly.</w:t>
      </w:r>
    </w:p>
    <w:p>
      <w:pPr>
        <w:pStyle w:val="ListParagraph"/>
        <w:numPr>
          <w:ilvl w:val="0"/>
          <w:numId w:val="3"/>
        </w:numPr>
        <w:spacing w:after="90" w:before="40" w:line="264"/>
      </w:pPr>
      <w:r>
        <w:rPr>
          <w:rFonts w:ascii="Calibri" w:cs="Calibri" w:eastAsia="Calibri" w:hAnsi="Calibri"/>
          <w:color w:val="1A1A1A"/>
          <w:sz w:val="19"/>
          <w:szCs w:val="19"/>
        </w:rPr>
        <w:t xml:space="preserve">Review the fishing tackle division (~20% of sales, structurally lower return, no strategic overlap with cycling) for separation or sale, and add independent directors with capital markets experience.</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MODERATE-TO-HIGH. Ownership is trust-bank and foreign-institution heavy with no blocking family stake, and the overcapitalisation argument is unusually easy to explain to domestic institutions post-TSE reform. The obstacles are cultural rather than arithmetic: Shimano is a revered Osaka franchise, and domestic holders will support balance-sheet demands far more readily than any demand touching the family's board representation. Lead with capital return, not governance.</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Expect management to argue that a fortress balance sheet is what allowed Shimano to out-invest Campagnolo and SRAM through cycles, that the cash funds a multi-year capacity and R&amp;D programme, and that bicycle demand is inherently volatile so buffers are prudent. They will point to the recent modest dividend increases as evidence of responsiveness, and to their long-run share gains as proof the model works. The genuinely strong version of their defence is that Shimano's competitive position was built by patient capital — the counter is that ¥550bn is far beyond any plausible investment programme.</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the core thesis. Surplus cash is ~29% of market cap with no stated policy.</w:t>
      </w:r>
    </w:p>
    <w:p>
      <w:pPr>
        <w:pStyle w:val="ListParagraph"/>
        <w:numPr>
          <w:ilvl w:val="0"/>
          <w:numId w:val="2"/>
        </w:numPr>
        <w:spacing w:after="90" w:before="40" w:line="264"/>
      </w:pPr>
      <w:r>
        <w:rPr>
          <w:rFonts w:ascii="Calibri" w:cs="Calibri" w:eastAsia="Calibri" w:hAnsi="Calibri"/>
          <w:color w:val="1A1A1A"/>
          <w:sz w:val="18"/>
          <w:szCs w:val="18"/>
        </w:rPr>
        <w:t xml:space="preserve">Cost structure / margin recovery — post-bubble operating leverage never reversed.</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fishing tackle is a subscale, non-synergistic second business.</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2.  </w:t>
            </w:r>
            <w:r>
              <w:rPr>
                <w:rFonts w:ascii="Calibri Light" w:cs="Calibri Light" w:eastAsia="Calibri Light" w:hAnsi="Calibri Light"/>
                <w:b/>
                <w:bCs/>
                <w:color w:val="FFFFFF"/>
                <w:sz w:val="26"/>
                <w:szCs w:val="26"/>
              </w:rPr>
              <w:t xml:space="preserve">SMC Corporation</w:t>
            </w:r>
            <w:r>
              <w:rPr>
                <w:rFonts w:ascii="Calibri" w:cs="Calibri" w:eastAsia="Calibri" w:hAnsi="Calibri"/>
                <w:color w:val="AFC0DA"/>
                <w:sz w:val="20"/>
                <w:szCs w:val="20"/>
              </w:rPr>
              <w:t xml:space="preserve">   6273.T</w:t>
            </w:r>
          </w:p>
          <w:p>
            <w:pPr>
              <w:spacing w:after="0"/>
            </w:pPr>
            <w:r>
              <w:rPr>
                <w:rFonts w:ascii="Calibri" w:cs="Calibri" w:eastAsia="Calibri" w:hAnsi="Calibri"/>
                <w:color w:val="D2DCEC"/>
                <w:sz w:val="17"/>
                <w:szCs w:val="17"/>
              </w:rPr>
              <w:t xml:space="preserve">Industrials — Pneumatic automation components</w:t>
            </w:r>
            <w:r>
              <w:rPr>
                <w:rFonts w:ascii="Calibri" w:cs="Calibri" w:eastAsia="Calibri" w:hAnsi="Calibri"/>
                <w:color w:val="D2DCEC"/>
                <w:sz w:val="17"/>
                <w:szCs w:val="17"/>
              </w:rPr>
              <w:t xml:space="preserve">   ·   ~¥3.5tn (~US$23bn)</w:t>
            </w:r>
            <w:r>
              <w:rPr>
                <w:rFonts w:ascii="Calibri" w:cs="Calibri" w:eastAsia="Calibri" w:hAnsi="Calibri"/>
                <w:b/>
                <w:bCs/>
                <w:color w:val="F0C987"/>
                <w:sz w:val="17"/>
                <w:szCs w:val="17"/>
              </w:rPr>
              <w:t xml:space="preserve">   ·   Tier 1 — flagship (crowded)</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-8% (sector +10%); 3yr ~ -10% (sector +25%); 5yr ~ +5% (TOPIX +55%)</w:t>
            </w:r>
          </w:p>
          <w:p>
            <w:pPr>
              <w:spacing w:after="0" w:line="240"/>
            </w:pPr>
            <w:r>
              <w:rPr>
                <w:rFonts w:ascii="Calibri" w:cs="Calibri" w:eastAsia="Calibri" w:hAnsi="Calibri"/>
                <w:i/>
                <w:iCs/>
                <w:color w:val="44546A"/>
                <w:sz w:val="15"/>
                <w:szCs w:val="15"/>
              </w:rPr>
              <w:t xml:space="preserve">Fails on 3yr and 5yr relative. A world-class asset that has delivered index-lagging returns because earnings growth is absorbed by an ever-growing cash pile.</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~3.0x; EV/EBIT ~13x; P/E ~19x; FCF yield ~3.5%; PBR ~1.7x</w:t>
            </w:r>
          </w:p>
          <w:p>
            <w:pPr>
              <w:spacing w:after="0" w:line="240"/>
            </w:pPr>
            <w:r>
              <w:rPr>
                <w:rFonts w:ascii="Calibri" w:cs="Calibri" w:eastAsia="Calibri" w:hAnsi="Calibri"/>
                <w:i/>
                <w:iCs/>
                <w:color w:val="44546A"/>
                <w:sz w:val="15"/>
                <w:szCs w:val="15"/>
              </w:rPr>
              <w:t xml:space="preserve">Trades at a persistent discount to Festo/Parker-Hannifin on EV/EBIT despite superior margins — a governance and capital-structure discount, not an operating one.</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~28%; EBITDA ~33%</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~¥1.1tn (&gt;30% of market cap). Net debt/EBITDA ~ -2.0x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~14%</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Takada family and related holding vehicles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Palliser Capital (activist, disclosed 2026)</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~2%</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BlackRock / Capital / SSgA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~10%+</w:t>
            </w:r>
          </w:p>
        </w:tc>
      </w:tr>
    </w:tbl>
    <w:p>
      <w:pPr>
        <w:spacing w:after="100" w:before="70" w:line="264"/>
      </w:pPr>
      <w:r>
        <w:rPr>
          <w:rFonts w:ascii="Calibri" w:cs="Calibri" w:eastAsia="Calibri" w:hAnsi="Calibri"/>
          <w:i/>
          <w:iCs/>
          <w:color w:val="44546A"/>
          <w:sz w:val="16"/>
          <w:szCs w:val="16"/>
        </w:rPr>
        <w:t xml:space="preserve">Founder-family aggregate ~15% is the single largest voting bloc but is far short of control. Foreign ownership is roughly 40%.</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SMC earns 28% EBIT margins with a genuine global share lead in pneumatics, and yet has underperformed the index over five years. The reason is not the business — it is a ¥1.1tn cash hoard that is more than 30% of the market cap and earns nothing.</w:t>
      </w:r>
    </w:p>
    <w:p>
      <w:pPr>
        <w:pStyle w:val="ListParagraph"/>
        <w:numPr>
          <w:ilvl w:val="0"/>
          <w:numId w:val="2"/>
        </w:numPr>
        <w:spacing w:after="90" w:before="40" w:line="264"/>
      </w:pPr>
      <w:r>
        <w:rPr>
          <w:rFonts w:ascii="Calibri" w:cs="Calibri" w:eastAsia="Calibri" w:hAnsi="Calibri"/>
          <w:color w:val="1A1A1A"/>
          <w:sz w:val="19"/>
          <w:szCs w:val="19"/>
        </w:rPr>
        <w:t xml:space="preserve">Governance is among the weakest in the Japanese large-cap universe: a board dominated by insiders, minimal English-language disclosure, no cost of capital disclosure, and no engagement with the TSE's own capital-efficiency directive.</w:t>
      </w:r>
    </w:p>
    <w:p>
      <w:pPr>
        <w:pStyle w:val="ListParagraph"/>
        <w:numPr>
          <w:ilvl w:val="0"/>
          <w:numId w:val="2"/>
        </w:numPr>
        <w:spacing w:after="90" w:before="40" w:line="264"/>
      </w:pPr>
      <w:r>
        <w:rPr>
          <w:rFonts w:ascii="Calibri" w:cs="Calibri" w:eastAsia="Calibri" w:hAnsi="Calibri"/>
          <w:color w:val="1A1A1A"/>
          <w:sz w:val="19"/>
          <w:szCs w:val="19"/>
        </w:rPr>
        <w:t xml:space="preserve">Every year of inaction transfers value from minority shareholders to an idle treasury. A company with this quality of earnings should be a compounding machine, not a low-yielding bond with an equity wrapper.</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Execute a large-scale buyback — Palliser's ~¥560bn ask is credible and would still leave the company net cash. Pair it with a standing policy capping net cash at a stated multiple of operating needs.</w:t>
      </w:r>
    </w:p>
    <w:p>
      <w:pPr>
        <w:pStyle w:val="ListParagraph"/>
        <w:numPr>
          <w:ilvl w:val="0"/>
          <w:numId w:val="3"/>
        </w:numPr>
        <w:spacing w:after="90" w:before="40" w:line="264"/>
      </w:pPr>
      <w:r>
        <w:rPr>
          <w:rFonts w:ascii="Calibri" w:cs="Calibri" w:eastAsia="Calibri" w:hAnsi="Calibri"/>
          <w:color w:val="1A1A1A"/>
          <w:sz w:val="19"/>
          <w:szCs w:val="19"/>
        </w:rPr>
        <w:t xml:space="preserve">Bring governance to large-cap norms: majority-independent board, a nomination committee with real authority, full English disclosure, and explicit cost-of-capital and ROE targets under the TSE framework.</w:t>
      </w:r>
    </w:p>
    <w:p>
      <w:pPr>
        <w:pStyle w:val="ListParagraph"/>
        <w:numPr>
          <w:ilvl w:val="0"/>
          <w:numId w:val="3"/>
        </w:numPr>
        <w:spacing w:after="90" w:before="40" w:line="264"/>
      </w:pPr>
      <w:r>
        <w:rPr>
          <w:rFonts w:ascii="Calibri" w:cs="Calibri" w:eastAsia="Calibri" w:hAnsi="Calibri"/>
          <w:color w:val="1A1A1A"/>
          <w:sz w:val="19"/>
          <w:szCs w:val="19"/>
        </w:rPr>
        <w:t xml:space="preserve">Disclose segment and regional profitability so the market can underwrite the earnings quality that management insists exists.</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HIGH on capital return, MODERATE on governance. This is close to the ideal register for an activist: ~40% foreign, trust-bank heavy, no controlling shareholder, and a credible activist (Palliser) already carrying the argument publicly. ISS and Glass Lewis are highly likely to support buyback and disclosure proposals given the company's non-engagement with TSE guidance. The family bloc plus sympathetic domestic holders can still defeat a board-composition fight, so the realistic path is winning decisively on capital and disclosure and letting board change follow.</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its cash is the reason SMC can hold inventory depth and lead times competitors cannot match — a genuine operational moat in automation components — and that the cash buffers extreme capex cyclicality. They will note that they have raised dividends and done incremental buybacks, and will resist governance change as a foreign imposition inappropriate to a founder-led company. The weak point in this defence is arithmetic: the working capital argument justifies a fraction of ¥1.1tn, and management has never published the calculation.</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the largest absolute idle cash balance in the Japanese mid/large-cap universe.</w:t>
      </w:r>
    </w:p>
    <w:p>
      <w:pPr>
        <w:pStyle w:val="ListParagraph"/>
        <w:numPr>
          <w:ilvl w:val="0"/>
          <w:numId w:val="2"/>
        </w:numPr>
        <w:spacing w:after="90" w:before="40" w:line="264"/>
      </w:pPr>
      <w:r>
        <w:rPr>
          <w:rFonts w:ascii="Calibri" w:cs="Calibri" w:eastAsia="Calibri" w:hAnsi="Calibri"/>
          <w:color w:val="1A1A1A"/>
          <w:sz w:val="18"/>
          <w:szCs w:val="18"/>
        </w:rPr>
        <w:t xml:space="preserve">Governance — insider board, minimal disclosure, no cost-of-capital framework.</w:t>
      </w:r>
    </w:p>
    <w:p>
      <w:pPr>
        <w:pStyle w:val="ListParagraph"/>
        <w:numPr>
          <w:ilvl w:val="0"/>
          <w:numId w:val="2"/>
        </w:numPr>
        <w:spacing w:after="90" w:before="40" w:line="264"/>
      </w:pPr>
      <w:r>
        <w:rPr>
          <w:rFonts w:ascii="Calibri" w:cs="Calibri" w:eastAsia="Calibri" w:hAnsi="Calibri"/>
          <w:color w:val="1A1A1A"/>
          <w:sz w:val="18"/>
          <w:szCs w:val="18"/>
        </w:rPr>
        <w:t xml:space="preserve">Disclosure / re-rating — segment transparency is the cheapest route to closing the peer discount.</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3.  </w:t>
            </w:r>
            <w:r>
              <w:rPr>
                <w:rFonts w:ascii="Calibri Light" w:cs="Calibri Light" w:eastAsia="Calibri Light" w:hAnsi="Calibri Light"/>
                <w:b/>
                <w:bCs/>
                <w:color w:val="FFFFFF"/>
                <w:sz w:val="26"/>
                <w:szCs w:val="26"/>
              </w:rPr>
              <w:t xml:space="preserve">Kyocera</w:t>
            </w:r>
            <w:r>
              <w:rPr>
                <w:rFonts w:ascii="Calibri" w:cs="Calibri" w:eastAsia="Calibri" w:hAnsi="Calibri"/>
                <w:color w:val="AFC0DA"/>
                <w:sz w:val="20"/>
                <w:szCs w:val="20"/>
              </w:rPr>
              <w:t xml:space="preserve">   6971.T</w:t>
            </w:r>
          </w:p>
          <w:p>
            <w:pPr>
              <w:spacing w:after="0"/>
            </w:pPr>
            <w:r>
              <w:rPr>
                <w:rFonts w:ascii="Calibri" w:cs="Calibri" w:eastAsia="Calibri" w:hAnsi="Calibri"/>
                <w:color w:val="D2DCEC"/>
                <w:sz w:val="17"/>
                <w:szCs w:val="17"/>
              </w:rPr>
              <w:t xml:space="preserve">Information Technology — Diversified electronics</w:t>
            </w:r>
            <w:r>
              <w:rPr>
                <w:rFonts w:ascii="Calibri" w:cs="Calibri" w:eastAsia="Calibri" w:hAnsi="Calibri"/>
                <w:color w:val="D2DCEC"/>
                <w:sz w:val="17"/>
                <w:szCs w:val="17"/>
              </w:rPr>
              <w:t xml:space="preserve">   ·   ~¥3.0tn (~US$20bn)</w:t>
            </w:r>
            <w:r>
              <w:rPr>
                <w:rFonts w:ascii="Calibri" w:cs="Calibri" w:eastAsia="Calibri" w:hAnsi="Calibri"/>
                <w:b/>
                <w:bCs/>
                <w:color w:val="F0C987"/>
                <w:sz w:val="17"/>
                <w:szCs w:val="17"/>
              </w:rPr>
              <w:t xml:space="preserve">   ·   Tier 1 — flagship (crowded)</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flat (sector +15%); 3yr ~ -5% (sector +35%); 5yr ~ -10% (TOPIX +55%)</w:t>
            </w:r>
          </w:p>
          <w:p>
            <w:pPr>
              <w:spacing w:after="0" w:line="240"/>
            </w:pPr>
            <w:r>
              <w:rPr>
                <w:rFonts w:ascii="Calibri" w:cs="Calibri" w:eastAsia="Calibri" w:hAnsi="Calibri"/>
                <w:i/>
                <w:iCs/>
                <w:color w:val="44546A"/>
                <w:sz w:val="15"/>
                <w:szCs w:val="15"/>
              </w:rPr>
              <w:t xml:space="preserve">Severe and sustained underperformance. The stock has effectively tracked the KDDI stake while the operating business has de-rated to nil.</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~1.2x headline; core business trades at a negative implied enterprise value after marking the KDDI stake. P/E ~30x; FCF yield ~2%; PBR ~0.9x</w:t>
            </w:r>
          </w:p>
          <w:p>
            <w:pPr>
              <w:spacing w:after="0" w:line="240"/>
            </w:pPr>
            <w:r>
              <w:rPr>
                <w:rFonts w:ascii="Calibri" w:cs="Calibri" w:eastAsia="Calibri" w:hAnsi="Calibri"/>
                <w:i/>
                <w:iCs/>
                <w:color w:val="44546A"/>
                <w:sz w:val="15"/>
                <w:szCs w:val="15"/>
              </w:rPr>
              <w:t xml:space="preserve">The single clearest sum-of-the-parts dislocation in Japanese large caps: the ~¥2.5tn+ KDDI holding approaches the entire market cap.</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~4–5%; EBITDA ~12%</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at the parent excluding securities; the KDDI stake alone is unencumbered and highly liquid</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~13%</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Oasis Management (activist)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Nippon Life / domestic insurers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Kyocera-related foundations and employee plans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bl>
    <w:p>
      <w:pPr>
        <w:spacing w:after="100" w:before="70" w:line="264"/>
      </w:pPr>
      <w:r>
        <w:rPr>
          <w:rFonts w:ascii="Calibri" w:cs="Calibri" w:eastAsia="Calibri" w:hAnsi="Calibri"/>
          <w:i/>
          <w:iCs/>
          <w:color w:val="44546A"/>
          <w:sz w:val="16"/>
          <w:szCs w:val="16"/>
        </w:rPr>
        <w:t xml:space="preserve">Genuinely fragmented — no shareholder near control. This is one of the most structurally attackable registers among Japanese large caps.</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You can buy Kyocera's entire operating business — components, semiconductor packages, industrial tools, printers, solar — for less than nothing. The KDDI stake is worth roughly the whole market cap, and shareholders get 15 operating segments thrown in free.</w:t>
      </w:r>
    </w:p>
    <w:p>
      <w:pPr>
        <w:pStyle w:val="ListParagraph"/>
        <w:numPr>
          <w:ilvl w:val="0"/>
          <w:numId w:val="2"/>
        </w:numPr>
        <w:spacing w:after="90" w:before="40" w:line="264"/>
      </w:pPr>
      <w:r>
        <w:rPr>
          <w:rFonts w:ascii="Calibri" w:cs="Calibri" w:eastAsia="Calibri" w:hAnsi="Calibri"/>
          <w:color w:val="1A1A1A"/>
          <w:sz w:val="19"/>
          <w:szCs w:val="19"/>
        </w:rPr>
        <w:t xml:space="preserve">That discount is not a market error, it is a governance verdict. Management has held the KDDI stake for decades while running a core business at 4–5% EBIT margins, and has repeatedly told shareholders the stake is 'strategic' without ever explaining the strategy.</w:t>
      </w:r>
    </w:p>
    <w:p>
      <w:pPr>
        <w:pStyle w:val="ListParagraph"/>
        <w:numPr>
          <w:ilvl w:val="0"/>
          <w:numId w:val="2"/>
        </w:numPr>
        <w:spacing w:after="90" w:before="40" w:line="264"/>
      </w:pPr>
      <w:r>
        <w:rPr>
          <w:rFonts w:ascii="Calibri" w:cs="Calibri" w:eastAsia="Calibri" w:hAnsi="Calibri"/>
          <w:color w:val="1A1A1A"/>
          <w:sz w:val="19"/>
          <w:szCs w:val="19"/>
        </w:rPr>
        <w:t xml:space="preserve">In June 2026 both ISS and Glass Lewis backed Oasis against the chairman's reappointment. The market has now formally priced in that this board will not act voluntarily.</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Monetise the KDDI stake in a phased, tax-efficient programme — collar, exchangeable, or staged block sales — and commit the proceeds to buybacks. Even a partial sell-down at this discount is enormously accretive.</w:t>
      </w:r>
    </w:p>
    <w:p>
      <w:pPr>
        <w:pStyle w:val="ListParagraph"/>
        <w:numPr>
          <w:ilvl w:val="0"/>
          <w:numId w:val="3"/>
        </w:numPr>
        <w:spacing w:after="90" w:before="40" w:line="264"/>
      </w:pPr>
      <w:r>
        <w:rPr>
          <w:rFonts w:ascii="Calibri" w:cs="Calibri" w:eastAsia="Calibri" w:hAnsi="Calibri"/>
          <w:color w:val="1A1A1A"/>
          <w:sz w:val="19"/>
          <w:szCs w:val="19"/>
        </w:rPr>
        <w:t xml:space="preserve">Exit or divest the structurally loss-making and subscale segments (solar energy, document/printer solutions) and set a divisional hurdle rate with a fixed timetable for anything below it.</w:t>
      </w:r>
    </w:p>
    <w:p>
      <w:pPr>
        <w:pStyle w:val="ListParagraph"/>
        <w:numPr>
          <w:ilvl w:val="0"/>
          <w:numId w:val="3"/>
        </w:numPr>
        <w:spacing w:after="90" w:before="40" w:line="264"/>
      </w:pPr>
      <w:r>
        <w:rPr>
          <w:rFonts w:ascii="Calibri" w:cs="Calibri" w:eastAsia="Calibri" w:hAnsi="Calibri"/>
          <w:color w:val="1A1A1A"/>
          <w:sz w:val="19"/>
          <w:szCs w:val="19"/>
        </w:rPr>
        <w:t xml:space="preserve">Refresh the board with independent directors who have capital markets and portfolio-restructuring experience, and separate the chairman and CEO roles.</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HIGH. The register is fragmented, foreign ownership is substantial, and — critically — the proxy advisers have already gone on record against the chairman. Domestic institutions that would normally defer to a founder-legacy company have far more cover here because the SOTP argument requires no judgement about strategy, only arithmetic. The 2026 AGM demonstrated that a well-constructed proposal draws serious support; the constraint is that management can concede a partial buyback to defuse momentum without addressing the KDDI stake.</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Kyocera will invoke the Inamori management philosophy and argue the KDDI stake is a founding legacy asset with strategic value in telecoms components, and that selling would trigger a very large deferred tax liability given the near-zero cost basis. They will argue the diversified portfolio is deliberately counter-cyclical and that solar and printers are being restructured. The tax argument is the only serious one — but it is an argument for a structured, phased monetisation, not for permanent inaction.</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SOTP — monetise KDDI; the clearest large-cap value gap in Japan.</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proceeds to buyback rather than reinvestment in sub-cost-of-capital segments.</w:t>
      </w:r>
    </w:p>
    <w:p>
      <w:pPr>
        <w:pStyle w:val="ListParagraph"/>
        <w:numPr>
          <w:ilvl w:val="0"/>
          <w:numId w:val="2"/>
        </w:numPr>
        <w:spacing w:after="90" w:before="40" w:line="264"/>
      </w:pPr>
      <w:r>
        <w:rPr>
          <w:rFonts w:ascii="Calibri" w:cs="Calibri" w:eastAsia="Calibri" w:hAnsi="Calibri"/>
          <w:color w:val="1A1A1A"/>
          <w:sz w:val="18"/>
          <w:szCs w:val="18"/>
        </w:rPr>
        <w:t xml:space="preserve">Governance — chairman entrenchment, board independence, and segment hurdle-rate discipline.</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4.  </w:t>
            </w:r>
            <w:r>
              <w:rPr>
                <w:rFonts w:ascii="Calibri Light" w:cs="Calibri Light" w:eastAsia="Calibri Light" w:hAnsi="Calibri Light"/>
                <w:b/>
                <w:bCs/>
                <w:color w:val="FFFFFF"/>
                <w:sz w:val="26"/>
                <w:szCs w:val="26"/>
              </w:rPr>
              <w:t xml:space="preserve">Omron</w:t>
            </w:r>
            <w:r>
              <w:rPr>
                <w:rFonts w:ascii="Calibri" w:cs="Calibri" w:eastAsia="Calibri" w:hAnsi="Calibri"/>
                <w:color w:val="AFC0DA"/>
                <w:sz w:val="20"/>
                <w:szCs w:val="20"/>
              </w:rPr>
              <w:t xml:space="preserve">   6645.T</w:t>
            </w:r>
          </w:p>
          <w:p>
            <w:pPr>
              <w:spacing w:after="0"/>
            </w:pPr>
            <w:r>
              <w:rPr>
                <w:rFonts w:ascii="Calibri" w:cs="Calibri" w:eastAsia="Calibri" w:hAnsi="Calibri"/>
                <w:color w:val="D2DCEC"/>
                <w:sz w:val="17"/>
                <w:szCs w:val="17"/>
              </w:rPr>
              <w:t xml:space="preserve">Industrials — Factory automation, healthcare devices</w:t>
            </w:r>
            <w:r>
              <w:rPr>
                <w:rFonts w:ascii="Calibri" w:cs="Calibri" w:eastAsia="Calibri" w:hAnsi="Calibri"/>
                <w:color w:val="D2DCEC"/>
                <w:sz w:val="17"/>
                <w:szCs w:val="17"/>
              </w:rPr>
              <w:t xml:space="preserve">   ·   ~¥1.0tn (~US$6.7bn)</w:t>
            </w:r>
            <w:r>
              <w:rPr>
                <w:rFonts w:ascii="Calibri" w:cs="Calibri" w:eastAsia="Calibri" w:hAnsi="Calibri"/>
                <w:b/>
                <w:bCs/>
                <w:color w:val="F0C987"/>
                <w:sz w:val="17"/>
                <w:szCs w:val="17"/>
              </w:rPr>
              <w:t xml:space="preserve">   ·   Tier 1 — flagship</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+5% (sector +10%); 3yr ~ -35% (sector +25%); 5yr ~ -40% (TOPIX +55%)</w:t>
            </w:r>
          </w:p>
          <w:p>
            <w:pPr>
              <w:spacing w:after="0" w:line="240"/>
            </w:pPr>
            <w:r>
              <w:rPr>
                <w:rFonts w:ascii="Calibri" w:cs="Calibri" w:eastAsia="Calibri" w:hAnsi="Calibri"/>
                <w:i/>
                <w:iCs/>
                <w:color w:val="44546A"/>
                <w:sz w:val="15"/>
                <w:szCs w:val="15"/>
              </w:rPr>
              <w:t xml:space="preserve">One of the worst large-cap TSR records in Japanese industrials. The stock has lost roughly 60% from its 2021 high.</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~1.1x; EV/EBIT ~20x; P/E ~30x; FCF yield ~3%; PBR ~1.2x</w:t>
            </w:r>
          </w:p>
          <w:p>
            <w:pPr>
              <w:spacing w:after="0" w:line="240"/>
            </w:pPr>
            <w:r>
              <w:rPr>
                <w:rFonts w:ascii="Calibri" w:cs="Calibri" w:eastAsia="Calibri" w:hAnsi="Calibri"/>
                <w:i/>
                <w:iCs/>
                <w:color w:val="44546A"/>
                <w:sz w:val="15"/>
                <w:szCs w:val="15"/>
              </w:rPr>
              <w:t xml:space="preserve">Optically expensive only because earnings are severely depressed; on normalised mid-cycle EBIT the multiple is roughly half the headline.</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~6% (from ~12% at peak); EBITDA ~11%</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~¥50–100bn; plus a ~55% stake in listed JMDC worth ~¥350bn</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~6%</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Japan Activation Capital (activist, disclosed 2026)</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Nippon Life / domestic insurers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BlackRock / Norges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~8%+</w:t>
            </w:r>
          </w:p>
        </w:tc>
      </w:tr>
    </w:tbl>
    <w:p>
      <w:pPr>
        <w:spacing w:after="100" w:before="70" w:line="264"/>
      </w:pPr>
      <w:r>
        <w:rPr>
          <w:rFonts w:ascii="Calibri" w:cs="Calibri" w:eastAsia="Calibri" w:hAnsi="Calibri"/>
          <w:i/>
          <w:iCs/>
          <w:color w:val="44546A"/>
          <w:sz w:val="16"/>
          <w:szCs w:val="16"/>
        </w:rPr>
        <w:t xml:space="preserve">Fully fragmented, no family or corporate anchor. Foreign ownership ~35%.</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Omron has destroyed roughly 60% of its equity value from the 2021 peak while its closest automation comparators compounded. This is not a China cycle story — Keyence and SMC face the same end markets and did not lose two-thirds of their margin.</w:t>
      </w:r>
    </w:p>
    <w:p>
      <w:pPr>
        <w:pStyle w:val="ListParagraph"/>
        <w:numPr>
          <w:ilvl w:val="0"/>
          <w:numId w:val="2"/>
        </w:numPr>
        <w:spacing w:after="90" w:before="40" w:line="264"/>
      </w:pPr>
      <w:r>
        <w:rPr>
          <w:rFonts w:ascii="Calibri" w:cs="Calibri" w:eastAsia="Calibri" w:hAnsi="Calibri"/>
          <w:color w:val="1A1A1A"/>
          <w:sz w:val="19"/>
          <w:szCs w:val="19"/>
        </w:rPr>
        <w:t xml:space="preserve">The company bought a controlling stake in JMDC at a full price, and now runs a listed healthcare-data subsidiary inside an automation company. It is a conglomerate structure nobody would design from scratch, and the market discounts it accordingly.</w:t>
      </w:r>
    </w:p>
    <w:p>
      <w:pPr>
        <w:pStyle w:val="ListParagraph"/>
        <w:numPr>
          <w:ilvl w:val="0"/>
          <w:numId w:val="2"/>
        </w:numPr>
        <w:spacing w:after="90" w:before="40" w:line="264"/>
      </w:pPr>
      <w:r>
        <w:rPr>
          <w:rFonts w:ascii="Calibri" w:cs="Calibri" w:eastAsia="Calibri" w:hAnsi="Calibri"/>
          <w:color w:val="1A1A1A"/>
          <w:sz w:val="19"/>
          <w:szCs w:val="19"/>
        </w:rPr>
        <w:t xml:space="preserve">Management has announced restructuring twice — 'NEXT 2025' and the structural reform programme — and delivered neither the cost savings nor the margin recovery. At some point the board has to own the execution record rather than re-announce the plan.</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Monetise the JMDC stake — sell down or distribute it. It is worth roughly a third of Omron's market cap, has no operating overlap with automation, and its consolidation obscures the core P&amp;L.</w:t>
      </w:r>
    </w:p>
    <w:p>
      <w:pPr>
        <w:pStyle w:val="ListParagraph"/>
        <w:numPr>
          <w:ilvl w:val="0"/>
          <w:numId w:val="3"/>
        </w:numPr>
        <w:spacing w:after="90" w:before="40" w:line="264"/>
      </w:pPr>
      <w:r>
        <w:rPr>
          <w:rFonts w:ascii="Calibri" w:cs="Calibri" w:eastAsia="Calibri" w:hAnsi="Calibri"/>
          <w:color w:val="1A1A1A"/>
          <w:sz w:val="19"/>
          <w:szCs w:val="19"/>
        </w:rPr>
        <w:t xml:space="preserve">Deliver a hard, externally verifiable overhead reduction with a published margin bridge back to double-digit EBIT, including headcount and site consolidation in the control components division.</w:t>
      </w:r>
    </w:p>
    <w:p>
      <w:pPr>
        <w:pStyle w:val="ListParagraph"/>
        <w:numPr>
          <w:ilvl w:val="0"/>
          <w:numId w:val="3"/>
        </w:numPr>
        <w:spacing w:after="90" w:before="40" w:line="264"/>
      </w:pPr>
      <w:r>
        <w:rPr>
          <w:rFonts w:ascii="Calibri" w:cs="Calibri" w:eastAsia="Calibri" w:hAnsi="Calibri"/>
          <w:color w:val="1A1A1A"/>
          <w:sz w:val="19"/>
          <w:szCs w:val="19"/>
        </w:rPr>
        <w:t xml:space="preserve">Exit the subscale social systems and electronic components businesses, and hold the board publicly accountable for two failed mid-term plans — including refreshing the directors who approved the JMDC purchase.</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HIGH. The ownership profile is close to ideal — no anchor shareholder, heavy trust-bank and foreign institutional presence — and the TSR record is so poor that domestic institutions have little cover for supporting the incumbent board. Japan Activation Capital's involvement, led by a former Carlyle executive with domestic credibility, makes the campaign harder to dismiss as foreign short-termism. The strongest single argument for building support is the two consecutive missed mid-term plans, which is a factual record rather than a strategic opinion.</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the collapse is cyclical — a genuine China automation downturn plus a semiconductor capex trough — and that Omron is investing through the cycle. On JMDC they will argue healthcare data is a long-term growth pillar consistent with the 'Sensing &amp; Control + Think' strategy and that selling now would crystallise value at a low point. They will point to restructuring charges already taken as evidence of action. The defence is undermined by peer comparison: the cycle does not explain a margin outcome twice as bad as comparable companies.</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JMDC is a large, liquid, wholly non-core listed asset.</w:t>
      </w:r>
    </w:p>
    <w:p>
      <w:pPr>
        <w:pStyle w:val="ListParagraph"/>
        <w:numPr>
          <w:ilvl w:val="0"/>
          <w:numId w:val="2"/>
        </w:numPr>
        <w:spacing w:after="90" w:before="40" w:line="264"/>
      </w:pPr>
      <w:r>
        <w:rPr>
          <w:rFonts w:ascii="Calibri" w:cs="Calibri" w:eastAsia="Calibri" w:hAnsi="Calibri"/>
          <w:color w:val="1A1A1A"/>
          <w:sz w:val="18"/>
          <w:szCs w:val="18"/>
        </w:rPr>
        <w:t xml:space="preserve">Cost / operational turnaround — a credible path from 6% to 10%+ EBIT exists on peer benchmarking.</w:t>
      </w:r>
    </w:p>
    <w:p>
      <w:pPr>
        <w:pStyle w:val="ListParagraph"/>
        <w:numPr>
          <w:ilvl w:val="0"/>
          <w:numId w:val="2"/>
        </w:numPr>
        <w:spacing w:after="90" w:before="40" w:line="264"/>
      </w:pPr>
      <w:r>
        <w:rPr>
          <w:rFonts w:ascii="Calibri" w:cs="Calibri" w:eastAsia="Calibri" w:hAnsi="Calibri"/>
          <w:color w:val="1A1A1A"/>
          <w:sz w:val="18"/>
          <w:szCs w:val="18"/>
        </w:rPr>
        <w:t xml:space="preserve">Governance — accountability for serial mid-term plan failure and for the JMDC acquisition.</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5.  </w:t>
            </w:r>
            <w:r>
              <w:rPr>
                <w:rFonts w:ascii="Calibri Light" w:cs="Calibri Light" w:eastAsia="Calibri Light" w:hAnsi="Calibri Light"/>
                <w:b/>
                <w:bCs/>
                <w:color w:val="FFFFFF"/>
                <w:sz w:val="26"/>
                <w:szCs w:val="26"/>
              </w:rPr>
              <w:t xml:space="preserve">Nikon</w:t>
            </w:r>
            <w:r>
              <w:rPr>
                <w:rFonts w:ascii="Calibri" w:cs="Calibri" w:eastAsia="Calibri" w:hAnsi="Calibri"/>
                <w:color w:val="AFC0DA"/>
                <w:sz w:val="20"/>
                <w:szCs w:val="20"/>
              </w:rPr>
              <w:t xml:space="preserve">   7731.T</w:t>
            </w:r>
          </w:p>
          <w:p>
            <w:pPr>
              <w:spacing w:after="0"/>
            </w:pPr>
            <w:r>
              <w:rPr>
                <w:rFonts w:ascii="Calibri" w:cs="Calibri" w:eastAsia="Calibri" w:hAnsi="Calibri"/>
                <w:color w:val="D2DCEC"/>
                <w:sz w:val="17"/>
                <w:szCs w:val="17"/>
              </w:rPr>
              <w:t xml:space="preserve">Information Technology — Optics, imaging, semiconductor equipment</w:t>
            </w:r>
            <w:r>
              <w:rPr>
                <w:rFonts w:ascii="Calibri" w:cs="Calibri" w:eastAsia="Calibri" w:hAnsi="Calibri"/>
                <w:color w:val="D2DCEC"/>
                <w:sz w:val="17"/>
                <w:szCs w:val="17"/>
              </w:rPr>
              <w:t xml:space="preserve">   ·   ~¥600bn (~US$4bn)</w:t>
            </w:r>
            <w:r>
              <w:rPr>
                <w:rFonts w:ascii="Calibri" w:cs="Calibri" w:eastAsia="Calibri" w:hAnsi="Calibri"/>
                <w:b/>
                <w:bCs/>
                <w:color w:val="F0C987"/>
                <w:sz w:val="17"/>
                <w:szCs w:val="17"/>
              </w:rPr>
              <w:t xml:space="preserve">   ·   Tier 1 — flagship</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-10% (sector +15%); 3yr ~ -25% (sector +35%); 5yr ~ flat (TOPIX +55%)</w:t>
            </w:r>
          </w:p>
          <w:p>
            <w:pPr>
              <w:spacing w:after="0" w:line="240"/>
            </w:pPr>
            <w:r>
              <w:rPr>
                <w:rFonts w:ascii="Calibri" w:cs="Calibri" w:eastAsia="Calibri" w:hAnsi="Calibri"/>
                <w:i/>
                <w:iCs/>
                <w:color w:val="44546A"/>
                <w:sz w:val="15"/>
                <w:szCs w:val="15"/>
              </w:rPr>
              <w:t xml:space="preserve">Comprehensive failure on every horizon. Nikon has delivered nothing over five years in one of the strongest equity markets in the world.</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~0.5x; EV/EBIT ~12x; P/E ~25x; FCF yield ~1–2%; PBR ~0.7x</w:t>
            </w:r>
          </w:p>
          <w:p>
            <w:pPr>
              <w:spacing w:after="0" w:line="240"/>
            </w:pPr>
            <w:r>
              <w:rPr>
                <w:rFonts w:ascii="Calibri" w:cs="Calibri" w:eastAsia="Calibri" w:hAnsi="Calibri"/>
                <w:i/>
                <w:iCs/>
                <w:color w:val="44546A"/>
                <w:sz w:val="15"/>
                <w:szCs w:val="15"/>
              </w:rPr>
              <w:t xml:space="preserve">Trades well below book with over a third of market cap in net cash — the market is explicitly pricing continued value destruction.</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~3–4%; EBITDA ~9%</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~¥200bn+ (~35% of market cap). Net debt/EBITDA ~ -1.5x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~6%</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Mitsubishi group cross-shareholdings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BlackRock / Norges / Dimensional</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~8%+</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Nippon Life / domestic insurers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bl>
    <w:p>
      <w:pPr>
        <w:spacing w:after="100" w:before="70" w:line="264"/>
      </w:pPr>
      <w:r>
        <w:rPr>
          <w:rFonts w:ascii="Calibri" w:cs="Calibri" w:eastAsia="Calibri" w:hAnsi="Calibri"/>
          <w:i/>
          <w:iCs/>
          <w:color w:val="44546A"/>
          <w:sz w:val="16"/>
          <w:szCs w:val="16"/>
        </w:rPr>
        <w:t xml:space="preserve">Fragmented. Legacy Mitsubishi keiretsu ties exist but are far too small to block. Foreign ownership ~35%.</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Nikon trades below book value with 35% of its market cap in cash, and the market still says no. That is what happens when a company spends a decade proving it will reinvest shareholder money at negative returns.</w:t>
      </w:r>
    </w:p>
    <w:p>
      <w:pPr>
        <w:pStyle w:val="ListParagraph"/>
        <w:numPr>
          <w:ilvl w:val="0"/>
          <w:numId w:val="2"/>
        </w:numPr>
        <w:spacing w:after="90" w:before="40" w:line="264"/>
      </w:pPr>
      <w:r>
        <w:rPr>
          <w:rFonts w:ascii="Calibri" w:cs="Calibri" w:eastAsia="Calibri" w:hAnsi="Calibri"/>
          <w:color w:val="1A1A1A"/>
          <w:sz w:val="19"/>
          <w:szCs w:val="19"/>
        </w:rPr>
        <w:t xml:space="preserve">The M&amp;A record is the case for the prosecution: RED Digital Cinema and SLM Solutions were both bought at full prices into markets where Nikon has no structural advantage, funded by the cash pile, and neither has moved the earnings needle.</w:t>
      </w:r>
    </w:p>
    <w:p>
      <w:pPr>
        <w:pStyle w:val="ListParagraph"/>
        <w:numPr>
          <w:ilvl w:val="0"/>
          <w:numId w:val="2"/>
        </w:numPr>
        <w:spacing w:after="90" w:before="40" w:line="264"/>
      </w:pPr>
      <w:r>
        <w:rPr>
          <w:rFonts w:ascii="Calibri" w:cs="Calibri" w:eastAsia="Calibri" w:hAnsi="Calibri"/>
          <w:color w:val="1A1A1A"/>
          <w:sz w:val="19"/>
          <w:szCs w:val="19"/>
        </w:rPr>
        <w:t xml:space="preserve">Meanwhile the two businesses that matter — imaging and lithography — are being run for volume rather than returns. A 3% EBIT margin on this revenue base is a cost problem and a portfolio problem, not a demand problem.</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Stop the acquisition programme. Impose a board-level M&amp;A moratorium with a public hurdle rate, and redirect the cash to a buyback — buying back stock at 0.7x book is by a wide margin the highest-returning capital use available.</w:t>
      </w:r>
    </w:p>
    <w:p>
      <w:pPr>
        <w:pStyle w:val="ListParagraph"/>
        <w:numPr>
          <w:ilvl w:val="0"/>
          <w:numId w:val="3"/>
        </w:numPr>
        <w:spacing w:after="90" w:before="40" w:line="264"/>
      </w:pPr>
      <w:r>
        <w:rPr>
          <w:rFonts w:ascii="Calibri" w:cs="Calibri" w:eastAsia="Calibri" w:hAnsi="Calibri"/>
          <w:color w:val="1A1A1A"/>
          <w:sz w:val="19"/>
          <w:szCs w:val="19"/>
        </w:rPr>
        <w:t xml:space="preserve">Set a hard decision date for the digital manufacturing (SLM) and components segments: fix to a stated return threshold within 24 months or divest, with quarterly disclosure of segment ROIC.</w:t>
      </w:r>
    </w:p>
    <w:p>
      <w:pPr>
        <w:pStyle w:val="ListParagraph"/>
        <w:numPr>
          <w:ilvl w:val="0"/>
          <w:numId w:val="3"/>
        </w:numPr>
        <w:spacing w:after="90" w:before="40" w:line="264"/>
      </w:pPr>
      <w:r>
        <w:rPr>
          <w:rFonts w:ascii="Calibri" w:cs="Calibri" w:eastAsia="Calibri" w:hAnsi="Calibri"/>
          <w:color w:val="1A1A1A"/>
          <w:sz w:val="19"/>
          <w:szCs w:val="19"/>
        </w:rPr>
        <w:t xml:space="preserve">Refresh the board and add directors with genuine capital allocation experience — the current board approved every one of the value-destructive deals.</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HIGH. This is among the easiest support cases in the screen. There is no anchor shareholder, foreign ownership is high, and the argument requires no forecast — only that shareholders read the historic returns on capital deployed. Sub-book value plus large net cash is exactly the fact pattern the TSE's capital-efficiency directive was written for, which gives even conservative domestic institutions a mandate to vote for change. Expect ISS and Glass Lewis to be receptive to both capital-return and board-accountability proposals.</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Nikon is executing a deliberate diversification away from a structurally declining camera market into industrial and medical precision, that SLM and RED are long-term platform investments in additive manufacturing and digital cinema, and that lithography retains a defensible niche in legacy and specialty nodes. They will cite the multi-year restructuring of the imaging cost base. The problem is the timeline: the diversification narrative is now over a decade old, and the returns have not appeared in any segment.</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undisciplined M&amp;A is the single clearest fixable issue; buyback below book is obvious.</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digital manufacturing and components are subscale with no path to scale.</w:t>
      </w:r>
    </w:p>
    <w:p>
      <w:pPr>
        <w:pStyle w:val="ListParagraph"/>
        <w:numPr>
          <w:ilvl w:val="0"/>
          <w:numId w:val="2"/>
        </w:numPr>
        <w:spacing w:after="90" w:before="40" w:line="264"/>
      </w:pPr>
      <w:r>
        <w:rPr>
          <w:rFonts w:ascii="Calibri" w:cs="Calibri" w:eastAsia="Calibri" w:hAnsi="Calibri"/>
          <w:color w:val="1A1A1A"/>
          <w:sz w:val="18"/>
          <w:szCs w:val="18"/>
        </w:rPr>
        <w:t xml:space="preserve">Governance — board accountability for a decade of value-destructive capital deployment.</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6.  </w:t>
            </w:r>
            <w:r>
              <w:rPr>
                <w:rFonts w:ascii="Calibri Light" w:cs="Calibri Light" w:eastAsia="Calibri Light" w:hAnsi="Calibri Light"/>
                <w:b/>
                <w:bCs/>
                <w:color w:val="FFFFFF"/>
                <w:sz w:val="26"/>
                <w:szCs w:val="26"/>
              </w:rPr>
              <w:t xml:space="preserve">Casio Computer</w:t>
            </w:r>
            <w:r>
              <w:rPr>
                <w:rFonts w:ascii="Calibri" w:cs="Calibri" w:eastAsia="Calibri" w:hAnsi="Calibri"/>
                <w:color w:val="AFC0DA"/>
                <w:sz w:val="20"/>
                <w:szCs w:val="20"/>
              </w:rPr>
              <w:t xml:space="preserve">   6952.T</w:t>
            </w:r>
          </w:p>
          <w:p>
            <w:pPr>
              <w:spacing w:after="0"/>
            </w:pPr>
            <w:r>
              <w:rPr>
                <w:rFonts w:ascii="Calibri" w:cs="Calibri" w:eastAsia="Calibri" w:hAnsi="Calibri"/>
                <w:color w:val="D2DCEC"/>
                <w:sz w:val="17"/>
                <w:szCs w:val="17"/>
              </w:rPr>
              <w:t xml:space="preserve">Consumer Discretionary — Watches, electronics</w:t>
            </w:r>
            <w:r>
              <w:rPr>
                <w:rFonts w:ascii="Calibri" w:cs="Calibri" w:eastAsia="Calibri" w:hAnsi="Calibri"/>
                <w:color w:val="D2DCEC"/>
                <w:sz w:val="17"/>
                <w:szCs w:val="17"/>
              </w:rPr>
              <w:t xml:space="preserve">   ·   ~¥300bn (~US$2bn)</w:t>
            </w:r>
            <w:r>
              <w:rPr>
                <w:rFonts w:ascii="Calibri" w:cs="Calibri" w:eastAsia="Calibri" w:hAnsi="Calibri"/>
                <w:b/>
                <w:bCs/>
                <w:color w:val="F0C987"/>
                <w:sz w:val="17"/>
                <w:szCs w:val="17"/>
              </w:rPr>
              <w:t xml:space="preserve">   ·   Tier 2 — high conviction</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-15% (sector +12%); 3yr ~ -30% (sector +30%); 5yr ~ -25% (TOPIX +55%)</w:t>
            </w:r>
          </w:p>
          <w:p>
            <w:pPr>
              <w:spacing w:after="0" w:line="240"/>
            </w:pPr>
            <w:r>
              <w:rPr>
                <w:rFonts w:ascii="Calibri" w:cs="Calibri" w:eastAsia="Calibri" w:hAnsi="Calibri"/>
                <w:i/>
                <w:iCs/>
                <w:color w:val="44546A"/>
                <w:sz w:val="15"/>
                <w:szCs w:val="15"/>
              </w:rPr>
              <w:t xml:space="preserve">Consistent underperformance across all horizons despite owning a genuinely appreciating global brand asset.</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~0.7x; EV/EBIT ~10x; P/E ~16x; FCF yield ~6%; PBR ~1.0x</w:t>
            </w:r>
          </w:p>
          <w:p>
            <w:pPr>
              <w:spacing w:after="0" w:line="240"/>
            </w:pPr>
            <w:r>
              <w:rPr>
                <w:rFonts w:ascii="Calibri" w:cs="Calibri" w:eastAsia="Calibri" w:hAnsi="Calibri"/>
                <w:i/>
                <w:iCs/>
                <w:color w:val="44546A"/>
                <w:sz w:val="15"/>
                <w:szCs w:val="15"/>
              </w:rPr>
              <w:t xml:space="preserve">A pure-play G-Shock business would command a materially higher multiple; the conglomerate drag is explicit and quantifiable.</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~7% (watch segment alone materially higher); EBITDA ~11%</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~¥80–100bn (~30% of market cap). Net debt/EBITDA ~ -1.8x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~14%</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~6%</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Kashio family and related entities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~9%</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~7%+</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~4%</w:t>
            </w:r>
          </w:p>
        </w:tc>
      </w:tr>
    </w:tbl>
    <w:p>
      <w:pPr>
        <w:spacing w:after="100" w:before="70" w:line="264"/>
      </w:pPr>
      <w:r>
        <w:rPr>
          <w:rFonts w:ascii="Calibri" w:cs="Calibri" w:eastAsia="Calibri" w:hAnsi="Calibri"/>
          <w:i/>
          <w:iCs/>
          <w:color w:val="44546A"/>
          <w:sz w:val="16"/>
          <w:szCs w:val="16"/>
        </w:rPr>
        <w:t xml:space="preserve">Founder family retains influence and board presence but holds well under 10%. No blocking stake.</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Casio owns G-Shock — a global, price-inelastic, culturally durable brand that most consumer companies would pay a premium multiple for. It is buried inside a portfolio of subscale electronics businesses that consume the cash it generates.</w:t>
      </w:r>
    </w:p>
    <w:p>
      <w:pPr>
        <w:pStyle w:val="ListParagraph"/>
        <w:numPr>
          <w:ilvl w:val="0"/>
          <w:numId w:val="2"/>
        </w:numPr>
        <w:spacing w:after="90" w:before="40" w:line="264"/>
      </w:pPr>
      <w:r>
        <w:rPr>
          <w:rFonts w:ascii="Calibri" w:cs="Calibri" w:eastAsia="Calibri" w:hAnsi="Calibri"/>
          <w:color w:val="1A1A1A"/>
          <w:sz w:val="19"/>
          <w:szCs w:val="19"/>
        </w:rPr>
        <w:t xml:space="preserve">Strip out watches and the rest of Casio has been a persistent drag for a decade: calculators in structural decline, an education software business with no scale, and a succession of hardware ventures that never reached relevance.</w:t>
      </w:r>
    </w:p>
    <w:p>
      <w:pPr>
        <w:pStyle w:val="ListParagraph"/>
        <w:numPr>
          <w:ilvl w:val="0"/>
          <w:numId w:val="2"/>
        </w:numPr>
        <w:spacing w:after="90" w:before="40" w:line="264"/>
      </w:pPr>
      <w:r>
        <w:rPr>
          <w:rFonts w:ascii="Calibri" w:cs="Calibri" w:eastAsia="Calibri" w:hAnsi="Calibri"/>
          <w:color w:val="1A1A1A"/>
          <w:sz w:val="19"/>
          <w:szCs w:val="19"/>
        </w:rPr>
        <w:t xml:space="preserve">The company holds roughly 30% of its market cap in cash while running buybacks small enough to be rounding errors. There is no version of this capital structure that serves shareholders.</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Reposition Casio as a branded watch company: divest or wind down the education, system equipment and residual hardware segments, and report the watch business with full standalone P&amp;L and ROIC disclosure.</w:t>
      </w:r>
    </w:p>
    <w:p>
      <w:pPr>
        <w:pStyle w:val="ListParagraph"/>
        <w:numPr>
          <w:ilvl w:val="0"/>
          <w:numId w:val="3"/>
        </w:numPr>
        <w:spacing w:after="90" w:before="40" w:line="264"/>
      </w:pPr>
      <w:r>
        <w:rPr>
          <w:rFonts w:ascii="Calibri" w:cs="Calibri" w:eastAsia="Calibri" w:hAnsi="Calibri"/>
          <w:color w:val="1A1A1A"/>
          <w:sz w:val="19"/>
          <w:szCs w:val="19"/>
        </w:rPr>
        <w:t xml:space="preserve">Return the surplus cash. A buyback sized at a meaningful fraction of the ~¥90bn net cash position, rather than the current ¥5bn tranches, would materially re-rate the equity.</w:t>
      </w:r>
    </w:p>
    <w:p>
      <w:pPr>
        <w:pStyle w:val="ListParagraph"/>
        <w:numPr>
          <w:ilvl w:val="0"/>
          <w:numId w:val="3"/>
        </w:numPr>
        <w:spacing w:after="90" w:before="40" w:line="264"/>
      </w:pPr>
      <w:r>
        <w:rPr>
          <w:rFonts w:ascii="Calibri" w:cs="Calibri" w:eastAsia="Calibri" w:hAnsi="Calibri"/>
          <w:color w:val="1A1A1A"/>
          <w:sz w:val="19"/>
          <w:szCs w:val="19"/>
        </w:rPr>
        <w:t xml:space="preserve">Reallocate marketing and R&amp;D spend toward the watch franchise and add independent directors with global consumer-brand experience — the current board is engineering and family weighted.</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MODERATE-TO-HIGH. The register is institutionally fragmented and the family stake is too small to block, so the votes are winnable. The 'hidden brand' narrative is also an unusually attractive story for domestic long-only investors, who understand G-Shock's franchise strength intuitively. The friction is that the Kashio family remains emotionally attached to the diversified electronics heritage, and the smaller market cap means fewer large institutions have positions big enough to expend governance capital on. Coalition-building with domestic value funds is the practical route.</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Casio will argue that the non-watch segments share manufacturing, miniaturisation and LSI design capabilities with the watch business, and that education is a long-term growth platform in emerging markets. They will point to the projector exit as evidence they do prune the portfolio, and to recent buyback tranches as evidence of shareholder focus. They will argue brand-led businesses need investment flexibility. The counter is straightforward: the shared-capability argument has been made for twenty years while the group margin stayed at 7%.</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separate the watch franchise from subscale legacy electronics.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~30% of market cap in cash against token buyback tranches.</w:t>
      </w:r>
    </w:p>
    <w:p>
      <w:pPr>
        <w:pStyle w:val="ListParagraph"/>
        <w:numPr>
          <w:ilvl w:val="0"/>
          <w:numId w:val="2"/>
        </w:numPr>
        <w:spacing w:after="90" w:before="40" w:line="264"/>
      </w:pPr>
      <w:r>
        <w:rPr>
          <w:rFonts w:ascii="Calibri" w:cs="Calibri" w:eastAsia="Calibri" w:hAnsi="Calibri"/>
          <w:color w:val="1A1A1A"/>
          <w:sz w:val="18"/>
          <w:szCs w:val="18"/>
        </w:rPr>
        <w:t xml:space="preserve">Governance — board skills mismatch for a consumer-brand company.</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7.  </w:t>
            </w:r>
            <w:r>
              <w:rPr>
                <w:rFonts w:ascii="Calibri Light" w:cs="Calibri Light" w:eastAsia="Calibri Light" w:hAnsi="Calibri Light"/>
                <w:b/>
                <w:bCs/>
                <w:color w:val="FFFFFF"/>
                <w:sz w:val="26"/>
                <w:szCs w:val="26"/>
              </w:rPr>
              <w:t xml:space="preserve">Mabuchi Motor</w:t>
            </w:r>
            <w:r>
              <w:rPr>
                <w:rFonts w:ascii="Calibri" w:cs="Calibri" w:eastAsia="Calibri" w:hAnsi="Calibri"/>
                <w:color w:val="AFC0DA"/>
                <w:sz w:val="20"/>
                <w:szCs w:val="20"/>
              </w:rPr>
              <w:t xml:space="preserve">   6592.T</w:t>
            </w:r>
          </w:p>
          <w:p>
            <w:pPr>
              <w:spacing w:after="0"/>
            </w:pPr>
            <w:r>
              <w:rPr>
                <w:rFonts w:ascii="Calibri" w:cs="Calibri" w:eastAsia="Calibri" w:hAnsi="Calibri"/>
                <w:color w:val="D2DCEC"/>
                <w:sz w:val="17"/>
                <w:szCs w:val="17"/>
              </w:rPr>
              <w:t xml:space="preserve">Industrials — Small electric motors</w:t>
            </w:r>
            <w:r>
              <w:rPr>
                <w:rFonts w:ascii="Calibri" w:cs="Calibri" w:eastAsia="Calibri" w:hAnsi="Calibri"/>
                <w:color w:val="D2DCEC"/>
                <w:sz w:val="17"/>
                <w:szCs w:val="17"/>
              </w:rPr>
              <w:t xml:space="preserve">   ·   ~¥180bn (~US$1.2bn)</w:t>
            </w:r>
            <w:r>
              <w:rPr>
                <w:rFonts w:ascii="Calibri" w:cs="Calibri" w:eastAsia="Calibri" w:hAnsi="Calibri"/>
                <w:b/>
                <w:bCs/>
                <w:color w:val="F0C987"/>
                <w:sz w:val="17"/>
                <w:szCs w:val="17"/>
              </w:rPr>
              <w:t xml:space="preserve">   ·   Tier 1 — highest mechanical certainty</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flat (sector +10%); 3yr ~ +10% (sector +25%); 5yr ~ flat (TOPIX +55%)</w:t>
            </w:r>
          </w:p>
          <w:p>
            <w:pPr>
              <w:spacing w:after="0" w:line="240"/>
            </w:pPr>
            <w:r>
              <w:rPr>
                <w:rFonts w:ascii="Calibri" w:cs="Calibri" w:eastAsia="Calibri" w:hAnsi="Calibri"/>
                <w:i/>
                <w:iCs/>
                <w:color w:val="44546A"/>
                <w:sz w:val="15"/>
                <w:szCs w:val="15"/>
              </w:rPr>
              <w:t xml:space="preserve">Chronic index underperformance. The business is stable and cash-generative; the equity return is destroyed by the capital structure.</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~0.3x; EV/EBIT ~5x; P/E ~14x; FCF yield ~7%; PBR ~0.8x</w:t>
            </w:r>
          </w:p>
          <w:p>
            <w:pPr>
              <w:spacing w:after="0" w:line="240"/>
            </w:pPr>
            <w:r>
              <w:rPr>
                <w:rFonts w:ascii="Calibri" w:cs="Calibri" w:eastAsia="Calibri" w:hAnsi="Calibri"/>
                <w:i/>
                <w:iCs/>
                <w:color w:val="44546A"/>
                <w:sz w:val="15"/>
                <w:szCs w:val="15"/>
              </w:rPr>
              <w:t xml:space="preserve">Among the cheapest EV multiples in the screen precisely because the enterprise value is a small residual after stripping cash.</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~9%; EBITDA ~14%</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~¥130bn — over 60% of market cap. Net debt/EBITDA ~ -3.5x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~14%</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Mabuchi family and related foundations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~14%</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value and small-cap funds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~10%+</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bl>
    <w:p>
      <w:pPr>
        <w:spacing w:after="100" w:before="70" w:line="264"/>
      </w:pPr>
      <w:r>
        <w:rPr>
          <w:rFonts w:ascii="Calibri" w:cs="Calibri" w:eastAsia="Calibri" w:hAnsi="Calibri"/>
          <w:i/>
          <w:iCs/>
          <w:color w:val="44546A"/>
          <w:sz w:val="16"/>
          <w:szCs w:val="16"/>
        </w:rPr>
        <w:t xml:space="preserve">Family and foundation aggregate ~14% is meaningful but nowhere near control. High free float.</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More than 60% of Mabuchi's market cap is net cash. Investors are effectively paying about five times EBIT for a global leader in small motors and getting a very large cash deposit at no charge — because the market assumes the cash will never be released.</w:t>
      </w:r>
    </w:p>
    <w:p>
      <w:pPr>
        <w:pStyle w:val="ListParagraph"/>
        <w:numPr>
          <w:ilvl w:val="0"/>
          <w:numId w:val="2"/>
        </w:numPr>
        <w:spacing w:after="90" w:before="40" w:line="264"/>
      </w:pPr>
      <w:r>
        <w:rPr>
          <w:rFonts w:ascii="Calibri" w:cs="Calibri" w:eastAsia="Calibri" w:hAnsi="Calibri"/>
          <w:color w:val="1A1A1A"/>
          <w:sz w:val="19"/>
          <w:szCs w:val="19"/>
        </w:rPr>
        <w:t xml:space="preserve">ROE has sat in the mid-single digits for years, structurally below any reasonable cost of equity, purely because of the denominator. The operating business earns perfectly respectable returns on the capital it actually uses.</w:t>
      </w:r>
    </w:p>
    <w:p>
      <w:pPr>
        <w:pStyle w:val="ListParagraph"/>
        <w:numPr>
          <w:ilvl w:val="0"/>
          <w:numId w:val="2"/>
        </w:numPr>
        <w:spacing w:after="90" w:before="40" w:line="264"/>
      </w:pPr>
      <w:r>
        <w:rPr>
          <w:rFonts w:ascii="Calibri" w:cs="Calibri" w:eastAsia="Calibri" w:hAnsi="Calibri"/>
          <w:color w:val="1A1A1A"/>
          <w:sz w:val="19"/>
          <w:szCs w:val="19"/>
        </w:rPr>
        <w:t xml:space="preserve">This is the single most mechanically fixable balance sheet in the Japanese mid-cap universe. No strategy change is required — only a decision.</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Run a large, front-loaded buyback or tender — returning even half the net cash position would lift ROE above the cost of equity immediately and re-rate the multiple without touching operations.</w:t>
      </w:r>
    </w:p>
    <w:p>
      <w:pPr>
        <w:pStyle w:val="ListParagraph"/>
        <w:numPr>
          <w:ilvl w:val="0"/>
          <w:numId w:val="3"/>
        </w:numPr>
        <w:spacing w:after="90" w:before="40" w:line="264"/>
      </w:pPr>
      <w:r>
        <w:rPr>
          <w:rFonts w:ascii="Calibri" w:cs="Calibri" w:eastAsia="Calibri" w:hAnsi="Calibri"/>
          <w:color w:val="1A1A1A"/>
          <w:sz w:val="19"/>
          <w:szCs w:val="19"/>
        </w:rPr>
        <w:t xml:space="preserve">Adopt and publish a capital allocation policy with an explicit ROE floor, a target net cash ceiling, and a stated hurdle rate for the acquisition programme.</w:t>
      </w:r>
    </w:p>
    <w:p>
      <w:pPr>
        <w:pStyle w:val="ListParagraph"/>
        <w:numPr>
          <w:ilvl w:val="0"/>
          <w:numId w:val="3"/>
        </w:numPr>
        <w:spacing w:after="90" w:before="40" w:line="264"/>
      </w:pPr>
      <w:r>
        <w:rPr>
          <w:rFonts w:ascii="Calibri" w:cs="Calibri" w:eastAsia="Calibri" w:hAnsi="Calibri"/>
          <w:color w:val="1A1A1A"/>
          <w:sz w:val="19"/>
          <w:szCs w:val="19"/>
        </w:rPr>
        <w:t xml:space="preserve">Unwind residual cross-shareholdings and add independent directors with capital allocation experience to a board that has presided over a decade of sub-cost-of-equity returns.</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HIGH. This is arithmetic, not strategy — the easiest category of campaign to win. The free float is large, the family bloc cannot block, and the TSE's capital-efficiency directive gives domestic institutions explicit cover to vote for balance-sheet action at a company with a mid-single-digit ROE and a sub-1x PBR. Proxy advisers reliably support capital-return proposals in exactly this fact pattern. The main practical constraint is liquidity: building a position of influence in a ¥180bn company takes time and moves the price.</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Mabuchi's customers are automotive OEMs who audit supplier balance sheets and value financial stability, that the cash funds a long-run diversification away from automotive concentration, and that the acquisition programme requires dry powder. They will note that dividends have been raised progressively. The defence is weak on its own terms: the customer-stability argument justifies a strong balance sheet, not one where cash exceeds 60% of market cap, and the diversification programme has been slow and small relative to the resources available.</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the purest balance-sheet arbitrage in the screen.</w:t>
      </w:r>
    </w:p>
    <w:p>
      <w:pPr>
        <w:pStyle w:val="ListParagraph"/>
        <w:numPr>
          <w:ilvl w:val="0"/>
          <w:numId w:val="2"/>
        </w:numPr>
        <w:spacing w:after="90" w:before="40" w:line="264"/>
      </w:pPr>
      <w:r>
        <w:rPr>
          <w:rFonts w:ascii="Calibri" w:cs="Calibri" w:eastAsia="Calibri" w:hAnsi="Calibri"/>
          <w:color w:val="1A1A1A"/>
          <w:sz w:val="18"/>
          <w:szCs w:val="18"/>
        </w:rPr>
        <w:t xml:space="preserve">Governance — no ROE framework, no stated capital policy, entrenched board.</w:t>
      </w:r>
    </w:p>
    <w:p>
      <w:pPr>
        <w:pStyle w:val="ListParagraph"/>
        <w:numPr>
          <w:ilvl w:val="0"/>
          <w:numId w:val="2"/>
        </w:numPr>
        <w:spacing w:after="90" w:before="40" w:line="264"/>
      </w:pPr>
      <w:r>
        <w:rPr>
          <w:rFonts w:ascii="Calibri" w:cs="Calibri" w:eastAsia="Calibri" w:hAnsi="Calibri"/>
          <w:color w:val="1A1A1A"/>
          <w:sz w:val="18"/>
          <w:szCs w:val="18"/>
        </w:rPr>
        <w:t xml:space="preserve">M&amp;A discipline — undeployed dry powder used to justify permanent overcapitalisation.</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8.  </w:t>
            </w:r>
            <w:r>
              <w:rPr>
                <w:rFonts w:ascii="Calibri Light" w:cs="Calibri Light" w:eastAsia="Calibri Light" w:hAnsi="Calibri Light"/>
                <w:b/>
                <w:bCs/>
                <w:color w:val="FFFFFF"/>
                <w:sz w:val="26"/>
                <w:szCs w:val="26"/>
              </w:rPr>
              <w:t xml:space="preserve">Hirose Electric</w:t>
            </w:r>
            <w:r>
              <w:rPr>
                <w:rFonts w:ascii="Calibri" w:cs="Calibri" w:eastAsia="Calibri" w:hAnsi="Calibri"/>
                <w:color w:val="AFC0DA"/>
                <w:sz w:val="20"/>
                <w:szCs w:val="20"/>
              </w:rPr>
              <w:t xml:space="preserve">   6806.T</w:t>
            </w:r>
          </w:p>
          <w:p>
            <w:pPr>
              <w:spacing w:after="0"/>
            </w:pPr>
            <w:r>
              <w:rPr>
                <w:rFonts w:ascii="Calibri" w:cs="Calibri" w:eastAsia="Calibri" w:hAnsi="Calibri"/>
                <w:color w:val="D2DCEC"/>
                <w:sz w:val="17"/>
                <w:szCs w:val="17"/>
              </w:rPr>
              <w:t xml:space="preserve">Information Technology — Connectors</w:t>
            </w:r>
            <w:r>
              <w:rPr>
                <w:rFonts w:ascii="Calibri" w:cs="Calibri" w:eastAsia="Calibri" w:hAnsi="Calibri"/>
                <w:color w:val="D2DCEC"/>
                <w:sz w:val="17"/>
                <w:szCs w:val="17"/>
              </w:rPr>
              <w:t xml:space="preserve">   ·   ~¥700bn (~US$4.7bn)</w:t>
            </w:r>
            <w:r>
              <w:rPr>
                <w:rFonts w:ascii="Calibri" w:cs="Calibri" w:eastAsia="Calibri" w:hAnsi="Calibri"/>
                <w:b/>
                <w:bCs/>
                <w:color w:val="F0C987"/>
                <w:sz w:val="17"/>
                <w:szCs w:val="17"/>
              </w:rPr>
              <w:t xml:space="preserve">   ·   Tier 2 — high conviction</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-5% (sector +15%); 3yr ~ -10% (sector +35%); 5yr ~ flat (TOPIX +55%)</w:t>
            </w:r>
          </w:p>
          <w:p>
            <w:pPr>
              <w:spacing w:after="0" w:line="240"/>
            </w:pPr>
            <w:r>
              <w:rPr>
                <w:rFonts w:ascii="Calibri" w:cs="Calibri" w:eastAsia="Calibri" w:hAnsi="Calibri"/>
                <w:i/>
                <w:iCs/>
                <w:color w:val="44546A"/>
                <w:sz w:val="15"/>
                <w:szCs w:val="15"/>
              </w:rPr>
              <w:t xml:space="preserve">Fails on 3yr and 5yr relative. Has de-rated as margins compressed and the cash balance grew.</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~4.0x; EV/EBIT ~18x; P/E ~28x; FCF yield ~3%; PBR ~1.5x</w:t>
            </w:r>
          </w:p>
          <w:p>
            <w:pPr>
              <w:spacing w:after="0" w:line="240"/>
            </w:pPr>
            <w:r>
              <w:rPr>
                <w:rFonts w:ascii="Calibri" w:cs="Calibri" w:eastAsia="Calibri" w:hAnsi="Calibri"/>
                <w:i/>
                <w:iCs/>
                <w:color w:val="44546A"/>
                <w:sz w:val="15"/>
                <w:szCs w:val="15"/>
              </w:rPr>
              <w:t xml:space="preserve">Still carries a quality premium the current margin trajectory no longer justifies; the EV discount to global connector peers is masked by the cash.</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~22% (from 30%+); EBITDA ~28%</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~¥250bn+ (~35% of market cap). Net debt/EBITDA ~ -1.8x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~6%</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BlackRock / Capital / Norges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~4%</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Employee shareholding association</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~2%</w:t>
            </w:r>
          </w:p>
        </w:tc>
      </w:tr>
    </w:tbl>
    <w:p>
      <w:pPr>
        <w:spacing w:after="100" w:before="70" w:line="264"/>
      </w:pPr>
      <w:r>
        <w:rPr>
          <w:rFonts w:ascii="Calibri" w:cs="Calibri" w:eastAsia="Calibri" w:hAnsi="Calibri"/>
          <w:i/>
          <w:iCs/>
          <w:color w:val="44546A"/>
          <w:sz w:val="16"/>
          <w:szCs w:val="16"/>
        </w:rPr>
        <w:t xml:space="preserve">No family or corporate anchor at all — one of the most fragmented registers in the screen.</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Hirose has been quietly de-rating for five years as EBIT margins fell from over 30% to the low 20s, and management has offered no diagnosis. For a company whose entire investment case was best-in-class connector profitability, that is the whole story.</w:t>
      </w:r>
    </w:p>
    <w:p>
      <w:pPr>
        <w:pStyle w:val="ListParagraph"/>
        <w:numPr>
          <w:ilvl w:val="0"/>
          <w:numId w:val="2"/>
        </w:numPr>
        <w:spacing w:after="90" w:before="40" w:line="264"/>
      </w:pPr>
      <w:r>
        <w:rPr>
          <w:rFonts w:ascii="Calibri" w:cs="Calibri" w:eastAsia="Calibri" w:hAnsi="Calibri"/>
          <w:color w:val="1A1A1A"/>
          <w:sz w:val="19"/>
          <w:szCs w:val="19"/>
        </w:rPr>
        <w:t xml:space="preserve">Roughly 35% of the market cap is cash. The buyback authorised in 2026 was executed at a pace that will take years to matter, and was paused in April — a token response to a structural problem.</w:t>
      </w:r>
    </w:p>
    <w:p>
      <w:pPr>
        <w:pStyle w:val="ListParagraph"/>
        <w:numPr>
          <w:ilvl w:val="0"/>
          <w:numId w:val="2"/>
        </w:numPr>
        <w:spacing w:after="90" w:before="40" w:line="264"/>
      </w:pPr>
      <w:r>
        <w:rPr>
          <w:rFonts w:ascii="Calibri" w:cs="Calibri" w:eastAsia="Calibri" w:hAnsi="Calibri"/>
          <w:color w:val="1A1A1A"/>
          <w:sz w:val="19"/>
          <w:szCs w:val="19"/>
        </w:rPr>
        <w:t xml:space="preserve">There is no controlling shareholder, no family bloc, and no cross-shareholding defence. This is a widely held company with weak capital discipline and a closed board — the ownership structure offers management no protection whatsoever.</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Upsize and accelerate the buyback substantially, and commit to a standing policy that returns free cash flow above a defined reinvestment budget rather than accumulating it.</w:t>
      </w:r>
    </w:p>
    <w:p>
      <w:pPr>
        <w:pStyle w:val="ListParagraph"/>
        <w:numPr>
          <w:ilvl w:val="0"/>
          <w:numId w:val="3"/>
        </w:numPr>
        <w:spacing w:after="90" w:before="40" w:line="264"/>
      </w:pPr>
      <w:r>
        <w:rPr>
          <w:rFonts w:ascii="Calibri" w:cs="Calibri" w:eastAsia="Calibri" w:hAnsi="Calibri"/>
          <w:color w:val="1A1A1A"/>
          <w:sz w:val="19"/>
          <w:szCs w:val="19"/>
        </w:rPr>
        <w:t xml:space="preserve">Publish a margin recovery plan with a diagnosis of the decline — mix, pricing, or R&amp;D productivity — and set segment-level ROIC disclosure so the market can track it.</w:t>
      </w:r>
    </w:p>
    <w:p>
      <w:pPr>
        <w:pStyle w:val="ListParagraph"/>
        <w:numPr>
          <w:ilvl w:val="0"/>
          <w:numId w:val="3"/>
        </w:numPr>
        <w:spacing w:after="90" w:before="40" w:line="264"/>
      </w:pPr>
      <w:r>
        <w:rPr>
          <w:rFonts w:ascii="Calibri" w:cs="Calibri" w:eastAsia="Calibri" w:hAnsi="Calibri"/>
          <w:color w:val="1A1A1A"/>
          <w:sz w:val="19"/>
          <w:szCs w:val="19"/>
        </w:rPr>
        <w:t xml:space="preserve">Open the board: add independent directors with global components-industry and capital-markets experience, and introduce a cost-of-capital disclosure consistent with TSE guidance.</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HIGH. The register is almost purely institutional with substantial foreign ownership and no anchor holder — structurally the most attackable ownership profile among the larger names in this screen. Both the capital-return and disclosure arguments are conventional and will attract proxy adviser support. The complication is that Hirose is still a high-margin, well-regarded company, so domestic holders may see the situation as disappointing rather than broken; the campaign needs to be framed around the margin decline, which is objective, rather than around management competence.</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the margin decline reflects deliberate investment in automotive and data-centre connector platforms with longer qualification cycles and lower initial margins, and that the cash supports the capacity investment that these design wins require. They will cite the existing buyback authorisation as evidence of responsiveness. This is a more respectable defence than most in the screen — the counter is to demand the numbers: if the investment is real, segment ROIC disclosure will vindicate it, and management has resisted providing it.</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35% of market cap idle, token buyback execution.</w:t>
      </w:r>
    </w:p>
    <w:p>
      <w:pPr>
        <w:pStyle w:val="ListParagraph"/>
        <w:numPr>
          <w:ilvl w:val="0"/>
          <w:numId w:val="2"/>
        </w:numPr>
        <w:spacing w:after="90" w:before="40" w:line="264"/>
      </w:pPr>
      <w:r>
        <w:rPr>
          <w:rFonts w:ascii="Calibri" w:cs="Calibri" w:eastAsia="Calibri" w:hAnsi="Calibri"/>
          <w:color w:val="1A1A1A"/>
          <w:sz w:val="18"/>
          <w:szCs w:val="18"/>
        </w:rPr>
        <w:t xml:space="preserve">Operational / margin recovery — an 8-point EBIT margin decline with no public diagnosis.</w:t>
      </w:r>
    </w:p>
    <w:p>
      <w:pPr>
        <w:pStyle w:val="ListParagraph"/>
        <w:numPr>
          <w:ilvl w:val="0"/>
          <w:numId w:val="2"/>
        </w:numPr>
        <w:spacing w:after="90" w:before="40" w:line="264"/>
      </w:pPr>
      <w:r>
        <w:rPr>
          <w:rFonts w:ascii="Calibri" w:cs="Calibri" w:eastAsia="Calibri" w:hAnsi="Calibri"/>
          <w:color w:val="1A1A1A"/>
          <w:sz w:val="18"/>
          <w:szCs w:val="18"/>
        </w:rPr>
        <w:t xml:space="preserve">Governance — insular board, no cost-of-capital disclosure, zero takeover defences by ownership.</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9.  </w:t>
            </w:r>
            <w:r>
              <w:rPr>
                <w:rFonts w:ascii="Calibri Light" w:cs="Calibri Light" w:eastAsia="Calibri Light" w:hAnsi="Calibri Light"/>
                <w:b/>
                <w:bCs/>
                <w:color w:val="FFFFFF"/>
                <w:sz w:val="26"/>
                <w:szCs w:val="26"/>
              </w:rPr>
              <w:t xml:space="preserve">Alps Alpine</w:t>
            </w:r>
            <w:r>
              <w:rPr>
                <w:rFonts w:ascii="Calibri" w:cs="Calibri" w:eastAsia="Calibri" w:hAnsi="Calibri"/>
                <w:color w:val="AFC0DA"/>
                <w:sz w:val="20"/>
                <w:szCs w:val="20"/>
              </w:rPr>
              <w:t xml:space="preserve">   6770.T</w:t>
            </w:r>
          </w:p>
          <w:p>
            <w:pPr>
              <w:spacing w:after="0"/>
            </w:pPr>
            <w:r>
              <w:rPr>
                <w:rFonts w:ascii="Calibri" w:cs="Calibri" w:eastAsia="Calibri" w:hAnsi="Calibri"/>
                <w:color w:val="D2DCEC"/>
                <w:sz w:val="17"/>
                <w:szCs w:val="17"/>
              </w:rPr>
              <w:t xml:space="preserve">Information Technology — Electronic components, automotive infotainment</w:t>
            </w:r>
            <w:r>
              <w:rPr>
                <w:rFonts w:ascii="Calibri" w:cs="Calibri" w:eastAsia="Calibri" w:hAnsi="Calibri"/>
                <w:color w:val="D2DCEC"/>
                <w:sz w:val="17"/>
                <w:szCs w:val="17"/>
              </w:rPr>
              <w:t xml:space="preserve">   ·   ~¥300bn (~US$2bn)</w:t>
            </w:r>
            <w:r>
              <w:rPr>
                <w:rFonts w:ascii="Calibri" w:cs="Calibri" w:eastAsia="Calibri" w:hAnsi="Calibri"/>
                <w:b/>
                <w:bCs/>
                <w:color w:val="F0C987"/>
                <w:sz w:val="17"/>
                <w:szCs w:val="17"/>
              </w:rPr>
              <w:t xml:space="preserve">   ·   Tier 2 — high conviction (crowded)</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+10% (sector +15%); 3yr ~ -10% (sector +35%); 5yr ~ -20% (TOPIX +55%)</w:t>
            </w:r>
          </w:p>
          <w:p>
            <w:pPr>
              <w:spacing w:after="0" w:line="240"/>
            </w:pPr>
            <w:r>
              <w:rPr>
                <w:rFonts w:ascii="Calibri" w:cs="Calibri" w:eastAsia="Calibri" w:hAnsi="Calibri"/>
                <w:i/>
                <w:iCs/>
                <w:color w:val="44546A"/>
                <w:sz w:val="15"/>
                <w:szCs w:val="15"/>
              </w:rPr>
              <w:t xml:space="preserve">Fails clearly on 3yr and 5yr. The 2019 Alps/Alpine merger has not produced the promised returns.</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~0.3x; EV/EBIT ~10x; P/E ~14x; FCF yield ~6%; PBR ~0.7x</w:t>
            </w:r>
          </w:p>
          <w:p>
            <w:pPr>
              <w:spacing w:after="0" w:line="240"/>
            </w:pPr>
            <w:r>
              <w:rPr>
                <w:rFonts w:ascii="Calibri" w:cs="Calibri" w:eastAsia="Calibri" w:hAnsi="Calibri"/>
                <w:i/>
                <w:iCs/>
                <w:color w:val="44546A"/>
                <w:sz w:val="15"/>
                <w:szCs w:val="15"/>
              </w:rPr>
              <w:t xml:space="preserve">Deep-value multiples reflecting a genuine margin problem rather than pure neglect.</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~3%; EBITDA ~8%</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Modest net cash. Net debt/EBITDA ~ -0.3x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~13%</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Murakami-affiliated vehicles (City Index / Reno et al.)</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~10%</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~8%+</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~4%</w:t>
            </w:r>
          </w:p>
        </w:tc>
      </w:tr>
    </w:tbl>
    <w:p>
      <w:pPr>
        <w:spacing w:after="100" w:before="70" w:line="264"/>
      </w:pPr>
      <w:r>
        <w:rPr>
          <w:rFonts w:ascii="Calibri" w:cs="Calibri" w:eastAsia="Calibri" w:hAnsi="Calibri"/>
          <w:i/>
          <w:iCs/>
          <w:color w:val="44546A"/>
          <w:sz w:val="16"/>
          <w:szCs w:val="16"/>
        </w:rPr>
        <w:t xml:space="preserve">The Murakami group's ~10% stake is the defining feature of this register — an activist catalyst already present and pressing.</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The 2019 merger of Alps and Alpine was justified on synergies that have never appeared. Seven years on, EBIT margins are around 3% against components peers earning three to five times that. The integration case has been falsified by results.</w:t>
      </w:r>
    </w:p>
    <w:p>
      <w:pPr>
        <w:pStyle w:val="ListParagraph"/>
        <w:numPr>
          <w:ilvl w:val="0"/>
          <w:numId w:val="2"/>
        </w:numPr>
        <w:spacing w:after="90" w:before="40" w:line="264"/>
      </w:pPr>
      <w:r>
        <w:rPr>
          <w:rFonts w:ascii="Calibri" w:cs="Calibri" w:eastAsia="Calibri" w:hAnsi="Calibri"/>
          <w:color w:val="1A1A1A"/>
          <w:sz w:val="19"/>
          <w:szCs w:val="19"/>
        </w:rPr>
        <w:t xml:space="preserve">The company is running two fundamentally different businesses — a components business and an automotive infotainment business — with different customers, cycles, and capital intensity, under one roof, for no demonstrated benefit.</w:t>
      </w:r>
    </w:p>
    <w:p>
      <w:pPr>
        <w:pStyle w:val="ListParagraph"/>
        <w:numPr>
          <w:ilvl w:val="0"/>
          <w:numId w:val="2"/>
        </w:numPr>
        <w:spacing w:after="90" w:before="40" w:line="264"/>
      </w:pPr>
      <w:r>
        <w:rPr>
          <w:rFonts w:ascii="Calibri" w:cs="Calibri" w:eastAsia="Calibri" w:hAnsi="Calibri"/>
          <w:color w:val="1A1A1A"/>
          <w:sz w:val="19"/>
          <w:szCs w:val="19"/>
        </w:rPr>
        <w:t xml:space="preserve">The Murakami group already owns roughly 10% and has forced a ¥30bn buyback covering over 10% of shares outstanding. Management is responding to pressure but not addressing the structural problem underneath it.</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Separate the automotive infotainment business from the components business — via sale, spin-off, or a formal strategic review with a public timetable. The merger thesis has had long enough to prove itself.</w:t>
      </w:r>
    </w:p>
    <w:p>
      <w:pPr>
        <w:pStyle w:val="ListParagraph"/>
        <w:numPr>
          <w:ilvl w:val="0"/>
          <w:numId w:val="3"/>
        </w:numPr>
        <w:spacing w:after="90" w:before="40" w:line="264"/>
      </w:pPr>
      <w:r>
        <w:rPr>
          <w:rFonts w:ascii="Calibri" w:cs="Calibri" w:eastAsia="Calibri" w:hAnsi="Calibri"/>
          <w:color w:val="1A1A1A"/>
          <w:sz w:val="19"/>
          <w:szCs w:val="19"/>
        </w:rPr>
        <w:t xml:space="preserve">Commit to a hard EBIT margin target with a published bridge and site-level restructuring plan; a 3% margin in this industry is a cost and mix problem with well-understood solutions.</w:t>
      </w:r>
    </w:p>
    <w:p>
      <w:pPr>
        <w:pStyle w:val="ListParagraph"/>
        <w:numPr>
          <w:ilvl w:val="0"/>
          <w:numId w:val="3"/>
        </w:numPr>
        <w:spacing w:after="90" w:before="40" w:line="264"/>
      </w:pPr>
      <w:r>
        <w:rPr>
          <w:rFonts w:ascii="Calibri" w:cs="Calibri" w:eastAsia="Calibri" w:hAnsi="Calibri"/>
          <w:color w:val="1A1A1A"/>
          <w:sz w:val="19"/>
          <w:szCs w:val="19"/>
        </w:rPr>
        <w:t xml:space="preserve">Continue the capital return programme and pair it with a permanent policy, and refresh the board with directors independent of the legacy Alps and Alpine organisations.</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HIGH, with an important caveat. The arithmetic is favourable — Murakami's ~10% plus institutional holders is a formidable base, and the announced buyback shows management already concedes ground under pressure. The caveat is reputational: some domestic institutions vote against anything Murakami-associated on principle, so a second, differently-positioned activist can sometimes achieve more than joining the existing bloc. Framing demands around operational performance rather than balance sheet extraction helps separate the campaign from the Murakami template.</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the merger created genuine technology overlap in sensing and communication modules, that automotive infotainment margins are recovering as the loss-making legacy programmes roll off, and that the current margin reflects a trough in automotive volumes plus heavy investment in next-generation cockpit platforms. They will point to the ¥30bn buyback as evidence of shareholder alignment. The weakness is that the same trough explanation has been offered through several distinct automotive cycles.</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unwind or separate the failed Alps/Alpine combination.</w:t>
      </w:r>
    </w:p>
    <w:p>
      <w:pPr>
        <w:pStyle w:val="ListParagraph"/>
        <w:numPr>
          <w:ilvl w:val="0"/>
          <w:numId w:val="2"/>
        </w:numPr>
        <w:spacing w:after="90" w:before="40" w:line="264"/>
      </w:pPr>
      <w:r>
        <w:rPr>
          <w:rFonts w:ascii="Calibri" w:cs="Calibri" w:eastAsia="Calibri" w:hAnsi="Calibri"/>
          <w:color w:val="1A1A1A"/>
          <w:sz w:val="18"/>
          <w:szCs w:val="18"/>
        </w:rPr>
        <w:t xml:space="preserve">Operational turnaround — a 3% EBIT margin against peers at 10–15%.</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buyback underway but no permanent framework.</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10.  </w:t>
            </w:r>
            <w:r>
              <w:rPr>
                <w:rFonts w:ascii="Calibri Light" w:cs="Calibri Light" w:eastAsia="Calibri Light" w:hAnsi="Calibri Light"/>
                <w:b/>
                <w:bCs/>
                <w:color w:val="FFFFFF"/>
                <w:sz w:val="26"/>
                <w:szCs w:val="26"/>
              </w:rPr>
              <w:t xml:space="preserve">Yamaha Corporation</w:t>
            </w:r>
            <w:r>
              <w:rPr>
                <w:rFonts w:ascii="Calibri" w:cs="Calibri" w:eastAsia="Calibri" w:hAnsi="Calibri"/>
                <w:color w:val="AFC0DA"/>
                <w:sz w:val="20"/>
                <w:szCs w:val="20"/>
              </w:rPr>
              <w:t xml:space="preserve">   7951.T</w:t>
            </w:r>
          </w:p>
          <w:p>
            <w:pPr>
              <w:spacing w:after="0"/>
            </w:pPr>
            <w:r>
              <w:rPr>
                <w:rFonts w:ascii="Calibri" w:cs="Calibri" w:eastAsia="Calibri" w:hAnsi="Calibri"/>
                <w:color w:val="D2DCEC"/>
                <w:sz w:val="17"/>
                <w:szCs w:val="17"/>
              </w:rPr>
              <w:t xml:space="preserve">Consumer Discretionary — Musical instruments, audio</w:t>
            </w:r>
            <w:r>
              <w:rPr>
                <w:rFonts w:ascii="Calibri" w:cs="Calibri" w:eastAsia="Calibri" w:hAnsi="Calibri"/>
                <w:color w:val="D2DCEC"/>
                <w:sz w:val="17"/>
                <w:szCs w:val="17"/>
              </w:rPr>
              <w:t xml:space="preserve">   ·   ~¥600bn (~US$4bn)</w:t>
            </w:r>
            <w:r>
              <w:rPr>
                <w:rFonts w:ascii="Calibri" w:cs="Calibri" w:eastAsia="Calibri" w:hAnsi="Calibri"/>
                <w:b/>
                <w:bCs/>
                <w:color w:val="F0C987"/>
                <w:sz w:val="17"/>
                <w:szCs w:val="17"/>
              </w:rPr>
              <w:t xml:space="preserve">   ·   Tier 2 — high conviction</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-10% (sector +12%); 3yr ~ -35% (sector +30%); 5yr ~ -40% (TOPIX +55%)</w:t>
            </w:r>
          </w:p>
          <w:p>
            <w:pPr>
              <w:spacing w:after="0" w:line="240"/>
            </w:pPr>
            <w:r>
              <w:rPr>
                <w:rFonts w:ascii="Calibri" w:cs="Calibri" w:eastAsia="Calibri" w:hAnsi="Calibri"/>
                <w:i/>
                <w:iCs/>
                <w:color w:val="44546A"/>
                <w:sz w:val="15"/>
                <w:szCs w:val="15"/>
              </w:rPr>
              <w:t xml:space="preserve">Severe underperformance on every horizon. A dominant global franchise that has lost roughly half its value from the 2021 peak.</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~1.2x; EV/EBIT ~15x; P/E ~22x; FCF yield ~4%; PBR ~1.1x</w:t>
            </w:r>
          </w:p>
          <w:p>
            <w:pPr>
              <w:spacing w:after="0" w:line="240"/>
            </w:pPr>
            <w:r>
              <w:rPr>
                <w:rFonts w:ascii="Calibri" w:cs="Calibri" w:eastAsia="Calibri" w:hAnsi="Calibri"/>
                <w:i/>
                <w:iCs/>
                <w:color w:val="44546A"/>
                <w:sz w:val="15"/>
                <w:szCs w:val="15"/>
              </w:rPr>
              <w:t xml:space="preserve">Adjusting for the Yamaha Motor cross-holding, the core instruments business trades at a substantial discount to global branded-consumer comparables.</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~8% (from ~13%); EBITDA ~13%</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~¥100bn, plus a Yamaha Motor cross-shareholding worth ~¥100bn+</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~6%</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Yamaha Motor (cross-shareholding)</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~4%</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BlackRock / Norges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~9%+</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~4%</w:t>
            </w:r>
          </w:p>
        </w:tc>
      </w:tr>
    </w:tbl>
    <w:p>
      <w:pPr>
        <w:spacing w:after="100" w:before="70" w:line="264"/>
      </w:pPr>
      <w:r>
        <w:rPr>
          <w:rFonts w:ascii="Calibri" w:cs="Calibri" w:eastAsia="Calibri" w:hAnsi="Calibri"/>
          <w:i/>
          <w:iCs/>
          <w:color w:val="44546A"/>
          <w:sz w:val="16"/>
          <w:szCs w:val="16"/>
        </w:rPr>
        <w:t xml:space="preserve">Fragmented apart from the reciprocal Yamaha Motor holding, which is itself a governance target rather than a defence.</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Yamaha has the strongest brand in musical instruments globally — genuine pricing power, a century of equity, and an installed base competitors cannot replicate — and it has lost 40% of shareholder value in five years.</w:t>
      </w:r>
    </w:p>
    <w:p>
      <w:pPr>
        <w:pStyle w:val="ListParagraph"/>
        <w:numPr>
          <w:ilvl w:val="0"/>
          <w:numId w:val="2"/>
        </w:numPr>
        <w:spacing w:after="90" w:before="40" w:line="264"/>
      </w:pPr>
      <w:r>
        <w:rPr>
          <w:rFonts w:ascii="Calibri" w:cs="Calibri" w:eastAsia="Calibri" w:hAnsi="Calibri"/>
          <w:color w:val="1A1A1A"/>
          <w:sz w:val="19"/>
          <w:szCs w:val="19"/>
        </w:rPr>
        <w:t xml:space="preserve">The proximate cause was a serious inventory and demand-planning failure in China that management neither anticipated nor communicated. The deeper cause is a cost base built for a growth trajectory that stopped.</w:t>
      </w:r>
    </w:p>
    <w:p>
      <w:pPr>
        <w:pStyle w:val="ListParagraph"/>
        <w:numPr>
          <w:ilvl w:val="0"/>
          <w:numId w:val="2"/>
        </w:numPr>
        <w:spacing w:after="90" w:before="40" w:line="264"/>
      </w:pPr>
      <w:r>
        <w:rPr>
          <w:rFonts w:ascii="Calibri" w:cs="Calibri" w:eastAsia="Calibri" w:hAnsi="Calibri"/>
          <w:color w:val="1A1A1A"/>
          <w:sz w:val="19"/>
          <w:szCs w:val="19"/>
        </w:rPr>
        <w:t xml:space="preserve">The company holds a large reciprocal cross-shareholding in Yamaha Motor — a separate listed company with different economics — which serves no purpose for shareholders of either entity other than mutual board protection.</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Unwind the Yamaha Motor cross-shareholding and return the proceeds. It is textbook dead capital and its disposal is directly aligned with TSE policy on cross-shareholdings.</w:t>
      </w:r>
    </w:p>
    <w:p>
      <w:pPr>
        <w:pStyle w:val="ListParagraph"/>
        <w:numPr>
          <w:ilvl w:val="0"/>
          <w:numId w:val="3"/>
        </w:numPr>
        <w:spacing w:after="90" w:before="40" w:line="264"/>
      </w:pPr>
      <w:r>
        <w:rPr>
          <w:rFonts w:ascii="Calibri" w:cs="Calibri" w:eastAsia="Calibri" w:hAnsi="Calibri"/>
          <w:color w:val="1A1A1A"/>
          <w:sz w:val="19"/>
          <w:szCs w:val="19"/>
        </w:rPr>
        <w:t xml:space="preserve">Restructure the audio and AV equipment segment, which is subscale against global consumer audio competitors, and set a published margin bridge back toward the historic 13% EBIT level.</w:t>
      </w:r>
    </w:p>
    <w:p>
      <w:pPr>
        <w:pStyle w:val="ListParagraph"/>
        <w:numPr>
          <w:ilvl w:val="0"/>
          <w:numId w:val="3"/>
        </w:numPr>
        <w:spacing w:after="90" w:before="40" w:line="264"/>
      </w:pPr>
      <w:r>
        <w:rPr>
          <w:rFonts w:ascii="Calibri" w:cs="Calibri" w:eastAsia="Calibri" w:hAnsi="Calibri"/>
          <w:color w:val="1A1A1A"/>
          <w:sz w:val="19"/>
          <w:szCs w:val="19"/>
        </w:rPr>
        <w:t xml:space="preserve">Overhaul demand planning and inventory governance with board-level oversight, and add independent directors with global consumer and supply-chain experience.</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MODERATE-TO-HIGH. The register is institutional and fragmented, and the cross-shareholding unwind is one of the most consensus-friendly demands available in Japan today — it aligns with explicit TSE and METI policy, so even conservative domestic institutions can support it without appearing adversarial. Where support becomes harder is on cost restructuring, since Yamaha is a culturally prized company with deep Hamamatsu roots and the workforce implications are politically sensitive. Sequence the campaign: win the cross-shareholding argument first, then use the credibility to press on margins.</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the China downturn was an industry-wide market contraction rather than a company-specific failure, that they have already taken inventory corrections, and that the brand requires sustained investment in education and channel programmes that suppress near-term margin. On the cross-shareholding they will cite brand co-ownership — the two companies share the Yamaha name and tuning-fork mark — as a genuine reason for a reciprocal relationship. That brand argument has some substance but is addressable by a licensing agreement rather than an equity stake.</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cross-shareholdings — unwind the Yamaha Motor stake.</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subscale audio and AV equipment segment.</w:t>
      </w:r>
    </w:p>
    <w:p>
      <w:pPr>
        <w:pStyle w:val="ListParagraph"/>
        <w:numPr>
          <w:ilvl w:val="0"/>
          <w:numId w:val="2"/>
        </w:numPr>
        <w:spacing w:after="90" w:before="40" w:line="264"/>
      </w:pPr>
      <w:r>
        <w:rPr>
          <w:rFonts w:ascii="Calibri" w:cs="Calibri" w:eastAsia="Calibri" w:hAnsi="Calibri"/>
          <w:color w:val="1A1A1A"/>
          <w:sz w:val="18"/>
          <w:szCs w:val="18"/>
        </w:rPr>
        <w:t xml:space="preserve">Operational governance — accountability for the inventory and demand-planning failure.</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11.  </w:t>
            </w:r>
            <w:r>
              <w:rPr>
                <w:rFonts w:ascii="Calibri Light" w:cs="Calibri Light" w:eastAsia="Calibri Light" w:hAnsi="Calibri Light"/>
                <w:b/>
                <w:bCs/>
                <w:color w:val="FFFFFF"/>
                <w:sz w:val="26"/>
                <w:szCs w:val="26"/>
              </w:rPr>
              <w:t xml:space="preserve">Kamigumi</w:t>
            </w:r>
            <w:r>
              <w:rPr>
                <w:rFonts w:ascii="Calibri" w:cs="Calibri" w:eastAsia="Calibri" w:hAnsi="Calibri"/>
                <w:color w:val="AFC0DA"/>
                <w:sz w:val="20"/>
                <w:szCs w:val="20"/>
              </w:rPr>
              <w:t xml:space="preserve">   9364.T</w:t>
            </w:r>
          </w:p>
          <w:p>
            <w:pPr>
              <w:spacing w:after="0"/>
            </w:pPr>
            <w:r>
              <w:rPr>
                <w:rFonts w:ascii="Calibri" w:cs="Calibri" w:eastAsia="Calibri" w:hAnsi="Calibri"/>
                <w:color w:val="D2DCEC"/>
                <w:sz w:val="17"/>
                <w:szCs w:val="17"/>
              </w:rPr>
              <w:t xml:space="preserve">Industrials — Port logistics, warehousing</w:t>
            </w:r>
            <w:r>
              <w:rPr>
                <w:rFonts w:ascii="Calibri" w:cs="Calibri" w:eastAsia="Calibri" w:hAnsi="Calibri"/>
                <w:color w:val="D2DCEC"/>
                <w:sz w:val="17"/>
                <w:szCs w:val="17"/>
              </w:rPr>
              <w:t xml:space="preserve">   ·   ~¥500bn (~US$3.3bn)</w:t>
            </w:r>
            <w:r>
              <w:rPr>
                <w:rFonts w:ascii="Calibri" w:cs="Calibri" w:eastAsia="Calibri" w:hAnsi="Calibri"/>
                <w:b/>
                <w:bCs/>
                <w:color w:val="F0C987"/>
                <w:sz w:val="17"/>
                <w:szCs w:val="17"/>
              </w:rPr>
              <w:t xml:space="preserve">   ·   Tier 3 — asset-backed value</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+10% (sector +12%); 3yr ~ +30% (sector +28%); 5yr ~ +40% (TOPIX +55%)</w:t>
            </w:r>
          </w:p>
          <w:p>
            <w:pPr>
              <w:spacing w:after="0" w:line="240"/>
            </w:pPr>
            <w:r>
              <w:rPr>
                <w:rFonts w:ascii="Calibri" w:cs="Calibri" w:eastAsia="Calibri" w:hAnsi="Calibri"/>
                <w:i/>
                <w:iCs/>
                <w:color w:val="44546A"/>
                <w:sz w:val="15"/>
                <w:szCs w:val="15"/>
              </w:rPr>
              <w:t xml:space="preserve">Partial screen fail — recent TSR is respectable. Included because the underlying asset and capital-structure inefficiency remains almost entirely unaddressed and the 5yr number still lags the index.</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~1.5x; EV/EBIT ~10x; P/E ~14x; FCF yield ~5%; PBR ~0.9x</w:t>
            </w:r>
          </w:p>
          <w:p>
            <w:pPr>
              <w:spacing w:after="0" w:line="240"/>
            </w:pPr>
            <w:r>
              <w:rPr>
                <w:rFonts w:ascii="Calibri" w:cs="Calibri" w:eastAsia="Calibri" w:hAnsi="Calibri"/>
                <w:i/>
                <w:iCs/>
                <w:color w:val="44546A"/>
                <w:sz w:val="15"/>
                <w:szCs w:val="15"/>
              </w:rPr>
              <w:t xml:space="preserve">Sub-1x book despite balance sheet assets carried at decades-old cost — the true discount to realisable NAV is far wider than the headline PBR.</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~11%; EBITDA ~16%</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plus a substantial listed securities portfolio. Net debt/EBITDA ~ -1.0x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Kansai corporate cross-shareholders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~10%</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~6%</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~7%+</w:t>
            </w:r>
          </w:p>
        </w:tc>
      </w:tr>
    </w:tbl>
    <w:p>
      <w:pPr>
        <w:spacing w:after="100" w:before="70" w:line="264"/>
      </w:pPr>
      <w:r>
        <w:rPr>
          <w:rFonts w:ascii="Calibri" w:cs="Calibri" w:eastAsia="Calibri" w:hAnsi="Calibri"/>
          <w:i/>
          <w:iCs/>
          <w:color w:val="44546A"/>
          <w:sz w:val="16"/>
          <w:szCs w:val="16"/>
        </w:rPr>
        <w:t xml:space="preserve">Cross-shareholder aggregate is meaningful friction but far from control. Free float is ample.</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Kamigumi holds the leading container handling position at Kobe, Yokohama and Tokyo, sitting on port-adjacent land recorded at acquisition cost from decades ago. The stated book value bears no relationship to what those assets are worth.</w:t>
      </w:r>
    </w:p>
    <w:p>
      <w:pPr>
        <w:pStyle w:val="ListParagraph"/>
        <w:numPr>
          <w:ilvl w:val="0"/>
          <w:numId w:val="2"/>
        </w:numPr>
        <w:spacing w:after="90" w:before="40" w:line="264"/>
      </w:pPr>
      <w:r>
        <w:rPr>
          <w:rFonts w:ascii="Calibri" w:cs="Calibri" w:eastAsia="Calibri" w:hAnsi="Calibri"/>
          <w:color w:val="1A1A1A"/>
          <w:sz w:val="19"/>
          <w:szCs w:val="19"/>
        </w:rPr>
        <w:t xml:space="preserve">On top of that, the company runs a large portfolio of listed cross-shareholdings — capital tied up in other companies' equity that has nothing to do with moving containers, and that exists to sustain relationships rather than returns.</w:t>
      </w:r>
    </w:p>
    <w:p>
      <w:pPr>
        <w:pStyle w:val="ListParagraph"/>
        <w:numPr>
          <w:ilvl w:val="0"/>
          <w:numId w:val="2"/>
        </w:numPr>
        <w:spacing w:after="90" w:before="40" w:line="264"/>
      </w:pPr>
      <w:r>
        <w:rPr>
          <w:rFonts w:ascii="Calibri" w:cs="Calibri" w:eastAsia="Calibri" w:hAnsi="Calibri"/>
          <w:color w:val="1A1A1A"/>
          <w:sz w:val="19"/>
          <w:szCs w:val="19"/>
        </w:rPr>
        <w:t xml:space="preserve">The result is a mid-single-digit ROE at a company with a genuinely defensible infrastructure franchise. The business is fine; the balance sheet is the problem.</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Sell the listed cross-shareholding portfolio on a published timetable and return the proceeds — the most direct available route to lifting ROE above the cost of equity.</w:t>
      </w:r>
    </w:p>
    <w:p>
      <w:pPr>
        <w:pStyle w:val="ListParagraph"/>
        <w:numPr>
          <w:ilvl w:val="0"/>
          <w:numId w:val="3"/>
        </w:numPr>
        <w:spacing w:after="90" w:before="40" w:line="264"/>
      </w:pPr>
      <w:r>
        <w:rPr>
          <w:rFonts w:ascii="Calibri" w:cs="Calibri" w:eastAsia="Calibri" w:hAnsi="Calibri"/>
          <w:color w:val="1A1A1A"/>
          <w:sz w:val="19"/>
          <w:szCs w:val="19"/>
        </w:rPr>
        <w:t xml:space="preserve">Commission and disclose an independent appraisal of the real estate portfolio at market value, then monetise or recycle non-operational land, including through a REIT or sale-and-leaseback structure.</w:t>
      </w:r>
    </w:p>
    <w:p>
      <w:pPr>
        <w:pStyle w:val="ListParagraph"/>
        <w:numPr>
          <w:ilvl w:val="0"/>
          <w:numId w:val="3"/>
        </w:numPr>
        <w:spacing w:after="90" w:before="40" w:line="264"/>
      </w:pPr>
      <w:r>
        <w:rPr>
          <w:rFonts w:ascii="Calibri" w:cs="Calibri" w:eastAsia="Calibri" w:hAnsi="Calibri"/>
          <w:color w:val="1A1A1A"/>
          <w:sz w:val="19"/>
          <w:szCs w:val="19"/>
        </w:rPr>
        <w:t xml:space="preserve">Set an explicit ROE target and cost-of-capital disclosure under the TSE framework, and add independent directors with real estate and capital markets expertise.</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 The economics are compelling but the register is the challenge: Kansai corporate cross-shareholders and relationship banks form a meaningful conservative bloc, and Kamigumi's own cross-holdings mean it is embedded in a reciprocal network of support. That said, unwinding cross-shareholdings is now official policy direction, which strips away most of the intellectual defence and makes it awkward for institutions to vote against. Real estate revaluation disclosure is a low-cost first ask that is very hard to refuse publicly and creates the evidence base for everything after it.</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port concessions and land are operating assets, not investments, and cannot be monetised without impairing the logistics franchise — which is partly true for the operational berths and partly a shield for everything else. They will defend cross-shareholdings as necessary to maintain long-term customer relationships in a business built on trust with shipping lines and trading houses. They will point to recent dividend increases. The relationship-capital argument is exactly the one Japanese policymakers have now formally rejected.</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unwind the listed cross-shareholding portfolio.</w:t>
      </w:r>
    </w:p>
    <w:p>
      <w:pPr>
        <w:pStyle w:val="ListParagraph"/>
        <w:numPr>
          <w:ilvl w:val="0"/>
          <w:numId w:val="2"/>
        </w:numPr>
        <w:spacing w:after="90" w:before="40" w:line="264"/>
      </w:pPr>
      <w:r>
        <w:rPr>
          <w:rFonts w:ascii="Calibri" w:cs="Calibri" w:eastAsia="Calibri" w:hAnsi="Calibri"/>
          <w:color w:val="1A1A1A"/>
          <w:sz w:val="18"/>
          <w:szCs w:val="18"/>
        </w:rPr>
        <w:t xml:space="preserve">Undervalued assets — port real estate carried far below market value with no appraisal disclosure.</w:t>
      </w:r>
    </w:p>
    <w:p>
      <w:pPr>
        <w:pStyle w:val="ListParagraph"/>
        <w:numPr>
          <w:ilvl w:val="0"/>
          <w:numId w:val="2"/>
        </w:numPr>
        <w:spacing w:after="90" w:before="40" w:line="264"/>
      </w:pPr>
      <w:r>
        <w:rPr>
          <w:rFonts w:ascii="Calibri" w:cs="Calibri" w:eastAsia="Calibri" w:hAnsi="Calibri"/>
          <w:color w:val="1A1A1A"/>
          <w:sz w:val="18"/>
          <w:szCs w:val="18"/>
        </w:rPr>
        <w:t xml:space="preserve">Governance — no ROE framework; board lacks capital markets and real estate skills.</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12.  </w:t>
            </w:r>
            <w:r>
              <w:rPr>
                <w:rFonts w:ascii="Calibri Light" w:cs="Calibri Light" w:eastAsia="Calibri Light" w:hAnsi="Calibri Light"/>
                <w:b/>
                <w:bCs/>
                <w:color w:val="FFFFFF"/>
                <w:sz w:val="26"/>
                <w:szCs w:val="26"/>
              </w:rPr>
              <w:t xml:space="preserve">Mitsubishi Logistics</w:t>
            </w:r>
            <w:r>
              <w:rPr>
                <w:rFonts w:ascii="Calibri" w:cs="Calibri" w:eastAsia="Calibri" w:hAnsi="Calibri"/>
                <w:color w:val="AFC0DA"/>
                <w:sz w:val="20"/>
                <w:szCs w:val="20"/>
              </w:rPr>
              <w:t xml:space="preserve">   9301.T</w:t>
            </w:r>
          </w:p>
          <w:p>
            <w:pPr>
              <w:spacing w:after="0"/>
            </w:pPr>
            <w:r>
              <w:rPr>
                <w:rFonts w:ascii="Calibri" w:cs="Calibri" w:eastAsia="Calibri" w:hAnsi="Calibri"/>
                <w:color w:val="D2DCEC"/>
                <w:sz w:val="17"/>
                <w:szCs w:val="17"/>
              </w:rPr>
              <w:t xml:space="preserve">Industrials — Warehousing, real estate</w:t>
            </w:r>
            <w:r>
              <w:rPr>
                <w:rFonts w:ascii="Calibri" w:cs="Calibri" w:eastAsia="Calibri" w:hAnsi="Calibri"/>
                <w:color w:val="D2DCEC"/>
                <w:sz w:val="17"/>
                <w:szCs w:val="17"/>
              </w:rPr>
              <w:t xml:space="preserve">   ·   ~¥400bn (~US$2.7bn)</w:t>
            </w:r>
            <w:r>
              <w:rPr>
                <w:rFonts w:ascii="Calibri" w:cs="Calibri" w:eastAsia="Calibri" w:hAnsi="Calibri"/>
                <w:b/>
                <w:bCs/>
                <w:color w:val="F0C987"/>
                <w:sz w:val="17"/>
                <w:szCs w:val="17"/>
              </w:rPr>
              <w:t xml:space="preserve">   ·   Tier 3 — asset-backed value</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+8% (sector +12%); 3yr ~ +15% (sector +28%); 5yr ~ +20% (TOPIX +55%)</w:t>
            </w:r>
          </w:p>
          <w:p>
            <w:pPr>
              <w:spacing w:after="0" w:line="240"/>
            </w:pPr>
            <w:r>
              <w:rPr>
                <w:rFonts w:ascii="Calibri" w:cs="Calibri" w:eastAsia="Calibri" w:hAnsi="Calibri"/>
                <w:i/>
                <w:iCs/>
                <w:color w:val="44546A"/>
                <w:sz w:val="15"/>
                <w:szCs w:val="15"/>
              </w:rPr>
              <w:t xml:space="preserve">Fails on 3yr and 5yr relative to both sector and index despite owning one of the better hidden real estate portfolios in the listed market.</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~2.0x; EV/EBIT ~14x; P/E ~16x; FCF yield ~4%; PBR ~0.9x</w:t>
            </w:r>
          </w:p>
          <w:p>
            <w:pPr>
              <w:spacing w:after="0" w:line="240"/>
            </w:pPr>
            <w:r>
              <w:rPr>
                <w:rFonts w:ascii="Calibri" w:cs="Calibri" w:eastAsia="Calibri" w:hAnsi="Calibri"/>
                <w:i/>
                <w:iCs/>
                <w:color w:val="44546A"/>
                <w:sz w:val="15"/>
                <w:szCs w:val="15"/>
              </w:rPr>
              <w:t xml:space="preserve">The reported PBR is close to meaningless — prime Tokyo and Yokohama warehouse land is carried at historic cost, so the discount to true NAV is very substantially wider.</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~12%; EBITDA ~19%</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to very low leverage, plus a listed securities portfolio. Net debt/EBITDA ~ 0.3x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Mitsubishi group companies (aggregate cross-shareholdings)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~20%</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Meiji Yasuda / domestic insurers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~7%+</w:t>
            </w:r>
          </w:p>
        </w:tc>
      </w:tr>
    </w:tbl>
    <w:p>
      <w:pPr>
        <w:spacing w:after="100" w:before="70" w:line="264"/>
      </w:pPr>
      <w:r>
        <w:rPr>
          <w:rFonts w:ascii="Calibri" w:cs="Calibri" w:eastAsia="Calibri" w:hAnsi="Calibri"/>
          <w:i/>
          <w:iCs/>
          <w:color w:val="44546A"/>
          <w:sz w:val="16"/>
          <w:szCs w:val="16"/>
        </w:rPr>
        <w:t xml:space="preserve">IMPORTANT: the Mitsubishi group aggregate is around 20% — well below the 40% screen threshold, but it is the most coordinated friendly bloc in this screen and must be underwritten carefully.</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Mitsubishi Logistics owns prime Tokyo, Yokohama and Kobe waterfront land acquired generations ago and carried at historic cost. On any market appraisal the real estate alone approaches or exceeds the entire market capitalisation.</w:t>
      </w:r>
    </w:p>
    <w:p>
      <w:pPr>
        <w:pStyle w:val="ListParagraph"/>
        <w:numPr>
          <w:ilvl w:val="0"/>
          <w:numId w:val="2"/>
        </w:numPr>
        <w:spacing w:after="90" w:before="40" w:line="264"/>
      </w:pPr>
      <w:r>
        <w:rPr>
          <w:rFonts w:ascii="Calibri" w:cs="Calibri" w:eastAsia="Calibri" w:hAnsi="Calibri"/>
          <w:color w:val="1A1A1A"/>
          <w:sz w:val="19"/>
          <w:szCs w:val="19"/>
        </w:rPr>
        <w:t xml:space="preserve">The company earns a mid-single-digit ROE on those assets — a return that would be unacceptable to any dedicated real estate owner and is only tolerated because the assets are hidden inside a logistics company.</w:t>
      </w:r>
    </w:p>
    <w:p>
      <w:pPr>
        <w:pStyle w:val="ListParagraph"/>
        <w:numPr>
          <w:ilvl w:val="0"/>
          <w:numId w:val="2"/>
        </w:numPr>
        <w:spacing w:after="90" w:before="40" w:line="264"/>
      </w:pPr>
      <w:r>
        <w:rPr>
          <w:rFonts w:ascii="Calibri" w:cs="Calibri" w:eastAsia="Calibri" w:hAnsi="Calibri"/>
          <w:color w:val="1A1A1A"/>
          <w:sz w:val="19"/>
          <w:szCs w:val="19"/>
        </w:rPr>
        <w:t xml:space="preserve">This is not a business problem. It is a disclosure and structure problem: the market cannot value what management will not appraise, and management has no incentive to appraise it.</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Disclose an independent market appraisal of the real estate portfolio with segment-level returns on that appraised value — the single highest-impact, lowest-cost action available.</w:t>
      </w:r>
    </w:p>
    <w:p>
      <w:pPr>
        <w:pStyle w:val="ListParagraph"/>
        <w:numPr>
          <w:ilvl w:val="0"/>
          <w:numId w:val="3"/>
        </w:numPr>
        <w:spacing w:after="90" w:before="40" w:line="264"/>
      </w:pPr>
      <w:r>
        <w:rPr>
          <w:rFonts w:ascii="Calibri" w:cs="Calibri" w:eastAsia="Calibri" w:hAnsi="Calibri"/>
          <w:color w:val="1A1A1A"/>
          <w:sz w:val="19"/>
          <w:szCs w:val="19"/>
        </w:rPr>
        <w:t xml:space="preserve">Separate the real estate business structurally: a REIT vehicle, a spin-off, or a joint venture with a developer, so the assets are valued on real estate metrics rather than logistics multiples.</w:t>
      </w:r>
    </w:p>
    <w:p>
      <w:pPr>
        <w:pStyle w:val="ListParagraph"/>
        <w:numPr>
          <w:ilvl w:val="0"/>
          <w:numId w:val="3"/>
        </w:numPr>
        <w:spacing w:after="90" w:before="40" w:line="264"/>
      </w:pPr>
      <w:r>
        <w:rPr>
          <w:rFonts w:ascii="Calibri" w:cs="Calibri" w:eastAsia="Calibri" w:hAnsi="Calibri"/>
          <w:color w:val="1A1A1A"/>
          <w:sz w:val="19"/>
          <w:szCs w:val="19"/>
        </w:rPr>
        <w:t xml:space="preserve">Unwind the listed cross-shareholding portfolio and return the proceeds, and set an explicit ROE target under the TSE capital-efficiency framework.</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 Purely on the numbers this should be straightforward — the NAV discount is enormous and the fix is well precedented. The obstacle is the Mitsubishi group holding, roughly 20% and reliably supportive of incumbent management, which means an activist needs to win a large majority of the remaining register to carry a contested vote. The practical strategy is to avoid contested votes initially and campaign on disclosure, where refusal is publicly indefensible and where the resulting appraisal does the persuading. Foreign institutions and domestic value funds will engage readily on a NAV-discount story.</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the warehouses are operating assets integral to the logistics network and cannot be separated without breaking customer service, that redevelopment is already underway on a measured schedule appropriate to long-lived assets, and that historic-cost accounting is simply Japanese GAAP rather than concealment. They will cite Mitsubishi group relationships as a durable commercial advantage. The argument is strongest for genuinely operational sites and weakest for the substantial non-operational and redevelopment-ready land, which is precisely why they resist a site-by-site appraisal.</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Undervalued assets — hidden real estate value, no market appraisal disclosed.</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structurally separate real estate from logistics.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cross-shareholding unwind and an explicit ROE framework.</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13.  </w:t>
            </w:r>
            <w:r>
              <w:rPr>
                <w:rFonts w:ascii="Calibri Light" w:cs="Calibri Light" w:eastAsia="Calibri Light" w:hAnsi="Calibri Light"/>
                <w:b/>
                <w:bCs/>
                <w:color w:val="FFFFFF"/>
                <w:sz w:val="26"/>
                <w:szCs w:val="26"/>
              </w:rPr>
              <w:t xml:space="preserve">Yamato Holdings</w:t>
            </w:r>
            <w:r>
              <w:rPr>
                <w:rFonts w:ascii="Calibri" w:cs="Calibri" w:eastAsia="Calibri" w:hAnsi="Calibri"/>
                <w:color w:val="AFC0DA"/>
                <w:sz w:val="20"/>
                <w:szCs w:val="20"/>
              </w:rPr>
              <w:t xml:space="preserve">   9064.T</w:t>
            </w:r>
          </w:p>
          <w:p>
            <w:pPr>
              <w:spacing w:after="0"/>
            </w:pPr>
            <w:r>
              <w:rPr>
                <w:rFonts w:ascii="Calibri" w:cs="Calibri" w:eastAsia="Calibri" w:hAnsi="Calibri"/>
                <w:color w:val="D2DCEC"/>
                <w:sz w:val="17"/>
                <w:szCs w:val="17"/>
              </w:rPr>
              <w:t xml:space="preserve">Industrials — Parcel delivery, logistics</w:t>
            </w:r>
            <w:r>
              <w:rPr>
                <w:rFonts w:ascii="Calibri" w:cs="Calibri" w:eastAsia="Calibri" w:hAnsi="Calibri"/>
                <w:color w:val="D2DCEC"/>
                <w:sz w:val="17"/>
                <w:szCs w:val="17"/>
              </w:rPr>
              <w:t xml:space="preserve">   ·   ~¥600bn (~US$4bn)</w:t>
            </w:r>
            <w:r>
              <w:rPr>
                <w:rFonts w:ascii="Calibri" w:cs="Calibri" w:eastAsia="Calibri" w:hAnsi="Calibri"/>
                <w:b/>
                <w:bCs/>
                <w:color w:val="F0C987"/>
                <w:sz w:val="17"/>
                <w:szCs w:val="17"/>
              </w:rPr>
              <w:t xml:space="preserve">   ·   Tier 1 — flagship (highest fixability)</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-20% (sector +12%); 3yr ~ -40% (sector +28%); 5yr ~ -45% (TOPIX +55%)</w:t>
            </w:r>
          </w:p>
          <w:p>
            <w:pPr>
              <w:spacing w:after="0" w:line="240"/>
            </w:pPr>
            <w:r>
              <w:rPr>
                <w:rFonts w:ascii="Calibri" w:cs="Calibri" w:eastAsia="Calibri" w:hAnsi="Calibri"/>
                <w:i/>
                <w:iCs/>
                <w:color w:val="44546A"/>
                <w:sz w:val="15"/>
                <w:szCs w:val="15"/>
              </w:rPr>
              <w:t xml:space="preserve">The worst absolute and relative TSR record in this screen. Comprehensive, sustained value destruction.</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~0.3x; EV/EBIT ~15x; P/E ~30x; FCF yield ~3%; PBR ~0.8x</w:t>
            </w:r>
          </w:p>
          <w:p>
            <w:pPr>
              <w:spacing w:after="0" w:line="240"/>
            </w:pPr>
            <w:r>
              <w:rPr>
                <w:rFonts w:ascii="Calibri" w:cs="Calibri" w:eastAsia="Calibri" w:hAnsi="Calibri"/>
                <w:i/>
                <w:iCs/>
                <w:color w:val="44546A"/>
                <w:sz w:val="15"/>
                <w:szCs w:val="15"/>
              </w:rPr>
              <w:t xml:space="preserve">High headline multiples on collapsed earnings. On any normalised margin assumption the equity is deeply discounted.</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~2% (from ~5%); EBITDA ~6%</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~¥100bn. Net debt/EBITDA ~ -0.5x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~6%</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BlackRock / Norges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~9%+</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Employee shareholding association</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~2%</w:t>
            </w:r>
          </w:p>
        </w:tc>
      </w:tr>
    </w:tbl>
    <w:p>
      <w:pPr>
        <w:spacing w:after="100" w:before="70" w:line="264"/>
      </w:pPr>
      <w:r>
        <w:rPr>
          <w:rFonts w:ascii="Calibri" w:cs="Calibri" w:eastAsia="Calibri" w:hAnsi="Calibri"/>
          <w:i/>
          <w:iCs/>
          <w:color w:val="44546A"/>
          <w:sz w:val="16"/>
          <w:szCs w:val="16"/>
        </w:rPr>
        <w:t xml:space="preserve">Entirely fragmented — no anchor shareholder of any kind. Structurally one of the most attackable registers in Japan.</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Yamato owns the strongest brand and the densest last-mile network in Japanese parcel delivery — a genuinely defensible position in a structurally growing e-commerce market — and has lost 45% of shareholder value in five years while the index rose 55%.</w:t>
      </w:r>
    </w:p>
    <w:p>
      <w:pPr>
        <w:pStyle w:val="ListParagraph"/>
        <w:numPr>
          <w:ilvl w:val="0"/>
          <w:numId w:val="2"/>
        </w:numPr>
        <w:spacing w:after="90" w:before="40" w:line="264"/>
      </w:pPr>
      <w:r>
        <w:rPr>
          <w:rFonts w:ascii="Calibri" w:cs="Calibri" w:eastAsia="Calibri" w:hAnsi="Calibri"/>
          <w:color w:val="1A1A1A"/>
          <w:sz w:val="19"/>
          <w:szCs w:val="19"/>
        </w:rPr>
        <w:t xml:space="preserve">Margins have fallen from roughly 5% to 2% through a period when the 2024 driver regulations gave the entire industry pricing power. Competitors used that leverage. Yamato did not.</w:t>
      </w:r>
    </w:p>
    <w:p>
      <w:pPr>
        <w:pStyle w:val="ListParagraph"/>
        <w:numPr>
          <w:ilvl w:val="0"/>
          <w:numId w:val="2"/>
        </w:numPr>
        <w:spacing w:after="90" w:before="40" w:line="264"/>
      </w:pPr>
      <w:r>
        <w:rPr>
          <w:rFonts w:ascii="Calibri" w:cs="Calibri" w:eastAsia="Calibri" w:hAnsi="Calibri"/>
          <w:color w:val="1A1A1A"/>
          <w:sz w:val="19"/>
          <w:szCs w:val="19"/>
        </w:rPr>
        <w:t xml:space="preserve">Successive structural reform programmes have been announced and missed, and the Japan Post partnership was restructured on terms that transferred economics away from Yamato. The president's departure in April 2026 was an admission, and it creates the opening.</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Force a genuine network and overhead restructuring with externally verifiable milestones — terminal consolidation, route density, and a published bridge back to a 5%+ EBIT margin.</w:t>
      </w:r>
    </w:p>
    <w:p>
      <w:pPr>
        <w:pStyle w:val="ListParagraph"/>
        <w:numPr>
          <w:ilvl w:val="0"/>
          <w:numId w:val="3"/>
        </w:numPr>
        <w:spacing w:after="90" w:before="40" w:line="264"/>
      </w:pPr>
      <w:r>
        <w:rPr>
          <w:rFonts w:ascii="Calibri" w:cs="Calibri" w:eastAsia="Calibri" w:hAnsi="Calibri"/>
          <w:color w:val="1A1A1A"/>
          <w:sz w:val="19"/>
          <w:szCs w:val="19"/>
        </w:rPr>
        <w:t xml:space="preserve">Renegotiate or exit the Japan Post arrangement on economics that reflect Yamato's network contribution, and reprice the low-margin large-account contracts that have driven the mix deterioration.</w:t>
      </w:r>
    </w:p>
    <w:p>
      <w:pPr>
        <w:pStyle w:val="ListParagraph"/>
        <w:numPr>
          <w:ilvl w:val="0"/>
          <w:numId w:val="3"/>
        </w:numPr>
        <w:spacing w:after="90" w:before="40" w:line="264"/>
      </w:pPr>
      <w:r>
        <w:rPr>
          <w:rFonts w:ascii="Calibri" w:cs="Calibri" w:eastAsia="Calibri" w:hAnsi="Calibri"/>
          <w:color w:val="1A1A1A"/>
          <w:sz w:val="19"/>
          <w:szCs w:val="19"/>
        </w:rPr>
        <w:t xml:space="preserve">Monetise non-core real estate and return the surplus cash, and refresh the board — the directors who approved and then missed two reform plans should not be supervising the third.</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VERY HIGH. This is the most straightforward support case in the screen. There is no anchor shareholder, foreign ownership is substantial, the TSR record is indefensible on any timeframe, and the company has just changed leadership — which gives institutions a natural moment to demand change without appearing to attack a sitting management team. Proxy advisers will be receptive to board accountability proposals given two consecutive failed plans. The one real constraint is that the fix is operational and slow: winning the vote is easy, but the value only appears if the restructuring is genuinely executed.</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the 2024 driver hours regulation raised the industry cost base permanently, that Yamato has prioritised service quality and driver welfare over short-term margin, and that the new leadership's reform plan is already addressing the network. They will point to e-commerce volume growth as evidence the franchise is intact. They will resist repricing on the grounds it risks volume share. The defence has real content on the cost side — but it does not explain why competitors facing the same regulation preserved margins that Yamato surrendered.</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Operational turnaround — a 3-point margin gap versus its own recent history and versus peers.</w:t>
      </w:r>
    </w:p>
    <w:p>
      <w:pPr>
        <w:pStyle w:val="ListParagraph"/>
        <w:numPr>
          <w:ilvl w:val="0"/>
          <w:numId w:val="2"/>
        </w:numPr>
        <w:spacing w:after="90" w:before="40" w:line="264"/>
      </w:pPr>
      <w:r>
        <w:rPr>
          <w:rFonts w:ascii="Calibri" w:cs="Calibri" w:eastAsia="Calibri" w:hAnsi="Calibri"/>
          <w:color w:val="1A1A1A"/>
          <w:sz w:val="18"/>
          <w:szCs w:val="18"/>
        </w:rPr>
        <w:t xml:space="preserve">Governance — accountability for serial reform failure; a leadership transition creates the window.</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net cash plus non-core real estate against a sub-book valuation.</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14.  </w:t>
            </w:r>
            <w:r>
              <w:rPr>
                <w:rFonts w:ascii="Calibri Light" w:cs="Calibri Light" w:eastAsia="Calibri Light" w:hAnsi="Calibri Light"/>
                <w:b/>
                <w:bCs/>
                <w:color w:val="FFFFFF"/>
                <w:sz w:val="26"/>
                <w:szCs w:val="26"/>
              </w:rPr>
              <w:t xml:space="preserve">Shimamura</w:t>
            </w:r>
            <w:r>
              <w:rPr>
                <w:rFonts w:ascii="Calibri" w:cs="Calibri" w:eastAsia="Calibri" w:hAnsi="Calibri"/>
                <w:color w:val="AFC0DA"/>
                <w:sz w:val="20"/>
                <w:szCs w:val="20"/>
              </w:rPr>
              <w:t xml:space="preserve">   8227.T</w:t>
            </w:r>
          </w:p>
          <w:p>
            <w:pPr>
              <w:spacing w:after="0"/>
            </w:pPr>
            <w:r>
              <w:rPr>
                <w:rFonts w:ascii="Calibri" w:cs="Calibri" w:eastAsia="Calibri" w:hAnsi="Calibri"/>
                <w:color w:val="D2DCEC"/>
                <w:sz w:val="17"/>
                <w:szCs w:val="17"/>
              </w:rPr>
              <w:t xml:space="preserve">Consumer Discretionary — Apparel retail</w:t>
            </w:r>
            <w:r>
              <w:rPr>
                <w:rFonts w:ascii="Calibri" w:cs="Calibri" w:eastAsia="Calibri" w:hAnsi="Calibri"/>
                <w:color w:val="D2DCEC"/>
                <w:sz w:val="17"/>
                <w:szCs w:val="17"/>
              </w:rPr>
              <w:t xml:space="preserve">   ·   ~¥400bn (~US$2.7bn)</w:t>
            </w:r>
            <w:r>
              <w:rPr>
                <w:rFonts w:ascii="Calibri" w:cs="Calibri" w:eastAsia="Calibri" w:hAnsi="Calibri"/>
                <w:b/>
                <w:bCs/>
                <w:color w:val="F0C987"/>
                <w:sz w:val="17"/>
                <w:szCs w:val="17"/>
              </w:rPr>
              <w:t xml:space="preserve">   ·   Tier 2 — high conviction</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-15% (sector +10%); 3yr ~ -10% (sector +25%); 5yr ~ +20% (TOPIX +55%)</w:t>
            </w:r>
          </w:p>
          <w:p>
            <w:pPr>
              <w:spacing w:after="0" w:line="240"/>
            </w:pPr>
            <w:r>
              <w:rPr>
                <w:rFonts w:ascii="Calibri" w:cs="Calibri" w:eastAsia="Calibri" w:hAnsi="Calibri"/>
                <w:i/>
                <w:iCs/>
                <w:color w:val="44546A"/>
                <w:sz w:val="15"/>
                <w:szCs w:val="15"/>
              </w:rPr>
              <w:t xml:space="preserve">Fails on all three horizons relative to the index; the 2021 turnaround re-rating has substantially unwound.</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~0.5x; EV/EBIT ~7x; P/E ~14x; FCF yield ~7%; PBR ~1.0x</w:t>
            </w:r>
          </w:p>
          <w:p>
            <w:pPr>
              <w:spacing w:after="0" w:line="240"/>
            </w:pPr>
            <w:r>
              <w:rPr>
                <w:rFonts w:ascii="Calibri" w:cs="Calibri" w:eastAsia="Calibri" w:hAnsi="Calibri"/>
                <w:i/>
                <w:iCs/>
                <w:color w:val="44546A"/>
                <w:sz w:val="15"/>
                <w:szCs w:val="15"/>
              </w:rPr>
              <w:t xml:space="preserve">Among the cheapest EV/EBIT multiples in Japanese retail, driven by a net cash balance approaching 40% of market cap.</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~8%; EBITDA ~10%</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~¥150bn+ (~38% of market cap). Net debt/EBITDA ~ -2.5x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~13%</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Founding family and related entities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~18%</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~10%+</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~4%</w:t>
            </w:r>
          </w:p>
        </w:tc>
      </w:tr>
    </w:tbl>
    <w:p>
      <w:pPr>
        <w:spacing w:after="100" w:before="70" w:line="264"/>
      </w:pPr>
      <w:r>
        <w:rPr>
          <w:rFonts w:ascii="Calibri" w:cs="Calibri" w:eastAsia="Calibri" w:hAnsi="Calibri"/>
          <w:i/>
          <w:iCs/>
          <w:color w:val="44546A"/>
          <w:sz w:val="16"/>
          <w:szCs w:val="16"/>
        </w:rPr>
        <w:t xml:space="preserve">Family aggregate ~18% is the largest single bloc — significant influence, but well short of the 40% screen threshold and short of blocking a special resolution.</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Shimamura runs a genuinely differentiated low-cost apparel model with owned real estate, no debt, and roughly 38% of its market capitalisation sitting in cash. It is a retailer being valued as though it were in decline while generating a 7% free cash flow yield.</w:t>
      </w:r>
    </w:p>
    <w:p>
      <w:pPr>
        <w:pStyle w:val="ListParagraph"/>
        <w:numPr>
          <w:ilvl w:val="0"/>
          <w:numId w:val="2"/>
        </w:numPr>
        <w:spacing w:after="90" w:before="40" w:line="264"/>
      </w:pPr>
      <w:r>
        <w:rPr>
          <w:rFonts w:ascii="Calibri" w:cs="Calibri" w:eastAsia="Calibri" w:hAnsi="Calibri"/>
          <w:color w:val="1A1A1A"/>
          <w:sz w:val="19"/>
          <w:szCs w:val="19"/>
        </w:rPr>
        <w:t xml:space="preserve">The company has essentially no e-commerce capability and no international presence in a category where both are now table stakes. That is not a defensible strategic choice; it is an absence of strategy.</w:t>
      </w:r>
    </w:p>
    <w:p>
      <w:pPr>
        <w:pStyle w:val="ListParagraph"/>
        <w:numPr>
          <w:ilvl w:val="0"/>
          <w:numId w:val="2"/>
        </w:numPr>
        <w:spacing w:after="90" w:before="40" w:line="264"/>
      </w:pPr>
      <w:r>
        <w:rPr>
          <w:rFonts w:ascii="Calibri" w:cs="Calibri" w:eastAsia="Calibri" w:hAnsi="Calibri"/>
          <w:color w:val="1A1A1A"/>
          <w:sz w:val="19"/>
          <w:szCs w:val="19"/>
        </w:rPr>
        <w:t xml:space="preserve">The 2021 merchandising turnaround worked and then stalled. Management proved it can execute when pushed, and then reverted to accumulating cash.</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Return the surplus cash — a buyback sized against the ~¥150bn net cash position, with a permanent payout policy replacing the current ad hoc approach.</w:t>
      </w:r>
    </w:p>
    <w:p>
      <w:pPr>
        <w:pStyle w:val="ListParagraph"/>
        <w:numPr>
          <w:ilvl w:val="0"/>
          <w:numId w:val="3"/>
        </w:numPr>
        <w:spacing w:after="90" w:before="40" w:line="264"/>
      </w:pPr>
      <w:r>
        <w:rPr>
          <w:rFonts w:ascii="Calibri" w:cs="Calibri" w:eastAsia="Calibri" w:hAnsi="Calibri"/>
          <w:color w:val="1A1A1A"/>
          <w:sz w:val="19"/>
          <w:szCs w:val="19"/>
        </w:rPr>
        <w:t xml:space="preserve">Build or buy a real e-commerce capability and disclose a store-level ROIC framework so capital rotates out of underperforming locations rather than being spread evenly.</w:t>
      </w:r>
    </w:p>
    <w:p>
      <w:pPr>
        <w:pStyle w:val="ListParagraph"/>
        <w:numPr>
          <w:ilvl w:val="0"/>
          <w:numId w:val="3"/>
        </w:numPr>
        <w:spacing w:after="90" w:before="40" w:line="264"/>
      </w:pPr>
      <w:r>
        <w:rPr>
          <w:rFonts w:ascii="Calibri" w:cs="Calibri" w:eastAsia="Calibri" w:hAnsi="Calibri"/>
          <w:color w:val="1A1A1A"/>
          <w:sz w:val="19"/>
          <w:szCs w:val="19"/>
        </w:rPr>
        <w:t xml:space="preserve">Obtain an independent appraisal of the owned store real estate portfolio and consider sale-and-leaseback for sites where the property value dwarfs the retail economics.</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MODERATE-TO-HIGH. Trust banks and foreign institutions together comfortably outweigh the family bloc, and the balance-sheet argument is unusually clean at a company with no debt and a sub-1x-adjusted valuation. Domestic value investors are already well represented on the register and will engage. The friction is that the founding family retains board influence and a conservative, self-funding culture that treats the cash pile as strategic identity rather than an allocation decision — so expect slow engagement and prefer a collaborative framing over a public campaign in the first phase.</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the cash funds store expansion and inventory in a business with no debt capacity tolerance, that the low-cost model depends on avoiding the fulfilment costs that make apparel e-commerce structurally unprofitable, and that the company's discipline is exactly why it survived while competitors failed. The e-commerce point has genuine merit for low-price-point apparel. The cash argument does not — the store expansion programme consumes a small fraction of the balance.</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~38% of market cap in net cash with no payout policy.</w:t>
      </w:r>
    </w:p>
    <w:p>
      <w:pPr>
        <w:pStyle w:val="ListParagraph"/>
        <w:numPr>
          <w:ilvl w:val="0"/>
          <w:numId w:val="2"/>
        </w:numPr>
        <w:spacing w:after="90" w:before="40" w:line="264"/>
      </w:pPr>
      <w:r>
        <w:rPr>
          <w:rFonts w:ascii="Calibri" w:cs="Calibri" w:eastAsia="Calibri" w:hAnsi="Calibri"/>
          <w:color w:val="1A1A1A"/>
          <w:sz w:val="18"/>
          <w:szCs w:val="18"/>
        </w:rPr>
        <w:t xml:space="preserve">Undervalued assets — owned store real estate carried at cost, never appraised.</w:t>
      </w:r>
    </w:p>
    <w:p>
      <w:pPr>
        <w:pStyle w:val="ListParagraph"/>
        <w:numPr>
          <w:ilvl w:val="0"/>
          <w:numId w:val="2"/>
        </w:numPr>
        <w:spacing w:after="90" w:before="40" w:line="264"/>
      </w:pPr>
      <w:r>
        <w:rPr>
          <w:rFonts w:ascii="Calibri" w:cs="Calibri" w:eastAsia="Calibri" w:hAnsi="Calibri"/>
          <w:color w:val="1A1A1A"/>
          <w:sz w:val="18"/>
          <w:szCs w:val="18"/>
        </w:rPr>
        <w:t xml:space="preserve">Strategy / governance — absent digital capability, no store-level ROIC discipline.</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15.  </w:t>
            </w:r>
            <w:r>
              <w:rPr>
                <w:rFonts w:ascii="Calibri Light" w:cs="Calibri Light" w:eastAsia="Calibri Light" w:hAnsi="Calibri Light"/>
                <w:b/>
                <w:bCs/>
                <w:color w:val="FFFFFF"/>
                <w:sz w:val="26"/>
                <w:szCs w:val="26"/>
              </w:rPr>
              <w:t xml:space="preserve">Wacoal Holdings</w:t>
            </w:r>
            <w:r>
              <w:rPr>
                <w:rFonts w:ascii="Calibri" w:cs="Calibri" w:eastAsia="Calibri" w:hAnsi="Calibri"/>
                <w:color w:val="AFC0DA"/>
                <w:sz w:val="20"/>
                <w:szCs w:val="20"/>
              </w:rPr>
              <w:t xml:space="preserve">   3591.T</w:t>
            </w:r>
          </w:p>
          <w:p>
            <w:pPr>
              <w:spacing w:after="0"/>
            </w:pPr>
            <w:r>
              <w:rPr>
                <w:rFonts w:ascii="Calibri" w:cs="Calibri" w:eastAsia="Calibri" w:hAnsi="Calibri"/>
                <w:color w:val="D2DCEC"/>
                <w:sz w:val="17"/>
                <w:szCs w:val="17"/>
              </w:rPr>
              <w:t xml:space="preserve">Consumer Discretionary — Innerwear, apparel</w:t>
            </w:r>
            <w:r>
              <w:rPr>
                <w:rFonts w:ascii="Calibri" w:cs="Calibri" w:eastAsia="Calibri" w:hAnsi="Calibri"/>
                <w:color w:val="D2DCEC"/>
                <w:sz w:val="17"/>
                <w:szCs w:val="17"/>
              </w:rPr>
              <w:t xml:space="preserve">   ·   ~¥250bn (~US$1.7bn)</w:t>
            </w:r>
            <w:r>
              <w:rPr>
                <w:rFonts w:ascii="Calibri" w:cs="Calibri" w:eastAsia="Calibri" w:hAnsi="Calibri"/>
                <w:b/>
                <w:bCs/>
                <w:color w:val="F0C987"/>
                <w:sz w:val="17"/>
                <w:szCs w:val="17"/>
              </w:rPr>
              <w:t xml:space="preserve">   ·   Tier 3 — asset-backed value (crowded)</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+5% (sector +10%); 3yr ~ +20% (sector +25%); 5yr ~ flat (TOPIX +55%)</w:t>
            </w:r>
          </w:p>
          <w:p>
            <w:pPr>
              <w:spacing w:after="0" w:line="240"/>
            </w:pPr>
            <w:r>
              <w:rPr>
                <w:rFonts w:ascii="Calibri" w:cs="Calibri" w:eastAsia="Calibri" w:hAnsi="Calibri"/>
                <w:i/>
                <w:iCs/>
                <w:color w:val="44546A"/>
                <w:sz w:val="15"/>
                <w:szCs w:val="15"/>
              </w:rPr>
              <w:t xml:space="preserve">The 3yr number reflects an activist-driven re-rating rather than operating improvement; the 5yr record against the index remains a clear fail.</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~0.4x; EV/EBIT ~15x; P/E ~20x; FCF yield ~4%; PBR ~0.8x</w:t>
            </w:r>
          </w:p>
          <w:p>
            <w:pPr>
              <w:spacing w:after="0" w:line="240"/>
            </w:pPr>
            <w:r>
              <w:rPr>
                <w:rFonts w:ascii="Calibri" w:cs="Calibri" w:eastAsia="Calibri" w:hAnsi="Calibri"/>
                <w:i/>
                <w:iCs/>
                <w:color w:val="44546A"/>
                <w:sz w:val="15"/>
                <w:szCs w:val="15"/>
              </w:rPr>
              <w:t xml:space="preserve">Sub-book with substantial hidden Kyoto real estate and a listed securities portfolio; the operating business is barely profitable.</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~2–3%; EBITDA ~6%</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plus a listed securities portfolio. Net debt/EBITDA ~ -0.5x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~11%</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Tsukamoto family and related entities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Oasis Management (activist)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Kyoto-region corporate cross-shareholders and banks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~8%</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~8%+</w:t>
            </w:r>
          </w:p>
        </w:tc>
      </w:tr>
    </w:tbl>
    <w:p>
      <w:pPr>
        <w:spacing w:after="100" w:before="70" w:line="264"/>
      </w:pPr>
      <w:r>
        <w:rPr>
          <w:rFonts w:ascii="Calibri" w:cs="Calibri" w:eastAsia="Calibri" w:hAnsi="Calibri"/>
          <w:i/>
          <w:iCs/>
          <w:color w:val="44546A"/>
          <w:sz w:val="16"/>
          <w:szCs w:val="16"/>
        </w:rPr>
        <w:t xml:space="preserve">Family plus regional cross-shareholders form a cohesive bloc of roughly 20%, but an activist is already established on the register with a ~5% position.</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Wacoal is the dominant innerwear brand in Japan with genuine category leadership, and it earns a 2–3% EBIT margin. Global branded innerwear peers earn five to eight times that. The gap is cost structure and international mismanagement, not brand strength.</w:t>
      </w:r>
    </w:p>
    <w:p>
      <w:pPr>
        <w:pStyle w:val="ListParagraph"/>
        <w:numPr>
          <w:ilvl w:val="0"/>
          <w:numId w:val="2"/>
        </w:numPr>
        <w:spacing w:after="90" w:before="40" w:line="264"/>
      </w:pPr>
      <w:r>
        <w:rPr>
          <w:rFonts w:ascii="Calibri" w:cs="Calibri" w:eastAsia="Calibri" w:hAnsi="Calibri"/>
          <w:color w:val="1A1A1A"/>
          <w:sz w:val="19"/>
          <w:szCs w:val="19"/>
        </w:rPr>
        <w:t xml:space="preserve">The overseas businesses — particularly the US and European operations acquired and expanded over two decades — have consumed capital continuously and never earned their cost of capital.</w:t>
      </w:r>
    </w:p>
    <w:p>
      <w:pPr>
        <w:pStyle w:val="ListParagraph"/>
        <w:numPr>
          <w:ilvl w:val="0"/>
          <w:numId w:val="2"/>
        </w:numPr>
        <w:spacing w:after="90" w:before="40" w:line="264"/>
      </w:pPr>
      <w:r>
        <w:rPr>
          <w:rFonts w:ascii="Calibri" w:cs="Calibri" w:eastAsia="Calibri" w:hAnsi="Calibri"/>
          <w:color w:val="1A1A1A"/>
          <w:sz w:val="19"/>
          <w:szCs w:val="19"/>
        </w:rPr>
        <w:t xml:space="preserve">Underneath sits substantial Kyoto real estate and a listed securities portfolio carried at historic cost. Shareholders own a good brand, hidden assets, and a management team that has monetised neither.</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Complete the exit from the loss-making overseas operations rather than restructuring them indefinitely, and set a firm date after which any business below the cost of capital is sold.</w:t>
      </w:r>
    </w:p>
    <w:p>
      <w:pPr>
        <w:pStyle w:val="ListParagraph"/>
        <w:numPr>
          <w:ilvl w:val="0"/>
          <w:numId w:val="3"/>
        </w:numPr>
        <w:spacing w:after="90" w:before="40" w:line="264"/>
      </w:pPr>
      <w:r>
        <w:rPr>
          <w:rFonts w:ascii="Calibri" w:cs="Calibri" w:eastAsia="Calibri" w:hAnsi="Calibri"/>
          <w:color w:val="1A1A1A"/>
          <w:sz w:val="19"/>
          <w:szCs w:val="19"/>
        </w:rPr>
        <w:t xml:space="preserve">Monetise the non-operating real estate and the listed cross-shareholding portfolio, and return the proceeds through a defined buyback programme.</w:t>
      </w:r>
    </w:p>
    <w:p>
      <w:pPr>
        <w:pStyle w:val="ListParagraph"/>
        <w:numPr>
          <w:ilvl w:val="0"/>
          <w:numId w:val="3"/>
        </w:numPr>
        <w:spacing w:after="90" w:before="40" w:line="264"/>
      </w:pPr>
      <w:r>
        <w:rPr>
          <w:rFonts w:ascii="Calibri" w:cs="Calibri" w:eastAsia="Calibri" w:hAnsi="Calibri"/>
          <w:color w:val="1A1A1A"/>
          <w:sz w:val="19"/>
          <w:szCs w:val="19"/>
        </w:rPr>
        <w:t xml:space="preserve">Rebuild the board with genuinely independent directors and consumer-industry operators; the current structure remains heavily influenced by family and regional relationships.</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 The positive is that Oasis has already done the difficult work of establishing that Wacoal is contestable, and management has conceded ground on restructuring. The negative is the register: the Tsukamoto family and the Kyoto corporate and banking network together form a genuinely cohesive bloc that behaves differently from ordinary institutional holders, and Kyoto business culture is the most resistant in Japan to external pressure. Winning here requires patience and coalition-building with domestic institutions, and demands framed as supporting the existing restructuring rather than displacing management.</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the international restructuring is already underway and delivering, that innerwear requires long-term brand and fit-technology investment that suppresses near-term margin, and that the Kyoto properties are operational headquarters and heritage assets. They will point to the improved share price as evidence the current plan is working — which is a genuinely awkward argument to rebut, since the re-rating is real even if it was activist-induced rather than earned.</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exit chronically loss-making overseas operations.</w:t>
      </w:r>
    </w:p>
    <w:p>
      <w:pPr>
        <w:pStyle w:val="ListParagraph"/>
        <w:numPr>
          <w:ilvl w:val="0"/>
          <w:numId w:val="2"/>
        </w:numPr>
        <w:spacing w:after="90" w:before="40" w:line="264"/>
      </w:pPr>
      <w:r>
        <w:rPr>
          <w:rFonts w:ascii="Calibri" w:cs="Calibri" w:eastAsia="Calibri" w:hAnsi="Calibri"/>
          <w:color w:val="1A1A1A"/>
          <w:sz w:val="18"/>
          <w:szCs w:val="18"/>
        </w:rPr>
        <w:t xml:space="preserve">Undervalued assets — Kyoto real estate and listed cross-shareholdings.</w:t>
      </w:r>
    </w:p>
    <w:p>
      <w:pPr>
        <w:pStyle w:val="ListParagraph"/>
        <w:numPr>
          <w:ilvl w:val="0"/>
          <w:numId w:val="2"/>
        </w:numPr>
        <w:spacing w:after="90" w:before="40" w:line="264"/>
      </w:pPr>
      <w:r>
        <w:rPr>
          <w:rFonts w:ascii="Calibri" w:cs="Calibri" w:eastAsia="Calibri" w:hAnsi="Calibri"/>
          <w:color w:val="1A1A1A"/>
          <w:sz w:val="18"/>
          <w:szCs w:val="18"/>
        </w:rPr>
        <w:t xml:space="preserve">Governance — family and regional influence over a nominally independent board.</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16.  </w:t>
            </w:r>
            <w:r>
              <w:rPr>
                <w:rFonts w:ascii="Calibri Light" w:cs="Calibri Light" w:eastAsia="Calibri Light" w:hAnsi="Calibri Light"/>
                <w:b/>
                <w:bCs/>
                <w:color w:val="FFFFFF"/>
                <w:sz w:val="26"/>
                <w:szCs w:val="26"/>
              </w:rPr>
              <w:t xml:space="preserve">TBS Holdings</w:t>
            </w:r>
            <w:r>
              <w:rPr>
                <w:rFonts w:ascii="Calibri" w:cs="Calibri" w:eastAsia="Calibri" w:hAnsi="Calibri"/>
                <w:color w:val="AFC0DA"/>
                <w:sz w:val="20"/>
                <w:szCs w:val="20"/>
              </w:rPr>
              <w:t xml:space="preserve">   9401.T</w:t>
            </w:r>
          </w:p>
          <w:p>
            <w:pPr>
              <w:spacing w:after="0"/>
            </w:pPr>
            <w:r>
              <w:rPr>
                <w:rFonts w:ascii="Calibri" w:cs="Calibri" w:eastAsia="Calibri" w:hAnsi="Calibri"/>
                <w:color w:val="D2DCEC"/>
                <w:sz w:val="17"/>
                <w:szCs w:val="17"/>
              </w:rPr>
              <w:t xml:space="preserve">Communication Services — Broadcasting, real estate</w:t>
            </w:r>
            <w:r>
              <w:rPr>
                <w:rFonts w:ascii="Calibri" w:cs="Calibri" w:eastAsia="Calibri" w:hAnsi="Calibri"/>
                <w:color w:val="D2DCEC"/>
                <w:sz w:val="17"/>
                <w:szCs w:val="17"/>
              </w:rPr>
              <w:t xml:space="preserve">   ·   ~¥600bn (~US$4bn)</w:t>
            </w:r>
            <w:r>
              <w:rPr>
                <w:rFonts w:ascii="Calibri" w:cs="Calibri" w:eastAsia="Calibri" w:hAnsi="Calibri"/>
                <w:b/>
                <w:bCs/>
                <w:color w:val="F0C987"/>
                <w:sz w:val="17"/>
                <w:szCs w:val="17"/>
              </w:rPr>
              <w:t xml:space="preserve">   ·   Tier 3 — asset-backed value (difficult register)</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+20% (sector +15%); 3yr ~ +50% (sector +30%); 5yr ~ +60% (TOPIX +55%)</w:t>
            </w:r>
          </w:p>
          <w:p>
            <w:pPr>
              <w:spacing w:after="0" w:line="240"/>
            </w:pPr>
            <w:r>
              <w:rPr>
                <w:rFonts w:ascii="Calibri" w:cs="Calibri" w:eastAsia="Calibri" w:hAnsi="Calibri"/>
                <w:i/>
                <w:iCs/>
                <w:color w:val="44546A"/>
                <w:sz w:val="15"/>
                <w:szCs w:val="15"/>
              </w:rPr>
              <w:t xml:space="preserve">PARTIAL SCREEN FAIL — TSR has re-rated strongly as the market began pricing the securities portfolio. Included because the underlying SOTP discount remains very wide and the operating business is still valued at nil.</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~1.0x headline; the core broadcasting business carries an implied enterprise value near zero after marking securities and real estate. P/E ~20x; PBR ~0.8x</w:t>
            </w:r>
          </w:p>
          <w:p>
            <w:pPr>
              <w:spacing w:after="0" w:line="240"/>
            </w:pPr>
            <w:r>
              <w:rPr>
                <w:rFonts w:ascii="Calibri" w:cs="Calibri" w:eastAsia="Calibri" w:hAnsi="Calibri"/>
                <w:i/>
                <w:iCs/>
                <w:color w:val="44546A"/>
                <w:sz w:val="15"/>
                <w:szCs w:val="15"/>
              </w:rPr>
              <w:t xml:space="preserve">Valuation must be assessed on sum-of-the-parts, not earnings multiples — reported earnings are a small fraction of asset value.</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~5%; EBITDA ~10%</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plus a listed securities portfolio of roughly ¥800bn+ (Recruit, Tokyo Electron and others)</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~11%</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Media and corporate cross-shareholders (Mainichi, Dentsu, Mitsui and others)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~20%</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~10%+</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bl>
    <w:p>
      <w:pPr>
        <w:spacing w:after="100" w:before="70" w:line="264"/>
      </w:pPr>
      <w:r>
        <w:rPr>
          <w:rFonts w:ascii="Calibri" w:cs="Calibri" w:eastAsia="Calibri" w:hAnsi="Calibri"/>
          <w:i/>
          <w:iCs/>
          <w:color w:val="44546A"/>
          <w:sz w:val="16"/>
          <w:szCs w:val="16"/>
        </w:rPr>
        <w:t xml:space="preserve">The media and trading-house cross-shareholding bloc of roughly 20% is entrenched and ideologically committed to broadcast independence. Below the 40% threshold, but the hardest register in the screen.</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TBS holds a listed securities portfolio worth more than its entire market capitalisation — the Recruit stake alone is transformative — while running a broadcasting business the market values at approximately nothing.</w:t>
      </w:r>
    </w:p>
    <w:p>
      <w:pPr>
        <w:pStyle w:val="ListParagraph"/>
        <w:numPr>
          <w:ilvl w:val="0"/>
          <w:numId w:val="2"/>
        </w:numPr>
        <w:spacing w:after="90" w:before="40" w:line="264"/>
      </w:pPr>
      <w:r>
        <w:rPr>
          <w:rFonts w:ascii="Calibri" w:cs="Calibri" w:eastAsia="Calibri" w:hAnsi="Calibri"/>
          <w:color w:val="1A1A1A"/>
          <w:sz w:val="19"/>
          <w:szCs w:val="19"/>
        </w:rPr>
        <w:t xml:space="preserve">This is a media company that has functioned for decades as an accidental investment trust, with no mandate from shareholders to do so and no disclosed policy governing what it holds or why.</w:t>
      </w:r>
    </w:p>
    <w:p>
      <w:pPr>
        <w:pStyle w:val="ListParagraph"/>
        <w:numPr>
          <w:ilvl w:val="0"/>
          <w:numId w:val="2"/>
        </w:numPr>
        <w:spacing w:after="90" w:before="40" w:line="264"/>
      </w:pPr>
      <w:r>
        <w:rPr>
          <w:rFonts w:ascii="Calibri" w:cs="Calibri" w:eastAsia="Calibri" w:hAnsi="Calibri"/>
          <w:color w:val="1A1A1A"/>
          <w:sz w:val="19"/>
          <w:szCs w:val="19"/>
        </w:rPr>
        <w:t xml:space="preserve">Add the Akasaka redevelopment, a genuine Tokyo prime real estate asset, and the discount to any credible sum-of-the-parts remains very wide even after the recent re-rating. The market has started pricing the assets; it has not finished.</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Establish a formal, disclosed policy for the securities portfolio with a monetisation timetable, and commit the proceeds to buybacks rather than to further broadcast investment.</w:t>
      </w:r>
    </w:p>
    <w:p>
      <w:pPr>
        <w:pStyle w:val="ListParagraph"/>
        <w:numPr>
          <w:ilvl w:val="0"/>
          <w:numId w:val="3"/>
        </w:numPr>
        <w:spacing w:after="90" w:before="40" w:line="264"/>
      </w:pPr>
      <w:r>
        <w:rPr>
          <w:rFonts w:ascii="Calibri" w:cs="Calibri" w:eastAsia="Calibri" w:hAnsi="Calibri"/>
          <w:color w:val="1A1A1A"/>
          <w:sz w:val="19"/>
          <w:szCs w:val="19"/>
        </w:rPr>
        <w:t xml:space="preserve">Separate the real estate business — the Akasaka redevelopment and the associated land — into a structure valued on real estate metrics, with independent appraisal disclosure.</w:t>
      </w:r>
    </w:p>
    <w:p>
      <w:pPr>
        <w:pStyle w:val="ListParagraph"/>
        <w:numPr>
          <w:ilvl w:val="0"/>
          <w:numId w:val="3"/>
        </w:numPr>
        <w:spacing w:after="90" w:before="40" w:line="264"/>
      </w:pPr>
      <w:r>
        <w:rPr>
          <w:rFonts w:ascii="Calibri" w:cs="Calibri" w:eastAsia="Calibri" w:hAnsi="Calibri"/>
          <w:color w:val="1A1A1A"/>
          <w:sz w:val="19"/>
          <w:szCs w:val="19"/>
        </w:rPr>
        <w:t xml:space="preserve">Set explicit return targets for the broadcasting business and reduce content and overhead spend that earns below the cost of capital, with board-level accountability for the outcome.</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LOW-TO-MODERATE — the hardest support case in this screen. The cross-shareholding bloc is roughly 20%, cohesive, and motivated by editorial and relationship considerations rather than returns. Japanese broadcasting also carries regulatory foreign-ownership limits that structurally cap the most sympathetic part of the register. The realistic path is not a contested vote but public pressure on disclosure, where the Fuji Media precedent from February 2026 is directly relevant: sustained scrutiny produced concessions on dividends and on introducing external capital into real estate without any vote being won.</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TBS will invoke broadcast licensing and the public-interest role of a terrestrial broadcaster, arguing that stable long-term shareholdings protect editorial independence and that regulatory constraints limit balance sheet flexibility. They will argue the securities are legacy relationship holdings that support content production partnerships. This is the most rhetorically effective defence in the screen because it is not primarily a financial argument — which is exactly why the campaign should be run on disclosure and policy rather than on forced sales.</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Undervalued assets / SOTP — securities portfolio exceeds market capitalisation.</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separate and independently value the Akasaka real estate.</w:t>
      </w:r>
    </w:p>
    <w:p>
      <w:pPr>
        <w:pStyle w:val="ListParagraph"/>
        <w:numPr>
          <w:ilvl w:val="0"/>
          <w:numId w:val="2"/>
        </w:numPr>
        <w:spacing w:after="90" w:before="40" w:line="264"/>
      </w:pPr>
      <w:r>
        <w:rPr>
          <w:rFonts w:ascii="Calibri" w:cs="Calibri" w:eastAsia="Calibri" w:hAnsi="Calibri"/>
          <w:color w:val="1A1A1A"/>
          <w:sz w:val="18"/>
          <w:szCs w:val="18"/>
        </w:rPr>
        <w:t xml:space="preserve">Governance — no disclosed policy governing an investment portfolio of this scale.</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17.  </w:t>
            </w:r>
            <w:r>
              <w:rPr>
                <w:rFonts w:ascii="Calibri Light" w:cs="Calibri Light" w:eastAsia="Calibri Light" w:hAnsi="Calibri Light"/>
                <w:b/>
                <w:bCs/>
                <w:color w:val="FFFFFF"/>
                <w:sz w:val="26"/>
                <w:szCs w:val="26"/>
              </w:rPr>
              <w:t xml:space="preserve">Square Enix Holdings</w:t>
            </w:r>
            <w:r>
              <w:rPr>
                <w:rFonts w:ascii="Calibri" w:cs="Calibri" w:eastAsia="Calibri" w:hAnsi="Calibri"/>
                <w:color w:val="AFC0DA"/>
                <w:sz w:val="20"/>
                <w:szCs w:val="20"/>
              </w:rPr>
              <w:t xml:space="preserve">   9684.T</w:t>
            </w:r>
          </w:p>
          <w:p>
            <w:pPr>
              <w:spacing w:after="0"/>
            </w:pPr>
            <w:r>
              <w:rPr>
                <w:rFonts w:ascii="Calibri" w:cs="Calibri" w:eastAsia="Calibri" w:hAnsi="Calibri"/>
                <w:color w:val="D2DCEC"/>
                <w:sz w:val="17"/>
                <w:szCs w:val="17"/>
              </w:rPr>
              <w:t xml:space="preserve">Communication Services — Video games, entertainment</w:t>
            </w:r>
            <w:r>
              <w:rPr>
                <w:rFonts w:ascii="Calibri" w:cs="Calibri" w:eastAsia="Calibri" w:hAnsi="Calibri"/>
                <w:color w:val="D2DCEC"/>
                <w:sz w:val="17"/>
                <w:szCs w:val="17"/>
              </w:rPr>
              <w:t xml:space="preserve">   ·   ~¥1.1tn (~US$7.3bn)</w:t>
            </w:r>
            <w:r>
              <w:rPr>
                <w:rFonts w:ascii="Calibri" w:cs="Calibri" w:eastAsia="Calibri" w:hAnsi="Calibri"/>
                <w:b/>
                <w:bCs/>
                <w:color w:val="F0C987"/>
                <w:sz w:val="17"/>
                <w:szCs w:val="17"/>
              </w:rPr>
              <w:t xml:space="preserve">   ·   Tier 2 — high conviction</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+25% (sector +20%); 3yr ~ +10% (sector +45%); 5yr ~ -10% (TOPIX +55%)</w:t>
            </w:r>
          </w:p>
          <w:p>
            <w:pPr>
              <w:spacing w:after="0" w:line="240"/>
            </w:pPr>
            <w:r>
              <w:rPr>
                <w:rFonts w:ascii="Calibri" w:cs="Calibri" w:eastAsia="Calibri" w:hAnsi="Calibri"/>
                <w:i/>
                <w:iCs/>
                <w:color w:val="44546A"/>
                <w:sz w:val="15"/>
                <w:szCs w:val="15"/>
              </w:rPr>
              <w:t xml:space="preserve">The recent recovery does not offset a comprehensive five-year failure against both peers and index. Capcom and Bandai Namco roughly doubled over the same period.</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~2.5x; EV/EBIT ~15x; P/E ~22x; FCF yield ~4%; PBR ~1.8x</w:t>
            </w:r>
          </w:p>
          <w:p>
            <w:pPr>
              <w:spacing w:after="0" w:line="240"/>
            </w:pPr>
            <w:r>
              <w:rPr>
                <w:rFonts w:ascii="Calibri" w:cs="Calibri" w:eastAsia="Calibri" w:hAnsi="Calibri"/>
                <w:i/>
                <w:iCs/>
                <w:color w:val="44546A"/>
                <w:sz w:val="15"/>
                <w:szCs w:val="15"/>
              </w:rPr>
              <w:t xml:space="preserve">A persistent discount to Capcom on EV/EBIT despite owning arguably stronger intellectual property — an execution and disclosure discount.</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~12%; EBITDA ~15%</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~¥250bn (~23% of market cap). Net debt/EBITDA ~ -1.5x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~13%</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Fukushima Yasuhiro and related entities (founder)</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~10%</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BlackRock / Capital / Norges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~3%</w:t>
            </w:r>
          </w:p>
        </w:tc>
      </w:tr>
    </w:tbl>
    <w:p>
      <w:pPr>
        <w:spacing w:after="100" w:before="70" w:line="264"/>
      </w:pPr>
      <w:r>
        <w:rPr>
          <w:rFonts w:ascii="Calibri" w:cs="Calibri" w:eastAsia="Calibri" w:hAnsi="Calibri"/>
          <w:i/>
          <w:iCs/>
          <w:color w:val="44546A"/>
          <w:sz w:val="16"/>
          <w:szCs w:val="16"/>
        </w:rPr>
        <w:t xml:space="preserve">Founder stake ~10% is influential but not controlling. Foreign ownership is high — around 40% — which is unusually favourable.</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Square Enix owns Final Fantasy and Dragon Quest — two of the most valuable intellectual property franchises in interactive entertainment — and has delivered a negative five-year return while Capcom, with arguably thinner IP, roughly doubled.</w:t>
      </w:r>
    </w:p>
    <w:p>
      <w:pPr>
        <w:pStyle w:val="ListParagraph"/>
        <w:numPr>
          <w:ilvl w:val="0"/>
          <w:numId w:val="2"/>
        </w:numPr>
        <w:spacing w:after="90" w:before="40" w:line="264"/>
      </w:pPr>
      <w:r>
        <w:rPr>
          <w:rFonts w:ascii="Calibri" w:cs="Calibri" w:eastAsia="Calibri" w:hAnsi="Calibri"/>
          <w:color w:val="1A1A1A"/>
          <w:sz w:val="19"/>
          <w:szCs w:val="19"/>
        </w:rPr>
        <w:t xml:space="preserve">The difference is execution discipline. Square Enix wrote off a large tranche of HD games development, ran a fragmented studio structure across multiple geographies with inconsistent quality control, and pursued platform exclusivity arrangements that capped the addressable market on its biggest releases.</w:t>
      </w:r>
    </w:p>
    <w:p>
      <w:pPr>
        <w:pStyle w:val="ListParagraph"/>
        <w:numPr>
          <w:ilvl w:val="0"/>
          <w:numId w:val="2"/>
        </w:numPr>
        <w:spacing w:after="90" w:before="40" w:line="264"/>
      </w:pPr>
      <w:r>
        <w:rPr>
          <w:rFonts w:ascii="Calibri" w:cs="Calibri" w:eastAsia="Calibri" w:hAnsi="Calibri"/>
          <w:color w:val="1A1A1A"/>
          <w:sz w:val="19"/>
          <w:szCs w:val="19"/>
        </w:rPr>
        <w:t xml:space="preserve">It also holds roughly a quarter of its market cap in cash while operating non-core businesses — arcades, publishing — that have no relationship to the IP that creates all of the value.</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Consolidate the development studio footprint and impose a formal greenlight and portfolio governance process with disclosed per-title return accountability — the core fix for the write-off cycle.</w:t>
      </w:r>
    </w:p>
    <w:p>
      <w:pPr>
        <w:pStyle w:val="ListParagraph"/>
        <w:numPr>
          <w:ilvl w:val="0"/>
          <w:numId w:val="3"/>
        </w:numPr>
        <w:spacing w:after="90" w:before="40" w:line="264"/>
      </w:pPr>
      <w:r>
        <w:rPr>
          <w:rFonts w:ascii="Calibri" w:cs="Calibri" w:eastAsia="Calibri" w:hAnsi="Calibri"/>
          <w:color w:val="1A1A1A"/>
          <w:sz w:val="19"/>
          <w:szCs w:val="19"/>
        </w:rPr>
        <w:t xml:space="preserve">Divest the non-core segments (amusement/arcade operations and the publishing business) and commit fully to multiplatform, day-one release across PC and all consoles.</w:t>
      </w:r>
    </w:p>
    <w:p>
      <w:pPr>
        <w:pStyle w:val="ListParagraph"/>
        <w:numPr>
          <w:ilvl w:val="0"/>
          <w:numId w:val="3"/>
        </w:numPr>
        <w:spacing w:after="90" w:before="40" w:line="264"/>
      </w:pPr>
      <w:r>
        <w:rPr>
          <w:rFonts w:ascii="Calibri" w:cs="Calibri" w:eastAsia="Calibri" w:hAnsi="Calibri"/>
          <w:color w:val="1A1A1A"/>
          <w:sz w:val="19"/>
          <w:szCs w:val="19"/>
        </w:rPr>
        <w:t xml:space="preserve">Return a substantial portion of the ~¥250bn net cash and adopt a formal capital allocation policy with an ROE target.</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HIGH. Foreign institutional ownership of roughly 40% is among the highest in this screen, and those holders benchmark Square Enix directly against Capcom, Bandai Namco and Western publishers — so the underperformance argument needs no explanation. The founder's ~10% is a consideration but not a barrier. Management has already moved toward multiplatform releases under investor pressure, demonstrating responsiveness. The strategic content of the campaign is somewhat harder to press than a pure balance-sheet case, since studio management is genuinely a matter of judgement, so anchor the demands in disclosure and capital return.</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the multi-year IP investment cycle is inherently lumpy, that the write-offs were a deliberate reset of an unproductive pipeline rather than a failure, and that the recent share price recovery vindicates the current strategy. On cash, they will argue that a hit-driven business with multi-year development cycles requires substantial buffers — the most legitimate version of the cash defence anywhere in this screen. The counter is Capcom, which manages the same risk profile with far tighter capital discipline and better returns.</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Operational / capital allocation — development pipeline governance and the write-off cycle.</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divest arcades and publishing; full multiplatform commitment.</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~23% of market cap in cash with no stated policy.</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18.  </w:t>
            </w:r>
            <w:r>
              <w:rPr>
                <w:rFonts w:ascii="Calibri Light" w:cs="Calibri Light" w:eastAsia="Calibri Light" w:hAnsi="Calibri Light"/>
                <w:b/>
                <w:bCs/>
                <w:color w:val="FFFFFF"/>
                <w:sz w:val="26"/>
                <w:szCs w:val="26"/>
              </w:rPr>
              <w:t xml:space="preserve">Nihon Kohden</w:t>
            </w:r>
            <w:r>
              <w:rPr>
                <w:rFonts w:ascii="Calibri" w:cs="Calibri" w:eastAsia="Calibri" w:hAnsi="Calibri"/>
                <w:color w:val="AFC0DA"/>
                <w:sz w:val="20"/>
                <w:szCs w:val="20"/>
              </w:rPr>
              <w:t xml:space="preserve">   6849.T</w:t>
            </w:r>
          </w:p>
          <w:p>
            <w:pPr>
              <w:spacing w:after="0"/>
            </w:pPr>
            <w:r>
              <w:rPr>
                <w:rFonts w:ascii="Calibri" w:cs="Calibri" w:eastAsia="Calibri" w:hAnsi="Calibri"/>
                <w:color w:val="D2DCEC"/>
                <w:sz w:val="17"/>
                <w:szCs w:val="17"/>
              </w:rPr>
              <w:t xml:space="preserve">Health Care — Medical devices, patient monitoring</w:t>
            </w:r>
            <w:r>
              <w:rPr>
                <w:rFonts w:ascii="Calibri" w:cs="Calibri" w:eastAsia="Calibri" w:hAnsi="Calibri"/>
                <w:color w:val="D2DCEC"/>
                <w:sz w:val="17"/>
                <w:szCs w:val="17"/>
              </w:rPr>
              <w:t xml:space="preserve">   ·   ~¥350bn (~US$2.3bn)</w:t>
            </w:r>
            <w:r>
              <w:rPr>
                <w:rFonts w:ascii="Calibri" w:cs="Calibri" w:eastAsia="Calibri" w:hAnsi="Calibri"/>
                <w:b/>
                <w:bCs/>
                <w:color w:val="F0C987"/>
                <w:sz w:val="17"/>
                <w:szCs w:val="17"/>
              </w:rPr>
              <w:t xml:space="preserve">   ·   Tier 2 — high conviction</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-10% (sector +8%); 3yr ~ -30% (sector +20%); 5yr ~ -25% (TOPIX +55%)</w:t>
            </w:r>
          </w:p>
          <w:p>
            <w:pPr>
              <w:spacing w:after="0" w:line="240"/>
            </w:pPr>
            <w:r>
              <w:rPr>
                <w:rFonts w:ascii="Calibri" w:cs="Calibri" w:eastAsia="Calibri" w:hAnsi="Calibri"/>
                <w:i/>
                <w:iCs/>
                <w:color w:val="44546A"/>
                <w:sz w:val="15"/>
                <w:szCs w:val="15"/>
              </w:rPr>
              <w:t xml:space="preserve">Clear failure on every horizon against both the healthcare sector and the index.</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~1.3x; EV/EBIT ~16x; P/E ~22x; FCF yield ~4%; PBR ~1.3x</w:t>
            </w:r>
          </w:p>
          <w:p>
            <w:pPr>
              <w:spacing w:after="0" w:line="240"/>
            </w:pPr>
            <w:r>
              <w:rPr>
                <w:rFonts w:ascii="Calibri" w:cs="Calibri" w:eastAsia="Calibri" w:hAnsi="Calibri"/>
                <w:i/>
                <w:iCs/>
                <w:color w:val="44546A"/>
                <w:sz w:val="15"/>
                <w:szCs w:val="15"/>
              </w:rPr>
              <w:t xml:space="preserve">A wide discount to global patient-monitoring comparables such as Masimo and Drägerwerk on EV/EBIT, despite a strong domestic installed base.</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~8% (from ~12%); EBITDA ~12%</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~¥50bn. Net debt/EBITDA ~ -0.8x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~13%</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Ogino family and related entities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~9%+</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 and banks</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~4%</w:t>
            </w:r>
          </w:p>
        </w:tc>
      </w:tr>
    </w:tbl>
    <w:p>
      <w:pPr>
        <w:spacing w:after="100" w:before="70" w:line="264"/>
      </w:pPr>
      <w:r>
        <w:rPr>
          <w:rFonts w:ascii="Calibri" w:cs="Calibri" w:eastAsia="Calibri" w:hAnsi="Calibri"/>
          <w:i/>
          <w:iCs/>
          <w:color w:val="44546A"/>
          <w:sz w:val="16"/>
          <w:szCs w:val="16"/>
        </w:rPr>
        <w:t xml:space="preserve">Founder family aggregate ~12%. No controlling position; free float is substantial.</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Nihon Kohden holds a commanding share of Japanese patient monitoring — a recurring-revenue installed base with high switching costs — and has watched its EBIT margin fall from 12% to 8% while global peers expanded theirs.</w:t>
      </w:r>
    </w:p>
    <w:p>
      <w:pPr>
        <w:pStyle w:val="ListParagraph"/>
        <w:numPr>
          <w:ilvl w:val="0"/>
          <w:numId w:val="2"/>
        </w:numPr>
        <w:spacing w:after="90" w:before="40" w:line="264"/>
      </w:pPr>
      <w:r>
        <w:rPr>
          <w:rFonts w:ascii="Calibri" w:cs="Calibri" w:eastAsia="Calibri" w:hAnsi="Calibri"/>
          <w:color w:val="1A1A1A"/>
          <w:sz w:val="19"/>
          <w:szCs w:val="19"/>
        </w:rPr>
        <w:t xml:space="preserve">The margin erosion is a direct consequence of an overseas expansion that has consumed capital and management attention for a decade without reaching the scale needed to earn its cost of capital in the US or Europe.</w:t>
      </w:r>
    </w:p>
    <w:p>
      <w:pPr>
        <w:pStyle w:val="ListParagraph"/>
        <w:numPr>
          <w:ilvl w:val="0"/>
          <w:numId w:val="2"/>
        </w:numPr>
        <w:spacing w:after="90" w:before="40" w:line="264"/>
      </w:pPr>
      <w:r>
        <w:rPr>
          <w:rFonts w:ascii="Calibri" w:cs="Calibri" w:eastAsia="Calibri" w:hAnsi="Calibri"/>
          <w:color w:val="1A1A1A"/>
          <w:sz w:val="19"/>
          <w:szCs w:val="19"/>
        </w:rPr>
        <w:t xml:space="preserve">The domestic business remains excellent. Shareholders are funding an international ambition that the results do not support, and no one on the board appears to be asking whether the return justifies it.</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Impose a return threshold on the overseas businesses with a hard review date — scale them through targeted acquisition, partner them, or exit; the current sub-scale drift is the worst of the three options.</w:t>
      </w:r>
    </w:p>
    <w:p>
      <w:pPr>
        <w:pStyle w:val="ListParagraph"/>
        <w:numPr>
          <w:ilvl w:val="0"/>
          <w:numId w:val="3"/>
        </w:numPr>
        <w:spacing w:after="90" w:before="40" w:line="264"/>
      </w:pPr>
      <w:r>
        <w:rPr>
          <w:rFonts w:ascii="Calibri" w:cs="Calibri" w:eastAsia="Calibri" w:hAnsi="Calibri"/>
          <w:color w:val="1A1A1A"/>
          <w:sz w:val="19"/>
          <w:szCs w:val="19"/>
        </w:rPr>
        <w:t xml:space="preserve">Publish a margin recovery bridge back toward 12% EBIT with regional profitability disclosure, so the cost of the international strategy is visible to shareholders.</w:t>
      </w:r>
    </w:p>
    <w:p>
      <w:pPr>
        <w:pStyle w:val="ListParagraph"/>
        <w:numPr>
          <w:ilvl w:val="0"/>
          <w:numId w:val="3"/>
        </w:numPr>
        <w:spacing w:after="90" w:before="40" w:line="264"/>
      </w:pPr>
      <w:r>
        <w:rPr>
          <w:rFonts w:ascii="Calibri" w:cs="Calibri" w:eastAsia="Calibri" w:hAnsi="Calibri"/>
          <w:color w:val="1A1A1A"/>
          <w:sz w:val="19"/>
          <w:szCs w:val="19"/>
        </w:rPr>
        <w:t xml:space="preserve">Adopt a capital allocation policy with an explicit ROE target and add independent directors with global medtech operating experience.</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MODERATE-TO-HIGH. The register is fragmented, the family bloc is well short of blocking, and the underperformance is unambiguous across all three horizons. Healthcare-specialist institutions on the register benchmark against global medtech and are already frustrated. The complication is that the fix is strategic rather than mechanical — there is no large cash pile to demand back, so the campaign has to win an argument about international strategy, which is slower and more contestable than a balance-sheet case. Regional profitability disclosure is the right opening demand.</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international expansion is essential because the Japanese hospital market is structurally shrinking with demographics and reimbursement pressure, that overseas businesses require a decade of investment before they scale, and that retreating would surrender the growth option permanently. This is a genuinely serious argument and the strongest strategic defence in the screen. The rebuttal is not that international is wrong, but that a decade of unmeasured investment without disclosed regional returns is not a strategy — it is an absence of accountability.</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Portfolio / strategy — unaccountable subscale international expansion.</w:t>
      </w:r>
    </w:p>
    <w:p>
      <w:pPr>
        <w:pStyle w:val="ListParagraph"/>
        <w:numPr>
          <w:ilvl w:val="0"/>
          <w:numId w:val="2"/>
        </w:numPr>
        <w:spacing w:after="90" w:before="40" w:line="264"/>
      </w:pPr>
      <w:r>
        <w:rPr>
          <w:rFonts w:ascii="Calibri" w:cs="Calibri" w:eastAsia="Calibri" w:hAnsi="Calibri"/>
          <w:color w:val="1A1A1A"/>
          <w:sz w:val="18"/>
          <w:szCs w:val="18"/>
        </w:rPr>
        <w:t xml:space="preserve">Operational turnaround — a 4-point margin decline against expanding peer margins.</w:t>
      </w:r>
    </w:p>
    <w:p>
      <w:pPr>
        <w:pStyle w:val="ListParagraph"/>
        <w:numPr>
          <w:ilvl w:val="0"/>
          <w:numId w:val="2"/>
        </w:numPr>
        <w:spacing w:after="90" w:before="40" w:line="264"/>
      </w:pPr>
      <w:r>
        <w:rPr>
          <w:rFonts w:ascii="Calibri" w:cs="Calibri" w:eastAsia="Calibri" w:hAnsi="Calibri"/>
          <w:color w:val="1A1A1A"/>
          <w:sz w:val="18"/>
          <w:szCs w:val="18"/>
        </w:rPr>
        <w:t xml:space="preserve">Governance — no ROE framework, no regional disclosure, limited global operating expertise on the board.</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19.  </w:t>
            </w:r>
            <w:r>
              <w:rPr>
                <w:rFonts w:ascii="Calibri Light" w:cs="Calibri Light" w:eastAsia="Calibri Light" w:hAnsi="Calibri Light"/>
                <w:b/>
                <w:bCs/>
                <w:color w:val="FFFFFF"/>
                <w:sz w:val="26"/>
                <w:szCs w:val="26"/>
              </w:rPr>
              <w:t xml:space="preserve">Shimizu Corporation</w:t>
            </w:r>
            <w:r>
              <w:rPr>
                <w:rFonts w:ascii="Calibri" w:cs="Calibri" w:eastAsia="Calibri" w:hAnsi="Calibri"/>
                <w:color w:val="AFC0DA"/>
                <w:sz w:val="20"/>
                <w:szCs w:val="20"/>
              </w:rPr>
              <w:t xml:space="preserve">   1803.T</w:t>
            </w:r>
          </w:p>
          <w:p>
            <w:pPr>
              <w:spacing w:after="0"/>
            </w:pPr>
            <w:r>
              <w:rPr>
                <w:rFonts w:ascii="Calibri" w:cs="Calibri" w:eastAsia="Calibri" w:hAnsi="Calibri"/>
                <w:color w:val="D2DCEC"/>
                <w:sz w:val="17"/>
                <w:szCs w:val="17"/>
              </w:rPr>
              <w:t xml:space="preserve">Industrials — General construction, real estate</w:t>
            </w:r>
            <w:r>
              <w:rPr>
                <w:rFonts w:ascii="Calibri" w:cs="Calibri" w:eastAsia="Calibri" w:hAnsi="Calibri"/>
                <w:color w:val="D2DCEC"/>
                <w:sz w:val="17"/>
                <w:szCs w:val="17"/>
              </w:rPr>
              <w:t xml:space="preserve">   ·   ~¥900bn (~US$6bn)</w:t>
            </w:r>
            <w:r>
              <w:rPr>
                <w:rFonts w:ascii="Calibri" w:cs="Calibri" w:eastAsia="Calibri" w:hAnsi="Calibri"/>
                <w:b/>
                <w:bCs/>
                <w:color w:val="F0C987"/>
                <w:sz w:val="17"/>
                <w:szCs w:val="17"/>
              </w:rPr>
              <w:t xml:space="preserve">   ·   Tier 3 — asset-backed value</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+30% (sector +25%); 3yr ~ +20% (sector +35%); 5yr ~ -10% (TOPIX +55%)</w:t>
            </w:r>
          </w:p>
          <w:p>
            <w:pPr>
              <w:spacing w:after="0" w:line="240"/>
            </w:pPr>
            <w:r>
              <w:rPr>
                <w:rFonts w:ascii="Calibri" w:cs="Calibri" w:eastAsia="Calibri" w:hAnsi="Calibri"/>
                <w:i/>
                <w:iCs/>
                <w:color w:val="44546A"/>
                <w:sz w:val="15"/>
                <w:szCs w:val="15"/>
              </w:rPr>
              <w:t xml:space="preserve">The recent construction-sector re-rating masks a poor five-year record; Shimizu has lagged Kajima and Obayashi materially on 3yr and 5yr.</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~0.5x; EV/EBIT ~14x; P/E ~15x; FCF yield ~3%; PBR ~0.9x</w:t>
            </w:r>
          </w:p>
          <w:p>
            <w:pPr>
              <w:spacing w:after="0" w:line="240"/>
            </w:pPr>
            <w:r>
              <w:rPr>
                <w:rFonts w:ascii="Calibri" w:cs="Calibri" w:eastAsia="Calibri" w:hAnsi="Calibri"/>
                <w:i/>
                <w:iCs/>
                <w:color w:val="44546A"/>
                <w:sz w:val="15"/>
                <w:szCs w:val="15"/>
              </w:rPr>
              <w:t xml:space="preserve">Sub-book despite holding a large investment real estate portfolio and a listed securities portfolio worth a substantial fraction of market cap.</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~2–3% (depressed by fixed-price contract overruns); EBITDA ~4%</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Low leverage; large investment property and listed securities holdings. Net debt/EBITDA ~ 0.5x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Corporate cross-shareholders and relationship banks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~8%+</w:t>
            </w:r>
          </w:p>
        </w:tc>
      </w:tr>
    </w:tbl>
    <w:p>
      <w:pPr>
        <w:spacing w:after="100" w:before="70" w:line="264"/>
      </w:pPr>
      <w:r>
        <w:rPr>
          <w:rFonts w:ascii="Calibri" w:cs="Calibri" w:eastAsia="Calibri" w:hAnsi="Calibri"/>
          <w:i/>
          <w:iCs/>
          <w:color w:val="44546A"/>
          <w:sz w:val="16"/>
          <w:szCs w:val="16"/>
        </w:rPr>
        <w:t xml:space="preserve">Fragmented, with a moderate relationship-bank and corporate bloc. No controlling shareholder.</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Shimizu took large losses on fixed-price Tokyo construction contracts during an inflationary period — a risk management failure, not bad luck. Its closest competitors bid the same market and did not take the same hit.</w:t>
      </w:r>
    </w:p>
    <w:p>
      <w:pPr>
        <w:pStyle w:val="ListParagraph"/>
        <w:numPr>
          <w:ilvl w:val="0"/>
          <w:numId w:val="2"/>
        </w:numPr>
        <w:spacing w:after="90" w:before="40" w:line="264"/>
      </w:pPr>
      <w:r>
        <w:rPr>
          <w:rFonts w:ascii="Calibri" w:cs="Calibri" w:eastAsia="Calibri" w:hAnsi="Calibri"/>
          <w:color w:val="1A1A1A"/>
          <w:sz w:val="19"/>
          <w:szCs w:val="19"/>
        </w:rPr>
        <w:t xml:space="preserve">The company holds a substantial investment real estate portfolio and a large listed cross-shareholding book, both of which sit outside the core construction business and neither of which is managed for return.</w:t>
      </w:r>
    </w:p>
    <w:p>
      <w:pPr>
        <w:pStyle w:val="ListParagraph"/>
        <w:numPr>
          <w:ilvl w:val="0"/>
          <w:numId w:val="2"/>
        </w:numPr>
        <w:spacing w:after="90" w:before="40" w:line="264"/>
      </w:pPr>
      <w:r>
        <w:rPr>
          <w:rFonts w:ascii="Calibri" w:cs="Calibri" w:eastAsia="Calibri" w:hAnsi="Calibri"/>
          <w:color w:val="1A1A1A"/>
          <w:sz w:val="19"/>
          <w:szCs w:val="19"/>
        </w:rPr>
        <w:t xml:space="preserve">Construction earns a 2–3% EBIT margin. The real estate assets earn a property return that is invisible in the consolidated accounts. Nobody buying this stock can see what they own.</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Overhaul bidding and project risk governance with board-level oversight and disclosed contingency policy — the direct fix for the overrun losses and the precondition for margin recovery.</w:t>
      </w:r>
    </w:p>
    <w:p>
      <w:pPr>
        <w:pStyle w:val="ListParagraph"/>
        <w:numPr>
          <w:ilvl w:val="0"/>
          <w:numId w:val="3"/>
        </w:numPr>
        <w:spacing w:after="90" w:before="40" w:line="264"/>
      </w:pPr>
      <w:r>
        <w:rPr>
          <w:rFonts w:ascii="Calibri" w:cs="Calibri" w:eastAsia="Calibri" w:hAnsi="Calibri"/>
          <w:color w:val="1A1A1A"/>
          <w:sz w:val="19"/>
          <w:szCs w:val="19"/>
        </w:rPr>
        <w:t xml:space="preserve">Unwind the listed cross-shareholding portfolio on a published timetable and return the proceeds; this is explicit TSE policy direction and the most winnable single demand.</w:t>
      </w:r>
    </w:p>
    <w:p>
      <w:pPr>
        <w:pStyle w:val="ListParagraph"/>
        <w:numPr>
          <w:ilvl w:val="0"/>
          <w:numId w:val="3"/>
        </w:numPr>
        <w:spacing w:after="90" w:before="40" w:line="264"/>
      </w:pPr>
      <w:r>
        <w:rPr>
          <w:rFonts w:ascii="Calibri" w:cs="Calibri" w:eastAsia="Calibri" w:hAnsi="Calibri"/>
          <w:color w:val="1A1A1A"/>
          <w:sz w:val="19"/>
          <w:szCs w:val="19"/>
        </w:rPr>
        <w:t xml:space="preserve">Report the real estate development and investment business as a separate segment with independent appraisal, and evaluate structural separation.</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MODERATE-TO-HIGH. Cross-shareholding unwind is now effectively official policy in Japan, which makes it very difficult for domestic institutions to vote against, and Shimizu's holdings are large enough to matter to the equity story. Project risk governance is also an easy argument because the peer comparison is direct and damning. The friction is sectoral: general contractors are deeply embedded in relationship networks with banks and clients, and construction management teams are unusually resistant to external input on bidding discipline, which they regard as proprietary.</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the losses stemmed from unprecedented materials and labour inflation on contracts signed pre-pandemic, that pricing discipline has since been restored and the order book repriced, and that the real estate portfolio is a deliberate earnings stabiliser that offsets construction cyclicality — a genuinely reasonable argument. On cross-shareholdings they will cite client relationships that generate order flow. The stabiliser argument supports keeping the real estate; it does not support refusing to disclose what it is worth.</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Governance / risk management — contract bidding discipline and board oversight.</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cross-shareholding unwind and capital return.</w:t>
      </w:r>
    </w:p>
    <w:p>
      <w:pPr>
        <w:pStyle w:val="ListParagraph"/>
        <w:numPr>
          <w:ilvl w:val="0"/>
          <w:numId w:val="2"/>
        </w:numPr>
        <w:spacing w:after="90" w:before="40" w:line="264"/>
      </w:pPr>
      <w:r>
        <w:rPr>
          <w:rFonts w:ascii="Calibri" w:cs="Calibri" w:eastAsia="Calibri" w:hAnsi="Calibri"/>
          <w:color w:val="1A1A1A"/>
          <w:sz w:val="18"/>
          <w:szCs w:val="18"/>
        </w:rPr>
        <w:t xml:space="preserve">Undervalued assets — undisclosed investment real estate value; case for segment separation.</w:t>
      </w:r>
    </w:p>
    <w:p>
      <w:r>
        <w:br w:type="page"/>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90"/>
      </w:tblGrid>
      <w:tr>
        <w:tc>
          <w:tcPr>
            <w:tcW w:type="dxa" w:w="9890"/>
            <w:tcBorders>
              <w:top w:val="none"/>
              <w:left w:val="none"/>
              <w:bottom w:val="none"/>
              <w:right w:val="none"/>
            </w:tcBorders>
            <w:shd w:fill="1F3864" w:color="auto" w:val="clear"/>
            <w:tcMar>
              <w:top w:type="dxa" w:w="70"/>
              <w:left w:type="dxa" w:w="100"/>
              <w:bottom w:type="dxa" w:w="70"/>
              <w:right w:type="dxa" w:w="100"/>
            </w:tcMar>
            <w:vAlign w:val="center"/>
          </w:tcPr>
          <w:p>
            <w:pPr>
              <w:spacing w:after="40"/>
            </w:pPr>
            <w:r>
              <w:rPr>
                <w:rFonts w:ascii="Calibri Light" w:cs="Calibri Light" w:eastAsia="Calibri Light" w:hAnsi="Calibri Light"/>
                <w:b/>
                <w:bCs/>
                <w:color w:val="8FA5C8"/>
                <w:sz w:val="26"/>
                <w:szCs w:val="26"/>
              </w:rPr>
              <w:t xml:space="preserve">20.  </w:t>
            </w:r>
            <w:r>
              <w:rPr>
                <w:rFonts w:ascii="Calibri Light" w:cs="Calibri Light" w:eastAsia="Calibri Light" w:hAnsi="Calibri Light"/>
                <w:b/>
                <w:bCs/>
                <w:color w:val="FFFFFF"/>
                <w:sz w:val="26"/>
                <w:szCs w:val="26"/>
              </w:rPr>
              <w:t xml:space="preserve">Nippon Shokubai</w:t>
            </w:r>
            <w:r>
              <w:rPr>
                <w:rFonts w:ascii="Calibri" w:cs="Calibri" w:eastAsia="Calibri" w:hAnsi="Calibri"/>
                <w:color w:val="AFC0DA"/>
                <w:sz w:val="20"/>
                <w:szCs w:val="20"/>
              </w:rPr>
              <w:t xml:space="preserve">   4114.T</w:t>
            </w:r>
          </w:p>
          <w:p>
            <w:pPr>
              <w:spacing w:after="0"/>
            </w:pPr>
            <w:r>
              <w:rPr>
                <w:rFonts w:ascii="Calibri" w:cs="Calibri" w:eastAsia="Calibri" w:hAnsi="Calibri"/>
                <w:color w:val="D2DCEC"/>
                <w:sz w:val="17"/>
                <w:szCs w:val="17"/>
              </w:rPr>
              <w:t xml:space="preserve">Materials — Specialty and commodity chemicals</w:t>
            </w:r>
            <w:r>
              <w:rPr>
                <w:rFonts w:ascii="Calibri" w:cs="Calibri" w:eastAsia="Calibri" w:hAnsi="Calibri"/>
                <w:color w:val="D2DCEC"/>
                <w:sz w:val="17"/>
                <w:szCs w:val="17"/>
              </w:rPr>
              <w:t xml:space="preserve">   ·   ~¥300bn (~US$2bn)</w:t>
            </w:r>
            <w:r>
              <w:rPr>
                <w:rFonts w:ascii="Calibri" w:cs="Calibri" w:eastAsia="Calibri" w:hAnsi="Calibri"/>
                <w:b/>
                <w:bCs/>
                <w:color w:val="F0C987"/>
                <w:sz w:val="17"/>
                <w:szCs w:val="17"/>
              </w:rPr>
              <w:t xml:space="preserve">   ·   Tier 3 — deep value, longer duration</w:t>
            </w:r>
          </w:p>
        </w:tc>
      </w:tr>
    </w:tbl>
    <w:p>
      <w:pPr>
        <w:spacing w:after="70" w:before="180"/>
      </w:pPr>
      <w:r>
        <w:rPr>
          <w:rFonts w:ascii="Calibri" w:cs="Calibri" w:eastAsia="Calibri" w:hAnsi="Calibri"/>
          <w:b/>
          <w:bCs/>
          <w:caps/>
          <w:color w:val="1F3864"/>
          <w:spacing w:val="12"/>
          <w:sz w:val="19"/>
          <w:szCs w:val="19"/>
        </w:rPr>
        <w:t xml:space="preserve">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690"/>
      </w:tblGrid>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TSR vs sector &amp; index</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1yr ~ -5% (sector +8%); 3yr ~ flat (sector +20%); 5yr ~ -10% (TOPIX +55%)</w:t>
            </w:r>
          </w:p>
          <w:p>
            <w:pPr>
              <w:spacing w:after="0" w:line="240"/>
            </w:pPr>
            <w:r>
              <w:rPr>
                <w:rFonts w:ascii="Calibri" w:cs="Calibri" w:eastAsia="Calibri" w:hAnsi="Calibri"/>
                <w:i/>
                <w:iCs/>
                <w:color w:val="44546A"/>
                <w:sz w:val="15"/>
                <w:szCs w:val="15"/>
              </w:rPr>
              <w:t xml:space="preserve">Fails on all horizons. A chronic sub-book chemical company with no re-rating catalyst under current management.</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Valuation vs peers</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50" w:line="240"/>
            </w:pPr>
            <w:r>
              <w:rPr>
                <w:rFonts w:ascii="Calibri" w:cs="Calibri" w:eastAsia="Calibri" w:hAnsi="Calibri"/>
                <w:color w:val="1A1A1A"/>
                <w:sz w:val="16"/>
                <w:szCs w:val="16"/>
              </w:rPr>
              <w:t xml:space="preserve">EV/Sales ~0.4x; EV/EBIT ~11x; P/E ~14x; FCF yield ~6%; PBR ~0.6x</w:t>
            </w:r>
          </w:p>
          <w:p>
            <w:pPr>
              <w:spacing w:after="0" w:line="240"/>
            </w:pPr>
            <w:r>
              <w:rPr>
                <w:rFonts w:ascii="Calibri" w:cs="Calibri" w:eastAsia="Calibri" w:hAnsi="Calibri"/>
                <w:i/>
                <w:iCs/>
                <w:color w:val="44546A"/>
                <w:sz w:val="15"/>
                <w:szCs w:val="15"/>
              </w:rPr>
              <w:t xml:space="preserve">One of the widest discounts to book in the screen, and the largest gap between reported book value and any realistic sum-of-the-parts.</w:t>
            </w:r>
          </w:p>
        </w:tc>
      </w:tr>
      <w:tr>
        <w:tc>
          <w:tcPr>
            <w:tcW w:type="dxa" w:w="22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Margins</w:t>
            </w:r>
          </w:p>
        </w:tc>
        <w:tc>
          <w:tcPr>
            <w:tcW w:type="dxa" w:w="76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EBIT ~4%; EBITDA ~10%</w:t>
            </w:r>
          </w:p>
        </w:tc>
      </w:tr>
      <w:tr>
        <w:tc>
          <w:tcPr>
            <w:tcW w:type="dxa" w:w="22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Net leverage</w:t>
            </w:r>
          </w:p>
        </w:tc>
        <w:tc>
          <w:tcPr>
            <w:tcW w:type="dxa" w:w="76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line="240"/>
            </w:pPr>
            <w:r>
              <w:rPr>
                <w:rFonts w:ascii="Calibri" w:cs="Calibri" w:eastAsia="Calibri" w:hAnsi="Calibri"/>
                <w:color w:val="1A1A1A"/>
                <w:sz w:val="16"/>
                <w:szCs w:val="16"/>
              </w:rPr>
              <w:t xml:space="preserve">Net cash to minimal net debt, plus a listed cross-shareholding portfolio. Net debt/EBITDA ~ 0.3x</w:t>
            </w:r>
          </w:p>
        </w:tc>
      </w:tr>
    </w:tbl>
    <w:p>
      <w:pPr>
        <w:spacing w:after="70" w:before="180"/>
      </w:pPr>
      <w:r>
        <w:rPr>
          <w:rFonts w:ascii="Calibri" w:cs="Calibri" w:eastAsia="Calibri" w:hAnsi="Calibri"/>
          <w:b/>
          <w:bCs/>
          <w:caps/>
          <w:color w:val="1F3864"/>
          <w:spacing w:val="12"/>
          <w:sz w:val="19"/>
          <w:szCs w:val="19"/>
        </w:rPr>
        <w:t xml:space="preserve">Top 5 shareholders (indicative)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90"/>
        <w:gridCol w:w="1600"/>
      </w:tblGrid>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The Master Trust Bank of Japan (trust)</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Custody Bank of Japan (trust)</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Corporate cross-shareholders and relationship banks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~12%</w:t>
            </w:r>
          </w:p>
        </w:tc>
      </w:tr>
      <w:tr>
        <w:tc>
          <w:tcPr>
            <w:tcW w:type="dxa" w:w="829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Domestic insurers</w:t>
            </w:r>
          </w:p>
        </w:tc>
        <w:tc>
          <w:tcPr>
            <w:tcW w:type="dxa" w:w="1600"/>
            <w:tcBorders>
              <w:top w:val="single" w:color="D6DBE4" w:sz="2"/>
              <w:left w:val="single" w:color="D6DBE4" w:sz="2"/>
              <w:bottom w:val="single" w:color="D6DBE4" w:sz="2"/>
              <w:right w:val="single" w:color="D6DBE4" w:sz="2"/>
            </w:tcBorders>
            <w:shd w:fill="F5F6F8" w:color="auto" w:val="clear"/>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~5%</w:t>
            </w:r>
          </w:p>
        </w:tc>
      </w:tr>
      <w:tr>
        <w:tc>
          <w:tcPr>
            <w:tcW w:type="dxa" w:w="82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Foreign institutions — value funds (aggregate)</w:t>
            </w:r>
          </w:p>
        </w:tc>
        <w:tc>
          <w:tcPr>
            <w:tcW w:type="dxa" w:w="16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jc w:val="right"/>
            </w:pPr>
            <w:r>
              <w:rPr>
                <w:rFonts w:ascii="Calibri" w:cs="Calibri" w:eastAsia="Calibri" w:hAnsi="Calibri"/>
                <w:b/>
                <w:bCs/>
                <w:color w:val="1F3864"/>
                <w:sz w:val="16"/>
                <w:szCs w:val="16"/>
              </w:rPr>
              <w:t xml:space="preserve">~8%+</w:t>
            </w:r>
          </w:p>
        </w:tc>
      </w:tr>
    </w:tbl>
    <w:p>
      <w:pPr>
        <w:spacing w:after="100" w:before="70" w:line="264"/>
      </w:pPr>
      <w:r>
        <w:rPr>
          <w:rFonts w:ascii="Calibri" w:cs="Calibri" w:eastAsia="Calibri" w:hAnsi="Calibri"/>
          <w:i/>
          <w:iCs/>
          <w:color w:val="44546A"/>
          <w:sz w:val="16"/>
          <w:szCs w:val="16"/>
        </w:rPr>
        <w:t xml:space="preserve">Fragmented with a legacy relationship-bank and corporate bloc. No controlling holder.</w:t>
      </w:r>
    </w:p>
    <w:p>
      <w:pPr>
        <w:spacing w:after="70" w:before="180"/>
      </w:pPr>
      <w:r>
        <w:rPr>
          <w:rFonts w:ascii="Calibri" w:cs="Calibri" w:eastAsia="Calibri" w:hAnsi="Calibri"/>
          <w:b/>
          <w:bCs/>
          <w:caps/>
          <w:color w:val="1F3864"/>
          <w:spacing w:val="12"/>
          <w:sz w:val="19"/>
          <w:szCs w:val="19"/>
        </w:rPr>
        <w:t xml:space="preserve">What an activist would say</w:t>
      </w:r>
    </w:p>
    <w:p>
      <w:pPr>
        <w:pStyle w:val="ListParagraph"/>
        <w:numPr>
          <w:ilvl w:val="0"/>
          <w:numId w:val="2"/>
        </w:numPr>
        <w:spacing w:after="90" w:before="40" w:line="264"/>
      </w:pPr>
      <w:r>
        <w:rPr>
          <w:rFonts w:ascii="Calibri" w:cs="Calibri" w:eastAsia="Calibri" w:hAnsi="Calibri"/>
          <w:color w:val="1A1A1A"/>
          <w:sz w:val="19"/>
          <w:szCs w:val="19"/>
        </w:rPr>
        <w:t xml:space="preserve">Nippon Shokubai trades at roughly 0.6x book — the market's verdict on a company whose largest business, superabsorbent polymers, has been structurally commoditised by Middle Eastern and Chinese capacity and will not earn its cost of capital again.</w:t>
      </w:r>
    </w:p>
    <w:p>
      <w:pPr>
        <w:pStyle w:val="ListParagraph"/>
        <w:numPr>
          <w:ilvl w:val="0"/>
          <w:numId w:val="2"/>
        </w:numPr>
        <w:spacing w:after="90" w:before="40" w:line="264"/>
      </w:pPr>
      <w:r>
        <w:rPr>
          <w:rFonts w:ascii="Calibri" w:cs="Calibri" w:eastAsia="Calibri" w:hAnsi="Calibri"/>
          <w:color w:val="1A1A1A"/>
          <w:sz w:val="19"/>
          <w:szCs w:val="19"/>
        </w:rPr>
        <w:t xml:space="preserve">Inside that same company sits a genuinely differentiated electronic and functional materials business with real technology and real pricing power, entirely obscured by the commodity drag.</w:t>
      </w:r>
    </w:p>
    <w:p>
      <w:pPr>
        <w:pStyle w:val="ListParagraph"/>
        <w:numPr>
          <w:ilvl w:val="0"/>
          <w:numId w:val="2"/>
        </w:numPr>
        <w:spacing w:after="90" w:before="40" w:line="264"/>
      </w:pPr>
      <w:r>
        <w:rPr>
          <w:rFonts w:ascii="Calibri" w:cs="Calibri" w:eastAsia="Calibri" w:hAnsi="Calibri"/>
          <w:color w:val="1A1A1A"/>
          <w:sz w:val="19"/>
          <w:szCs w:val="19"/>
        </w:rPr>
        <w:t xml:space="preserve">Management's response has been incremental cost programmes and continued cross-shareholdings. There is no portfolio decision being made, and the market has stopped waiting for one.</w:t>
      </w:r>
    </w:p>
    <w:p>
      <w:pPr>
        <w:spacing w:after="70" w:before="180"/>
      </w:pPr>
      <w:r>
        <w:rPr>
          <w:rFonts w:ascii="Calibri" w:cs="Calibri" w:eastAsia="Calibri" w:hAnsi="Calibri"/>
          <w:b/>
          <w:bCs/>
          <w:caps/>
          <w:color w:val="1F3864"/>
          <w:spacing w:val="12"/>
          <w:sz w:val="19"/>
          <w:szCs w:val="19"/>
        </w:rPr>
        <w:t xml:space="preserve">Most actionable changes</w:t>
      </w:r>
    </w:p>
    <w:p>
      <w:pPr>
        <w:pStyle w:val="ListParagraph"/>
        <w:numPr>
          <w:ilvl w:val="0"/>
          <w:numId w:val="3"/>
        </w:numPr>
        <w:spacing w:after="90" w:before="40" w:line="264"/>
      </w:pPr>
      <w:r>
        <w:rPr>
          <w:rFonts w:ascii="Calibri" w:cs="Calibri" w:eastAsia="Calibri" w:hAnsi="Calibri"/>
          <w:color w:val="1A1A1A"/>
          <w:sz w:val="19"/>
          <w:szCs w:val="19"/>
        </w:rPr>
        <w:t xml:space="preserve">Take a decision on superabsorbent polymers — exit, consolidate with a competitor, or restructure to a defensible cost position — with a stated deadline rather than another incremental efficiency programme.</w:t>
      </w:r>
    </w:p>
    <w:p>
      <w:pPr>
        <w:pStyle w:val="ListParagraph"/>
        <w:numPr>
          <w:ilvl w:val="0"/>
          <w:numId w:val="3"/>
        </w:numPr>
        <w:spacing w:after="90" w:before="40" w:line="264"/>
      </w:pPr>
      <w:r>
        <w:rPr>
          <w:rFonts w:ascii="Calibri" w:cs="Calibri" w:eastAsia="Calibri" w:hAnsi="Calibri"/>
          <w:color w:val="1A1A1A"/>
          <w:sz w:val="19"/>
          <w:szCs w:val="19"/>
        </w:rPr>
        <w:t xml:space="preserve">Separate and separately disclose the electronic and functional materials business so the market can value the growth asset independently of the commodity business.</w:t>
      </w:r>
    </w:p>
    <w:p>
      <w:pPr>
        <w:pStyle w:val="ListParagraph"/>
        <w:numPr>
          <w:ilvl w:val="0"/>
          <w:numId w:val="3"/>
        </w:numPr>
        <w:spacing w:after="90" w:before="40" w:line="264"/>
      </w:pPr>
      <w:r>
        <w:rPr>
          <w:rFonts w:ascii="Calibri" w:cs="Calibri" w:eastAsia="Calibri" w:hAnsi="Calibri"/>
          <w:color w:val="1A1A1A"/>
          <w:sz w:val="19"/>
          <w:szCs w:val="19"/>
        </w:rPr>
        <w:t xml:space="preserve">Unwind the listed cross-shareholding portfolio and return the proceeds, and adopt an explicit ROE and cost-of-capital framework under the TSE guidance.</w:t>
      </w:r>
    </w:p>
    <w:p>
      <w:pPr>
        <w:spacing w:after="70" w:before="180"/>
      </w:pPr>
      <w:r>
        <w:rPr>
          <w:rFonts w:ascii="Calibri" w:cs="Calibri" w:eastAsia="Calibri" w:hAnsi="Calibri"/>
          <w:b/>
          <w:bCs/>
          <w:caps/>
          <w:color w:val="1F3864"/>
          <w:spacing w:val="12"/>
          <w:sz w:val="19"/>
          <w:szCs w:val="19"/>
        </w:rPr>
        <w:t xml:space="preserve">Ease of building shareholder support</w:t>
      </w:r>
    </w:p>
    <w:p>
      <w:pPr>
        <w:spacing w:after="100" w:before="0" w:line="264"/>
      </w:pPr>
      <w:r>
        <w:rPr>
          <w:rFonts w:ascii="Calibri" w:cs="Calibri" w:eastAsia="Calibri" w:hAnsi="Calibri"/>
          <w:color w:val="1A1A1A"/>
          <w:sz w:val="19"/>
          <w:szCs w:val="19"/>
        </w:rPr>
        <w:t xml:space="preserve">MODERATE-TO-HIGH. The 0.6x PBR makes this an archetypal TSE capital-efficiency target, which gives domestic institutions a clear mandate to press for action, and the cross-shareholding demand is close to unopposable in the current policy environment. Japanese chemicals is also an increasingly well-trodden path for activists, so precedent exists. The obstacles are that portfolio restructuring in commodity chemicals is genuinely slow and capital-intensive, and that relationship banks on the register are conservative — so expect a multi-year engagement rather than a single-AGM outcome.</w:t>
      </w:r>
    </w:p>
    <w:p>
      <w:pPr>
        <w:spacing w:after="70" w:before="180"/>
      </w:pPr>
      <w:r>
        <w:rPr>
          <w:rFonts w:ascii="Calibri" w:cs="Calibri" w:eastAsia="Calibri" w:hAnsi="Calibri"/>
          <w:b/>
          <w:bCs/>
          <w:caps/>
          <w:color w:val="1F3864"/>
          <w:spacing w:val="12"/>
          <w:sz w:val="19"/>
          <w:szCs w:val="19"/>
        </w:rPr>
        <w:t xml:space="preserve">The company's defence</w:t>
      </w:r>
    </w:p>
    <w:p>
      <w:pPr>
        <w:spacing w:after="100" w:before="0" w:line="264"/>
      </w:pPr>
      <w:r>
        <w:rPr>
          <w:rFonts w:ascii="Calibri" w:cs="Calibri" w:eastAsia="Calibri" w:hAnsi="Calibri"/>
          <w:color w:val="1A1A1A"/>
          <w:sz w:val="19"/>
          <w:szCs w:val="19"/>
        </w:rPr>
        <w:t xml:space="preserve">Management will argue that superabsorbent polymers retain a technology and quality edge in premium hygiene applications, that the business is cash-generative even at trough margins and funds the materials growth investment, and that exiting would strand assets and incur large closure costs. They will point to ongoing cost reduction and to capacity rationalisation already announced. The cash-generation argument has some merit; the difficulty for management is that it has been offered through several cycles while returns have continued to decline.</w:t>
      </w:r>
    </w:p>
    <w:p>
      <w:pPr>
        <w:spacing w:after="70" w:before="180"/>
      </w:pPr>
      <w:r>
        <w:rPr>
          <w:rFonts w:ascii="Calibri" w:cs="Calibri" w:eastAsia="Calibri" w:hAnsi="Calibri"/>
          <w:b/>
          <w:bCs/>
          <w:caps/>
          <w:color w:val="1F3864"/>
          <w:spacing w:val="12"/>
          <w:sz w:val="19"/>
          <w:szCs w:val="19"/>
        </w:rPr>
        <w:t xml:space="preserve">Activist angles</w:t>
      </w:r>
    </w:p>
    <w:p>
      <w:pPr>
        <w:pStyle w:val="ListParagraph"/>
        <w:numPr>
          <w:ilvl w:val="0"/>
          <w:numId w:val="2"/>
        </w:numPr>
        <w:spacing w:after="90" w:before="40" w:line="264"/>
      </w:pPr>
      <w:r>
        <w:rPr>
          <w:rFonts w:ascii="Calibri" w:cs="Calibri" w:eastAsia="Calibri" w:hAnsi="Calibri"/>
          <w:color w:val="1A1A1A"/>
          <w:sz w:val="18"/>
          <w:szCs w:val="18"/>
        </w:rPr>
        <w:t xml:space="preserve">Portfolio simplification — a decision on the commoditised superabsorbent polymer business.</w:t>
      </w:r>
    </w:p>
    <w:p>
      <w:pPr>
        <w:pStyle w:val="ListParagraph"/>
        <w:numPr>
          <w:ilvl w:val="0"/>
          <w:numId w:val="2"/>
        </w:numPr>
        <w:spacing w:after="90" w:before="40" w:line="264"/>
      </w:pPr>
      <w:r>
        <w:rPr>
          <w:rFonts w:ascii="Calibri" w:cs="Calibri" w:eastAsia="Calibri" w:hAnsi="Calibri"/>
          <w:color w:val="1A1A1A"/>
          <w:sz w:val="18"/>
          <w:szCs w:val="18"/>
        </w:rPr>
        <w:t xml:space="preserve">Undervalued assets — a hidden electronic materials franchise obscured by commodity drag.</w:t>
      </w:r>
    </w:p>
    <w:p>
      <w:pPr>
        <w:pStyle w:val="ListParagraph"/>
        <w:numPr>
          <w:ilvl w:val="0"/>
          <w:numId w:val="2"/>
        </w:numPr>
        <w:spacing w:after="90" w:before="40" w:line="264"/>
      </w:pPr>
      <w:r>
        <w:rPr>
          <w:rFonts w:ascii="Calibri" w:cs="Calibri" w:eastAsia="Calibri" w:hAnsi="Calibri"/>
          <w:color w:val="1A1A1A"/>
          <w:sz w:val="18"/>
          <w:szCs w:val="18"/>
        </w:rPr>
        <w:t xml:space="preserve">Capital allocation / governance — cross-shareholding unwind and an explicit ROE framework.</w:t>
      </w:r>
    </w:p>
    <w:p>
      <w:r>
        <w:br w:type="page"/>
      </w:r>
    </w:p>
    <w:p>
      <w:pPr>
        <w:pStyle w:val="Heading1"/>
        <w:pBdr>
          <w:bottom w:val="single" w:color="1F3864" w:sz="8" w:space="6"/>
        </w:pBdr>
        <w:spacing w:after="160" w:before="60"/>
      </w:pPr>
      <w:r>
        <w:rPr>
          <w:rFonts w:ascii="Calibri Light" w:cs="Calibri Light" w:eastAsia="Calibri Light" w:hAnsi="Calibri Light"/>
          <w:b/>
          <w:bCs/>
          <w:color w:val="1F3864"/>
          <w:sz w:val="30"/>
          <w:szCs w:val="30"/>
        </w:rPr>
        <w:t xml:space="preserve">4.  Constructing the campaign</w:t>
      </w:r>
    </w:p>
    <w:p>
      <w:pPr>
        <w:pStyle w:val="Heading2"/>
        <w:spacing w:after="100" w:before="240"/>
      </w:pPr>
      <w:r>
        <w:rPr>
          <w:rFonts w:ascii="Calibri" w:cs="Calibri" w:eastAsia="Calibri" w:hAnsi="Calibri"/>
          <w:b/>
          <w:bCs/>
          <w:color w:val="1F3864"/>
          <w:sz w:val="22"/>
          <w:szCs w:val="22"/>
        </w:rPr>
        <w:t xml:space="preserve">Where the value actually sits</w:t>
      </w:r>
    </w:p>
    <w:p>
      <w:pPr>
        <w:spacing w:after="100" w:before="0" w:line="264"/>
      </w:pPr>
      <w:r>
        <w:rPr>
          <w:rFonts w:ascii="Calibri" w:cs="Calibri" w:eastAsia="Calibri" w:hAnsi="Calibri"/>
          <w:color w:val="1A1A1A"/>
          <w:sz w:val="19"/>
          <w:szCs w:val="19"/>
        </w:rPr>
        <w:t xml:space="preserve">The twenty names divide into three quite different value-creation mechanisms, and they should not be underwritten the same way.</w:t>
      </w:r>
    </w:p>
    <w:p>
      <w:pPr>
        <w:pStyle w:val="ListParagraph"/>
        <w:numPr>
          <w:ilvl w:val="0"/>
          <w:numId w:val="2"/>
        </w:numPr>
        <w:spacing w:after="90" w:before="40" w:line="264"/>
      </w:pPr>
      <w:r>
        <w:rPr>
          <w:rFonts w:ascii="Calibri" w:cs="Calibri" w:eastAsia="Calibri" w:hAnsi="Calibri"/>
          <w:color w:val="1A1A1A"/>
          <w:sz w:val="19"/>
          <w:szCs w:val="19"/>
        </w:rPr>
        <w:t xml:space="preserve">Balance sheet arbitrage — Mabuchi Motor, SMC, Shimano, Hirose Electric, Shimamura. The operating business needs nothing. Value is released by a decision, not a turnaround, so the outcome depends only on winning the argument. Highest probability, shortest duration, and the most reliable proxy adviser support.</w:t>
      </w:r>
    </w:p>
    <w:p>
      <w:pPr>
        <w:pStyle w:val="ListParagraph"/>
        <w:numPr>
          <w:ilvl w:val="0"/>
          <w:numId w:val="2"/>
        </w:numPr>
        <w:spacing w:after="90" w:before="40" w:line="264"/>
      </w:pPr>
      <w:r>
        <w:rPr>
          <w:rFonts w:ascii="Calibri" w:cs="Calibri" w:eastAsia="Calibri" w:hAnsi="Calibri"/>
          <w:color w:val="1A1A1A"/>
          <w:sz w:val="19"/>
          <w:szCs w:val="19"/>
        </w:rPr>
        <w:t xml:space="preserve">Sum-of-the-parts and hidden assets — Kyocera, Mitsubishi Logistics, TBS Holdings, Kamigumi, Wacoal, Shimizu, Nippon Shokubai. Value exists but is structurally obscured, usually by historic-cost accounting or a listed stake. The first ask is always disclosure or independent appraisal, which is publicly very hard to refuse and creates the evidence base for the harder demand that follows.</w:t>
      </w:r>
    </w:p>
    <w:p>
      <w:pPr>
        <w:pStyle w:val="ListParagraph"/>
        <w:numPr>
          <w:ilvl w:val="0"/>
          <w:numId w:val="2"/>
        </w:numPr>
        <w:spacing w:after="90" w:before="40" w:line="264"/>
      </w:pPr>
      <w:r>
        <w:rPr>
          <w:rFonts w:ascii="Calibri" w:cs="Calibri" w:eastAsia="Calibri" w:hAnsi="Calibri"/>
          <w:color w:val="1A1A1A"/>
          <w:sz w:val="19"/>
          <w:szCs w:val="19"/>
        </w:rPr>
        <w:t xml:space="preserve">Operating turnaround — Omron, Yamato, Nikon, Alps Alpine, Nihon Kohden, Yamaha, Casio, Square Enix. The largest prize and the lowest certainty. Winning the vote is not the same as fixing the company, so these need board change rather than a one-off concession, and a multi-year holding period.</w:t>
      </w:r>
    </w:p>
    <w:p>
      <w:pPr>
        <w:pStyle w:val="Heading2"/>
        <w:spacing w:after="100" w:before="240"/>
      </w:pPr>
      <w:r>
        <w:rPr>
          <w:rFonts w:ascii="Calibri" w:cs="Calibri" w:eastAsia="Calibri" w:hAnsi="Calibri"/>
          <w:b/>
          <w:bCs/>
          <w:color w:val="1F3864"/>
          <w:sz w:val="22"/>
          <w:szCs w:val="22"/>
        </w:rPr>
        <w:t xml:space="preserve">Sequencing the demands</w:t>
      </w:r>
    </w:p>
    <w:p>
      <w:pPr>
        <w:spacing w:after="100" w:before="0" w:line="264"/>
      </w:pPr>
      <w:r>
        <w:rPr>
          <w:rFonts w:ascii="Calibri" w:cs="Calibri" w:eastAsia="Calibri" w:hAnsi="Calibri"/>
          <w:color w:val="1A1A1A"/>
          <w:sz w:val="19"/>
          <w:szCs w:val="19"/>
        </w:rPr>
        <w:t xml:space="preserve">The pattern that works in Japan is escalation from the unarguable to the contested. Open with a demand that management cannot publicly refuse without appearing to defy TSE policy — cost-of-capital disclosure, segment ROIC, an independent real estate appraisal, or a cross-shareholding unwind timetable. These cost management little to concede, and each one produces the evidence that makes the next demand harder to resist.</w:t>
      </w:r>
    </w:p>
    <w:p>
      <w:pPr>
        <w:spacing w:after="100" w:before="0" w:line="264"/>
      </w:pPr>
      <w:r>
        <w:rPr>
          <w:rFonts w:ascii="Calibri" w:cs="Calibri" w:eastAsia="Calibri" w:hAnsi="Calibri"/>
          <w:color w:val="1A1A1A"/>
          <w:sz w:val="19"/>
          <w:szCs w:val="19"/>
        </w:rPr>
        <w:t xml:space="preserve">Capital return is the second step and the reliable win: it is arithmetic, it aligns with stated policy, and proxy advisers support it consistently in sub-1x-PBR, net-cash situations. Board composition is last. Japanese institutions still treat director opposition as a serious escalation, and a campaign that opens there tends to consolidate support behind management rather than fracture it. Kyocera in June 2026 is the instructive case — ISS and Glass Lewis backed opposition to the chairman only after years of documented non-responsiveness on capital allocation.</w:t>
      </w:r>
    </w:p>
    <w:p>
      <w:pPr>
        <w:pStyle w:val="Heading2"/>
        <w:spacing w:after="100" w:before="240"/>
      </w:pPr>
      <w:r>
        <w:rPr>
          <w:rFonts w:ascii="Calibri" w:cs="Calibri" w:eastAsia="Calibri" w:hAnsi="Calibri"/>
          <w:b/>
          <w:bCs/>
          <w:color w:val="1F3864"/>
          <w:sz w:val="22"/>
          <w:szCs w:val="22"/>
        </w:rPr>
        <w:t xml:space="preserve">The registers, honestly assessed</w:t>
      </w:r>
    </w:p>
    <w:p>
      <w:pPr>
        <w:spacing w:after="100" w:before="0" w:line="264"/>
      </w:pPr>
      <w:r>
        <w:rPr>
          <w:rFonts w:ascii="Calibri" w:cs="Calibri" w:eastAsia="Calibri" w:hAnsi="Calibri"/>
          <w:color w:val="1A1A1A"/>
          <w:sz w:val="19"/>
          <w:szCs w:val="19"/>
        </w:rPr>
        <w:t xml:space="preserve">Ownership is the single best predictor of outcome in this screen, and it varies far more than the 40% screen threshold suggests.</w:t>
      </w:r>
    </w:p>
    <w:tbl>
      <w:tblPr>
        <w:tblW w:type="dxa" w:w="98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400"/>
        <w:gridCol w:w="5590"/>
      </w:tblGrid>
      <w:tr>
        <w:trPr>
          <w:tblHeader/>
        </w:trPr>
        <w:tc>
          <w:tcPr>
            <w:tcW w:type="dxa" w:w="190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6"/>
                <w:szCs w:val="16"/>
              </w:rPr>
              <w:t xml:space="preserve">Register type</w:t>
            </w:r>
          </w:p>
        </w:tc>
        <w:tc>
          <w:tcPr>
            <w:tcW w:type="dxa" w:w="240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6"/>
                <w:szCs w:val="16"/>
              </w:rPr>
              <w:t xml:space="preserve">Names</w:t>
            </w:r>
          </w:p>
        </w:tc>
        <w:tc>
          <w:tcPr>
            <w:tcW w:type="dxa" w:w="5590"/>
            <w:tcBorders>
              <w:top w:val="single" w:color="D6DBE4" w:sz="2"/>
              <w:left w:val="single" w:color="D6DBE4" w:sz="2"/>
              <w:bottom w:val="single" w:color="D6DBE4" w:sz="2"/>
              <w:right w:val="single" w:color="D6DBE4" w:sz="2"/>
            </w:tcBorders>
            <w:shd w:fill="1F3864"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FFFFFF"/>
                <w:sz w:val="16"/>
                <w:szCs w:val="16"/>
              </w:rPr>
              <w:t xml:space="preserve">Implication</w:t>
            </w:r>
          </w:p>
        </w:tc>
      </w:tr>
      <w:tr>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Cleanest registers</w:t>
            </w:r>
          </w:p>
        </w:tc>
        <w:tc>
          <w:tcPr>
            <w:tcW w:type="dxa" w:w="24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Yamato, Hirose, Nikon, Omron</w:t>
            </w:r>
          </w:p>
        </w:tc>
        <w:tc>
          <w:tcPr>
            <w:tcW w:type="dxa" w:w="55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No anchor shareholder of any kind. Purely institutional. Votes are winnable on economic argument alone.</w:t>
            </w:r>
          </w:p>
        </w:tc>
      </w:tr>
      <w:tr>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Favourable, foreign-heavy</w:t>
            </w:r>
          </w:p>
        </w:tc>
        <w:tc>
          <w:tcPr>
            <w:tcW w:type="dxa" w:w="24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SMC, Square Enix, Kyocera, Shimano</w:t>
            </w:r>
          </w:p>
        </w:tc>
        <w:tc>
          <w:tcPr>
            <w:tcW w:type="dxa" w:w="559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35–40% foreign ownership benchmarking against global peers. Receptive audiences, but domestic support still needed to carry a resolution.</w:t>
            </w:r>
          </w:p>
        </w:tc>
      </w:tr>
      <w:tr>
        <w:tc>
          <w:tcPr>
            <w:tcW w:type="dxa" w:w="19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Founder-bloc friction</w:t>
            </w:r>
          </w:p>
        </w:tc>
        <w:tc>
          <w:tcPr>
            <w:tcW w:type="dxa" w:w="240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Casio, Mabuchi, Shimamura, Nihon Kohden</w:t>
            </w:r>
          </w:p>
        </w:tc>
        <w:tc>
          <w:tcPr>
            <w:tcW w:type="dxa" w:w="5590"/>
            <w:tcBorders>
              <w:top w:val="single" w:color="D6DBE4" w:sz="2"/>
              <w:left w:val="single" w:color="D6DBE4" w:sz="2"/>
              <w:bottom w:val="single" w:color="D6DBE4" w:sz="2"/>
              <w:right w:val="single" w:color="D6DBE4" w:sz="2"/>
            </w:tcBorders>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Family aggregates of 9–18%. Not blocking, but they shape board culture. Prefer collaborative engagement before public escalation.</w:t>
            </w:r>
          </w:p>
        </w:tc>
      </w:tr>
      <w:tr>
        <w:tc>
          <w:tcPr>
            <w:tcW w:type="dxa" w:w="19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b/>
                <w:bCs/>
                <w:color w:val="1F3864"/>
                <w:sz w:val="16"/>
                <w:szCs w:val="16"/>
              </w:rPr>
              <w:t xml:space="preserve">Hard registers</w:t>
            </w:r>
          </w:p>
        </w:tc>
        <w:tc>
          <w:tcPr>
            <w:tcW w:type="dxa" w:w="240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TBS, Mitsubishi Logistics, Wacoal, Kamigumi, Shimizu</w:t>
            </w:r>
          </w:p>
        </w:tc>
        <w:tc>
          <w:tcPr>
            <w:tcW w:type="dxa" w:w="5590"/>
            <w:tcBorders>
              <w:top w:val="single" w:color="D6DBE4" w:sz="2"/>
              <w:left w:val="single" w:color="D6DBE4" w:sz="2"/>
              <w:bottom w:val="single" w:color="D6DBE4" w:sz="2"/>
              <w:right w:val="single" w:color="D6DBE4" w:sz="2"/>
            </w:tcBorders>
            <w:shd w:fill="EDF0F6" w:color="auto" w:val="clear"/>
            <w:tcMar>
              <w:top w:type="dxa" w:w="70"/>
              <w:left w:type="dxa" w:w="100"/>
              <w:bottom w:type="dxa" w:w="70"/>
              <w:right w:type="dxa" w:w="100"/>
            </w:tcMar>
            <w:vAlign w:val="center"/>
          </w:tcPr>
          <w:p>
            <w:pPr>
              <w:spacing w:after="0" w:before="0" w:line="240"/>
            </w:pPr>
            <w:r>
              <w:rPr>
                <w:rFonts w:ascii="Calibri" w:cs="Calibri" w:eastAsia="Calibri" w:hAnsi="Calibri"/>
                <w:color w:val="1A1A1A"/>
                <w:sz w:val="16"/>
                <w:szCs w:val="16"/>
              </w:rPr>
              <w:t xml:space="preserve">Cohesive cross-shareholder or keiretsu blocs of 10–20% that vote with management by default. Disclosure-led, multi-year, low position sizes.</w:t>
            </w:r>
          </w:p>
        </w:tc>
      </w:tr>
    </w:tbl>
    <w:p>
      <w:pPr>
        <w:pStyle w:val="Heading2"/>
        <w:spacing w:after="100" w:before="240"/>
      </w:pPr>
      <w:r>
        <w:rPr>
          <w:rFonts w:ascii="Calibri" w:cs="Calibri" w:eastAsia="Calibri" w:hAnsi="Calibri"/>
          <w:b/>
          <w:bCs/>
          <w:color w:val="1F3864"/>
          <w:sz w:val="22"/>
          <w:szCs w:val="22"/>
        </w:rPr>
        <w:t xml:space="preserve">What would make this screen wrong</w:t>
      </w:r>
    </w:p>
    <w:p>
      <w:pPr>
        <w:pStyle w:val="ListParagraph"/>
        <w:numPr>
          <w:ilvl w:val="0"/>
          <w:numId w:val="2"/>
        </w:numPr>
        <w:spacing w:after="90" w:before="40" w:line="264"/>
      </w:pPr>
      <w:r>
        <w:rPr>
          <w:rFonts w:ascii="Calibri" w:cs="Calibri" w:eastAsia="Calibri" w:hAnsi="Calibri"/>
          <w:color w:val="1A1A1A"/>
          <w:sz w:val="19"/>
          <w:szCs w:val="19"/>
        </w:rPr>
        <w:t xml:space="preserve">The cheap names are cheap for a reason. Nippon Shokubai's commodity exposure and Yamato's cost base are real economic problems, not just presentational ones. A balance-sheet fix does not repair a business earning below its cost of capital.</w:t>
      </w:r>
    </w:p>
    <w:p>
      <w:pPr>
        <w:pStyle w:val="ListParagraph"/>
        <w:numPr>
          <w:ilvl w:val="0"/>
          <w:numId w:val="2"/>
        </w:numPr>
        <w:spacing w:after="90" w:before="40" w:line="264"/>
      </w:pPr>
      <w:r>
        <w:rPr>
          <w:rFonts w:ascii="Calibri" w:cs="Calibri" w:eastAsia="Calibri" w:hAnsi="Calibri"/>
          <w:color w:val="1A1A1A"/>
          <w:sz w:val="19"/>
          <w:szCs w:val="19"/>
        </w:rPr>
        <w:t xml:space="preserve">Concession without change. The most common failure mode in Japan is management announcing a buyback large enough to defuse a campaign and small enough to change nothing. Several names here — Casio, Hirose, Alps Alpine — have already done exactly that. Demands need to be framed as permanent policy, not one-off events.</w:t>
      </w:r>
    </w:p>
    <w:p>
      <w:pPr>
        <w:pStyle w:val="ListParagraph"/>
        <w:numPr>
          <w:ilvl w:val="0"/>
          <w:numId w:val="2"/>
        </w:numPr>
        <w:spacing w:after="90" w:before="40" w:line="264"/>
      </w:pPr>
      <w:r>
        <w:rPr>
          <w:rFonts w:ascii="Calibri" w:cs="Calibri" w:eastAsia="Calibri" w:hAnsi="Calibri"/>
          <w:color w:val="1A1A1A"/>
          <w:sz w:val="19"/>
          <w:szCs w:val="19"/>
        </w:rPr>
        <w:t xml:space="preserve">Tightening proposal rules. Japan moved in 2026 to restrict shareholder proposals. Campaigns that depend on procedural mechanics rather than economic persuasion are more exposed than they were two years ago.</w:t>
      </w:r>
    </w:p>
    <w:p>
      <w:pPr>
        <w:pStyle w:val="ListParagraph"/>
        <w:numPr>
          <w:ilvl w:val="0"/>
          <w:numId w:val="2"/>
        </w:numPr>
        <w:spacing w:after="90" w:before="40" w:line="264"/>
      </w:pPr>
      <w:r>
        <w:rPr>
          <w:rFonts w:ascii="Calibri" w:cs="Calibri" w:eastAsia="Calibri" w:hAnsi="Calibri"/>
          <w:color w:val="1A1A1A"/>
          <w:sz w:val="19"/>
          <w:szCs w:val="19"/>
        </w:rPr>
        <w:t xml:space="preserve">Crowding. Six names already have a public activist. Entry prices reflect that, and the incremental holder captures a smaller share of whatever is released.</w:t>
      </w:r>
    </w:p>
    <w:p>
      <w:r>
        <w:br w:type="page"/>
      </w:r>
    </w:p>
    <w:p>
      <w:pPr>
        <w:pStyle w:val="Heading1"/>
        <w:pBdr>
          <w:bottom w:val="single" w:color="1F3864" w:sz="8" w:space="6"/>
        </w:pBdr>
        <w:spacing w:after="160" w:before="60"/>
      </w:pPr>
      <w:r>
        <w:rPr>
          <w:rFonts w:ascii="Calibri Light" w:cs="Calibri Light" w:eastAsia="Calibri Light" w:hAnsi="Calibri Light"/>
          <w:b/>
          <w:bCs/>
          <w:color w:val="1F3864"/>
          <w:sz w:val="30"/>
          <w:szCs w:val="30"/>
        </w:rPr>
        <w:t xml:space="preserve">5.  Data basis, limitations and sources</w:t>
      </w:r>
    </w:p>
    <w:p>
      <w:pPr>
        <w:pStyle w:val="Heading2"/>
        <w:spacing w:after="100" w:before="240"/>
      </w:pPr>
      <w:r>
        <w:rPr>
          <w:rFonts w:ascii="Calibri" w:cs="Calibri" w:eastAsia="Calibri" w:hAnsi="Calibri"/>
          <w:b/>
          <w:bCs/>
          <w:color w:val="1F3864"/>
          <w:sz w:val="22"/>
          <w:szCs w:val="22"/>
        </w:rPr>
        <w:t xml:space="preserve">What these numbers are</w:t>
      </w:r>
    </w:p>
    <w:p>
      <w:pPr>
        <w:spacing w:after="100" w:before="0" w:line="264"/>
      </w:pPr>
      <w:r>
        <w:rPr>
          <w:rFonts w:ascii="Calibri" w:cs="Calibri" w:eastAsia="Calibri" w:hAnsi="Calibri"/>
          <w:color w:val="1A1A1A"/>
          <w:sz w:val="19"/>
          <w:szCs w:val="19"/>
        </w:rPr>
        <w:t xml:space="preserve">This screen was constructed from public information and analyst judgement, not from a terminal extract. That distinction matters and is worth stating precisely rather than burying.</w:t>
      </w:r>
    </w:p>
    <w:p>
      <w:pPr>
        <w:pStyle w:val="ListParagraph"/>
        <w:numPr>
          <w:ilvl w:val="0"/>
          <w:numId w:val="2"/>
        </w:numPr>
        <w:spacing w:after="90" w:before="40" w:line="264"/>
      </w:pPr>
      <w:r>
        <w:rPr>
          <w:rFonts w:ascii="Calibri" w:cs="Calibri" w:eastAsia="Calibri" w:hAnsi="Calibri"/>
          <w:color w:val="1A1A1A"/>
          <w:sz w:val="19"/>
          <w:szCs w:val="19"/>
        </w:rPr>
        <w:t xml:space="preserve">TSR figures are indicative and directional. They are stated to establish the magnitude and persistence of relative underperformance, which is what drives name selection. They are not precise total-return calculations and the sector comparators are broad rather than tightly constructed peer baskets.</w:t>
      </w:r>
    </w:p>
    <w:p>
      <w:pPr>
        <w:pStyle w:val="ListParagraph"/>
        <w:numPr>
          <w:ilvl w:val="0"/>
          <w:numId w:val="2"/>
        </w:numPr>
        <w:spacing w:after="90" w:before="40" w:line="264"/>
      </w:pPr>
      <w:r>
        <w:rPr>
          <w:rFonts w:ascii="Calibri" w:cs="Calibri" w:eastAsia="Calibri" w:hAnsi="Calibri"/>
          <w:color w:val="1A1A1A"/>
          <w:sz w:val="19"/>
          <w:szCs w:val="19"/>
        </w:rPr>
        <w:t xml:space="preserve">Valuation multiples, margins and leverage are approximations based on the most recently reported figures and prevailing market prices. They are reliable as to order of magnitude and relative ranking; they are not accurate to the decimal.</w:t>
      </w:r>
    </w:p>
    <w:p>
      <w:pPr>
        <w:pStyle w:val="ListParagraph"/>
        <w:numPr>
          <w:ilvl w:val="0"/>
          <w:numId w:val="2"/>
        </w:numPr>
        <w:spacing w:after="90" w:before="40" w:line="264"/>
      </w:pPr>
      <w:r>
        <w:rPr>
          <w:rFonts w:ascii="Calibri" w:cs="Calibri" w:eastAsia="Calibri" w:hAnsi="Calibri"/>
          <w:color w:val="1A1A1A"/>
          <w:sz w:val="19"/>
          <w:szCs w:val="19"/>
        </w:rPr>
        <w:t xml:space="preserve">Shareholder lists are simplified and partially inferred. Japanese registers are dominated by nominee trust accounts — Master Trust Bank of Japan and Custody Bank of Japan routinely appear as the top two holders of almost every listed company — which conceal the beneficial owners behind them. The percentages shown are indicative aggregates.</w:t>
      </w:r>
    </w:p>
    <w:p>
      <w:pPr>
        <w:pStyle w:val="ListParagraph"/>
        <w:numPr>
          <w:ilvl w:val="0"/>
          <w:numId w:val="2"/>
        </w:numPr>
        <w:spacing w:after="90" w:before="40" w:line="264"/>
      </w:pPr>
      <w:r>
        <w:rPr>
          <w:rFonts w:ascii="Calibri" w:cs="Calibri" w:eastAsia="Calibri" w:hAnsi="Calibri"/>
          <w:color w:val="1A1A1A"/>
          <w:sz w:val="19"/>
          <w:szCs w:val="19"/>
        </w:rPr>
        <w:t xml:space="preserve">Activist positions are as reported publicly and change frequently. Disclosed stakes in Japan lag actual positions, and several of the holdings referenced here will have moved.</w:t>
      </w:r>
    </w:p>
    <w:p>
      <w:pPr>
        <w:pStyle w:val="Heading2"/>
        <w:spacing w:after="100" w:before="240"/>
      </w:pPr>
      <w:r>
        <w:rPr>
          <w:rFonts w:ascii="Calibri" w:cs="Calibri" w:eastAsia="Calibri" w:hAnsi="Calibri"/>
          <w:b/>
          <w:bCs/>
          <w:color w:val="1F3864"/>
          <w:sz w:val="22"/>
          <w:szCs w:val="22"/>
        </w:rPr>
        <w:t xml:space="preserve">Recommended next step before capital is committed</w:t>
      </w:r>
    </w:p>
    <w:p>
      <w:pPr>
        <w:spacing w:after="100" w:before="0" w:line="264"/>
      </w:pPr>
      <w:r>
        <w:rPr>
          <w:rFonts w:ascii="Calibri" w:cs="Calibri" w:eastAsia="Calibri" w:hAnsi="Calibri"/>
          <w:color w:val="1A1A1A"/>
          <w:sz w:val="19"/>
          <w:szCs w:val="19"/>
        </w:rPr>
        <w:t xml:space="preserve">For any name advancing past this screen, three pieces of work are required and none of them can be done from public summary data: a verified financial extract with properly constructed peer baskets; beneficial ownership analysis to see through the nominee accounts and identify who actually votes; and a voting-record review of the top twenty holders on comparable Japanese proposals over the last three AGM seasons. The third is the most frequently skipped and the most predictive — an institution's disclosed stewardship policy and its actual voting record on Japanese capital-return proposals are often quite different documents.</w:t>
      </w:r>
    </w:p>
    <w:p>
      <w:pPr>
        <w:pStyle w:val="Heading2"/>
        <w:spacing w:after="100" w:before="240"/>
      </w:pPr>
      <w:r>
        <w:rPr>
          <w:rFonts w:ascii="Calibri" w:cs="Calibri" w:eastAsia="Calibri" w:hAnsi="Calibri"/>
          <w:b/>
          <w:bCs/>
          <w:color w:val="1F3864"/>
          <w:sz w:val="22"/>
          <w:szCs w:val="22"/>
        </w:rPr>
        <w:t xml:space="preserve">Sources consulted</w:t>
      </w:r>
    </w:p>
    <w:p>
      <w:pPr>
        <w:pStyle w:val="ListParagraph"/>
        <w:numPr>
          <w:ilvl w:val="0"/>
          <w:numId w:val="2"/>
        </w:numPr>
        <w:spacing w:after="90" w:before="40" w:line="264"/>
      </w:pPr>
      <w:r>
        <w:rPr>
          <w:rFonts w:ascii="Calibri" w:cs="Calibri" w:eastAsia="Calibri" w:hAnsi="Calibri"/>
          <w:color w:val="1A1A1A"/>
          <w:sz w:val="17"/>
          <w:szCs w:val="17"/>
        </w:rPr>
        <w:t xml:space="preserve">Japan Research Institute — "The Rise of Shareholder Activism", Vol.9 No.9, May 2026</w:t>
      </w:r>
    </w:p>
    <w:p>
      <w:pPr>
        <w:pStyle w:val="ListParagraph"/>
        <w:numPr>
          <w:ilvl w:val="0"/>
          <w:numId w:val="2"/>
        </w:numPr>
        <w:spacing w:after="90" w:before="40" w:line="264"/>
      </w:pPr>
      <w:r>
        <w:rPr>
          <w:rFonts w:ascii="Calibri" w:cs="Calibri" w:eastAsia="Calibri" w:hAnsi="Calibri"/>
          <w:color w:val="1A1A1A"/>
          <w:sz w:val="17"/>
          <w:szCs w:val="17"/>
        </w:rPr>
        <w:t xml:space="preserve">Japan Exchange Group client portal — "Companies with PBRs Above 1x Targeted: Activists Shift from Shareholder Returns to Restructuring", April 2026</w:t>
      </w:r>
    </w:p>
    <w:p>
      <w:pPr>
        <w:pStyle w:val="ListParagraph"/>
        <w:numPr>
          <w:ilvl w:val="0"/>
          <w:numId w:val="2"/>
        </w:numPr>
        <w:spacing w:after="90" w:before="40" w:line="264"/>
      </w:pPr>
      <w:r>
        <w:rPr>
          <w:rFonts w:ascii="Calibri" w:cs="Calibri" w:eastAsia="Calibri" w:hAnsi="Calibri"/>
          <w:color w:val="1A1A1A"/>
          <w:sz w:val="17"/>
          <w:szCs w:val="17"/>
        </w:rPr>
        <w:t xml:space="preserve">FGS Global — "How to prepare for Japan's next wave of activism"</w:t>
      </w:r>
    </w:p>
    <w:p>
      <w:pPr>
        <w:pStyle w:val="ListParagraph"/>
        <w:numPr>
          <w:ilvl w:val="0"/>
          <w:numId w:val="2"/>
        </w:numPr>
        <w:spacing w:after="90" w:before="40" w:line="264"/>
      </w:pPr>
      <w:r>
        <w:rPr>
          <w:rFonts w:ascii="Calibri" w:cs="Calibri" w:eastAsia="Calibri" w:hAnsi="Calibri"/>
          <w:color w:val="1A1A1A"/>
          <w:sz w:val="17"/>
          <w:szCs w:val="17"/>
        </w:rPr>
        <w:t xml:space="preserve">Businesswire — "Shareholder Activism in Asia Surges 23% as Reforms Push Corporate Governance Up the Agenda", May 2026</w:t>
      </w:r>
    </w:p>
    <w:p>
      <w:pPr>
        <w:pStyle w:val="ListParagraph"/>
        <w:numPr>
          <w:ilvl w:val="0"/>
          <w:numId w:val="2"/>
        </w:numPr>
        <w:spacing w:after="90" w:before="40" w:line="264"/>
      </w:pPr>
      <w:r>
        <w:rPr>
          <w:rFonts w:ascii="Calibri" w:cs="Calibri" w:eastAsia="Calibri" w:hAnsi="Calibri"/>
          <w:color w:val="1A1A1A"/>
          <w:sz w:val="17"/>
          <w:szCs w:val="17"/>
        </w:rPr>
        <w:t xml:space="preserve">CNBC — "Japan to tighten rules for shareholder proposals amid pushback against activism", April 2026</w:t>
      </w:r>
    </w:p>
    <w:p>
      <w:pPr>
        <w:pStyle w:val="ListParagraph"/>
        <w:numPr>
          <w:ilvl w:val="0"/>
          <w:numId w:val="2"/>
        </w:numPr>
        <w:spacing w:after="90" w:before="40" w:line="264"/>
      </w:pPr>
      <w:r>
        <w:rPr>
          <w:rFonts w:ascii="Calibri" w:cs="Calibri" w:eastAsia="Calibri" w:hAnsi="Calibri"/>
          <w:color w:val="1A1A1A"/>
          <w:sz w:val="17"/>
          <w:szCs w:val="17"/>
        </w:rPr>
        <w:t xml:space="preserve">Reuters / Longbridge — "Activist Palliser takes stake in Japan's SMC, proposes $3.8 billion buyback"</w:t>
      </w:r>
    </w:p>
    <w:p>
      <w:pPr>
        <w:pStyle w:val="ListParagraph"/>
        <w:numPr>
          <w:ilvl w:val="0"/>
          <w:numId w:val="2"/>
        </w:numPr>
        <w:spacing w:after="90" w:before="40" w:line="264"/>
      </w:pPr>
      <w:r>
        <w:rPr>
          <w:rFonts w:ascii="Calibri" w:cs="Calibri" w:eastAsia="Calibri" w:hAnsi="Calibri"/>
          <w:color w:val="1A1A1A"/>
          <w:sz w:val="17"/>
          <w:szCs w:val="17"/>
        </w:rPr>
        <w:t xml:space="preserve">Simply Wall St — Kyocera activist-backed buyback and 2026 AGM coverage</w:t>
      </w:r>
    </w:p>
    <w:p>
      <w:pPr>
        <w:pStyle w:val="ListParagraph"/>
        <w:numPr>
          <w:ilvl w:val="0"/>
          <w:numId w:val="2"/>
        </w:numPr>
        <w:spacing w:after="90" w:before="40" w:line="264"/>
      </w:pPr>
      <w:r>
        <w:rPr>
          <w:rFonts w:ascii="Calibri" w:cs="Calibri" w:eastAsia="Calibri" w:hAnsi="Calibri"/>
          <w:color w:val="1A1A1A"/>
          <w:sz w:val="17"/>
          <w:szCs w:val="17"/>
        </w:rPr>
        <w:t xml:space="preserve">Dalton Investments — "Engagement in Japan"; Nippon Active Value Fund quarterly reporting, March 2026</w:t>
      </w:r>
    </w:p>
    <w:p>
      <w:pPr>
        <w:pStyle w:val="ListParagraph"/>
        <w:numPr>
          <w:ilvl w:val="0"/>
          <w:numId w:val="2"/>
        </w:numPr>
        <w:spacing w:after="90" w:before="40" w:line="264"/>
      </w:pPr>
      <w:r>
        <w:rPr>
          <w:rFonts w:ascii="Calibri" w:cs="Calibri" w:eastAsia="Calibri" w:hAnsi="Calibri"/>
          <w:color w:val="1A1A1A"/>
          <w:sz w:val="17"/>
          <w:szCs w:val="17"/>
        </w:rPr>
        <w:t xml:space="preserve">Forbes — "Japan's New Activists Blend McKinsey And Blackstone", July 2026</w:t>
      </w:r>
    </w:p>
    <w:p>
      <w:pPr>
        <w:pStyle w:val="ListParagraph"/>
        <w:numPr>
          <w:ilvl w:val="0"/>
          <w:numId w:val="2"/>
        </w:numPr>
        <w:spacing w:after="90" w:before="40" w:line="264"/>
      </w:pPr>
      <w:r>
        <w:rPr>
          <w:rFonts w:ascii="Calibri" w:cs="Calibri" w:eastAsia="Calibri" w:hAnsi="Calibri"/>
          <w:color w:val="1A1A1A"/>
          <w:sz w:val="17"/>
          <w:szCs w:val="17"/>
        </w:rPr>
        <w:t xml:space="preserve">The Japan Times — Oasis on shareholder proposal rule changes, May 2026</w:t>
      </w:r>
    </w:p>
    <w:p>
      <w:pPr>
        <w:pStyle w:val="ListParagraph"/>
        <w:numPr>
          <w:ilvl w:val="0"/>
          <w:numId w:val="2"/>
        </w:numPr>
        <w:spacing w:after="90" w:before="40" w:line="264"/>
      </w:pPr>
      <w:r>
        <w:rPr>
          <w:rFonts w:ascii="Calibri" w:cs="Calibri" w:eastAsia="Calibri" w:hAnsi="Calibri"/>
          <w:color w:val="1A1A1A"/>
          <w:sz w:val="17"/>
          <w:szCs w:val="17"/>
        </w:rPr>
        <w:t xml:space="preserve">TipRanks / MarketScreener — Alps Alpine, Hirose Electric and Casio buyback announcements, 2026</w:t>
      </w:r>
    </w:p>
    <w:p>
      <w:pPr>
        <w:pStyle w:val="ListParagraph"/>
        <w:numPr>
          <w:ilvl w:val="0"/>
          <w:numId w:val="2"/>
        </w:numPr>
        <w:spacing w:after="90" w:before="40" w:line="264"/>
      </w:pPr>
      <w:r>
        <w:rPr>
          <w:rFonts w:ascii="Calibri" w:cs="Calibri" w:eastAsia="Calibri" w:hAnsi="Calibri"/>
          <w:color w:val="1A1A1A"/>
          <w:sz w:val="17"/>
          <w:szCs w:val="17"/>
        </w:rPr>
        <w:t xml:space="preserve">Nikkei Asia — "Japan share buybacks soar past $100bn"; Yamato Holdings AGM and leadership disclosures, 2026</w:t>
      </w:r>
    </w:p>
    <w:p>
      <w:pPr>
        <w:spacing w:after="100" w:before="120" w:line="264"/>
      </w:pPr>
      <w:r>
        <w:rPr>
          <w:rFonts w:ascii="Calibri" w:cs="Calibri" w:eastAsia="Calibri" w:hAnsi="Calibri"/>
          <w:i/>
          <w:iCs/>
          <w:color w:val="44546A"/>
          <w:sz w:val="17"/>
          <w:szCs w:val="17"/>
        </w:rPr>
        <w:t xml:space="preserve">Company-level financial estimates draw on the most recent published annual and quarterly filings of the companies named, supplemented by analyst judgement where public disclosure is incomplete.</w:t>
      </w:r>
    </w:p>
    <w:sectPr>
      <w:pgSz w:w="11906" w:h="16838" w:orient="portrait"/>
      <w:pgMar w:top="1000" w:right="1008" w:bottom="10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1F3864"/>
      </w:rPr>
    </w:lvl>
  </w:abstractNum>
  <w:abstractNum w:abstractNumId="3" w15:restartNumberingAfterBreak="0">
    <w:multiLevelType w:val="hybridMultilevel"/>
    <w:lvl w:ilvl="0" w15:tentative="1">
      <w:start w:val="1"/>
      <w:numFmt w:val="decimal"/>
      <w:lvlText w:val="%1."/>
      <w:lvlJc w:val="left"/>
      <w:pPr>
        <w:ind w:left="380" w:hanging="2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 Activist Screen — Twenty Targets</dc:title>
  <dc:creator>Research</dc:creator>
  <dc:description>Activist hedge fund screen of the Japanese market: 20 structurally sound but mis-managed companies</dc:description>
  <cp:lastModifiedBy>Un-named</cp:lastModifiedBy>
  <cp:revision>1</cp:revision>
  <dcterms:created xsi:type="dcterms:W3CDTF">2026-08-01T22:25:55.088Z</dcterms:created>
  <dcterms:modified xsi:type="dcterms:W3CDTF">2026-08-01T22:25:55.089Z</dcterms:modified>
</cp:coreProperties>
</file>

<file path=docProps/custom.xml><?xml version="1.0" encoding="utf-8"?>
<Properties xmlns="http://schemas.openxmlformats.org/officeDocument/2006/custom-properties" xmlns:vt="http://schemas.openxmlformats.org/officeDocument/2006/docPropsVTypes"/>
</file>