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Heading1"/>
      </w:pPr>
      <w:r>
        <w:t>Canada Goose Holdings Inc.</w:t>
      </w:r>
      <w:r/>
      <w:r/>
      <w:r>
        <w:rPr>
          <w:b/>
        </w:rPr>
        <w:t>NYSE: GOOS | TSX: GOOS</w:t>
      </w:r>
      <w:r>
        <w:t xml:space="preserve"> • Consumer Discretionary / Luxury Apparel • Reporting currency: Canadian dollars (C$)</w:t>
        <w:br/>
      </w:r>
      <w:r/>
      <w:r>
        <w:rPr>
          <w:b/>
        </w:rPr>
        <w:t>Institutional Equity Research Note</w:t>
      </w:r>
      <w:r>
        <w:t xml:space="preserve"> • Date: 30 August 2026 • Fiscal year ends late March/early April (FY2026 ended 29 March 2026)</w:t>
      </w:r>
      <w:r/>
      <w:r/>
      <w:r>
        <w:rPr>
          <w:b/>
        </w:rPr>
        <w:t>Important — sourcing and data limitations.</w:t>
      </w:r>
      <w:r>
        <w:t xml:space="preserve"> This note was compiled under material data constraints. The licensed financial-data API available to this session returned no data (zero account balance), and the network egress policy blocked direct access to the company's investor-relations site, SEC EDGAR, Business Wire and most financial data portals. All figures below are therefore drawn from company press-release content surfaced through web search, cross-checked across multiple independent outlets wherever possible. Figures marked </w:t>
      </w:r>
      <w:r>
        <w:rPr>
          <w:b/>
        </w:rPr>
        <w:t>(D)</w:t>
      </w:r>
      <w:r>
        <w:t xml:space="preserve"> are </w:t>
      </w:r>
      <w:r>
        <w:rPr>
          <w:b/>
        </w:rPr>
        <w:t>derived</w:t>
      </w:r>
      <w:r>
        <w:t xml:space="preserve"> by the analyst from disclosed data; figures marked </w:t>
      </w:r>
      <w:r>
        <w:rPr>
          <w:b/>
        </w:rPr>
        <w:t>(E)</w:t>
      </w:r>
      <w:r>
        <w:t xml:space="preserve"> are </w:t>
      </w:r>
      <w:r>
        <w:rPr>
          <w:b/>
        </w:rPr>
        <w:t>analyst estimates</w:t>
      </w:r>
      <w:r>
        <w:t>. Share price, market capitalisation and peer multiples are point-in-time references from differing dates and should be refreshed against a live terminal before any investment action. No item in this note should be treated as a verified primary-source extract from the FY2026 Form 20-F.</w:t>
      </w:r>
      <w:r/>
      <w:r/>
      <w:r>
        <w:rPr>
          <w:b/>
        </w:rPr>
        <w:t>Summary view.</w:t>
      </w:r>
      <w:r>
        <w:t xml:space="preserve"> Canada Goose is a high-gross-margin (c.70%), founder-led luxury outerwear brand executing a difficult two-part transition: from a seasonal, wholesale-led, single-category parka business into a year-round, DTC-led lifestyle apparel brand. FY2026 showed the transition is working on the top line — revenue +13.3% to C$1,528.2m with DTC comparable sales +8.4% — but the cost of it is severe: SG&amp;A rose 25.4%, operating income fell 45.9% to C$88.8m, and reported diluted EPS collapsed to C$0.23 from C$0.97. The equity trades on roughly </w:t>
      </w:r>
      <w:r>
        <w:rPr>
          <w:b/>
        </w:rPr>
        <w:t>5.2x EV/EBITDA and 1.0x EV/Sales (D)</w:t>
      </w:r>
      <w:r>
        <w:t xml:space="preserve">, a steep discount to Moncler (c.11.7x) and to broad apparel M&amp;A benchmarks (8–11x), with 28.5% of the float sold short and an unresolved Bain Capital exit process overhanging the register. This is a </w:t>
      </w:r>
      <w:r>
        <w:rPr>
          <w:b/>
        </w:rPr>
        <w:t>deep-value, event-driven situation, not a compounding growth story</w:t>
      </w:r>
      <w:r>
        <w:t>. The central question is not whether the brand has value — it plainly does — but whether public shareholders capture it, or whether Bain's 55.5% voting control routes that value to a private buyer at a single-digit EBITDA multiple.</w:t>
      </w:r>
      <w:r/>
    </w:p>
    <w:p>
      <w:pPr>
        <w:pStyle w:val="Heading2"/>
      </w:pPr>
      <w:r>
        <w:t>1. Layman's Guide: What the Company Does and How It Makes Money</w:t>
      </w:r>
      <w:r/>
    </w:p>
    <w:p>
      <w:r/>
      <w:r>
        <w:rPr>
          <w:b/>
        </w:rPr>
        <w:t>The one-sentence version.</w:t>
      </w:r>
      <w:r>
        <w:t xml:space="preserve"> Canada Goose designs and sells very expensive winter coats — and is now trying to sell you clothing for the other nine months of the year too.</w:t>
      </w:r>
      <w:r/>
    </w:p>
    <w:p>
      <w:pPr>
        <w:pStyle w:val="Heading3"/>
      </w:pPr>
      <w:r>
        <w:t>How the money actually works</w:t>
      </w:r>
      <w:r/>
    </w:p>
    <w:p>
      <w:r/>
      <w:r>
        <w:t>The company buys raw materials (down, technical fabrics, wool, trims), assembles a large share of its flagship parkas in its own factories in Canada, and sells the finished goods at a price roughly three times what it costs to make them. That is the entire economic engine: a gross margin near 70%, which is luxury-goods territory and far above ordinary apparel.</w:t>
      </w:r>
      <w:r/>
    </w:p>
    <w:p>
      <w:r/>
      <w:r>
        <w:t xml:space="preserve">Where that leaves the shareholder depends almost entirely on what happens </w:t>
      </w:r>
      <w:r>
        <w:rPr>
          <w:i/>
        </w:rPr>
        <w:t>below</w:t>
      </w:r>
      <w:r>
        <w:t xml:space="preserve"> the gross margin line. Canada Goose spends heavily on stores, staff, marketing and corporate overhead. In FY2026 those costs (SG&amp;A) consumed C$976.7m of the C$1,065.5m of gross profit — leaving only C$88.8m of operating income from C$1.5bn of sales. So the business is best understood as </w:t>
      </w:r>
      <w:r>
        <w:rPr>
          <w:b/>
        </w:rPr>
        <w:t>a very profitable product sold through a very expensive distribution system</w:t>
      </w:r>
      <w:r>
        <w:t>.</w:t>
      </w:r>
      <w:r/>
    </w:p>
    <w:p>
      <w:pPr>
        <w:pStyle w:val="Heading3"/>
      </w:pPr>
      <w:r>
        <w:t>The three ways it sells</w:t>
      </w:r>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b/>
              </w:rPr>
              <w:t>Channel</w:t>
            </w:r>
          </w:p>
        </w:tc>
        <w:tc>
          <w:tcPr>
            <w:tcW w:type="dxa" w:w="2102"/>
          </w:tcPr>
          <w:p>
            <w:r>
              <w:rPr>
                <w:b/>
              </w:rPr>
              <w:t>FY2026 Revenue</w:t>
            </w:r>
          </w:p>
        </w:tc>
        <w:tc>
          <w:tcPr>
            <w:tcW w:type="dxa" w:w="2102"/>
          </w:tcPr>
          <w:p>
            <w:r>
              <w:rPr>
                <w:b/>
              </w:rPr>
              <w:t>% of Total</w:t>
            </w:r>
          </w:p>
        </w:tc>
        <w:tc>
          <w:tcPr>
            <w:tcW w:type="dxa" w:w="2102"/>
          </w:tcPr>
          <w:p>
            <w:r>
              <w:rPr>
                <w:b/>
              </w:rPr>
              <w:t>Growth</w:t>
            </w:r>
          </w:p>
        </w:tc>
        <w:tc>
          <w:tcPr>
            <w:tcW w:type="dxa" w:w="2102"/>
          </w:tcPr>
          <w:p>
            <w:r>
              <w:rPr>
                <w:b/>
              </w:rPr>
              <w:t>What it is, in plain terms</w:t>
            </w:r>
          </w:p>
        </w:tc>
      </w:tr>
      <w:tr>
        <w:tc>
          <w:tcPr>
            <w:tcW w:type="dxa" w:w="2102"/>
          </w:tcPr>
          <w:p>
            <w:r>
              <w:rPr>
                <w:b/>
              </w:rPr>
              <w:t>DTC</w:t>
            </w:r>
            <w:r>
              <w:t xml:space="preserve"> (Direct-to-Consumer)</w:t>
            </w:r>
          </w:p>
        </w:tc>
        <w:tc>
          <w:tcPr>
            <w:tcW w:type="dxa" w:w="2102"/>
          </w:tcPr>
          <w:p>
            <w:r>
              <w:t>C$1,157.4m</w:t>
            </w:r>
          </w:p>
        </w:tc>
        <w:tc>
          <w:tcPr>
            <w:tcW w:type="dxa" w:w="2102"/>
          </w:tcPr>
          <w:p>
            <w:r>
              <w:t>75.7%</w:t>
            </w:r>
          </w:p>
        </w:tc>
        <w:tc>
          <w:tcPr>
            <w:tcW w:type="dxa" w:w="2102"/>
          </w:tcPr>
          <w:p>
            <w:r>
              <w:t>+15.9%</w:t>
            </w:r>
          </w:p>
        </w:tc>
        <w:tc>
          <w:tcPr>
            <w:tcW w:type="dxa" w:w="2102"/>
          </w:tcPr>
          <w:p>
            <w:r>
              <w:t>The company's own 88 stores and its own websites. It keeps the full retail price instead of sharing it with a middleman, so this is the most profitable channel — but it carries the rent, staff and fit-out costs that sit in SG&amp;A. This is where management is pushing the business.</w:t>
            </w:r>
          </w:p>
        </w:tc>
      </w:tr>
      <w:tr>
        <w:tc>
          <w:tcPr>
            <w:tcW w:type="dxa" w:w="2102"/>
          </w:tcPr>
          <w:p>
            <w:r>
              <w:rPr>
                <w:b/>
              </w:rPr>
              <w:t>Wholesale</w:t>
            </w:r>
          </w:p>
        </w:tc>
        <w:tc>
          <w:tcPr>
            <w:tcW w:type="dxa" w:w="2102"/>
          </w:tcPr>
          <w:p>
            <w:r>
              <w:t>C$291.2m</w:t>
            </w:r>
          </w:p>
        </w:tc>
        <w:tc>
          <w:tcPr>
            <w:tcW w:type="dxa" w:w="2102"/>
          </w:tcPr>
          <w:p>
            <w:r>
              <w:t>19.1%</w:t>
            </w:r>
          </w:p>
        </w:tc>
        <w:tc>
          <w:tcPr>
            <w:tcW w:type="dxa" w:w="2102"/>
          </w:tcPr>
          <w:p>
            <w:r>
              <w:t>+11.7%</w:t>
            </w:r>
          </w:p>
        </w:tc>
        <w:tc>
          <w:tcPr>
            <w:tcW w:type="dxa" w:w="2102"/>
          </w:tcPr>
          <w:p>
            <w:r>
              <w:t>Selling to other retailers — department stores, specialist outdoor shops, international distributors — who then resell. Lower margin per unit, but no store costs and cash arrives earlier. Orders are placed months ahead, which gives management visibility.</w:t>
            </w:r>
          </w:p>
        </w:tc>
      </w:tr>
      <w:tr>
        <w:tc>
          <w:tcPr>
            <w:tcW w:type="dxa" w:w="2102"/>
          </w:tcPr>
          <w:p>
            <w:r>
              <w:rPr>
                <w:b/>
              </w:rPr>
              <w:t>Other</w:t>
            </w:r>
          </w:p>
        </w:tc>
        <w:tc>
          <w:tcPr>
            <w:tcW w:type="dxa" w:w="2102"/>
          </w:tcPr>
          <w:p>
            <w:r>
              <w:t>C$79.6m</w:t>
            </w:r>
          </w:p>
        </w:tc>
        <w:tc>
          <w:tcPr>
            <w:tcW w:type="dxa" w:w="2102"/>
          </w:tcPr>
          <w:p>
            <w:r>
              <w:t>5.2%</w:t>
            </w:r>
          </w:p>
        </w:tc>
        <w:tc>
          <w:tcPr>
            <w:tcW w:type="dxa" w:w="2102"/>
          </w:tcPr>
          <w:p>
            <w:r>
              <w:t>-10.3%</w:t>
            </w:r>
          </w:p>
        </w:tc>
        <w:tc>
          <w:tcPr>
            <w:tcW w:type="dxa" w:w="2102"/>
          </w:tcPr>
          <w:p>
            <w:r>
              <w:t xml:space="preserve">Mostly the Baffin work/performance boot business plus third-party manufacturing done in the company's Canadian factories. This is the piece being dismantled — Baffin was </w:t>
            </w:r>
            <w:r>
              <w:rPr>
                <w:b/>
              </w:rPr>
              <w:t>agreed to be sold to L.P. Royer in August 2026</w:t>
            </w:r>
            <w:r>
              <w:t xml:space="preserve"> .</w:t>
            </w:r>
          </w:p>
        </w:tc>
      </w:tr>
      <w:tr>
        <w:tc>
          <w:tcPr>
            <w:tcW w:type="dxa" w:w="2102"/>
          </w:tcPr>
          <w:p>
            <w:r>
              <w:rPr>
                <w:b/>
              </w:rPr>
              <w:t>Total</w:t>
            </w:r>
          </w:p>
        </w:tc>
        <w:tc>
          <w:tcPr>
            <w:tcW w:type="dxa" w:w="2102"/>
          </w:tcPr>
          <w:p>
            <w:r>
              <w:rPr>
                <w:b/>
              </w:rPr>
              <w:t>C$1,528.2m</w:t>
            </w:r>
          </w:p>
        </w:tc>
        <w:tc>
          <w:tcPr>
            <w:tcW w:type="dxa" w:w="2102"/>
          </w:tcPr>
          <w:p>
            <w:r>
              <w:rPr>
                <w:b/>
              </w:rPr>
              <w:t>100%</w:t>
            </w:r>
          </w:p>
        </w:tc>
        <w:tc>
          <w:tcPr>
            <w:tcW w:type="dxa" w:w="2102"/>
          </w:tcPr>
          <w:p>
            <w:r>
              <w:rPr>
                <w:b/>
              </w:rPr>
              <w:t>+13.3%</w:t>
            </w:r>
          </w:p>
        </w:tc>
        <w:tc>
          <w:tcPr>
            <w:tcW w:type="dxa" w:w="2102"/>
          </w:tcPr>
          <w:p/>
        </w:tc>
      </w:tr>
    </w:tbl>
    <w:p>
      <w:r/>
    </w:p>
    <w:p>
      <w:pPr>
        <w:pStyle w:val="Heading3"/>
      </w:pPr>
      <w:r>
        <w:t>The seasonality problem — the single most important thing to understand</w:t>
      </w:r>
      <w:r/>
    </w:p>
    <w:p>
      <w:r/>
      <w:r>
        <w:t>Canada Goose sells winter coats, so its revenue is violently concentrated in the autumn and winter. The scale of this is hard to overstate:</w:t>
      </w:r>
      <w:r/>
      <w:r/>
    </w:p>
    <w:p>
      <w:pPr>
        <w:pStyle w:val="ListBullet"/>
        <w:spacing w:line="240" w:lineRule="auto"/>
        <w:ind w:left="720"/>
      </w:pPr>
      <w:r/>
      <w:r>
        <w:rPr>
          <w:b/>
        </w:rPr>
        <w:t>Q1 (April–June) FY2027 revenue was C$118.9m</w:t>
      </w:r>
      <w:r>
        <w:t xml:space="preserve"> — against Q4 (January–March) FY2026 revenue of roughly </w:t>
      </w:r>
      <w:r>
        <w:rPr>
          <w:b/>
        </w:rPr>
        <w:t>C$453m (D)</w:t>
      </w:r>
      <w:r>
        <w:t>.</w:t>
      </w:r>
      <w:r/>
    </w:p>
    <w:p>
      <w:pPr>
        <w:pStyle w:val="ListBullet"/>
        <w:spacing w:line="240" w:lineRule="auto"/>
        <w:ind w:left="720"/>
      </w:pPr>
      <w:r/>
      <w:r>
        <w:t xml:space="preserve">Q1 generates an </w:t>
      </w:r>
      <w:r>
        <w:rPr>
          <w:b/>
        </w:rPr>
        <w:t>adjusted EBIT margin of negative 87.3%</w:t>
      </w:r>
      <w:r>
        <w:t>. The company loses roughly C$104m in a normal first quarter simply by existing — paying rent on 88 stores, salaries, and marketing while very few coats sell.</w:t>
      </w:r>
      <w:r/>
    </w:p>
    <w:p>
      <w:pPr>
        <w:pStyle w:val="ListBullet"/>
        <w:spacing w:line="240" w:lineRule="auto"/>
        <w:ind w:left="720"/>
      </w:pPr>
      <w:r/>
      <w:r>
        <w:t xml:space="preserve">Roughly </w:t>
      </w:r>
      <w:r>
        <w:rPr>
          <w:b/>
        </w:rPr>
        <w:t>two-thirds of annual revenue lands in the two quarters ending September and December.</w:t>
      </w:r>
      <w:r/>
      <w:r/>
    </w:p>
    <w:p>
      <w:r/>
      <w:r>
        <w:t xml:space="preserve">This is why the entire strategic programme — apparel, rainwear, windwear, footwear, eyewear — exists. Management is not chasing growth for its own sake; it is trying to </w:t>
      </w:r>
      <w:r>
        <w:rPr>
          <w:b/>
        </w:rPr>
        <w:t>fill the empty half of the year</w:t>
      </w:r>
      <w:r>
        <w:t xml:space="preserve"> so that the fixed cost base is spread over more revenue. On that measure there is genuine early progress: spring and summer categories were </w:t>
      </w:r>
      <w:r>
        <w:rPr>
          <w:b/>
        </w:rPr>
        <w:t>nearly 40% of Q1 FY2027 revenue</w:t>
      </w:r>
      <w:r>
        <w:t>.</w:t>
      </w:r>
      <w:r/>
    </w:p>
    <w:p>
      <w:pPr>
        <w:pStyle w:val="Heading3"/>
      </w:pPr>
      <w:r>
        <w:t>Which division contributes what</w:t>
      </w:r>
      <w:r/>
    </w:p>
    <w:p>
      <w:r/>
      <w:r>
        <w:t>Canada Goose does not disclose profit by channel in a way that permits a clean segment margin bridge, which is itself a disclosure weakness (see §22). What can be said with confidence:</w:t>
      </w:r>
      <w:r/>
      <w:r/>
    </w:p>
    <w:p>
      <w:pPr>
        <w:pStyle w:val="ListBullet"/>
        <w:spacing w:line="240" w:lineRule="auto"/>
        <w:ind w:left="720"/>
      </w:pPr>
      <w:r/>
      <w:r>
        <w:rPr>
          <w:b/>
        </w:rPr>
        <w:t>DTC is the profit engine and the cost problem simultaneously.</w:t>
      </w:r>
      <w:r>
        <w:t xml:space="preserve"> It carries the highest gross margin (full retail capture) but absorbs the store network's rent, labour and depreciation. Its 15.9% growth in FY2026 is the reason revenue grew; its cost base is a large part of why operating income fell.</w:t>
      </w:r>
      <w:r/>
    </w:p>
    <w:p>
      <w:pPr>
        <w:pStyle w:val="ListBullet"/>
        <w:spacing w:line="240" w:lineRule="auto"/>
        <w:ind w:left="720"/>
      </w:pPr>
      <w:r/>
      <w:r>
        <w:rPr>
          <w:b/>
        </w:rPr>
        <w:t>Wholesale is the margin relief valve.</w:t>
      </w:r>
      <w:r>
        <w:t xml:space="preserve"> In Q1 FY2027 wholesale revenue surged 65% and the channel swung to profit, which is the primary reason Q1 adjusted EBIT margin improved by more than 11 percentage points year-over-year. Note the tension: wholesale is </w:t>
      </w:r>
      <w:r>
        <w:rPr>
          <w:i/>
        </w:rPr>
        <w:t>dilutive to gross margin</w:t>
      </w:r>
      <w:r>
        <w:t xml:space="preserve"> (management cited a higher wholesale mix as a driver of the Q4 FY2026 gross margin decline to 69.6%) but </w:t>
      </w:r>
      <w:r>
        <w:rPr>
          <w:i/>
        </w:rPr>
        <w:t>accretive to EBIT margin</w:t>
      </w:r>
      <w:r>
        <w:t xml:space="preserve"> because it carries almost no fixed cost.</w:t>
      </w:r>
      <w:r/>
    </w:p>
    <w:p>
      <w:pPr>
        <w:pStyle w:val="ListBullet"/>
        <w:spacing w:line="240" w:lineRule="auto"/>
        <w:ind w:left="720"/>
      </w:pPr>
      <w:r/>
      <w:r>
        <w:rPr>
          <w:b/>
        </w:rPr>
        <w:t>Other is being exited.</w:t>
      </w:r>
      <w:r>
        <w:t xml:space="preserve"> Its 10.3% decline in FY2026 and the Baffin disposal mean this line will shrink materially in FY2027 — which is a large part of why guidance is only "low single digit" revenue growth despite the core brand growing far faster (Q1 FY2027 revenue was +9% reported but </w:t>
      </w:r>
      <w:r>
        <w:rPr>
          <w:b/>
        </w:rPr>
        <w:t>+16% excluding Other</w:t>
      </w:r>
      <w:r>
        <w:t>).</w:t>
      </w:r>
      <w:r/>
      <w:r/>
    </w:p>
    <w:p>
      <w:pPr>
        <w:pStyle w:val="Heading2"/>
      </w:pPr>
      <w:r>
        <w:t>2. Key Business Drivers</w:t>
      </w:r>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Driver</w:t>
            </w:r>
          </w:p>
        </w:tc>
        <w:tc>
          <w:tcPr>
            <w:tcW w:type="dxa" w:w="3504"/>
          </w:tcPr>
          <w:p>
            <w:r>
              <w:rPr>
                <w:b/>
              </w:rPr>
              <w:t>Direction</w:t>
            </w:r>
          </w:p>
        </w:tc>
        <w:tc>
          <w:tcPr>
            <w:tcW w:type="dxa" w:w="3504"/>
          </w:tcPr>
          <w:p>
            <w:r>
              <w:rPr>
                <w:b/>
              </w:rPr>
              <w:t>Assessment</w:t>
            </w:r>
          </w:p>
        </w:tc>
      </w:tr>
      <w:tr>
        <w:tc>
          <w:tcPr>
            <w:tcW w:type="dxa" w:w="3504"/>
          </w:tcPr>
          <w:p>
            <w:r>
              <w:rPr>
                <w:b/>
              </w:rPr>
              <w:t>Price / mix</w:t>
            </w:r>
          </w:p>
        </w:tc>
        <w:tc>
          <w:tcPr>
            <w:tcW w:type="dxa" w:w="3504"/>
          </w:tcPr>
          <w:p>
            <w:r>
              <w:t>Primary</w:t>
            </w:r>
          </w:p>
        </w:tc>
        <w:tc>
          <w:tcPr>
            <w:tcW w:type="dxa" w:w="3504"/>
          </w:tcPr>
          <w:p>
            <w:r>
              <w:t>The dominant lever and explicitly cited in FY2027 guidance ("pricing actions already implemented"). A flagship parka sits at roughly C$1,100–1,800. Because gross margin is c.70%, each dollar of price flows through almost entirely to profit. Management is leaning on price precisely because volume is not cooperating.</w:t>
            </w:r>
          </w:p>
        </w:tc>
      </w:tr>
      <w:tr>
        <w:tc>
          <w:tcPr>
            <w:tcW w:type="dxa" w:w="3504"/>
          </w:tcPr>
          <w:p>
            <w:r>
              <w:rPr>
                <w:b/>
              </w:rPr>
              <w:t>Volume / traffic</w:t>
            </w:r>
          </w:p>
        </w:tc>
        <w:tc>
          <w:tcPr>
            <w:tcW w:type="dxa" w:w="3504"/>
          </w:tcPr>
          <w:p>
            <w:r>
              <w:t>Deteriorating</w:t>
            </w:r>
          </w:p>
        </w:tc>
        <w:tc>
          <w:tcPr>
            <w:tcW w:type="dxa" w:w="3504"/>
          </w:tcPr>
          <w:p>
            <w:r>
              <w:t xml:space="preserve">The soft underbelly of the story. </w:t>
            </w:r>
            <w:r>
              <w:rPr>
                <w:b/>
              </w:rPr>
              <w:t>DTC comparable sales turned negative in Q1 FY2027 (-3.2%)</w:t>
            </w:r>
            <w:r>
              <w:t xml:space="preserve"> after +8.4% in FY2026, with management citing lower store traffic partially offset by double-digit e-commerce growth. FY2027 guidance explicitly assumes "lower consumer demand relative to fiscal 2026, including softer traffic in key markets, reduced consumer confidence, and lower travel."</w:t>
            </w:r>
          </w:p>
        </w:tc>
      </w:tr>
      <w:tr>
        <w:tc>
          <w:tcPr>
            <w:tcW w:type="dxa" w:w="3504"/>
          </w:tcPr>
          <w:p>
            <w:r>
              <w:rPr>
                <w:b/>
              </w:rPr>
              <w:t>Category extension</w:t>
            </w:r>
          </w:p>
        </w:tc>
        <w:tc>
          <w:tcPr>
            <w:tcW w:type="dxa" w:w="3504"/>
          </w:tcPr>
          <w:p>
            <w:r>
              <w:t>Strategic</w:t>
            </w:r>
          </w:p>
        </w:tc>
        <w:tc>
          <w:tcPr>
            <w:tcW w:type="dxa" w:w="3504"/>
          </w:tcPr>
          <w:p>
            <w:r>
              <w:t>Apparel, rainwear and windwear now approach 40% of Q1 revenue. This is the de-seasonalisation engine and the most credible growth vector. Risk: these categories are structurally more competitive and likely lower-margin than parkas.</w:t>
            </w:r>
          </w:p>
        </w:tc>
      </w:tr>
      <w:tr>
        <w:tc>
          <w:tcPr>
            <w:tcW w:type="dxa" w:w="3504"/>
          </w:tcPr>
          <w:p>
            <w:r>
              <w:rPr>
                <w:b/>
              </w:rPr>
              <w:t>Channel mix</w:t>
            </w:r>
          </w:p>
        </w:tc>
        <w:tc>
          <w:tcPr>
            <w:tcW w:type="dxa" w:w="3504"/>
          </w:tcPr>
          <w:p>
            <w:r>
              <w:t>Mixed</w:t>
            </w:r>
          </w:p>
        </w:tc>
        <w:tc>
          <w:tcPr>
            <w:tcW w:type="dxa" w:w="3504"/>
          </w:tcPr>
          <w:p>
            <w:r>
              <w:t>Two-directional. DTC lifts gross margin but loads SG&amp;A wholesale compresses gross margin but converts better to EBIT. FY2027's margin recovery thesis leans heavily on the wholesale order book.</w:t>
            </w:r>
          </w:p>
        </w:tc>
      </w:tr>
      <w:tr>
        <w:tc>
          <w:tcPr>
            <w:tcW w:type="dxa" w:w="3504"/>
          </w:tcPr>
          <w:p>
            <w:r>
              <w:rPr>
                <w:b/>
              </w:rPr>
              <w:t>Store network</w:t>
            </w:r>
          </w:p>
        </w:tc>
        <w:tc>
          <w:tcPr>
            <w:tcW w:type="dxa" w:w="3504"/>
          </w:tcPr>
          <w:p>
            <w:r>
              <w:t>Inflecting</w:t>
            </w:r>
          </w:p>
        </w:tc>
        <w:tc>
          <w:tcPr>
            <w:tcW w:type="dxa" w:w="3504"/>
          </w:tcPr>
          <w:p>
            <w:r>
              <w:t xml:space="preserve">88 stores after 9 net openings in FY2026 — but simultaneously an </w:t>
            </w:r>
            <w:r>
              <w:rPr>
                <w:b/>
              </w:rPr>
              <w:t>C$8.4m impairment on underperforming stores</w:t>
            </w:r>
            <w:r>
              <w:t xml:space="preserve"> in Q4 FY2026. The network is moving from expansion to pruning, which is a meaningful admission about the returns on recent openings.</w:t>
            </w:r>
          </w:p>
        </w:tc>
      </w:tr>
      <w:tr>
        <w:tc>
          <w:tcPr>
            <w:tcW w:type="dxa" w:w="3504"/>
          </w:tcPr>
          <w:p>
            <w:r>
              <w:rPr>
                <w:b/>
              </w:rPr>
              <w:t>Greater China</w:t>
            </w:r>
          </w:p>
        </w:tc>
        <w:tc>
          <w:tcPr>
            <w:tcW w:type="dxa" w:w="3504"/>
          </w:tcPr>
          <w:p>
            <w:r>
              <w:t>Concentration</w:t>
            </w:r>
          </w:p>
        </w:tc>
        <w:tc>
          <w:tcPr>
            <w:tcW w:type="dxa" w:w="3504"/>
          </w:tcPr>
          <w:p>
            <w:r>
              <w:rPr>
                <w:b/>
              </w:rPr>
              <w:t>C$498.3m, or 32.6% of FY2026 revenue (D)</w:t>
            </w:r>
            <w:r>
              <w:t xml:space="preserve"> — the largest single geography and the largest single risk in the equity. Grew 23% in constant currency in Q4 FY2026, aided by Lunar New Year timing and a capsule launch.</w:t>
            </w:r>
          </w:p>
        </w:tc>
      </w:tr>
      <w:tr>
        <w:tc>
          <w:tcPr>
            <w:tcW w:type="dxa" w:w="3504"/>
          </w:tcPr>
          <w:p>
            <w:r>
              <w:rPr>
                <w:b/>
              </w:rPr>
              <w:t>Tariffs / trade</w:t>
            </w:r>
          </w:p>
        </w:tc>
        <w:tc>
          <w:tcPr>
            <w:tcW w:type="dxa" w:w="3504"/>
          </w:tcPr>
          <w:p>
            <w:r>
              <w:t>Live risk</w:t>
            </w:r>
          </w:p>
        </w:tc>
        <w:tc>
          <w:tcPr>
            <w:tcW w:type="dxa" w:w="3504"/>
          </w:tcPr>
          <w:p>
            <w:r>
              <w:t xml:space="preserve">Guidance assumes the tariff environment stays consistent with FY2026. Proposed U.S. duties announced </w:t>
            </w:r>
            <w:r>
              <w:rPr>
                <w:b/>
              </w:rPr>
              <w:t>20 July 2026</w:t>
            </w:r>
            <w:r>
              <w:t xml:space="preserve"> would, if implemented unmitigated, cost </w:t>
            </w:r>
            <w:r>
              <w:rPr>
                <w:b/>
              </w:rPr>
              <w:t>less than 200bps of FY2027 operating margin</w:t>
            </w:r>
            <w:r>
              <w:t xml:space="preserve"> — against a guided margin of 11–12%, that is up to a fifth of operating profit.</w:t>
            </w:r>
          </w:p>
        </w:tc>
      </w:tr>
      <w:tr>
        <w:tc>
          <w:tcPr>
            <w:tcW w:type="dxa" w:w="3504"/>
          </w:tcPr>
          <w:p>
            <w:r>
              <w:rPr>
                <w:b/>
              </w:rPr>
              <w:t>FX</w:t>
            </w:r>
          </w:p>
        </w:tc>
        <w:tc>
          <w:tcPr>
            <w:tcW w:type="dxa" w:w="3504"/>
          </w:tcPr>
          <w:p>
            <w:r>
              <w:t>Tailwind (FY26)</w:t>
            </w:r>
          </w:p>
        </w:tc>
        <w:tc>
          <w:tcPr>
            <w:tcW w:type="dxa" w:w="3504"/>
          </w:tcPr>
          <w:p>
            <w:r>
              <w:t>Reported growth of 13.3% vs 12.4% constant currency implies c.90bps of FY2026 FX benefit. Costs are heavily CAD (Canadian manufacturing); revenue is substantially USD, CNY and EUR — a weak CAD is structurally helpful.</w:t>
            </w:r>
          </w:p>
        </w:tc>
      </w:tr>
      <w:tr>
        <w:tc>
          <w:tcPr>
            <w:tcW w:type="dxa" w:w="3504"/>
          </w:tcPr>
          <w:p>
            <w:r>
              <w:rPr>
                <w:b/>
              </w:rPr>
              <w:t>Capex intensity</w:t>
            </w:r>
          </w:p>
        </w:tc>
        <w:tc>
          <w:tcPr>
            <w:tcW w:type="dxa" w:w="3504"/>
          </w:tcPr>
          <w:p>
            <w:r>
              <w:t>Moderate</w:t>
            </w:r>
          </w:p>
        </w:tc>
        <w:tc>
          <w:tcPr>
            <w:tcW w:type="dxa" w:w="3504"/>
          </w:tcPr>
          <w:p>
            <w:r>
              <w:t>Retail fit-outs and manufacturing. Asset-light relative to true manufacturers but heavier than pure licensors. The larger balance-sheet commitment is lease liabilities of C$374.6m.</w:t>
            </w:r>
          </w:p>
        </w:tc>
      </w:tr>
    </w:tbl>
    <w:p>
      <w:r/>
    </w:p>
    <w:p>
      <w:pPr>
        <w:pStyle w:val="Heading2"/>
      </w:pPr>
      <w:r>
        <w:t>3. Products, Customers, Suppliers, Competitors, Geographies</w:t>
      </w:r>
      <w:r/>
    </w:p>
    <w:p>
      <w:pPr>
        <w:pStyle w:val="Heading3"/>
      </w:pPr>
      <w:r>
        <w:t>Key products and services</w:t>
      </w:r>
      <w:r/>
      <w:r/>
    </w:p>
    <w:p>
      <w:pPr>
        <w:pStyle w:val="ListBullet"/>
        <w:spacing w:line="240" w:lineRule="auto"/>
        <w:ind w:left="720"/>
      </w:pPr>
      <w:r/>
      <w:r>
        <w:rPr>
          <w:b/>
        </w:rPr>
        <w:t>Heavyweight down parkas</w:t>
      </w:r>
      <w:r>
        <w:t xml:space="preserve"> — the Expedition, Snow Mantra, Langford and Trillium franchises. The profit core and the source of all brand equity.</w:t>
      </w:r>
      <w:r/>
    </w:p>
    <w:p>
      <w:pPr>
        <w:pStyle w:val="ListBullet"/>
        <w:spacing w:line="240" w:lineRule="auto"/>
        <w:ind w:left="720"/>
      </w:pPr>
      <w:r/>
      <w:r>
        <w:rPr>
          <w:b/>
        </w:rPr>
        <w:t>Lightweight down</w:t>
      </w:r>
      <w:r>
        <w:t xml:space="preserve"> — packable jackets (e.g. HyBridge), a bridge into milder climates and shoulder seasons.</w:t>
      </w:r>
      <w:r/>
    </w:p>
    <w:p>
      <w:pPr>
        <w:pStyle w:val="ListBullet"/>
        <w:spacing w:line="240" w:lineRule="auto"/>
        <w:ind w:left="720"/>
      </w:pPr>
      <w:r/>
      <w:r>
        <w:rPr>
          <w:b/>
        </w:rPr>
        <w:t>Rainwear and windwear</w:t>
      </w:r>
      <w:r>
        <w:t xml:space="preserve"> — the explicit spring/summer push; a principal driver of Q1 FY2027 growth.</w:t>
      </w:r>
      <w:r/>
    </w:p>
    <w:p>
      <w:pPr>
        <w:pStyle w:val="ListBullet"/>
        <w:spacing w:line="240" w:lineRule="auto"/>
        <w:ind w:left="720"/>
      </w:pPr>
      <w:r/>
      <w:r>
        <w:rPr>
          <w:b/>
        </w:rPr>
        <w:t>Knitwear and apparel</w:t>
      </w:r>
      <w:r>
        <w:t xml:space="preserve"> — fleece, sweaters, and an expanding ready-to-wear assortment.</w:t>
      </w:r>
      <w:r/>
    </w:p>
    <w:p>
      <w:pPr>
        <w:pStyle w:val="ListBullet"/>
        <w:spacing w:line="240" w:lineRule="auto"/>
        <w:ind w:left="720"/>
      </w:pPr>
      <w:r/>
      <w:r>
        <w:rPr>
          <w:b/>
        </w:rPr>
        <w:t>Footwear</w:t>
      </w:r>
      <w:r>
        <w:t xml:space="preserve"> — launched 2021, built on capability acquired with Baffin (2018). Note the strategic separation: </w:t>
      </w:r>
      <w:r>
        <w:rPr>
          <w:b/>
        </w:rPr>
        <w:t>Canada Goose-branded footwear is retained; the Baffin work-boot brand is being sold.</w:t>
      </w:r>
      <w:r/>
    </w:p>
    <w:p>
      <w:pPr>
        <w:pStyle w:val="ListBullet"/>
        <w:spacing w:line="240" w:lineRule="auto"/>
        <w:ind w:left="720"/>
      </w:pPr>
      <w:r/>
      <w:r>
        <w:rPr>
          <w:b/>
        </w:rPr>
        <w:t>Accessories, luggage (launched late 2024) and eyewear</w:t>
      </w:r>
      <w:r>
        <w:t xml:space="preserve"> — eyewear is a </w:t>
      </w:r>
      <w:r>
        <w:rPr>
          <w:b/>
        </w:rPr>
        <w:t>licensed</w:t>
      </w:r>
      <w:r>
        <w:t xml:space="preserve"> business under an exclusive long-term global agreement with </w:t>
      </w:r>
      <w:r>
        <w:rPr>
          <w:b/>
        </w:rPr>
        <w:t>Marchon Eyewear</w:t>
      </w:r>
      <w:r>
        <w:t>, debuting spring 2025. Licensing is high-margin, capital-free royalty income.</w:t>
      </w:r>
      <w:r/>
    </w:p>
    <w:p>
      <w:pPr>
        <w:pStyle w:val="ListBullet"/>
        <w:spacing w:line="240" w:lineRule="auto"/>
        <w:ind w:left="720"/>
      </w:pPr>
      <w:r/>
      <w:r>
        <w:rPr>
          <w:b/>
        </w:rPr>
        <w:t>Snow Goose</w:t>
      </w:r>
      <w:r>
        <w:t xml:space="preserve"> — an elevated, limited-distribution capsule line used to generate brand heat and defend premium positioning.</w:t>
      </w:r>
      <w:r/>
      <w:r/>
    </w:p>
    <w:p>
      <w:pPr>
        <w:pStyle w:val="Heading3"/>
      </w:pPr>
      <w:r>
        <w:t>Customers</w:t>
      </w:r>
      <w:r/>
    </w:p>
    <w:p>
      <w:r/>
      <w:r>
        <w:t>Two distinct customer sets, frequently conflated:</w:t>
      </w:r>
      <w:r/>
      <w:r/>
    </w:p>
    <w:p>
      <w:pPr>
        <w:pStyle w:val="ListBullet"/>
        <w:spacing w:line="240" w:lineRule="auto"/>
        <w:ind w:left="720"/>
      </w:pPr>
      <w:r/>
      <w:r>
        <w:rPr>
          <w:b/>
        </w:rPr>
        <w:t>End consumers</w:t>
      </w:r>
      <w:r>
        <w:t xml:space="preserve"> — affluent urban buyers in cold-weather cities, plus an important and volatile </w:t>
      </w:r>
      <w:r>
        <w:rPr>
          <w:b/>
        </w:rPr>
        <w:t>aspirational luxury</w:t>
      </w:r>
      <w:r>
        <w:t xml:space="preserve"> cohort, especially in Greater China. No single consumer is material; the risk is cohort-level, not account-level.</w:t>
      </w:r>
      <w:r/>
    </w:p>
    <w:p>
      <w:pPr>
        <w:pStyle w:val="ListBullet"/>
        <w:spacing w:line="240" w:lineRule="auto"/>
        <w:ind w:left="720"/>
      </w:pPr>
      <w:r/>
      <w:r>
        <w:rPr>
          <w:b/>
        </w:rPr>
        <w:t>Wholesale accounts</w:t>
      </w:r>
      <w:r>
        <w:t xml:space="preserve"> — department stores, outdoor specialists and international distributors. Here concentration </w:t>
      </w:r>
      <w:r>
        <w:rPr>
          <w:i/>
        </w:rPr>
        <w:t>does</w:t>
      </w:r>
      <w:r>
        <w:t xml:space="preserve"> exist and it has bitten: FY2026 SG&amp;A included a </w:t>
      </w:r>
      <w:r>
        <w:rPr>
          <w:b/>
        </w:rPr>
        <w:t>bad-debt provision related to a U.S. wholesale partner</w:t>
      </w:r>
      <w:r>
        <w:t>, a direct demonstration of counterparty risk in this channel.</w:t>
      </w:r>
      <w:r/>
      <w:r/>
    </w:p>
    <w:p>
      <w:pPr>
        <w:pStyle w:val="Heading3"/>
      </w:pPr>
      <w:r>
        <w:t>Suppliers and contracts</w:t>
      </w:r>
      <w:r/>
    </w:p>
    <w:p>
      <w:r/>
      <w:r>
        <w:t xml:space="preserve">Canada Goose is unusual in luxury for owning a large part of its own manufacturing — a network of Canadian facilities plus, since the acquisition of the operating assets of </w:t>
      </w:r>
      <w:r>
        <w:rPr>
          <w:b/>
        </w:rPr>
        <w:t>Paola Confectii Manufacturing</w:t>
      </w:r>
      <w:r>
        <w:t>, a first European facility. Key input relationships:</w:t>
      </w:r>
      <w:r/>
      <w:r/>
    </w:p>
    <w:p>
      <w:pPr>
        <w:pStyle w:val="ListBullet"/>
        <w:spacing w:line="240" w:lineRule="auto"/>
        <w:ind w:left="720"/>
      </w:pPr>
      <w:r/>
      <w:r>
        <w:rPr>
          <w:b/>
        </w:rPr>
        <w:t>Down and feather processors</w:t>
      </w:r>
      <w:r>
        <w:t xml:space="preserve"> — Canadian specialists including </w:t>
      </w:r>
      <w:r>
        <w:rPr>
          <w:b/>
        </w:rPr>
        <w:t>Feather Industries Canada</w:t>
      </w:r>
      <w:r>
        <w:t xml:space="preserve"> (Toronto, est. 1946) and </w:t>
      </w:r>
      <w:r>
        <w:rPr>
          <w:b/>
        </w:rPr>
        <w:t>Northern Goose Down</w:t>
      </w:r>
      <w:r>
        <w:t xml:space="preserve"> (Manitoba) operate in this supply pool. 100% of down used in Canadian manufacturing is </w:t>
      </w:r>
      <w:r>
        <w:rPr>
          <w:b/>
        </w:rPr>
        <w:t>Responsible Down Standard (RDS)</w:t>
      </w:r>
      <w:r>
        <w:t xml:space="preserve"> certified.</w:t>
      </w:r>
      <w:r/>
    </w:p>
    <w:p>
      <w:pPr>
        <w:pStyle w:val="ListBullet"/>
        <w:spacing w:line="240" w:lineRule="auto"/>
        <w:ind w:left="720"/>
      </w:pPr>
      <w:r/>
      <w:r>
        <w:rPr>
          <w:b/>
        </w:rPr>
        <w:t>Wool</w:t>
      </w:r>
      <w:r>
        <w:t xml:space="preserve"> — 100% sourced from suppliers who have signed a Non-Mulesed Wool Self-Declaration.</w:t>
      </w:r>
      <w:r/>
    </w:p>
    <w:p>
      <w:pPr>
        <w:pStyle w:val="ListBullet"/>
        <w:spacing w:line="240" w:lineRule="auto"/>
        <w:ind w:left="720"/>
      </w:pPr>
      <w:r/>
      <w:r>
        <w:rPr>
          <w:b/>
        </w:rPr>
        <w:t>Technical textiles and trims</w:t>
      </w:r>
      <w:r>
        <w:t xml:space="preserve"> — specialist performance-fabric mills; Canada Goose has historically used proprietary and branded technical fabrics.</w:t>
      </w:r>
      <w:r/>
    </w:p>
    <w:p>
      <w:pPr>
        <w:pStyle w:val="ListBullet"/>
        <w:spacing w:line="240" w:lineRule="auto"/>
        <w:ind w:left="720"/>
      </w:pPr>
      <w:r/>
      <w:r>
        <w:rPr>
          <w:b/>
        </w:rPr>
        <w:t>Licensee</w:t>
      </w:r>
      <w:r>
        <w:t xml:space="preserve"> — </w:t>
      </w:r>
      <w:r>
        <w:rPr>
          <w:b/>
        </w:rPr>
        <w:t>Marchon Eyewear</w:t>
      </w:r>
      <w:r>
        <w:t xml:space="preserve"> (owned by VSP Global) for eyewear design, manufacture and distribution.</w:t>
      </w:r>
      <w:r/>
      <w:r/>
    </w:p>
    <w:p>
      <w:r/>
      <w:r>
        <w:rPr>
          <w:b/>
        </w:rPr>
        <w:t>Payment terms.</w:t>
      </w:r>
      <w:r>
        <w:t xml:space="preserve"> Specific contractual payment terms are not disclosed in public releases. The observable evidence is indirect but informative: wholesale orders are committed months ahead of delivery (giving a forward order book management references as a guidance input), and the FY2026 bad-debt provision confirms the company extends meaningful trade credit to wholesale partners. The FY2026 </w:t>
      </w:r>
      <w:r>
        <w:rPr>
          <w:b/>
        </w:rPr>
        <w:t>arbitration payment to a former supplier</w:t>
      </w:r>
      <w:r>
        <w:t xml:space="preserve"> also indicates that at least one upstream contract carried disputed obligations of a size material enough to move full-year SG&amp;A.</w:t>
      </w:r>
      <w:r/>
    </w:p>
    <w:p>
      <w:pPr>
        <w:pStyle w:val="Heading3"/>
      </w:pPr>
      <w:r>
        <w:t>Competitors</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Competitor</w:t>
            </w:r>
          </w:p>
        </w:tc>
        <w:tc>
          <w:tcPr>
            <w:tcW w:type="dxa" w:w="2628"/>
          </w:tcPr>
          <w:p>
            <w:r>
              <w:rPr>
                <w:b/>
              </w:rPr>
              <w:t>Ticker</w:t>
            </w:r>
          </w:p>
        </w:tc>
        <w:tc>
          <w:tcPr>
            <w:tcW w:type="dxa" w:w="2628"/>
          </w:tcPr>
          <w:p>
            <w:r>
              <w:rPr>
                <w:b/>
              </w:rPr>
              <w:t>Listed?</w:t>
            </w:r>
          </w:p>
        </w:tc>
        <w:tc>
          <w:tcPr>
            <w:tcW w:type="dxa" w:w="2628"/>
          </w:tcPr>
          <w:p>
            <w:r>
              <w:rPr>
                <w:b/>
              </w:rPr>
              <w:t>Positioning vs Canada Goose</w:t>
            </w:r>
          </w:p>
        </w:tc>
      </w:tr>
      <w:tr>
        <w:tc>
          <w:tcPr>
            <w:tcW w:type="dxa" w:w="2628"/>
          </w:tcPr>
          <w:p>
            <w:r>
              <w:rPr>
                <w:b/>
              </w:rPr>
              <w:t>Moncler</w:t>
            </w:r>
            <w:r>
              <w:t xml:space="preserve"> (incl. Stone Island)</w:t>
            </w:r>
          </w:p>
        </w:tc>
        <w:tc>
          <w:tcPr>
            <w:tcW w:type="dxa" w:w="2628"/>
          </w:tcPr>
          <w:p>
            <w:r>
              <w:t>BIT: MONC</w:t>
            </w:r>
          </w:p>
        </w:tc>
        <w:tc>
          <w:tcPr>
            <w:tcW w:type="dxa" w:w="2628"/>
          </w:tcPr>
          <w:p>
            <w:r>
              <w:t>Yes</w:t>
            </w:r>
          </w:p>
        </w:tc>
        <w:tc>
          <w:tcPr>
            <w:tcW w:type="dxa" w:w="2628"/>
          </w:tcPr>
          <w:p>
            <w:r>
              <w:rPr>
                <w:b/>
              </w:rPr>
              <w:t>The benchmark and the principal threat.</w:t>
            </w:r>
            <w:r>
              <w:t xml:space="preserve"> Larger, more profitable, more genuinely luxury; c.86% own-retail and c.75–80% of revenue in outerwear. Market cap c.EUR 15.2bn — roughly 15x Canada Goose. Sets the price ceiling and the aspiration standard.</w:t>
            </w:r>
          </w:p>
        </w:tc>
      </w:tr>
      <w:tr>
        <w:tc>
          <w:tcPr>
            <w:tcW w:type="dxa" w:w="2628"/>
          </w:tcPr>
          <w:p>
            <w:r>
              <w:rPr>
                <w:b/>
              </w:rPr>
              <w:t>Bosideng International</w:t>
            </w:r>
          </w:p>
        </w:tc>
        <w:tc>
          <w:tcPr>
            <w:tcW w:type="dxa" w:w="2628"/>
          </w:tcPr>
          <w:p>
            <w:r>
              <w:t>HKG: 3998</w:t>
            </w:r>
          </w:p>
        </w:tc>
        <w:tc>
          <w:tcPr>
            <w:tcW w:type="dxa" w:w="2628"/>
          </w:tcPr>
          <w:p>
            <w:r>
              <w:t>Yes</w:t>
            </w:r>
          </w:p>
        </w:tc>
        <w:tc>
          <w:tcPr>
            <w:tcW w:type="dxa" w:w="2628"/>
          </w:tcPr>
          <w:p>
            <w:r>
              <w:rPr>
                <w:b/>
              </w:rPr>
              <w:t>The most dangerous competitor and the most underestimated.</w:t>
            </w:r>
            <w:r>
              <w:t xml:space="preserve"> China's largest down-apparel group, c.US$6.2bn market cap on c.US$3.6bn revenue. Owns the mid-to-high-end (Bosideng), mass (Snow Flying) and luxury (Bogner) tiers. It attacks Canada Goose's single most important market from a home-field position — and was reported as a bidder for the company.</w:t>
            </w:r>
          </w:p>
        </w:tc>
      </w:tr>
      <w:tr>
        <w:tc>
          <w:tcPr>
            <w:tcW w:type="dxa" w:w="2628"/>
          </w:tcPr>
          <w:p>
            <w:r>
              <w:rPr>
                <w:b/>
              </w:rPr>
              <w:t>Amer Sports</w:t>
            </w:r>
            <w:r>
              <w:t xml:space="preserve"> (Arc'teryx)</w:t>
            </w:r>
          </w:p>
        </w:tc>
        <w:tc>
          <w:tcPr>
            <w:tcW w:type="dxa" w:w="2628"/>
          </w:tcPr>
          <w:p>
            <w:r>
              <w:t>NYSE: AS</w:t>
            </w:r>
          </w:p>
        </w:tc>
        <w:tc>
          <w:tcPr>
            <w:tcW w:type="dxa" w:w="2628"/>
          </w:tcPr>
          <w:p>
            <w:r>
              <w:t>Yes</w:t>
            </w:r>
          </w:p>
        </w:tc>
        <w:tc>
          <w:tcPr>
            <w:tcW w:type="dxa" w:w="2628"/>
          </w:tcPr>
          <w:p>
            <w:r>
              <w:t>Arc'teryx is arguably taking the technical-premium consumer Canada Goose wants. Trades on a far richer multiple (EV/EBITDA c.21.5x), evidencing what the market pays for credible premium-outdoor growth.</w:t>
            </w:r>
          </w:p>
        </w:tc>
      </w:tr>
      <w:tr>
        <w:tc>
          <w:tcPr>
            <w:tcW w:type="dxa" w:w="2628"/>
          </w:tcPr>
          <w:p>
            <w:r>
              <w:rPr>
                <w:b/>
              </w:rPr>
              <w:t>The North Face</w:t>
            </w:r>
            <w:r>
              <w:t xml:space="preserve"> (VF Corp)</w:t>
            </w:r>
          </w:p>
        </w:tc>
        <w:tc>
          <w:tcPr>
            <w:tcW w:type="dxa" w:w="2628"/>
          </w:tcPr>
          <w:p>
            <w:r>
              <w:t>NYSE: VFC</w:t>
            </w:r>
          </w:p>
        </w:tc>
        <w:tc>
          <w:tcPr>
            <w:tcW w:type="dxa" w:w="2628"/>
          </w:tcPr>
          <w:p>
            <w:r>
              <w:t>Yes</w:t>
            </w:r>
          </w:p>
        </w:tc>
        <w:tc>
          <w:tcPr>
            <w:tcW w:type="dxa" w:w="2628"/>
          </w:tcPr>
          <w:p>
            <w:r>
              <w:t>Vastly larger distribution and marketing budget; owns the accessible-premium tier and the youth consumer.</w:t>
            </w:r>
          </w:p>
        </w:tc>
      </w:tr>
      <w:tr>
        <w:tc>
          <w:tcPr>
            <w:tcW w:type="dxa" w:w="2628"/>
          </w:tcPr>
          <w:p>
            <w:r>
              <w:rPr>
                <w:b/>
              </w:rPr>
              <w:t>Columbia Sportswear</w:t>
            </w:r>
            <w:r>
              <w:t xml:space="preserve"> (incl. Sorel)</w:t>
            </w:r>
          </w:p>
        </w:tc>
        <w:tc>
          <w:tcPr>
            <w:tcW w:type="dxa" w:w="2628"/>
          </w:tcPr>
          <w:p>
            <w:r>
              <w:t>NASDAQ: COLM</w:t>
            </w:r>
          </w:p>
        </w:tc>
        <w:tc>
          <w:tcPr>
            <w:tcW w:type="dxa" w:w="2628"/>
          </w:tcPr>
          <w:p>
            <w:r>
              <w:t>Yes</w:t>
            </w:r>
          </w:p>
        </w:tc>
        <w:tc>
          <w:tcPr>
            <w:tcW w:type="dxa" w:w="2628"/>
          </w:tcPr>
          <w:p>
            <w:r>
              <w:t>Mainstream outdoor; competes on value not prestige. Useful valuation comparator (c.8.9x EV/EBITDA).</w:t>
            </w:r>
          </w:p>
        </w:tc>
      </w:tr>
      <w:tr>
        <w:tc>
          <w:tcPr>
            <w:tcW w:type="dxa" w:w="2628"/>
          </w:tcPr>
          <w:p>
            <w:r>
              <w:rPr>
                <w:b/>
              </w:rPr>
              <w:t>Deckers Brands</w:t>
            </w:r>
            <w:r>
              <w:t xml:space="preserve"> (UGG)</w:t>
            </w:r>
          </w:p>
        </w:tc>
        <w:tc>
          <w:tcPr>
            <w:tcW w:type="dxa" w:w="2628"/>
          </w:tcPr>
          <w:p>
            <w:r>
              <w:t>NYSE: DECK</w:t>
            </w:r>
          </w:p>
        </w:tc>
        <w:tc>
          <w:tcPr>
            <w:tcW w:type="dxa" w:w="2628"/>
          </w:tcPr>
          <w:p>
            <w:r>
              <w:t>Yes</w:t>
            </w:r>
          </w:p>
        </w:tc>
        <w:tc>
          <w:tcPr>
            <w:tcW w:type="dxa" w:w="2628"/>
          </w:tcPr>
          <w:p>
            <w:r>
              <w:t>Not a direct outerwear competitor but the closest analogue for "cold-weather brand that successfully de-seasonalised" — the outcome Canada Goose is trying to replicate. Trades c.9.1x EV/EBITDA.</w:t>
            </w:r>
          </w:p>
        </w:tc>
      </w:tr>
      <w:tr>
        <w:tc>
          <w:tcPr>
            <w:tcW w:type="dxa" w:w="2628"/>
          </w:tcPr>
          <w:p>
            <w:r>
              <w:rPr>
                <w:b/>
              </w:rPr>
              <w:t>Ralph Lauren / Burberry</w:t>
            </w:r>
          </w:p>
        </w:tc>
        <w:tc>
          <w:tcPr>
            <w:tcW w:type="dxa" w:w="2628"/>
          </w:tcPr>
          <w:p>
            <w:r>
              <w:t>NYSE: RL / LON: BRBY</w:t>
            </w:r>
          </w:p>
        </w:tc>
        <w:tc>
          <w:tcPr>
            <w:tcW w:type="dxa" w:w="2628"/>
          </w:tcPr>
          <w:p>
            <w:r>
              <w:t>Yes</w:t>
            </w:r>
          </w:p>
        </w:tc>
        <w:tc>
          <w:tcPr>
            <w:tcW w:type="dxa" w:w="2628"/>
          </w:tcPr>
          <w:p>
            <w:r>
              <w:t>Compete for the same luxury outerwear wallet and shelf space in department stores.</w:t>
            </w:r>
          </w:p>
        </w:tc>
      </w:tr>
      <w:tr>
        <w:tc>
          <w:tcPr>
            <w:tcW w:type="dxa" w:w="2628"/>
          </w:tcPr>
          <w:p>
            <w:r>
              <w:rPr>
                <w:b/>
              </w:rPr>
              <w:t>Mackage, Nobis, Quartz Co.</w:t>
            </w:r>
          </w:p>
        </w:tc>
        <w:tc>
          <w:tcPr>
            <w:tcW w:type="dxa" w:w="2628"/>
          </w:tcPr>
          <w:p>
            <w:r>
              <w:t>—</w:t>
            </w:r>
          </w:p>
        </w:tc>
        <w:tc>
          <w:tcPr>
            <w:tcW w:type="dxa" w:w="2628"/>
          </w:tcPr>
          <w:p>
            <w:r>
              <w:rPr>
                <w:b/>
              </w:rPr>
              <w:t>No</w:t>
            </w:r>
          </w:p>
        </w:tc>
        <w:tc>
          <w:tcPr>
            <w:tcW w:type="dxa" w:w="2628"/>
          </w:tcPr>
          <w:p>
            <w:r>
              <w:t>Private Canadian premium outerwear rivals attacking the domestic and North American premium niche directly.</w:t>
            </w:r>
          </w:p>
        </w:tc>
      </w:tr>
      <w:tr>
        <w:tc>
          <w:tcPr>
            <w:tcW w:type="dxa" w:w="2628"/>
          </w:tcPr>
          <w:p>
            <w:r>
              <w:rPr>
                <w:b/>
              </w:rPr>
              <w:t>Parajumpers, Woolrich, Herno</w:t>
            </w:r>
          </w:p>
        </w:tc>
        <w:tc>
          <w:tcPr>
            <w:tcW w:type="dxa" w:w="2628"/>
          </w:tcPr>
          <w:p>
            <w:r>
              <w:t>—</w:t>
            </w:r>
          </w:p>
        </w:tc>
        <w:tc>
          <w:tcPr>
            <w:tcW w:type="dxa" w:w="2628"/>
          </w:tcPr>
          <w:p>
            <w:r>
              <w:rPr>
                <w:b/>
              </w:rPr>
              <w:t>No</w:t>
            </w:r>
            <w:r>
              <w:t xml:space="preserve"> (mostly)</w:t>
            </w:r>
          </w:p>
        </w:tc>
        <w:tc>
          <w:tcPr>
            <w:tcW w:type="dxa" w:w="2628"/>
          </w:tcPr>
          <w:p>
            <w:r>
              <w:t>European premium outerwear; strong in EMEA wholesale where Canada Goose is expanding.</w:t>
            </w:r>
          </w:p>
        </w:tc>
      </w:tr>
      <w:tr>
        <w:tc>
          <w:tcPr>
            <w:tcW w:type="dxa" w:w="2628"/>
          </w:tcPr>
          <w:p>
            <w:r>
              <w:rPr>
                <w:b/>
              </w:rPr>
              <w:t>Fusalp, Perfect Moment</w:t>
            </w:r>
          </w:p>
        </w:tc>
        <w:tc>
          <w:tcPr>
            <w:tcW w:type="dxa" w:w="2628"/>
          </w:tcPr>
          <w:p>
            <w:r>
              <w:t>—</w:t>
            </w:r>
          </w:p>
        </w:tc>
        <w:tc>
          <w:tcPr>
            <w:tcW w:type="dxa" w:w="2628"/>
          </w:tcPr>
          <w:p>
            <w:r>
              <w:t>Mixed</w:t>
            </w:r>
          </w:p>
        </w:tc>
        <w:tc>
          <w:tcPr>
            <w:tcW w:type="dxa" w:w="2628"/>
          </w:tcPr>
          <w:p>
            <w:r>
              <w:t>Niche luxury technical/ski brands nibbling the aspirational premium end.</w:t>
            </w:r>
          </w:p>
        </w:tc>
      </w:tr>
    </w:tbl>
    <w:p>
      <w:r/>
    </w:p>
    <w:p>
      <w:pPr>
        <w:pStyle w:val="Heading3"/>
      </w:pPr>
      <w:r>
        <w:t>Key markets and geographies</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Geography</w:t>
            </w:r>
          </w:p>
        </w:tc>
        <w:tc>
          <w:tcPr>
            <w:tcW w:type="dxa" w:w="2628"/>
          </w:tcPr>
          <w:p>
            <w:r>
              <w:rPr>
                <w:b/>
              </w:rPr>
              <w:t>FY2026 Revenue</w:t>
            </w:r>
          </w:p>
        </w:tc>
        <w:tc>
          <w:tcPr>
            <w:tcW w:type="dxa" w:w="2628"/>
          </w:tcPr>
          <w:p>
            <w:r>
              <w:rPr>
                <w:b/>
              </w:rPr>
              <w:t>% of Total (D)</w:t>
            </w:r>
          </w:p>
        </w:tc>
        <w:tc>
          <w:tcPr>
            <w:tcW w:type="dxa" w:w="2628"/>
          </w:tcPr>
          <w:p>
            <w:r>
              <w:rPr>
                <w:b/>
              </w:rPr>
              <w:t>Comment</w:t>
            </w:r>
          </w:p>
        </w:tc>
      </w:tr>
      <w:tr>
        <w:tc>
          <w:tcPr>
            <w:tcW w:type="dxa" w:w="2628"/>
          </w:tcPr>
          <w:p>
            <w:r>
              <w:rPr>
                <w:b/>
              </w:rPr>
              <w:t>Greater China</w:t>
            </w:r>
          </w:p>
        </w:tc>
        <w:tc>
          <w:tcPr>
            <w:tcW w:type="dxa" w:w="2628"/>
          </w:tcPr>
          <w:p>
            <w:r>
              <w:t>C$498.3m</w:t>
            </w:r>
          </w:p>
        </w:tc>
        <w:tc>
          <w:tcPr>
            <w:tcW w:type="dxa" w:w="2628"/>
          </w:tcPr>
          <w:p>
            <w:r>
              <w:t>32.6%</w:t>
            </w:r>
          </w:p>
        </w:tc>
        <w:tc>
          <w:tcPr>
            <w:tcW w:type="dxa" w:w="2628"/>
          </w:tcPr>
          <w:p>
            <w:r>
              <w:t>Largest market. Q4 FY2026 constant-currency growth c.23%, helped by Lunar New Year timing and a capsule. Also the largest concentration risk in the equity.</w:t>
            </w:r>
          </w:p>
        </w:tc>
      </w:tr>
      <w:tr>
        <w:tc>
          <w:tcPr>
            <w:tcW w:type="dxa" w:w="2628"/>
          </w:tcPr>
          <w:p>
            <w:r>
              <w:rPr>
                <w:b/>
              </w:rPr>
              <w:t>United States</w:t>
            </w:r>
          </w:p>
        </w:tc>
        <w:tc>
          <w:tcPr>
            <w:tcW w:type="dxa" w:w="2628"/>
          </w:tcPr>
          <w:p>
            <w:r>
              <w:t>C$385.1m</w:t>
            </w:r>
          </w:p>
        </w:tc>
        <w:tc>
          <w:tcPr>
            <w:tcW w:type="dxa" w:w="2628"/>
          </w:tcPr>
          <w:p>
            <w:r>
              <w:t>25.2%</w:t>
            </w:r>
          </w:p>
        </w:tc>
        <w:tc>
          <w:tcPr>
            <w:tcW w:type="dxa" w:w="2628"/>
          </w:tcPr>
          <w:p>
            <w:r>
              <w:t>Second largest; the market most directly exposed to the proposed July 2026 tariffs.</w:t>
            </w:r>
          </w:p>
        </w:tc>
      </w:tr>
      <w:tr>
        <w:tc>
          <w:tcPr>
            <w:tcW w:type="dxa" w:w="2628"/>
          </w:tcPr>
          <w:p>
            <w:r>
              <w:rPr>
                <w:b/>
              </w:rPr>
              <w:t>Canada</w:t>
            </w:r>
          </w:p>
        </w:tc>
        <w:tc>
          <w:tcPr>
            <w:tcW w:type="dxa" w:w="2628"/>
          </w:tcPr>
          <w:p>
            <w:r>
              <w:t>C$261.4m</w:t>
            </w:r>
          </w:p>
        </w:tc>
        <w:tc>
          <w:tcPr>
            <w:tcW w:type="dxa" w:w="2628"/>
          </w:tcPr>
          <w:p>
            <w:r>
              <w:t>17.1%</w:t>
            </w:r>
          </w:p>
        </w:tc>
        <w:tc>
          <w:tcPr>
            <w:tcW w:type="dxa" w:w="2628"/>
          </w:tcPr>
          <w:p>
            <w:r>
              <w:t>Home market; highest brand penetration, therefore the most mature and slowest-growing.</w:t>
            </w:r>
          </w:p>
        </w:tc>
      </w:tr>
      <w:tr>
        <w:tc>
          <w:tcPr>
            <w:tcW w:type="dxa" w:w="2628"/>
          </w:tcPr>
          <w:p>
            <w:r>
              <w:rPr>
                <w:b/>
              </w:rPr>
              <w:t>EMEA</w:t>
            </w:r>
          </w:p>
        </w:tc>
        <w:tc>
          <w:tcPr>
            <w:tcW w:type="dxa" w:w="2628"/>
          </w:tcPr>
          <w:p>
            <w:r>
              <w:t>C$253.4m</w:t>
            </w:r>
          </w:p>
        </w:tc>
        <w:tc>
          <w:tcPr>
            <w:tcW w:type="dxa" w:w="2628"/>
          </w:tcPr>
          <w:p>
            <w:r>
              <w:t>16.6%</w:t>
            </w:r>
          </w:p>
        </w:tc>
        <w:tc>
          <w:tcPr>
            <w:tcW w:type="dxa" w:w="2628"/>
          </w:tcPr>
          <w:p>
            <w:r>
              <w:t>Fastest-growing region in Q4 FY2026 (+25% constant currency). Logistics and e-commerce upgrades underway in FY2027.</w:t>
            </w:r>
          </w:p>
        </w:tc>
      </w:tr>
      <w:tr>
        <w:tc>
          <w:tcPr>
            <w:tcW w:type="dxa" w:w="2628"/>
          </w:tcPr>
          <w:p>
            <w:r>
              <w:rPr>
                <w:b/>
              </w:rPr>
              <w:t>Asia Pacific (ex-Greater China)</w:t>
            </w:r>
          </w:p>
        </w:tc>
        <w:tc>
          <w:tcPr>
            <w:tcW w:type="dxa" w:w="2628"/>
          </w:tcPr>
          <w:p>
            <w:r>
              <w:t>C$130.0m (D)</w:t>
            </w:r>
          </w:p>
        </w:tc>
        <w:tc>
          <w:tcPr>
            <w:tcW w:type="dxa" w:w="2628"/>
          </w:tcPr>
          <w:p>
            <w:r>
              <w:t>8.5%</w:t>
            </w:r>
          </w:p>
        </w:tc>
        <w:tc>
          <w:tcPr>
            <w:tcW w:type="dxa" w:w="2628"/>
          </w:tcPr>
          <w:p>
            <w:r>
              <w:t>Derived as the residual to total revenue. Japan and Korea are the principal components.</w:t>
            </w:r>
          </w:p>
        </w:tc>
      </w:tr>
      <w:tr>
        <w:tc>
          <w:tcPr>
            <w:tcW w:type="dxa" w:w="2628"/>
          </w:tcPr>
          <w:p>
            <w:r>
              <w:rPr>
                <w:b/>
              </w:rPr>
              <w:t>Total</w:t>
            </w:r>
          </w:p>
        </w:tc>
        <w:tc>
          <w:tcPr>
            <w:tcW w:type="dxa" w:w="2628"/>
          </w:tcPr>
          <w:p>
            <w:r>
              <w:rPr>
                <w:b/>
              </w:rPr>
              <w:t>C$1,528.2m</w:t>
            </w:r>
          </w:p>
        </w:tc>
        <w:tc>
          <w:tcPr>
            <w:tcW w:type="dxa" w:w="2628"/>
          </w:tcPr>
          <w:p>
            <w:r>
              <w:rPr>
                <w:b/>
              </w:rPr>
              <w:t>100%</w:t>
            </w:r>
          </w:p>
        </w:tc>
        <w:tc>
          <w:tcPr>
            <w:tcW w:type="dxa" w:w="2628"/>
          </w:tcPr>
          <w:p/>
        </w:tc>
      </w:tr>
    </w:tbl>
    <w:p>
      <w:r/>
    </w:p>
    <w:p>
      <w:r/>
      <w:r>
        <w:t>Note: Greater China, U.S., Canada and EMEA figures are as disclosed. The Asia Pacific ex-Greater China figure is derived as the residual and should be verified against the FY2026 Form 20-F.</w:t>
      </w:r>
      <w:r/>
    </w:p>
    <w:p>
      <w:pPr>
        <w:pStyle w:val="Heading2"/>
      </w:pPr>
      <w:r>
        <w:t>4. Historical Share-Price Catalysts (Moves Greater Than 5%, Last 5 Years)</w:t>
      </w:r>
      <w:r/>
    </w:p>
    <w:p>
      <w:r/>
      <w:r>
        <w:t xml:space="preserve">Canada Goose is a high-beta, low-float, heavily-shorted equity in which single events routinely produce double-digit moves. With 28.5% of the public float sold short and c.10.3 days to cover, </w:t>
      </w:r>
      <w:r>
        <w:rPr>
          <w:b/>
        </w:rPr>
        <w:t>every positive surprise is amplified by forced covering</w:t>
      </w:r>
      <w:r>
        <w:t xml:space="preserve"> — a structural feature of the shareholder register that must be understood before interpreting any of the moves below.</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Period</w:t>
            </w:r>
          </w:p>
        </w:tc>
        <w:tc>
          <w:tcPr>
            <w:tcW w:type="dxa" w:w="2628"/>
          </w:tcPr>
          <w:p>
            <w:r>
              <w:rPr>
                <w:b/>
              </w:rPr>
              <w:t>Direction</w:t>
            </w:r>
          </w:p>
        </w:tc>
        <w:tc>
          <w:tcPr>
            <w:tcW w:type="dxa" w:w="2628"/>
          </w:tcPr>
          <w:p>
            <w:r>
              <w:rPr>
                <w:b/>
              </w:rPr>
              <w:t>Event</w:t>
            </w:r>
          </w:p>
        </w:tc>
        <w:tc>
          <w:tcPr>
            <w:tcW w:type="dxa" w:w="2628"/>
          </w:tcPr>
          <w:p>
            <w:r>
              <w:rPr>
                <w:b/>
              </w:rPr>
              <w:t>Mechanism and read-through</w:t>
            </w:r>
          </w:p>
        </w:tc>
      </w:tr>
      <w:tr>
        <w:tc>
          <w:tcPr>
            <w:tcW w:type="dxa" w:w="2628"/>
          </w:tcPr>
          <w:p>
            <w:r>
              <w:t xml:space="preserve">FY2022–23 </w:t>
              <w:br/>
            </w:r>
            <w:r>
              <w:t xml:space="preserve"> (2022 into early 2023)</w:t>
            </w:r>
          </w:p>
        </w:tc>
        <w:tc>
          <w:tcPr>
            <w:tcW w:type="dxa" w:w="2628"/>
          </w:tcPr>
          <w:p>
            <w:r>
              <w:t>Sharply down</w:t>
            </w:r>
          </w:p>
        </w:tc>
        <w:tc>
          <w:tcPr>
            <w:tcW w:type="dxa" w:w="2628"/>
          </w:tcPr>
          <w:p>
            <w:r>
              <w:t>China COVID-19 disruption; guidance cut</w:t>
            </w:r>
          </w:p>
        </w:tc>
        <w:tc>
          <w:tcPr>
            <w:tcW w:type="dxa" w:w="2628"/>
          </w:tcPr>
          <w:p>
            <w:r>
              <w:t>Revenue guidance cut to C$1.175–1.195bn from C$1.200–1.300bn, with adjusted EBIT and EPS guidance cut materially alongside. Demonstrated that the Greater China concentration transmits directly and violently into group numbers.</w:t>
            </w:r>
          </w:p>
        </w:tc>
      </w:tr>
      <w:tr>
        <w:tc>
          <w:tcPr>
            <w:tcW w:type="dxa" w:w="2628"/>
          </w:tcPr>
          <w:p>
            <w:r>
              <w:t>Feb 2023</w:t>
            </w:r>
          </w:p>
        </w:tc>
        <w:tc>
          <w:tcPr>
            <w:tcW w:type="dxa" w:w="2628"/>
          </w:tcPr>
          <w:p>
            <w:r>
              <w:t>Down</w:t>
            </w:r>
          </w:p>
        </w:tc>
        <w:tc>
          <w:tcPr>
            <w:tcW w:type="dxa" w:w="2628"/>
          </w:tcPr>
          <w:p>
            <w:r>
              <w:t>Q3 FY2023 miss and guidance reset</w:t>
            </w:r>
          </w:p>
        </w:tc>
        <w:tc>
          <w:tcPr>
            <w:tcW w:type="dxa" w:w="2628"/>
          </w:tcPr>
          <w:p>
            <w:r>
              <w:t>The combination of a China demand shock and slowing North American momentum against a weak macro backdrop. The stock de-rated from growth-multiple to value-multiple territory and has not recovered that rating since.</w:t>
            </w:r>
          </w:p>
        </w:tc>
      </w:tr>
      <w:tr>
        <w:tc>
          <w:tcPr>
            <w:tcW w:type="dxa" w:w="2628"/>
          </w:tcPr>
          <w:p>
            <w:r>
              <w:t>May 2024</w:t>
            </w:r>
          </w:p>
        </w:tc>
        <w:tc>
          <w:tcPr>
            <w:tcW w:type="dxa" w:w="2628"/>
          </w:tcPr>
          <w:p>
            <w:r>
              <w:t>Down</w:t>
            </w:r>
          </w:p>
        </w:tc>
        <w:tc>
          <w:tcPr>
            <w:tcW w:type="dxa" w:w="2628"/>
          </w:tcPr>
          <w:p>
            <w:r>
              <w:t>Q4 FY2024 results</w:t>
            </w:r>
          </w:p>
        </w:tc>
        <w:tc>
          <w:tcPr>
            <w:tcW w:type="dxa" w:w="2628"/>
          </w:tcPr>
          <w:p>
            <w:r>
              <w:t>Weak print plus cautious forward commentary on premium outerwear demand in both North America and China.</w:t>
            </w:r>
          </w:p>
        </w:tc>
      </w:tr>
      <w:tr>
        <w:tc>
          <w:tcPr>
            <w:tcW w:type="dxa" w:w="2628"/>
          </w:tcPr>
          <w:p>
            <w:r>
              <w:t>2024</w:t>
            </w:r>
          </w:p>
        </w:tc>
        <w:tc>
          <w:tcPr>
            <w:tcW w:type="dxa" w:w="2628"/>
          </w:tcPr>
          <w:p>
            <w:r>
              <w:t>Mixed</w:t>
            </w:r>
          </w:p>
        </w:tc>
        <w:tc>
          <w:tcPr>
            <w:tcW w:type="dxa" w:w="2628"/>
          </w:tcPr>
          <w:p>
            <w:r>
              <w:t>17% corporate workforce reduction and executive reshuffle</w:t>
            </w:r>
          </w:p>
        </w:tc>
        <w:tc>
          <w:tcPr>
            <w:tcW w:type="dxa" w:w="2628"/>
          </w:tcPr>
          <w:p>
            <w:r>
              <w:t>Cost action read positively for margin but negatively as confirmation that the growth algorithm had broken. Marked the start of the current cost-discipline phase.</w:t>
            </w:r>
          </w:p>
        </w:tc>
      </w:tr>
      <w:tr>
        <w:tc>
          <w:tcPr>
            <w:tcW w:type="dxa" w:w="2628"/>
          </w:tcPr>
          <w:p>
            <w:r>
              <w:rPr>
                <w:b/>
              </w:rPr>
              <w:t>27 Aug 2025</w:t>
            </w:r>
          </w:p>
        </w:tc>
        <w:tc>
          <w:tcPr>
            <w:tcW w:type="dxa" w:w="2628"/>
          </w:tcPr>
          <w:p>
            <w:r>
              <w:rPr>
                <w:b/>
              </w:rPr>
              <w:t>+16%</w:t>
            </w:r>
          </w:p>
        </w:tc>
        <w:tc>
          <w:tcPr>
            <w:tcW w:type="dxa" w:w="2628"/>
          </w:tcPr>
          <w:p>
            <w:r>
              <w:rPr>
                <w:b/>
              </w:rPr>
              <w:t>Take-private bids reported</w:t>
            </w:r>
          </w:p>
        </w:tc>
        <w:tc>
          <w:tcPr>
            <w:tcW w:type="dxa" w:w="2628"/>
          </w:tcPr>
          <w:p>
            <w:r>
              <w:t xml:space="preserve">CNBC reported Bain Capital had received bids valuing the company at c.US$1.35–1.4bn, with Goldman Sachs advising. Boyu Capital and Advent International submitted verbal offers; Bosideng and a FountainVest–Anta consortium were also named. </w:t>
            </w:r>
            <w:r>
              <w:rPr>
                <w:b/>
              </w:rPr>
              <w:t>The single largest positive catalyst of the period, and it was entirely non-operational.</w:t>
            </w:r>
          </w:p>
        </w:tc>
      </w:tr>
      <w:tr>
        <w:tc>
          <w:tcPr>
            <w:tcW w:type="dxa" w:w="2628"/>
          </w:tcPr>
          <w:p>
            <w:r>
              <w:rPr>
                <w:b/>
              </w:rPr>
              <w:t>May 2026</w:t>
            </w:r>
          </w:p>
        </w:tc>
        <w:tc>
          <w:tcPr>
            <w:tcW w:type="dxa" w:w="2628"/>
          </w:tcPr>
          <w:p>
            <w:r>
              <w:rPr>
                <w:b/>
              </w:rPr>
              <w:t>c.+30%</w:t>
            </w:r>
          </w:p>
        </w:tc>
        <w:tc>
          <w:tcPr>
            <w:tcW w:type="dxa" w:w="2628"/>
          </w:tcPr>
          <w:p>
            <w:r>
              <w:rPr>
                <w:b/>
              </w:rPr>
              <w:t>Q4/FY2026 results</w:t>
            </w:r>
          </w:p>
        </w:tc>
        <w:tc>
          <w:tcPr>
            <w:tcW w:type="dxa" w:w="2628"/>
          </w:tcPr>
          <w:p>
            <w:r>
              <w:t xml:space="preserve">Q4 revenue +18% and FY2027 guidance for 11–12% adjusted EBIT margin (130–230bps expansion) triggered a violent rally. Given 28.5% short interest, this was substantially a </w:t>
            </w:r>
            <w:r>
              <w:rPr>
                <w:b/>
              </w:rPr>
              <w:t>short-covering event</w:t>
            </w:r>
            <w:r>
              <w:t xml:space="preserve"> rather than a pure re-rating — an important distinction for anyone extrapolating it.</w:t>
            </w:r>
          </w:p>
        </w:tc>
      </w:tr>
      <w:tr>
        <w:tc>
          <w:tcPr>
            <w:tcW w:type="dxa" w:w="2628"/>
          </w:tcPr>
          <w:p>
            <w:r>
              <w:rPr>
                <w:b/>
              </w:rPr>
              <w:t>30 Jul 2026</w:t>
            </w:r>
          </w:p>
        </w:tc>
        <w:tc>
          <w:tcPr>
            <w:tcW w:type="dxa" w:w="2628"/>
          </w:tcPr>
          <w:p>
            <w:r>
              <w:rPr>
                <w:b/>
              </w:rPr>
              <w:t>Down c.10%</w:t>
            </w:r>
          </w:p>
        </w:tc>
        <w:tc>
          <w:tcPr>
            <w:tcW w:type="dxa" w:w="2628"/>
          </w:tcPr>
          <w:p>
            <w:r>
              <w:rPr>
                <w:b/>
              </w:rPr>
              <w:t>Q1 FY2027 results</w:t>
            </w:r>
          </w:p>
        </w:tc>
        <w:tc>
          <w:tcPr>
            <w:tcW w:type="dxa" w:w="2628"/>
          </w:tcPr>
          <w:p>
            <w:r>
              <w:t xml:space="preserve">The most diagnostic move in the sample. The company </w:t>
            </w:r>
            <w:r>
              <w:rPr>
                <w:b/>
              </w:rPr>
              <w:t>beat on both lines</w:t>
            </w:r>
            <w:r>
              <w:t xml:space="preserve"> — EPS of US$(0.64) vs US$(0.70) consensus, revenue US$83.7m vs US$76.3m expected — and the stock fell nearly 10%. The market punished the C$91m quarterly loss, the </w:t>
            </w:r>
            <w:r>
              <w:rPr>
                <w:b/>
              </w:rPr>
              <w:t>negative DTC comp of -3.2%</w:t>
            </w:r>
            <w:r>
              <w:t xml:space="preserve"> , and the tariff disclosure, not the headline.</w:t>
            </w:r>
          </w:p>
        </w:tc>
      </w:tr>
      <w:tr>
        <w:tc>
          <w:tcPr>
            <w:tcW w:type="dxa" w:w="2628"/>
          </w:tcPr>
          <w:p>
            <w:r>
              <w:rPr>
                <w:b/>
              </w:rPr>
              <w:t>Late Aug 2026</w:t>
            </w:r>
          </w:p>
        </w:tc>
        <w:tc>
          <w:tcPr>
            <w:tcW w:type="dxa" w:w="2628"/>
          </w:tcPr>
          <w:p>
            <w:r>
              <w:rPr>
                <w:b/>
              </w:rPr>
              <w:t>-6.6%</w:t>
            </w:r>
          </w:p>
        </w:tc>
        <w:tc>
          <w:tcPr>
            <w:tcW w:type="dxa" w:w="2628"/>
          </w:tcPr>
          <w:p>
            <w:r>
              <w:rPr>
                <w:b/>
              </w:rPr>
              <w:t>Drift to 52-week low</w:t>
            </w:r>
          </w:p>
        </w:tc>
        <w:tc>
          <w:tcPr>
            <w:tcW w:type="dxa" w:w="2628"/>
          </w:tcPr>
          <w:p>
            <w:r>
              <w:t>Shares traded as low as US$8.14. Reflects fading take-private optionality, sector de-rating and demand caution ahead of the critical autumn/winter season.</w:t>
            </w:r>
          </w:p>
        </w:tc>
      </w:tr>
    </w:tbl>
    <w:p>
      <w:r/>
      <w:r/>
      <w:r>
        <w:rPr>
          <w:b/>
        </w:rPr>
        <w:t>What the catalyst history actually tells you.</w:t>
      </w:r>
      <w:r>
        <w:t xml:space="preserve"> Over five years the two largest </w:t>
      </w:r>
      <w:r>
        <w:rPr>
          <w:i/>
        </w:rPr>
        <w:t>up</w:t>
      </w:r>
      <w:r>
        <w:t xml:space="preserve"> moves were an M&amp;A rumour and a short squeeze; the largest </w:t>
      </w:r>
      <w:r>
        <w:rPr>
          <w:i/>
        </w:rPr>
        <w:t>down</w:t>
      </w:r>
      <w:r>
        <w:t xml:space="preserve"> moves were China demand shocks and guidance resets. Operational execution has never been the dominant driver of this share price. That is the defining characteristic of the investment: </w:t>
      </w:r>
      <w:r>
        <w:rPr>
          <w:b/>
        </w:rPr>
        <w:t>GOOS trades on ownership structure and demand sentiment, not on earnings delivery.</w:t>
      </w:r>
      <w:r>
        <w:t xml:space="preserve"> A beat-and-fall reaction like 30 July 2026 is the clearest possible signal that the market has stopped paying for in-line operational progress and is waiting for resolution of something else — the Bain stake.</w:t>
      </w:r>
      <w:r/>
    </w:p>
    <w:p>
      <w:pPr>
        <w:pStyle w:val="Heading2"/>
      </w:pPr>
      <w:r>
        <w:t>5. Macro and Micro Factors; Tailwinds and Headwinds</w:t>
      </w:r>
      <w:r/>
    </w:p>
    <w:p>
      <w:pPr>
        <w:pStyle w:val="Heading3"/>
      </w:pPr>
      <w:r>
        <w:t>Macro factors</w:t>
      </w:r>
      <w:r/>
      <w:r/>
    </w:p>
    <w:p>
      <w:pPr>
        <w:pStyle w:val="ListBullet"/>
        <w:spacing w:line="240" w:lineRule="auto"/>
        <w:ind w:left="720"/>
      </w:pPr>
      <w:r/>
      <w:r>
        <w:rPr>
          <w:b/>
        </w:rPr>
        <w:t>Chinese consumer confidence and luxury demand.</w:t>
      </w:r>
      <w:r>
        <w:t xml:space="preserve"> With 32.6% of revenue in Greater China, this is the single most important external variable. Property-market weakness and a structural shift toward domestic Chinese brands both work against the company.</w:t>
      </w:r>
      <w:r/>
    </w:p>
    <w:p>
      <w:pPr>
        <w:pStyle w:val="ListBullet"/>
        <w:spacing w:line="240" w:lineRule="auto"/>
        <w:ind w:left="720"/>
      </w:pPr>
      <w:r/>
      <w:r>
        <w:rPr>
          <w:b/>
        </w:rPr>
        <w:t>Trade policy and tariffs.</w:t>
      </w:r>
      <w:r>
        <w:t xml:space="preserve"> Proposed U.S. duties announced 20 July 2026 carry a stated impact of up to 200bps of FY2027 operating margin if unmitigated. Because the company manufactures in Canada and sells heavily into the U.S., it is directly in the path of North American trade friction — an unusual vulnerability for a brand whose "Made in Canada" identity prevents easy relocation.</w:t>
      </w:r>
      <w:r/>
    </w:p>
    <w:p>
      <w:pPr>
        <w:pStyle w:val="ListBullet"/>
        <w:spacing w:line="240" w:lineRule="auto"/>
        <w:ind w:left="720"/>
      </w:pPr>
      <w:r/>
      <w:r>
        <w:rPr>
          <w:b/>
        </w:rPr>
        <w:t>Aspirational luxury weakness.</w:t>
      </w:r>
      <w:r>
        <w:t xml:space="preserve"> The global luxury sector's entry-price consumer has retrenched. Canada Goose sits precisely in that band — expensive enough to be discretionary, not expensive enough to be recession-proof.</w:t>
      </w:r>
      <w:r/>
    </w:p>
    <w:p>
      <w:pPr>
        <w:pStyle w:val="ListBullet"/>
        <w:spacing w:line="240" w:lineRule="auto"/>
        <w:ind w:left="720"/>
      </w:pPr>
      <w:r/>
      <w:r>
        <w:rPr>
          <w:b/>
        </w:rPr>
        <w:t>FX.</w:t>
      </w:r>
      <w:r>
        <w:t xml:space="preserve"> Costs largely CAD, revenue largely USD/CNY/EUR. CAD weakness is a genuine tailwind (c.90bps of FY2026 reported growth).</w:t>
      </w:r>
      <w:r/>
    </w:p>
    <w:p>
      <w:pPr>
        <w:pStyle w:val="ListBullet"/>
        <w:spacing w:line="240" w:lineRule="auto"/>
        <w:ind w:left="720"/>
      </w:pPr>
      <w:r/>
      <w:r>
        <w:rPr>
          <w:b/>
        </w:rPr>
        <w:t>Interest rates.</w:t>
      </w:r>
      <w:r>
        <w:t xml:space="preserve"> Roughly C$416.8m of floating-rate term debt makes interest expense rate-sensitive; falling rates are a direct EPS tailwind.</w:t>
      </w:r>
      <w:r/>
    </w:p>
    <w:p>
      <w:pPr>
        <w:pStyle w:val="ListBullet"/>
        <w:spacing w:line="240" w:lineRule="auto"/>
        <w:ind w:left="720"/>
      </w:pPr>
      <w:r/>
      <w:r>
        <w:rPr>
          <w:b/>
        </w:rPr>
        <w:t>Travel and tourism.</w:t>
      </w:r>
      <w:r>
        <w:t xml:space="preserve"> Explicitly cited in FY2027 guidance as a headwind. Luxury outerwear is disproportionately bought by travelling consumers, particularly Chinese travellers.</w:t>
      </w:r>
      <w:r/>
    </w:p>
    <w:p>
      <w:pPr>
        <w:pStyle w:val="ListBullet"/>
        <w:spacing w:line="240" w:lineRule="auto"/>
        <w:ind w:left="720"/>
      </w:pPr>
      <w:r/>
      <w:r>
        <w:rPr>
          <w:b/>
        </w:rPr>
        <w:t>Climate change.</w:t>
      </w:r>
      <w:r>
        <w:t xml:space="preserve"> The slow, genuine, existential variable. Warming winters structurally shrink the addressable occasion for a heavyweight parka — and are the deepest justification for the de-seasonalisation strategy.</w:t>
      </w:r>
      <w:r/>
      <w:r/>
    </w:p>
    <w:p>
      <w:pPr>
        <w:pStyle w:val="Heading3"/>
      </w:pPr>
      <w:r>
        <w:t>Micro factors</w:t>
      </w:r>
      <w:r/>
      <w:r/>
    </w:p>
    <w:p>
      <w:pPr>
        <w:pStyle w:val="ListBullet"/>
        <w:spacing w:line="240" w:lineRule="auto"/>
        <w:ind w:left="720"/>
      </w:pPr>
      <w:r/>
      <w:r>
        <w:t>Store productivity and the shift from opening to pruning (C$8.4m impairment).</w:t>
      </w:r>
      <w:r/>
    </w:p>
    <w:p>
      <w:pPr>
        <w:pStyle w:val="ListBullet"/>
        <w:spacing w:line="240" w:lineRule="auto"/>
        <w:ind w:left="720"/>
      </w:pPr>
      <w:r/>
      <w:r>
        <w:t>Wholesale order book — the most reliable forward indicator management possesses.</w:t>
      </w:r>
      <w:r/>
    </w:p>
    <w:p>
      <w:pPr>
        <w:pStyle w:val="ListBullet"/>
        <w:spacing w:line="240" w:lineRule="auto"/>
        <w:ind w:left="720"/>
      </w:pPr>
      <w:r/>
      <w:r>
        <w:t>Category extension attach rates: whether apparel/rainwear buyers convert to parka buyers, or merely cannibalise.</w:t>
      </w:r>
      <w:r/>
    </w:p>
    <w:p>
      <w:pPr>
        <w:pStyle w:val="ListBullet"/>
        <w:spacing w:line="240" w:lineRule="auto"/>
        <w:ind w:left="720"/>
      </w:pPr>
      <w:r/>
      <w:r>
        <w:t>Brand heat management via Snow Goose and capsules.</w:t>
      </w:r>
      <w:r/>
    </w:p>
    <w:p>
      <w:pPr>
        <w:pStyle w:val="ListBullet"/>
        <w:spacing w:line="240" w:lineRule="auto"/>
        <w:ind w:left="720"/>
      </w:pPr>
      <w:r/>
      <w:r>
        <w:t>Inventory discipline — held flat at C$386.3m on 13.3% revenue growth, a genuine operational achievement.</w:t>
      </w:r>
      <w:r/>
    </w:p>
    <w:p>
      <w:pPr>
        <w:pStyle w:val="ListBullet"/>
        <w:spacing w:line="240" w:lineRule="auto"/>
        <w:ind w:left="720"/>
      </w:pPr>
      <w:r/>
      <w:r>
        <w:t>Wholesale counterparty credit quality, following the FY2026 U.S. partner bad-debt provision.</w:t>
      </w:r>
      <w:r/>
      <w:r/>
    </w:p>
    <w:p>
      <w:pPr>
        <w:pStyle w:val="Heading3"/>
      </w:pPr>
      <w:r>
        <w:t>Tailwinds and headwinds summary</w:t>
      </w:r>
      <w:r/>
    </w:p>
    <w:tbl>
      <w:tblPr>
        <w:tblStyle w:val="TableGrid"/>
        <w:tblW w:type="auto" w:w="0"/>
        <w:tblLook w:firstColumn="1" w:firstRow="1" w:lastColumn="0" w:lastRow="0" w:noHBand="0" w:noVBand="1" w:val="04A0"/>
      </w:tblPr>
      <w:tblGrid>
        <w:gridCol w:w="5256"/>
        <w:gridCol w:w="5256"/>
      </w:tblGrid>
      <w:tr>
        <w:tc>
          <w:tcPr>
            <w:tcW w:type="dxa" w:w="5256"/>
          </w:tcPr>
          <w:p>
            <w:r>
              <w:rPr>
                <w:b/>
              </w:rPr>
              <w:t>Tailwinds</w:t>
            </w:r>
          </w:p>
        </w:tc>
        <w:tc>
          <w:tcPr>
            <w:tcW w:type="dxa" w:w="5256"/>
          </w:tcPr>
          <w:p>
            <w:r>
              <w:rPr>
                <w:b/>
              </w:rPr>
              <w:t>Headwinds</w:t>
            </w:r>
          </w:p>
        </w:tc>
      </w:tr>
      <w:tr>
        <w:tc>
          <w:tcPr>
            <w:tcW w:type="dxa" w:w="5256"/>
          </w:tcPr>
          <w:p>
            <w:r/>
            <w:r/>
          </w:p>
          <w:p>
            <w:pPr>
              <w:pStyle w:val="ListBullet"/>
              <w:spacing w:line="240" w:lineRule="auto"/>
              <w:ind w:left="720"/>
            </w:pPr>
            <w:r/>
            <w:r>
              <w:rPr>
                <w:b/>
              </w:rPr>
              <w:t>Guided margin recovery</w:t>
            </w:r>
            <w:r>
              <w:t xml:space="preserve"> — 11–12% adjusted EBIT margin in FY2027, 130–230bps of expansion.</w:t>
            </w:r>
            <w:r/>
          </w:p>
          <w:p>
            <w:pPr>
              <w:pStyle w:val="ListBullet"/>
              <w:spacing w:line="240" w:lineRule="auto"/>
              <w:ind w:left="720"/>
            </w:pPr>
            <w:r/>
            <w:r>
              <w:rPr>
                <w:b/>
              </w:rPr>
              <w:t>De-seasonalisation is working</w:t>
            </w:r>
            <w:r>
              <w:t xml:space="preserve"> — spring/summer categories now c.40% of Q1 revenue.</w:t>
            </w:r>
            <w:r/>
          </w:p>
          <w:p>
            <w:pPr>
              <w:pStyle w:val="ListBullet"/>
              <w:spacing w:line="240" w:lineRule="auto"/>
              <w:ind w:left="720"/>
            </w:pPr>
            <w:r/>
            <w:r>
              <w:rPr>
                <w:b/>
              </w:rPr>
              <w:t>Wholesale inflection</w:t>
            </w:r>
            <w:r>
              <w:t xml:space="preserve"> — +65% in Q1 FY2027, channel swung to profit; larger order book cited in guidance.</w:t>
            </w:r>
            <w:r/>
          </w:p>
          <w:p>
            <w:pPr>
              <w:pStyle w:val="ListBullet"/>
              <w:spacing w:line="240" w:lineRule="auto"/>
              <w:ind w:left="720"/>
            </w:pPr>
            <w:r/>
            <w:r>
              <w:rPr>
                <w:b/>
              </w:rPr>
              <w:t>Pricing power intact</w:t>
            </w:r>
            <w:r>
              <w:t xml:space="preserve"> — c.70% gross margin sustained through a demand downturn.</w:t>
            </w:r>
            <w:r/>
          </w:p>
          <w:p>
            <w:pPr>
              <w:pStyle w:val="ListBullet"/>
              <w:spacing w:line="240" w:lineRule="auto"/>
              <w:ind w:left="720"/>
            </w:pPr>
            <w:r/>
            <w:r>
              <w:rPr>
                <w:b/>
              </w:rPr>
              <w:t>Take-private optionality</w:t>
            </w:r>
            <w:r>
              <w:t xml:space="preserve"> — a motivated 55.5%-voting controller and multiple credible bidders.</w:t>
            </w:r>
            <w:r/>
          </w:p>
          <w:p>
            <w:pPr>
              <w:pStyle w:val="ListBullet"/>
              <w:spacing w:line="240" w:lineRule="auto"/>
              <w:ind w:left="720"/>
            </w:pPr>
            <w:r/>
            <w:r>
              <w:rPr>
                <w:b/>
              </w:rPr>
              <w:t>Extreme short interest</w:t>
            </w:r>
            <w:r>
              <w:t xml:space="preserve"> — 28.5% of float; asymmetric upside on any good news.</w:t>
            </w:r>
            <w:r/>
          </w:p>
          <w:p>
            <w:pPr>
              <w:pStyle w:val="ListBullet"/>
              <w:spacing w:line="240" w:lineRule="auto"/>
              <w:ind w:left="720"/>
            </w:pPr>
            <w:r/>
            <w:r>
              <w:rPr>
                <w:b/>
              </w:rPr>
              <w:t>Portfolio simplification</w:t>
            </w:r>
            <w:r>
              <w:t xml:space="preserve"> — Baffin disposal, store pruning, cost discipline.</w:t>
            </w:r>
            <w:r/>
          </w:p>
          <w:p>
            <w:pPr>
              <w:pStyle w:val="ListBullet"/>
              <w:spacing w:line="240" w:lineRule="auto"/>
              <w:ind w:left="720"/>
            </w:pPr>
            <w:r/>
            <w:r>
              <w:rPr>
                <w:b/>
              </w:rPr>
              <w:t>Balance sheet is not the problem</w:t>
            </w:r>
            <w:r>
              <w:t xml:space="preserve"> — 1.3x net leverage, C$408.2m cash.</w:t>
            </w:r>
            <w:r/>
          </w:p>
          <w:p>
            <w:pPr>
              <w:pStyle w:val="ListBullet"/>
              <w:spacing w:line="240" w:lineRule="auto"/>
              <w:ind w:left="720"/>
            </w:pPr>
            <w:r/>
            <w:r>
              <w:rPr>
                <w:b/>
              </w:rPr>
              <w:t>EMEA momentum</w:t>
            </w:r>
            <w:r>
              <w:t xml:space="preserve"> — +25% constant currency in Q4 FY2026.</w:t>
            </w:r>
            <w:r/>
            <w:r/>
          </w:p>
        </w:tc>
        <w:tc>
          <w:tcPr>
            <w:tcW w:type="dxa" w:w="5256"/>
          </w:tcPr>
          <w:p>
            <w:r/>
            <w:r/>
          </w:p>
          <w:p>
            <w:pPr>
              <w:pStyle w:val="ListBullet"/>
              <w:spacing w:line="240" w:lineRule="auto"/>
              <w:ind w:left="720"/>
            </w:pPr>
            <w:r/>
            <w:r>
              <w:rPr>
                <w:b/>
              </w:rPr>
              <w:t>DTC comps have turned negative</w:t>
            </w:r>
            <w:r>
              <w:t xml:space="preserve"> — -3.2% in Q1 FY2027 after +8.4% in FY2026. The most important negative datapoint in the file.</w:t>
            </w:r>
            <w:r/>
          </w:p>
          <w:p>
            <w:pPr>
              <w:pStyle w:val="ListBullet"/>
              <w:spacing w:line="240" w:lineRule="auto"/>
              <w:ind w:left="720"/>
            </w:pPr>
            <w:r/>
            <w:r>
              <w:rPr>
                <w:b/>
              </w:rPr>
              <w:t>Cost base out of control in FY2026</w:t>
            </w:r>
            <w:r>
              <w:t xml:space="preserve"> — SG&amp;A +25.4% vs revenue +13.3%; operating income -45.9%.</w:t>
            </w:r>
            <w:r/>
          </w:p>
          <w:p>
            <w:pPr>
              <w:pStyle w:val="ListBullet"/>
              <w:spacing w:line="240" w:lineRule="auto"/>
              <w:ind w:left="720"/>
            </w:pPr>
            <w:r/>
            <w:r>
              <w:rPr>
                <w:b/>
              </w:rPr>
              <w:t>China concentration</w:t>
            </w:r>
            <w:r>
              <w:t xml:space="preserve"> — 32.6% of revenue in the most competitive and politically exposed market.</w:t>
            </w:r>
            <w:r/>
          </w:p>
          <w:p>
            <w:pPr>
              <w:pStyle w:val="ListBullet"/>
              <w:spacing w:line="240" w:lineRule="auto"/>
              <w:ind w:left="720"/>
            </w:pPr>
            <w:r/>
            <w:r>
              <w:rPr>
                <w:b/>
              </w:rPr>
              <w:t>Tariffs</w:t>
            </w:r>
            <w:r>
              <w:t xml:space="preserve"> — up to 200bps of operating margin, against 11–12% guided.</w:t>
            </w:r>
            <w:r/>
          </w:p>
          <w:p>
            <w:pPr>
              <w:pStyle w:val="ListBullet"/>
              <w:spacing w:line="240" w:lineRule="auto"/>
              <w:ind w:left="720"/>
            </w:pPr>
            <w:r/>
            <w:r>
              <w:rPr>
                <w:b/>
              </w:rPr>
              <w:t>Structural seasonality</w:t>
            </w:r>
            <w:r>
              <w:t xml:space="preserve"> — a business that loses c.C$104m every first quarter.</w:t>
            </w:r>
            <w:r/>
          </w:p>
          <w:p>
            <w:pPr>
              <w:pStyle w:val="ListBullet"/>
              <w:spacing w:line="240" w:lineRule="auto"/>
              <w:ind w:left="720"/>
            </w:pPr>
            <w:r/>
            <w:r>
              <w:rPr>
                <w:b/>
              </w:rPr>
              <w:t>Guidance assumes demand declines</w:t>
            </w:r>
            <w:r>
              <w:t xml:space="preserve"> — management itself forecasts softer traffic, confidence and travel.</w:t>
            </w:r>
            <w:r/>
          </w:p>
          <w:p>
            <w:pPr>
              <w:pStyle w:val="ListBullet"/>
              <w:spacing w:line="240" w:lineRule="auto"/>
              <w:ind w:left="720"/>
            </w:pPr>
            <w:r/>
            <w:r>
              <w:rPr>
                <w:b/>
              </w:rPr>
              <w:t>Bosideng and Arc'teryx</w:t>
            </w:r>
            <w:r>
              <w:t xml:space="preserve"> — credible, well-capitalised competitors attacking the core.</w:t>
            </w:r>
            <w:r/>
          </w:p>
          <w:p>
            <w:pPr>
              <w:pStyle w:val="ListBullet"/>
              <w:spacing w:line="240" w:lineRule="auto"/>
              <w:ind w:left="720"/>
            </w:pPr>
            <w:r/>
            <w:r>
              <w:rPr>
                <w:b/>
              </w:rPr>
              <w:t>Governance overhang</w:t>
            </w:r>
            <w:r>
              <w:t xml:space="preserve"> — dual-class structure; minority holders cannot influence outcome.</w:t>
            </w:r>
            <w:r/>
          </w:p>
          <w:p>
            <w:pPr>
              <w:pStyle w:val="ListBullet"/>
              <w:spacing w:line="240" w:lineRule="auto"/>
              <w:ind w:left="720"/>
            </w:pPr>
            <w:r/>
            <w:r>
              <w:rPr>
                <w:b/>
              </w:rPr>
              <w:t>Climate</w:t>
            </w:r>
            <w:r>
              <w:t xml:space="preserve"> — the long-run erosion of the core occasion.</w:t>
            </w:r>
            <w:r/>
            <w:r/>
          </w:p>
        </w:tc>
      </w:tr>
    </w:tbl>
    <w:p>
      <w:r/>
    </w:p>
    <w:p>
      <w:pPr>
        <w:pStyle w:val="Heading2"/>
      </w:pPr>
      <w:r>
        <w:t>6. Competitive Moat Assessment</w:t>
      </w:r>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Moat Category</w:t>
            </w:r>
          </w:p>
        </w:tc>
        <w:tc>
          <w:tcPr>
            <w:tcW w:type="dxa" w:w="3504"/>
          </w:tcPr>
          <w:p>
            <w:r>
              <w:rPr>
                <w:b/>
              </w:rPr>
              <w:t>Rating</w:t>
            </w:r>
          </w:p>
        </w:tc>
        <w:tc>
          <w:tcPr>
            <w:tcW w:type="dxa" w:w="3504"/>
          </w:tcPr>
          <w:p>
            <w:r>
              <w:rPr>
                <w:b/>
              </w:rPr>
              <w:t>Assessment</w:t>
            </w:r>
          </w:p>
        </w:tc>
      </w:tr>
      <w:tr>
        <w:tc>
          <w:tcPr>
            <w:tcW w:type="dxa" w:w="3504"/>
          </w:tcPr>
          <w:p>
            <w:r>
              <w:rPr>
                <w:b/>
              </w:rPr>
              <w:t>Brand</w:t>
            </w:r>
          </w:p>
        </w:tc>
        <w:tc>
          <w:tcPr>
            <w:tcW w:type="dxa" w:w="3504"/>
          </w:tcPr>
          <w:p>
            <w:r>
              <w:t>Strong but narrowing</w:t>
            </w:r>
          </w:p>
        </w:tc>
        <w:tc>
          <w:tcPr>
            <w:tcW w:type="dxa" w:w="3504"/>
          </w:tcPr>
          <w:p>
            <w:r>
              <w:rPr>
                <w:b/>
              </w:rPr>
              <w:t>The only real moat, and it is genuine.</w:t>
            </w:r>
            <w:r>
              <w:t xml:space="preserve"> "Made in Canada," extreme-cold authenticity, Arctic heritage and visible logo signalling support a c.70% gross margin sustained through a demand downturn — the single hardest fact for bears to explain away. The qualification matters: the brand's authority is </w:t>
            </w:r>
            <w:r>
              <w:rPr>
                <w:b/>
              </w:rPr>
              <w:t>category-bound</w:t>
            </w:r>
            <w:r>
              <w:t xml:space="preserve"> . It licenses credibility in a -30°C parka; it does not automatically license credibility in a windbreaker, a sneaker or a sunglass, where the company competes without an inherited advantage against Arc'teryx, Nike and established eyewear houses.</w:t>
            </w:r>
          </w:p>
        </w:tc>
      </w:tr>
      <w:tr>
        <w:tc>
          <w:tcPr>
            <w:tcW w:type="dxa" w:w="3504"/>
          </w:tcPr>
          <w:p>
            <w:r>
              <w:rPr>
                <w:b/>
              </w:rPr>
              <w:t>Hard assets</w:t>
            </w:r>
          </w:p>
        </w:tc>
        <w:tc>
          <w:tcPr>
            <w:tcW w:type="dxa" w:w="3504"/>
          </w:tcPr>
          <w:p>
            <w:r>
              <w:t>Moderate</w:t>
            </w:r>
          </w:p>
        </w:tc>
        <w:tc>
          <w:tcPr>
            <w:tcW w:type="dxa" w:w="3504"/>
          </w:tcPr>
          <w:p>
            <w:r>
              <w:t xml:space="preserve">Owned Canadian manufacturing (seven-plus facilities) plus a first European facility from the Paola Confectii asset purchase. Genuinely differentiating — it underpins the "Made in Canada" claim that competitors cannot replicate — but it is also </w:t>
            </w:r>
            <w:r>
              <w:rPr>
                <w:b/>
              </w:rPr>
              <w:t>a fixed-cost anchor and a tariff liability</w:t>
            </w:r>
            <w:r>
              <w:t xml:space="preserve"> , since production cannot be moved to avoid U.S. duties without destroying the brand proposition. This is a moat that cuts both ways.</w:t>
            </w:r>
          </w:p>
        </w:tc>
      </w:tr>
      <w:tr>
        <w:tc>
          <w:tcPr>
            <w:tcW w:type="dxa" w:w="3504"/>
          </w:tcPr>
          <w:p>
            <w:r>
              <w:rPr>
                <w:b/>
              </w:rPr>
              <w:t>Long-term contracts</w:t>
            </w:r>
          </w:p>
        </w:tc>
        <w:tc>
          <w:tcPr>
            <w:tcW w:type="dxa" w:w="3504"/>
          </w:tcPr>
          <w:p>
            <w:r>
              <w:t>Weak</w:t>
            </w:r>
          </w:p>
        </w:tc>
        <w:tc>
          <w:tcPr>
            <w:tcW w:type="dxa" w:w="3504"/>
          </w:tcPr>
          <w:p>
            <w:r>
              <w:t>Effectively absent. Wholesale is seasonal order-book based, not contracted multi-year. The only genuine long-term contract is the Marchon eyewear licence — and there Canada Goose is the licensor collecting royalties, which is favourable but immaterial to group revenue.</w:t>
            </w:r>
          </w:p>
        </w:tc>
      </w:tr>
      <w:tr>
        <w:tc>
          <w:tcPr>
            <w:tcW w:type="dxa" w:w="3504"/>
          </w:tcPr>
          <w:p>
            <w:r>
              <w:rPr>
                <w:b/>
              </w:rPr>
              <w:t>Network effect</w:t>
            </w:r>
          </w:p>
        </w:tc>
        <w:tc>
          <w:tcPr>
            <w:tcW w:type="dxa" w:w="3504"/>
          </w:tcPr>
          <w:p>
            <w:r>
              <w:t>None</w:t>
            </w:r>
          </w:p>
        </w:tc>
        <w:tc>
          <w:tcPr>
            <w:tcW w:type="dxa" w:w="3504"/>
          </w:tcPr>
          <w:p>
            <w:r>
              <w:t>No network economics whatsoever. A parka's value does not increase with the number of other owners — arguably the reverse, as ubiquity has historically damaged premium outerwear brands (the "logo fatigue" problem). This is a real and underappreciated negative.</w:t>
            </w:r>
          </w:p>
        </w:tc>
      </w:tr>
      <w:tr>
        <w:tc>
          <w:tcPr>
            <w:tcW w:type="dxa" w:w="3504"/>
          </w:tcPr>
          <w:p>
            <w:r>
              <w:rPr>
                <w:b/>
              </w:rPr>
              <w:t>Regulatory barriers</w:t>
            </w:r>
          </w:p>
        </w:tc>
        <w:tc>
          <w:tcPr>
            <w:tcW w:type="dxa" w:w="3504"/>
          </w:tcPr>
          <w:p>
            <w:r>
              <w:t>None</w:t>
            </w:r>
          </w:p>
        </w:tc>
        <w:tc>
          <w:tcPr>
            <w:tcW w:type="dxa" w:w="3504"/>
          </w:tcPr>
          <w:p>
            <w:r>
              <w:t>No licensing regime, no regulatory protection. Anyone may manufacture and sell a down parka.</w:t>
            </w:r>
          </w:p>
        </w:tc>
      </w:tr>
      <w:tr>
        <w:tc>
          <w:tcPr>
            <w:tcW w:type="dxa" w:w="3504"/>
          </w:tcPr>
          <w:p>
            <w:r>
              <w:rPr>
                <w:b/>
              </w:rPr>
              <w:t>Switching costs</w:t>
            </w:r>
          </w:p>
        </w:tc>
        <w:tc>
          <w:tcPr>
            <w:tcW w:type="dxa" w:w="3504"/>
          </w:tcPr>
          <w:p>
            <w:r>
              <w:t>Very weak</w:t>
            </w:r>
          </w:p>
        </w:tc>
        <w:tc>
          <w:tcPr>
            <w:tcW w:type="dxa" w:w="3504"/>
          </w:tcPr>
          <w:p>
            <w:r>
              <w:t xml:space="preserve">Near zero. A parka is a discretionary, infrequent, high-ticket purchase with no lock-in, no ecosystem, no consumables. Worse, </w:t>
            </w:r>
            <w:r>
              <w:rPr>
                <w:b/>
              </w:rPr>
              <w:t>product durability is an anti-moat</w:t>
            </w:r>
            <w:r>
              <w:t xml:space="preserve"> : the coats are built to last a decade, so a satisfied customer is a customer who does not return. This is the structural weakness bulls most consistently underweight.</w:t>
            </w:r>
          </w:p>
        </w:tc>
      </w:tr>
      <w:tr>
        <w:tc>
          <w:tcPr>
            <w:tcW w:type="dxa" w:w="3504"/>
          </w:tcPr>
          <w:p>
            <w:r>
              <w:rPr>
                <w:b/>
              </w:rPr>
              <w:t>Industry structure</w:t>
            </w:r>
          </w:p>
        </w:tc>
        <w:tc>
          <w:tcPr>
            <w:tcW w:type="dxa" w:w="3504"/>
          </w:tcPr>
          <w:p>
            <w:r>
              <w:t>Fragmented</w:t>
            </w:r>
          </w:p>
        </w:tc>
        <w:tc>
          <w:tcPr>
            <w:tcW w:type="dxa" w:w="3504"/>
          </w:tcPr>
          <w:p>
            <w:r>
              <w:t>Not oligopolistic. Premium outerwear has low barriers to entry, numerous credible listed and private competitors, and constant new entrants. Canada Goose is a mid-sized player, not a price-setter.</w:t>
            </w:r>
          </w:p>
        </w:tc>
      </w:tr>
      <w:tr>
        <w:tc>
          <w:tcPr>
            <w:tcW w:type="dxa" w:w="3504"/>
          </w:tcPr>
          <w:p>
            <w:r>
              <w:rPr>
                <w:b/>
              </w:rPr>
              <w:t>Cash flow predictability</w:t>
            </w:r>
          </w:p>
        </w:tc>
        <w:tc>
          <w:tcPr>
            <w:tcW w:type="dxa" w:w="3504"/>
          </w:tcPr>
          <w:p>
            <w:r>
              <w:t>Poor</w:t>
            </w:r>
          </w:p>
        </w:tc>
        <w:tc>
          <w:tcPr>
            <w:tcW w:type="dxa" w:w="3504"/>
          </w:tcPr>
          <w:p>
            <w:r>
              <w:t>Extreme seasonality (Q1 adjusted EBIT margin of -87.3%), weather dependence, and demonstrated guidance volatility. Working capital swings violently through the year.</w:t>
            </w:r>
          </w:p>
        </w:tc>
      </w:tr>
      <w:tr>
        <w:tc>
          <w:tcPr>
            <w:tcW w:type="dxa" w:w="3504"/>
          </w:tcPr>
          <w:p>
            <w:r>
              <w:rPr>
                <w:b/>
              </w:rPr>
              <w:t>Scalability</w:t>
            </w:r>
          </w:p>
        </w:tc>
        <w:tc>
          <w:tcPr>
            <w:tcW w:type="dxa" w:w="3504"/>
          </w:tcPr>
          <w:p>
            <w:r>
              <w:t>Moderate</w:t>
            </w:r>
          </w:p>
        </w:tc>
        <w:tc>
          <w:tcPr>
            <w:tcW w:type="dxa" w:w="3504"/>
          </w:tcPr>
          <w:p>
            <w:r>
              <w:t xml:space="preserve">Gross margin scales beautifully; SG&amp;A has not. FY2026 is the proof: 13.3% revenue growth produced a 45.9% </w:t>
            </w:r>
            <w:r>
              <w:rPr>
                <w:i/>
              </w:rPr>
              <w:t>decline</w:t>
            </w:r>
            <w:r>
              <w:t xml:space="preserve"> in operating income. Negative operating leverage in a growth year is a serious indictment of scalability as currently managed.</w:t>
            </w:r>
          </w:p>
        </w:tc>
      </w:tr>
      <w:tr>
        <w:tc>
          <w:tcPr>
            <w:tcW w:type="dxa" w:w="3504"/>
          </w:tcPr>
          <w:p>
            <w:r>
              <w:rPr>
                <w:b/>
              </w:rPr>
              <w:t>Government interference risk</w:t>
            </w:r>
          </w:p>
        </w:tc>
        <w:tc>
          <w:tcPr>
            <w:tcW w:type="dxa" w:w="3504"/>
          </w:tcPr>
          <w:p>
            <w:r>
              <w:t>Elevated</w:t>
            </w:r>
          </w:p>
        </w:tc>
        <w:tc>
          <w:tcPr>
            <w:tcW w:type="dxa" w:w="3504"/>
          </w:tcPr>
          <w:p>
            <w:r>
              <w:t>Directly exposed to U.S.–Canada trade policy (July 2026 proposed duties), Chinese regulatory and nationalist-consumer sentiment, and animal-welfare regulation and activism — the latter already forced the fur exit.</w:t>
            </w:r>
          </w:p>
        </w:tc>
      </w:tr>
      <w:tr>
        <w:tc>
          <w:tcPr>
            <w:tcW w:type="dxa" w:w="3504"/>
          </w:tcPr>
          <w:p>
            <w:r>
              <w:rPr>
                <w:b/>
              </w:rPr>
              <w:t>Bargaining power</w:t>
            </w:r>
          </w:p>
        </w:tc>
        <w:tc>
          <w:tcPr>
            <w:tcW w:type="dxa" w:w="3504"/>
          </w:tcPr>
          <w:p>
            <w:r>
              <w:t>Mixed</w:t>
            </w:r>
          </w:p>
        </w:tc>
        <w:tc>
          <w:tcPr>
            <w:tcW w:type="dxa" w:w="3504"/>
          </w:tcPr>
          <w:p>
            <w:r>
              <w:rPr>
                <w:b/>
              </w:rPr>
              <w:t>Strong versus suppliers</w:t>
            </w:r>
            <w:r>
              <w:t xml:space="preserve"> (owned manufacturing, commodity inputs). </w:t>
            </w:r>
            <w:r>
              <w:rPr>
                <w:b/>
              </w:rPr>
              <w:t>Moderate versus consumers</w:t>
            </w:r>
            <w:r>
              <w:t xml:space="preserve"> (price increases have stuck). </w:t>
            </w:r>
            <w:r>
              <w:rPr>
                <w:b/>
              </w:rPr>
              <w:t>Weak versus wholesale partners</w:t>
            </w:r>
            <w:r>
              <w:t xml:space="preserve"> — evidenced by the bad-debt provision and by an arbitration loss to a former supplier that was large enough to move full-year SG&amp;A.</w:t>
            </w:r>
          </w:p>
        </w:tc>
      </w:tr>
    </w:tbl>
    <w:p>
      <w:r/>
      <w:r/>
      <w:r>
        <w:rPr>
          <w:b/>
        </w:rPr>
        <w:t>Moat verdict.</w:t>
      </w:r>
      <w:r>
        <w:t xml:space="preserve"> Canada Goose has </w:t>
      </w:r>
      <w:r>
        <w:rPr>
          <w:b/>
        </w:rPr>
        <w:t>one moat — brand — resting on a business with structurally weak moat characteristics everywhere else.</w:t>
      </w:r>
      <w:r>
        <w:t xml:space="preserve"> There are no switching costs, no network effects, no regulatory protection, no contracted revenue, and poor cash-flow predictability. The brand is real and is worth paying for; it is not, on its own, sufficient to make this a compounder. It is sufficient to make it an </w:t>
      </w:r>
      <w:r>
        <w:rPr>
          <w:b/>
        </w:rPr>
        <w:t>attractive asset for a private owner</w:t>
      </w:r>
      <w:r>
        <w:t xml:space="preserve"> who can restructure the cost base away from quarterly scrutiny — which is precisely what the bid interest reflects.</w:t>
      </w:r>
      <w:r/>
    </w:p>
    <w:p>
      <w:pPr>
        <w:pStyle w:val="Heading2"/>
      </w:pPr>
      <w:r>
        <w:t>7. Supply Chain Map</w:t>
      </w:r>
      <w:r/>
    </w:p>
    <w:p>
      <w:r/>
      <w:r>
        <w:t>Canada Goose sits unusually far upstream for a luxury brand: it is both brand owner and manufacturer, which compresses the chain and captures margin that peers surrender to third-party producers.</w:t>
      </w:r>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Stage</w:t>
            </w:r>
          </w:p>
        </w:tc>
        <w:tc>
          <w:tcPr>
            <w:tcW w:type="dxa" w:w="3504"/>
          </w:tcPr>
          <w:p>
            <w:r>
              <w:rPr>
                <w:b/>
              </w:rPr>
              <w:t>Participants (named where identifiable)</w:t>
            </w:r>
          </w:p>
        </w:tc>
        <w:tc>
          <w:tcPr>
            <w:tcW w:type="dxa" w:w="3504"/>
          </w:tcPr>
          <w:p>
            <w:r>
              <w:rPr>
                <w:b/>
              </w:rPr>
              <w:t>Canada Goose's position and economics</w:t>
            </w:r>
          </w:p>
        </w:tc>
      </w:tr>
      <w:tr>
        <w:tc>
          <w:tcPr>
            <w:tcW w:type="dxa" w:w="3504"/>
          </w:tcPr>
          <w:p>
            <w:r>
              <w:rPr>
                <w:b/>
              </w:rPr>
              <w:t>1. Raw material origin</w:t>
            </w:r>
          </w:p>
        </w:tc>
        <w:tc>
          <w:tcPr>
            <w:tcW w:type="dxa" w:w="3504"/>
          </w:tcPr>
          <w:p>
            <w:r>
              <w:t>Canadian and international poultry/agriculture producers (down and feather as a by-product of the food industry); wool growers (non-mulesed certified); petrochemical producers for synthetic technical fibres</w:t>
            </w:r>
          </w:p>
        </w:tc>
        <w:tc>
          <w:tcPr>
            <w:tcW w:type="dxa" w:w="3504"/>
          </w:tcPr>
          <w:p>
            <w:r>
              <w:t xml:space="preserve">No ownership. Exposed to commodity price movement and to animal-welfare scrutiny at the origin point. Governed via </w:t>
            </w:r>
            <w:r>
              <w:rPr>
                <w:b/>
              </w:rPr>
              <w:t>Responsible Down Standard</w:t>
            </w:r>
            <w:r>
              <w:t xml:space="preserve"> certification.</w:t>
            </w:r>
          </w:p>
        </w:tc>
      </w:tr>
      <w:tr>
        <w:tc>
          <w:tcPr>
            <w:tcW w:type="dxa" w:w="3504"/>
          </w:tcPr>
          <w:p>
            <w:r>
              <w:rPr>
                <w:b/>
              </w:rPr>
              <w:t>2. Input processing</w:t>
            </w:r>
          </w:p>
        </w:tc>
        <w:tc>
          <w:tcPr>
            <w:tcW w:type="dxa" w:w="3504"/>
          </w:tcPr>
          <w:p>
            <w:r>
              <w:rPr>
                <w:b/>
              </w:rPr>
              <w:t>Feather Industries Canada</w:t>
            </w:r>
            <w:r>
              <w:t xml:space="preserve"> (Toronto, est. 1946); </w:t>
            </w:r>
            <w:r>
              <w:rPr>
                <w:b/>
              </w:rPr>
              <w:t>Northern Goose Down</w:t>
            </w:r>
            <w:r>
              <w:t xml:space="preserve"> (Manitoba); </w:t>
            </w:r>
            <w:r>
              <w:rPr>
                <w:b/>
              </w:rPr>
              <w:t>Canadian Down &amp; Feather Company</w:t>
            </w:r>
            <w:r>
              <w:t xml:space="preserve"> ; Downmark-member processors; technical textile mills</w:t>
            </w:r>
          </w:p>
        </w:tc>
        <w:tc>
          <w:tcPr>
            <w:tcW w:type="dxa" w:w="3504"/>
          </w:tcPr>
          <w:p>
            <w:r>
              <w:t>Purchases processed, RDS-certified down. Strong bargaining power — inputs are commoditised and multi-sourced. 100% of Canadian-manufacturing down is RDS-certified.</w:t>
            </w:r>
          </w:p>
        </w:tc>
      </w:tr>
      <w:tr>
        <w:tc>
          <w:tcPr>
            <w:tcW w:type="dxa" w:w="3504"/>
          </w:tcPr>
          <w:p>
            <w:r>
              <w:rPr>
                <w:b/>
              </w:rPr>
              <w:t>3. Component supply</w:t>
            </w:r>
          </w:p>
        </w:tc>
        <w:tc>
          <w:tcPr>
            <w:tcW w:type="dxa" w:w="3504"/>
          </w:tcPr>
          <w:p>
            <w:r>
              <w:t xml:space="preserve">Zipper, trim, fastener, thread, label and packaging suppliers; former supplier subject to FY2026 </w:t>
            </w:r>
            <w:r>
              <w:rPr>
                <w:b/>
              </w:rPr>
              <w:t>arbitration payment</w:t>
            </w:r>
          </w:p>
        </w:tc>
        <w:tc>
          <w:tcPr>
            <w:tcW w:type="dxa" w:w="3504"/>
          </w:tcPr>
          <w:p>
            <w:r>
              <w:t>Fragmented supplier base. The FY2026 arbitration loss shows contract risk is real and financially material at this stage.</w:t>
            </w:r>
          </w:p>
        </w:tc>
      </w:tr>
      <w:tr>
        <w:tc>
          <w:tcPr>
            <w:tcW w:type="dxa" w:w="3504"/>
          </w:tcPr>
          <w:p>
            <w:r>
              <w:rPr>
                <w:b/>
              </w:rPr>
              <w:t>4. Manufacturing</w:t>
            </w:r>
          </w:p>
        </w:tc>
        <w:tc>
          <w:tcPr>
            <w:tcW w:type="dxa" w:w="3504"/>
          </w:tcPr>
          <w:p>
            <w:r>
              <w:rPr>
                <w:b/>
              </w:rPr>
              <w:t>Canada Goose owned facilities</w:t>
            </w:r>
            <w:r>
              <w:t xml:space="preserve"> — seven-plus across Canada, plus first European facility via the </w:t>
            </w:r>
            <w:r>
              <w:rPr>
                <w:b/>
              </w:rPr>
              <w:t>Paola Confectii Manufacturing</w:t>
            </w:r>
            <w:r>
              <w:t xml:space="preserve"> asset acquisition. Third-party contract manufacturers for non-core categories (knitwear, footwear, accessories, largely Asia-based)</w:t>
            </w:r>
          </w:p>
        </w:tc>
        <w:tc>
          <w:tcPr>
            <w:tcW w:type="dxa" w:w="3504"/>
          </w:tcPr>
          <w:p>
            <w:r>
              <w:rPr>
                <w:b/>
              </w:rPr>
              <w:t>The critical differentiator.</w:t>
            </w:r>
            <w:r>
              <w:t xml:space="preserve"> Vertical integration underpins "Made in Canada," protects quality and captures manufacturing margin. Also the source of fixed-cost rigidity and tariff exposure. Over C$7m invested across three years to electrify Canadian facilities; 100% of facilities environmentally and socially audited.</w:t>
            </w:r>
          </w:p>
        </w:tc>
      </w:tr>
      <w:tr>
        <w:tc>
          <w:tcPr>
            <w:tcW w:type="dxa" w:w="3504"/>
          </w:tcPr>
          <w:p>
            <w:r>
              <w:rPr>
                <w:b/>
              </w:rPr>
              <w:t>5. Licensed production</w:t>
            </w:r>
          </w:p>
        </w:tc>
        <w:tc>
          <w:tcPr>
            <w:tcW w:type="dxa" w:w="3504"/>
          </w:tcPr>
          <w:p>
            <w:r>
              <w:rPr>
                <w:b/>
              </w:rPr>
              <w:t>Marchon Eyewear</w:t>
            </w:r>
            <w:r>
              <w:t xml:space="preserve"> (VSP Global) — exclusive long-term global eyewear licence</w:t>
            </w:r>
          </w:p>
        </w:tc>
        <w:tc>
          <w:tcPr>
            <w:tcW w:type="dxa" w:w="3504"/>
          </w:tcPr>
          <w:p>
            <w:r>
              <w:t>Canada Goose is licensor: it contributes brand and design direction, receives royalties, commits no capital. Highest-return model in the portfolio.</w:t>
            </w:r>
          </w:p>
        </w:tc>
      </w:tr>
      <w:tr>
        <w:tc>
          <w:tcPr>
            <w:tcW w:type="dxa" w:w="3504"/>
          </w:tcPr>
          <w:p>
            <w:r>
              <w:rPr>
                <w:b/>
              </w:rPr>
              <w:t>6. Distribution &amp; logistics</w:t>
            </w:r>
          </w:p>
        </w:tc>
        <w:tc>
          <w:tcPr>
            <w:tcW w:type="dxa" w:w="3504"/>
          </w:tcPr>
          <w:p>
            <w:r>
              <w:t>Global 3PL providers; EMEA logistics network under active upgrade in FY2027; regional distribution centres</w:t>
            </w:r>
          </w:p>
        </w:tc>
        <w:tc>
          <w:tcPr>
            <w:tcW w:type="dxa" w:w="3504"/>
          </w:tcPr>
          <w:p>
            <w:r>
              <w:t>Owned/managed network. EMEA logistics and e-commerce upgrades are a stated FY2027 investment priority and a near-term cost drag.</w:t>
            </w:r>
          </w:p>
        </w:tc>
      </w:tr>
      <w:tr>
        <w:tc>
          <w:tcPr>
            <w:tcW w:type="dxa" w:w="3504"/>
          </w:tcPr>
          <w:p>
            <w:r>
              <w:rPr>
                <w:b/>
              </w:rPr>
              <w:t>7a. Own retail (DTC)</w:t>
            </w:r>
          </w:p>
        </w:tc>
        <w:tc>
          <w:tcPr>
            <w:tcW w:type="dxa" w:w="3504"/>
          </w:tcPr>
          <w:p>
            <w:r>
              <w:t>88 company-operated stores globally; canadagoose.com regional e-commerce</w:t>
            </w:r>
          </w:p>
        </w:tc>
        <w:tc>
          <w:tcPr>
            <w:tcW w:type="dxa" w:w="3504"/>
          </w:tcPr>
          <w:p>
            <w:r>
              <w:rPr>
                <w:b/>
              </w:rPr>
              <w:t>75.7% of revenue.</w:t>
            </w:r>
            <w:r>
              <w:t xml:space="preserve"> Full price capture; carries rent, labour, depreciation. Source of the C$8.4m FY2026 impairment.</w:t>
            </w:r>
          </w:p>
        </w:tc>
      </w:tr>
      <w:tr>
        <w:tc>
          <w:tcPr>
            <w:tcW w:type="dxa" w:w="3504"/>
          </w:tcPr>
          <w:p>
            <w:r>
              <w:rPr>
                <w:b/>
              </w:rPr>
              <w:t>7b. Wholesale</w:t>
            </w:r>
          </w:p>
        </w:tc>
        <w:tc>
          <w:tcPr>
            <w:tcW w:type="dxa" w:w="3504"/>
          </w:tcPr>
          <w:p>
            <w:r>
              <w:t>Department stores, outdoor specialty retailers, international distributors (incl. the U.S. partner subject to the FY2026 bad-debt provision)</w:t>
            </w:r>
          </w:p>
        </w:tc>
        <w:tc>
          <w:tcPr>
            <w:tcW w:type="dxa" w:w="3504"/>
          </w:tcPr>
          <w:p>
            <w:r>
              <w:rPr>
                <w:b/>
              </w:rPr>
              <w:t>19.1% of revenue.</w:t>
            </w:r>
            <w:r>
              <w:t xml:space="preserve"> Lower gross margin, minimal fixed cost, earlier cash, forward order visibility — and counterparty credit risk.</w:t>
            </w:r>
          </w:p>
        </w:tc>
      </w:tr>
      <w:tr>
        <w:tc>
          <w:tcPr>
            <w:tcW w:type="dxa" w:w="3504"/>
          </w:tcPr>
          <w:p>
            <w:r>
              <w:rPr>
                <w:b/>
              </w:rPr>
              <w:t>7c. Divested / third-party</w:t>
            </w:r>
          </w:p>
        </w:tc>
        <w:tc>
          <w:tcPr>
            <w:tcW w:type="dxa" w:w="3504"/>
          </w:tcPr>
          <w:p>
            <w:r>
              <w:rPr>
                <w:b/>
              </w:rPr>
              <w:t>Baffin Limited</w:t>
            </w:r>
            <w:r>
              <w:t xml:space="preserve"> → sold to </w:t>
            </w:r>
            <w:r>
              <w:rPr>
                <w:b/>
              </w:rPr>
              <w:t>L.P. Royer Inc.</w:t>
            </w:r>
            <w:r>
              <w:t xml:space="preserve"> (Aug 2026); third-party manufacturing customers</w:t>
            </w:r>
          </w:p>
        </w:tc>
        <w:tc>
          <w:tcPr>
            <w:tcW w:type="dxa" w:w="3504"/>
          </w:tcPr>
          <w:p>
            <w:r>
              <w:t>The "Other" segment, 5.2% of revenue and shrinking by design.</w:t>
            </w:r>
          </w:p>
        </w:tc>
      </w:tr>
      <w:tr>
        <w:tc>
          <w:tcPr>
            <w:tcW w:type="dxa" w:w="3504"/>
          </w:tcPr>
          <w:p>
            <w:r>
              <w:rPr>
                <w:b/>
              </w:rPr>
              <w:t>8. End customer</w:t>
            </w:r>
          </w:p>
        </w:tc>
        <w:tc>
          <w:tcPr>
            <w:tcW w:type="dxa" w:w="3504"/>
          </w:tcPr>
          <w:p>
            <w:r>
              <w:t>Affluent and aspirational consumers, concentrated in Greater China (32.6%), U.S. (25.2%), Canada (17.1%), EMEA (16.6%), APAC ex-China (8.5%)</w:t>
            </w:r>
          </w:p>
        </w:tc>
        <w:tc>
          <w:tcPr>
            <w:tcW w:type="dxa" w:w="3504"/>
          </w:tcPr>
          <w:p>
            <w:r>
              <w:t>No single-customer concentration. Cohort concentration in Chinese luxury consumers is the dominant demand risk.</w:t>
            </w:r>
          </w:p>
        </w:tc>
      </w:tr>
      <w:tr>
        <w:tc>
          <w:tcPr>
            <w:tcW w:type="dxa" w:w="3504"/>
          </w:tcPr>
          <w:p>
            <w:r>
              <w:rPr>
                <w:b/>
              </w:rPr>
              <w:t>Secondary market</w:t>
            </w:r>
          </w:p>
        </w:tc>
        <w:tc>
          <w:tcPr>
            <w:tcW w:type="dxa" w:w="3504"/>
          </w:tcPr>
          <w:p>
            <w:r>
              <w:t>Resale platforms; grey market; counterfeiters</w:t>
            </w:r>
          </w:p>
        </w:tc>
        <w:tc>
          <w:tcPr>
            <w:tcW w:type="dxa" w:w="3504"/>
          </w:tcPr>
          <w:p>
            <w:r>
              <w:t>Strong resale values support brand equity. Counterfeiting is a persistent, unquantified brand-dilution drag.</w:t>
            </w:r>
          </w:p>
        </w:tc>
      </w:tr>
      <w:tr>
        <w:tc>
          <w:tcPr>
            <w:tcW w:type="dxa" w:w="3504"/>
          </w:tcPr>
          <w:p>
            <w:r>
              <w:rPr>
                <w:b/>
              </w:rPr>
              <w:t>Capital &amp; advisory</w:t>
            </w:r>
          </w:p>
        </w:tc>
        <w:tc>
          <w:tcPr>
            <w:tcW w:type="dxa" w:w="3504"/>
          </w:tcPr>
          <w:p>
            <w:r>
              <w:rPr>
                <w:b/>
              </w:rPr>
              <w:t>Bain Capital</w:t>
            </w:r>
            <w:r>
              <w:t xml:space="preserve"> (55.5% voting control); </w:t>
            </w:r>
            <w:r>
              <w:rPr>
                <w:b/>
              </w:rPr>
              <w:t>Goldman Sachs</w:t>
            </w:r>
            <w:r>
              <w:t xml:space="preserve"> (advising Bain on sale process); lending syndicate (C$416.8m term loan)</w:t>
            </w:r>
          </w:p>
        </w:tc>
        <w:tc>
          <w:tcPr>
            <w:tcW w:type="dxa" w:w="3504"/>
          </w:tcPr>
          <w:p>
            <w:r>
              <w:t>Bain is the decisive stakeholder in the equity's outcome — arguably more important than any operating variable.</w:t>
            </w:r>
          </w:p>
        </w:tc>
      </w:tr>
    </w:tbl>
    <w:p>
      <w:r/>
    </w:p>
    <w:p>
      <w:pPr>
        <w:pStyle w:val="Heading2"/>
      </w:pPr>
      <w:r>
        <w:t>8. Financial Breakdown by Division and Geography</w:t>
      </w:r>
      <w:r/>
    </w:p>
    <w:p>
      <w:pPr>
        <w:pStyle w:val="Heading3"/>
      </w:pPr>
      <w:r>
        <w:t>8.1 Group income statement summary (C$ millions, except per-share)</w:t>
      </w:r>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b/>
              </w:rPr>
              <w:t>Metric</w:t>
            </w:r>
          </w:p>
        </w:tc>
        <w:tc>
          <w:tcPr>
            <w:tcW w:type="dxa" w:w="1752"/>
          </w:tcPr>
          <w:p>
            <w:r>
              <w:rPr>
                <w:b/>
              </w:rPr>
              <w:t>FY2022</w:t>
            </w:r>
          </w:p>
        </w:tc>
        <w:tc>
          <w:tcPr>
            <w:tcW w:type="dxa" w:w="1752"/>
          </w:tcPr>
          <w:p>
            <w:r>
              <w:rPr>
                <w:b/>
              </w:rPr>
              <w:t>FY2023</w:t>
            </w:r>
          </w:p>
        </w:tc>
        <w:tc>
          <w:tcPr>
            <w:tcW w:type="dxa" w:w="1752"/>
          </w:tcPr>
          <w:p>
            <w:r>
              <w:rPr>
                <w:b/>
              </w:rPr>
              <w:t>FY2024</w:t>
            </w:r>
          </w:p>
        </w:tc>
        <w:tc>
          <w:tcPr>
            <w:tcW w:type="dxa" w:w="1752"/>
          </w:tcPr>
          <w:p>
            <w:r>
              <w:rPr>
                <w:b/>
              </w:rPr>
              <w:t>FY2025</w:t>
            </w:r>
          </w:p>
        </w:tc>
        <w:tc>
          <w:tcPr>
            <w:tcW w:type="dxa" w:w="1752"/>
          </w:tcPr>
          <w:p>
            <w:r>
              <w:rPr>
                <w:b/>
              </w:rPr>
              <w:t>FY2026</w:t>
            </w:r>
          </w:p>
        </w:tc>
      </w:tr>
      <w:tr>
        <w:tc>
          <w:tcPr>
            <w:tcW w:type="dxa" w:w="1752"/>
          </w:tcPr>
          <w:p>
            <w:r>
              <w:rPr>
                <w:b/>
              </w:rPr>
              <w:t>Revenue</w:t>
            </w:r>
          </w:p>
        </w:tc>
        <w:tc>
          <w:tcPr>
            <w:tcW w:type="dxa" w:w="1752"/>
          </w:tcPr>
          <w:p>
            <w:r>
              <w:t>1,098.4</w:t>
            </w:r>
          </w:p>
        </w:tc>
        <w:tc>
          <w:tcPr>
            <w:tcW w:type="dxa" w:w="1752"/>
          </w:tcPr>
          <w:p>
            <w:r>
              <w:t>1,217.0</w:t>
            </w:r>
          </w:p>
        </w:tc>
        <w:tc>
          <w:tcPr>
            <w:tcW w:type="dxa" w:w="1752"/>
          </w:tcPr>
          <w:p>
            <w:r>
              <w:t>1,333.8</w:t>
            </w:r>
          </w:p>
        </w:tc>
        <w:tc>
          <w:tcPr>
            <w:tcW w:type="dxa" w:w="1752"/>
          </w:tcPr>
          <w:p>
            <w:r>
              <w:t>1,348.4</w:t>
            </w:r>
          </w:p>
        </w:tc>
        <w:tc>
          <w:tcPr>
            <w:tcW w:type="dxa" w:w="1752"/>
          </w:tcPr>
          <w:p>
            <w:r>
              <w:rPr>
                <w:b/>
              </w:rPr>
              <w:t>1,528.2</w:t>
            </w:r>
          </w:p>
        </w:tc>
      </w:tr>
      <w:tr>
        <w:tc>
          <w:tcPr>
            <w:tcW w:type="dxa" w:w="1752"/>
          </w:tcPr>
          <w:p>
            <w:r>
              <w:t>Revenue growth %</w:t>
            </w:r>
          </w:p>
        </w:tc>
        <w:tc>
          <w:tcPr>
            <w:tcW w:type="dxa" w:w="1752"/>
          </w:tcPr>
          <w:p>
            <w:r>
              <w:t>—</w:t>
            </w:r>
          </w:p>
        </w:tc>
        <w:tc>
          <w:tcPr>
            <w:tcW w:type="dxa" w:w="1752"/>
          </w:tcPr>
          <w:p>
            <w:r>
              <w:t>10.8%</w:t>
            </w:r>
          </w:p>
        </w:tc>
        <w:tc>
          <w:tcPr>
            <w:tcW w:type="dxa" w:w="1752"/>
          </w:tcPr>
          <w:p>
            <w:r>
              <w:t>9.6%</w:t>
            </w:r>
          </w:p>
        </w:tc>
        <w:tc>
          <w:tcPr>
            <w:tcW w:type="dxa" w:w="1752"/>
          </w:tcPr>
          <w:p>
            <w:r>
              <w:t>1.1%</w:t>
            </w:r>
          </w:p>
        </w:tc>
        <w:tc>
          <w:tcPr>
            <w:tcW w:type="dxa" w:w="1752"/>
          </w:tcPr>
          <w:p>
            <w:r>
              <w:t>13.3%</w:t>
            </w:r>
          </w:p>
        </w:tc>
      </w:tr>
      <w:tr>
        <w:tc>
          <w:tcPr>
            <w:tcW w:type="dxa" w:w="1752"/>
          </w:tcPr>
          <w:p>
            <w:r>
              <w:t>Gross profit</w:t>
            </w:r>
          </w:p>
        </w:tc>
        <w:tc>
          <w:tcPr>
            <w:tcW w:type="dxa" w:w="1752"/>
          </w:tcPr>
          <w:p>
            <w:r>
              <w:t>n/d</w:t>
            </w:r>
          </w:p>
        </w:tc>
        <w:tc>
          <w:tcPr>
            <w:tcW w:type="dxa" w:w="1752"/>
          </w:tcPr>
          <w:p>
            <w:r>
              <w:t>n/d</w:t>
            </w:r>
          </w:p>
        </w:tc>
        <w:tc>
          <w:tcPr>
            <w:tcW w:type="dxa" w:w="1752"/>
          </w:tcPr>
          <w:p>
            <w:r>
              <w:t>917.7 (D)</w:t>
            </w:r>
          </w:p>
        </w:tc>
        <w:tc>
          <w:tcPr>
            <w:tcW w:type="dxa" w:w="1752"/>
          </w:tcPr>
          <w:p>
            <w:r>
              <w:t>943.1</w:t>
            </w:r>
          </w:p>
        </w:tc>
        <w:tc>
          <w:tcPr>
            <w:tcW w:type="dxa" w:w="1752"/>
          </w:tcPr>
          <w:p>
            <w:r>
              <w:t>1,065.5</w:t>
            </w:r>
          </w:p>
        </w:tc>
      </w:tr>
      <w:tr>
        <w:tc>
          <w:tcPr>
            <w:tcW w:type="dxa" w:w="1752"/>
          </w:tcPr>
          <w:p>
            <w:r>
              <w:t>Gross margin %</w:t>
            </w:r>
          </w:p>
        </w:tc>
        <w:tc>
          <w:tcPr>
            <w:tcW w:type="dxa" w:w="1752"/>
          </w:tcPr>
          <w:p>
            <w:r>
              <w:t>n/d</w:t>
            </w:r>
          </w:p>
        </w:tc>
        <w:tc>
          <w:tcPr>
            <w:tcW w:type="dxa" w:w="1752"/>
          </w:tcPr>
          <w:p>
            <w:r>
              <w:t>n/d</w:t>
            </w:r>
          </w:p>
        </w:tc>
        <w:tc>
          <w:tcPr>
            <w:tcW w:type="dxa" w:w="1752"/>
          </w:tcPr>
          <w:p>
            <w:r>
              <w:t>68.8%</w:t>
            </w:r>
          </w:p>
        </w:tc>
        <w:tc>
          <w:tcPr>
            <w:tcW w:type="dxa" w:w="1752"/>
          </w:tcPr>
          <w:p>
            <w:r>
              <w:t>69.9%</w:t>
            </w:r>
          </w:p>
        </w:tc>
        <w:tc>
          <w:tcPr>
            <w:tcW w:type="dxa" w:w="1752"/>
          </w:tcPr>
          <w:p>
            <w:r>
              <w:t>69.7%</w:t>
            </w:r>
          </w:p>
        </w:tc>
      </w:tr>
      <w:tr>
        <w:tc>
          <w:tcPr>
            <w:tcW w:type="dxa" w:w="1752"/>
          </w:tcPr>
          <w:p>
            <w:r>
              <w:t>SGA</w:t>
            </w:r>
          </w:p>
        </w:tc>
        <w:tc>
          <w:tcPr>
            <w:tcW w:type="dxa" w:w="1752"/>
          </w:tcPr>
          <w:p>
            <w:r>
              <w:t>n/d</w:t>
            </w:r>
          </w:p>
        </w:tc>
        <w:tc>
          <w:tcPr>
            <w:tcW w:type="dxa" w:w="1752"/>
          </w:tcPr>
          <w:p>
            <w:r>
              <w:t>n/d</w:t>
            </w:r>
          </w:p>
        </w:tc>
        <w:tc>
          <w:tcPr>
            <w:tcW w:type="dxa" w:w="1752"/>
          </w:tcPr>
          <w:p>
            <w:r>
              <w:t>n/d</w:t>
            </w:r>
          </w:p>
        </w:tc>
        <w:tc>
          <w:tcPr>
            <w:tcW w:type="dxa" w:w="1752"/>
          </w:tcPr>
          <w:p>
            <w:r>
              <w:t>779.0</w:t>
            </w:r>
          </w:p>
        </w:tc>
        <w:tc>
          <w:tcPr>
            <w:tcW w:type="dxa" w:w="1752"/>
          </w:tcPr>
          <w:p>
            <w:r>
              <w:t>976.7</w:t>
            </w:r>
          </w:p>
        </w:tc>
      </w:tr>
      <w:tr>
        <w:tc>
          <w:tcPr>
            <w:tcW w:type="dxa" w:w="1752"/>
          </w:tcPr>
          <w:p>
            <w:r>
              <w:t>SG&amp;A growth %</w:t>
            </w:r>
          </w:p>
        </w:tc>
        <w:tc>
          <w:tcPr>
            <w:tcW w:type="dxa" w:w="1752"/>
          </w:tcPr>
          <w:p>
            <w:r>
              <w:t>—</w:t>
            </w:r>
          </w:p>
        </w:tc>
        <w:tc>
          <w:tcPr>
            <w:tcW w:type="dxa" w:w="1752"/>
          </w:tcPr>
          <w:p>
            <w:r>
              <w:t>—</w:t>
            </w:r>
          </w:p>
        </w:tc>
        <w:tc>
          <w:tcPr>
            <w:tcW w:type="dxa" w:w="1752"/>
          </w:tcPr>
          <w:p>
            <w:r>
              <w:t>—</w:t>
            </w:r>
          </w:p>
        </w:tc>
        <w:tc>
          <w:tcPr>
            <w:tcW w:type="dxa" w:w="1752"/>
          </w:tcPr>
          <w:p>
            <w:r>
              <w:t>—</w:t>
            </w:r>
          </w:p>
        </w:tc>
        <w:tc>
          <w:tcPr>
            <w:tcW w:type="dxa" w:w="1752"/>
          </w:tcPr>
          <w:p>
            <w:r>
              <w:t>25.4% (D)</w:t>
            </w:r>
          </w:p>
        </w:tc>
      </w:tr>
      <w:tr>
        <w:tc>
          <w:tcPr>
            <w:tcW w:type="dxa" w:w="1752"/>
          </w:tcPr>
          <w:p>
            <w:r>
              <w:t>SG&amp;A as % of revenue</w:t>
            </w:r>
          </w:p>
        </w:tc>
        <w:tc>
          <w:tcPr>
            <w:tcW w:type="dxa" w:w="1752"/>
          </w:tcPr>
          <w:p>
            <w:r>
              <w:t>n/d</w:t>
            </w:r>
          </w:p>
        </w:tc>
        <w:tc>
          <w:tcPr>
            <w:tcW w:type="dxa" w:w="1752"/>
          </w:tcPr>
          <w:p>
            <w:r>
              <w:t>n/d</w:t>
            </w:r>
          </w:p>
        </w:tc>
        <w:tc>
          <w:tcPr>
            <w:tcW w:type="dxa" w:w="1752"/>
          </w:tcPr>
          <w:p>
            <w:r>
              <w:t>n/d</w:t>
            </w:r>
          </w:p>
        </w:tc>
        <w:tc>
          <w:tcPr>
            <w:tcW w:type="dxa" w:w="1752"/>
          </w:tcPr>
          <w:p>
            <w:r>
              <w:t>57.8% (D)</w:t>
            </w:r>
          </w:p>
        </w:tc>
        <w:tc>
          <w:tcPr>
            <w:tcW w:type="dxa" w:w="1752"/>
          </w:tcPr>
          <w:p>
            <w:r>
              <w:t>63.9% (D)</w:t>
            </w:r>
          </w:p>
        </w:tc>
      </w:tr>
      <w:tr>
        <w:tc>
          <w:tcPr>
            <w:tcW w:type="dxa" w:w="1752"/>
          </w:tcPr>
          <w:p>
            <w:r>
              <w:rPr>
                <w:b/>
              </w:rPr>
              <w:t>Operating income (EBIT, IFRS)</w:t>
            </w:r>
          </w:p>
        </w:tc>
        <w:tc>
          <w:tcPr>
            <w:tcW w:type="dxa" w:w="1752"/>
          </w:tcPr>
          <w:p>
            <w:r>
              <w:t>n/d</w:t>
            </w:r>
          </w:p>
        </w:tc>
        <w:tc>
          <w:tcPr>
            <w:tcW w:type="dxa" w:w="1752"/>
          </w:tcPr>
          <w:p>
            <w:r>
              <w:t>n/d</w:t>
            </w:r>
          </w:p>
        </w:tc>
        <w:tc>
          <w:tcPr>
            <w:tcW w:type="dxa" w:w="1752"/>
          </w:tcPr>
          <w:p>
            <w:r>
              <w:t>n/d</w:t>
            </w:r>
          </w:p>
        </w:tc>
        <w:tc>
          <w:tcPr>
            <w:tcW w:type="dxa" w:w="1752"/>
          </w:tcPr>
          <w:p>
            <w:r>
              <w:t>164.1</w:t>
            </w:r>
          </w:p>
        </w:tc>
        <w:tc>
          <w:tcPr>
            <w:tcW w:type="dxa" w:w="1752"/>
          </w:tcPr>
          <w:p>
            <w:r>
              <w:rPr>
                <w:b/>
              </w:rPr>
              <w:t>88.8</w:t>
            </w:r>
          </w:p>
        </w:tc>
      </w:tr>
      <w:tr>
        <w:tc>
          <w:tcPr>
            <w:tcW w:type="dxa" w:w="1752"/>
          </w:tcPr>
          <w:p>
            <w:r>
              <w:t>Operating margin %</w:t>
            </w:r>
          </w:p>
        </w:tc>
        <w:tc>
          <w:tcPr>
            <w:tcW w:type="dxa" w:w="1752"/>
          </w:tcPr>
          <w:p>
            <w:r>
              <w:t>n/d</w:t>
            </w:r>
          </w:p>
        </w:tc>
        <w:tc>
          <w:tcPr>
            <w:tcW w:type="dxa" w:w="1752"/>
          </w:tcPr>
          <w:p>
            <w:r>
              <w:t>n/d</w:t>
            </w:r>
          </w:p>
        </w:tc>
        <w:tc>
          <w:tcPr>
            <w:tcW w:type="dxa" w:w="1752"/>
          </w:tcPr>
          <w:p>
            <w:r>
              <w:t>n/d</w:t>
            </w:r>
          </w:p>
        </w:tc>
        <w:tc>
          <w:tcPr>
            <w:tcW w:type="dxa" w:w="1752"/>
          </w:tcPr>
          <w:p>
            <w:r>
              <w:t>12.2% (D)</w:t>
            </w:r>
          </w:p>
        </w:tc>
        <w:tc>
          <w:tcPr>
            <w:tcW w:type="dxa" w:w="1752"/>
          </w:tcPr>
          <w:p>
            <w:r>
              <w:t>5.8% (D)</w:t>
            </w:r>
          </w:p>
        </w:tc>
      </w:tr>
      <w:tr>
        <w:tc>
          <w:tcPr>
            <w:tcW w:type="dxa" w:w="1752"/>
          </w:tcPr>
          <w:p>
            <w:r>
              <w:rPr>
                <w:b/>
              </w:rPr>
              <w:t>Adjusted EBIT</w:t>
            </w:r>
          </w:p>
        </w:tc>
        <w:tc>
          <w:tcPr>
            <w:tcW w:type="dxa" w:w="1752"/>
          </w:tcPr>
          <w:p>
            <w:r>
              <w:t>n/d</w:t>
            </w:r>
          </w:p>
        </w:tc>
        <w:tc>
          <w:tcPr>
            <w:tcW w:type="dxa" w:w="1752"/>
          </w:tcPr>
          <w:p>
            <w:r>
              <w:t>n/d</w:t>
            </w:r>
          </w:p>
        </w:tc>
        <w:tc>
          <w:tcPr>
            <w:tcW w:type="dxa" w:w="1752"/>
          </w:tcPr>
          <w:p>
            <w:r>
              <w:t>n/d</w:t>
            </w:r>
          </w:p>
        </w:tc>
        <w:tc>
          <w:tcPr>
            <w:tcW w:type="dxa" w:w="1752"/>
          </w:tcPr>
          <w:p>
            <w:r>
              <w:t>171.4</w:t>
            </w:r>
          </w:p>
        </w:tc>
        <w:tc>
          <w:tcPr>
            <w:tcW w:type="dxa" w:w="1752"/>
          </w:tcPr>
          <w:p>
            <w:r>
              <w:rPr>
                <w:b/>
              </w:rPr>
              <w:t>148.0</w:t>
            </w:r>
          </w:p>
        </w:tc>
      </w:tr>
      <w:tr>
        <w:tc>
          <w:tcPr>
            <w:tcW w:type="dxa" w:w="1752"/>
          </w:tcPr>
          <w:p>
            <w:r>
              <w:t>Adjusted EBIT margin %</w:t>
            </w:r>
          </w:p>
        </w:tc>
        <w:tc>
          <w:tcPr>
            <w:tcW w:type="dxa" w:w="1752"/>
          </w:tcPr>
          <w:p>
            <w:r>
              <w:t>n/d</w:t>
            </w:r>
          </w:p>
        </w:tc>
        <w:tc>
          <w:tcPr>
            <w:tcW w:type="dxa" w:w="1752"/>
          </w:tcPr>
          <w:p>
            <w:r>
              <w:t>n/d</w:t>
            </w:r>
          </w:p>
        </w:tc>
        <w:tc>
          <w:tcPr>
            <w:tcW w:type="dxa" w:w="1752"/>
          </w:tcPr>
          <w:p>
            <w:r>
              <w:t>n/d</w:t>
            </w:r>
          </w:p>
        </w:tc>
        <w:tc>
          <w:tcPr>
            <w:tcW w:type="dxa" w:w="1752"/>
          </w:tcPr>
          <w:p>
            <w:r>
              <w:t>12.7%</w:t>
            </w:r>
          </w:p>
        </w:tc>
        <w:tc>
          <w:tcPr>
            <w:tcW w:type="dxa" w:w="1752"/>
          </w:tcPr>
          <w:p>
            <w:r>
              <w:t>9.7%</w:t>
            </w:r>
          </w:p>
        </w:tc>
      </w:tr>
      <w:tr>
        <w:tc>
          <w:tcPr>
            <w:tcW w:type="dxa" w:w="1752"/>
          </w:tcPr>
          <w:p>
            <w:r>
              <w:rPr>
                <w:b/>
              </w:rPr>
              <w:t>EBITDA (implied)</w:t>
            </w:r>
          </w:p>
        </w:tc>
        <w:tc>
          <w:tcPr>
            <w:tcW w:type="dxa" w:w="1752"/>
          </w:tcPr>
          <w:p>
            <w:r>
              <w:t>n/d</w:t>
            </w:r>
          </w:p>
        </w:tc>
        <w:tc>
          <w:tcPr>
            <w:tcW w:type="dxa" w:w="1752"/>
          </w:tcPr>
          <w:p>
            <w:r>
              <w:t>n/d</w:t>
            </w:r>
          </w:p>
        </w:tc>
        <w:tc>
          <w:tcPr>
            <w:tcW w:type="dxa" w:w="1752"/>
          </w:tcPr>
          <w:p>
            <w:r>
              <w:t>n/d</w:t>
            </w:r>
          </w:p>
        </w:tc>
        <w:tc>
          <w:tcPr>
            <w:tcW w:type="dxa" w:w="1752"/>
          </w:tcPr>
          <w:p>
            <w:r>
              <w:t>c.314 (D)</w:t>
            </w:r>
          </w:p>
        </w:tc>
        <w:tc>
          <w:tcPr>
            <w:tcW w:type="dxa" w:w="1752"/>
          </w:tcPr>
          <w:p>
            <w:r>
              <w:rPr>
                <w:b/>
              </w:rPr>
              <w:t>c.295 (D)</w:t>
            </w:r>
          </w:p>
        </w:tc>
      </w:tr>
      <w:tr>
        <w:tc>
          <w:tcPr>
            <w:tcW w:type="dxa" w:w="1752"/>
          </w:tcPr>
          <w:p>
            <w:r>
              <w:rPr>
                <w:b/>
              </w:rPr>
              <w:t>Net income attributable</w:t>
            </w:r>
          </w:p>
        </w:tc>
        <w:tc>
          <w:tcPr>
            <w:tcW w:type="dxa" w:w="1752"/>
          </w:tcPr>
          <w:p>
            <w:r>
              <w:t>94.6</w:t>
            </w:r>
          </w:p>
        </w:tc>
        <w:tc>
          <w:tcPr>
            <w:tcW w:type="dxa" w:w="1752"/>
          </w:tcPr>
          <w:p>
            <w:r>
              <w:t>72.7</w:t>
            </w:r>
          </w:p>
        </w:tc>
        <w:tc>
          <w:tcPr>
            <w:tcW w:type="dxa" w:w="1752"/>
          </w:tcPr>
          <w:p>
            <w:r>
              <w:t>58.4</w:t>
            </w:r>
          </w:p>
        </w:tc>
        <w:tc>
          <w:tcPr>
            <w:tcW w:type="dxa" w:w="1752"/>
          </w:tcPr>
          <w:p>
            <w:r>
              <w:t>94.8</w:t>
            </w:r>
          </w:p>
        </w:tc>
        <w:tc>
          <w:tcPr>
            <w:tcW w:type="dxa" w:w="1752"/>
          </w:tcPr>
          <w:p>
            <w:r>
              <w:rPr>
                <w:b/>
              </w:rPr>
              <w:t>22.5</w:t>
            </w:r>
          </w:p>
        </w:tc>
      </w:tr>
      <w:tr>
        <w:tc>
          <w:tcPr>
            <w:tcW w:type="dxa" w:w="1752"/>
          </w:tcPr>
          <w:p>
            <w:r>
              <w:t>Net margin %</w:t>
            </w:r>
          </w:p>
        </w:tc>
        <w:tc>
          <w:tcPr>
            <w:tcW w:type="dxa" w:w="1752"/>
          </w:tcPr>
          <w:p>
            <w:r>
              <w:t>8.6%</w:t>
            </w:r>
          </w:p>
        </w:tc>
        <w:tc>
          <w:tcPr>
            <w:tcW w:type="dxa" w:w="1752"/>
          </w:tcPr>
          <w:p>
            <w:r>
              <w:t>6.0%</w:t>
            </w:r>
          </w:p>
        </w:tc>
        <w:tc>
          <w:tcPr>
            <w:tcW w:type="dxa" w:w="1752"/>
          </w:tcPr>
          <w:p>
            <w:r>
              <w:t>4.4%</w:t>
            </w:r>
          </w:p>
        </w:tc>
        <w:tc>
          <w:tcPr>
            <w:tcW w:type="dxa" w:w="1752"/>
          </w:tcPr>
          <w:p>
            <w:r>
              <w:t>7.0%</w:t>
            </w:r>
          </w:p>
        </w:tc>
        <w:tc>
          <w:tcPr>
            <w:tcW w:type="dxa" w:w="1752"/>
          </w:tcPr>
          <w:p>
            <w:r>
              <w:t>1.5%</w:t>
            </w:r>
          </w:p>
        </w:tc>
      </w:tr>
      <w:tr>
        <w:tc>
          <w:tcPr>
            <w:tcW w:type="dxa" w:w="1752"/>
          </w:tcPr>
          <w:p>
            <w:r>
              <w:rPr>
                <w:b/>
              </w:rPr>
              <w:t>Diluted EPS (reported)</w:t>
            </w:r>
          </w:p>
        </w:tc>
        <w:tc>
          <w:tcPr>
            <w:tcW w:type="dxa" w:w="1752"/>
          </w:tcPr>
          <w:p>
            <w:r>
              <w:t>n/d</w:t>
            </w:r>
          </w:p>
        </w:tc>
        <w:tc>
          <w:tcPr>
            <w:tcW w:type="dxa" w:w="1752"/>
          </w:tcPr>
          <w:p>
            <w:r>
              <w:t>n/d</w:t>
            </w:r>
          </w:p>
        </w:tc>
        <w:tc>
          <w:tcPr>
            <w:tcW w:type="dxa" w:w="1752"/>
          </w:tcPr>
          <w:p>
            <w:r>
              <w:t>0.57</w:t>
            </w:r>
          </w:p>
        </w:tc>
        <w:tc>
          <w:tcPr>
            <w:tcW w:type="dxa" w:w="1752"/>
          </w:tcPr>
          <w:p>
            <w:r>
              <w:t>0.97</w:t>
            </w:r>
          </w:p>
        </w:tc>
        <w:tc>
          <w:tcPr>
            <w:tcW w:type="dxa" w:w="1752"/>
          </w:tcPr>
          <w:p>
            <w:r>
              <w:rPr>
                <w:b/>
              </w:rPr>
              <w:t>0.23</w:t>
            </w:r>
          </w:p>
        </w:tc>
      </w:tr>
      <w:tr>
        <w:tc>
          <w:tcPr>
            <w:tcW w:type="dxa" w:w="1752"/>
          </w:tcPr>
          <w:p>
            <w:r>
              <w:rPr>
                <w:b/>
              </w:rPr>
              <w:t>Adjusted diluted EPS</w:t>
            </w:r>
          </w:p>
        </w:tc>
        <w:tc>
          <w:tcPr>
            <w:tcW w:type="dxa" w:w="1752"/>
          </w:tcPr>
          <w:p>
            <w:r>
              <w:t>n/d</w:t>
            </w:r>
          </w:p>
        </w:tc>
        <w:tc>
          <w:tcPr>
            <w:tcW w:type="dxa" w:w="1752"/>
          </w:tcPr>
          <w:p>
            <w:r>
              <w:t>n/d</w:t>
            </w:r>
          </w:p>
        </w:tc>
        <w:tc>
          <w:tcPr>
            <w:tcW w:type="dxa" w:w="1752"/>
          </w:tcPr>
          <w:p>
            <w:r>
              <w:t>0.99</w:t>
            </w:r>
          </w:p>
        </w:tc>
        <w:tc>
          <w:tcPr>
            <w:tcW w:type="dxa" w:w="1752"/>
          </w:tcPr>
          <w:p>
            <w:r>
              <w:t>1.12</w:t>
            </w:r>
          </w:p>
        </w:tc>
        <w:tc>
          <w:tcPr>
            <w:tcW w:type="dxa" w:w="1752"/>
          </w:tcPr>
          <w:p>
            <w:r>
              <w:rPr>
                <w:b/>
              </w:rPr>
              <w:t>0.78</w:t>
            </w:r>
          </w:p>
        </w:tc>
      </w:tr>
    </w:tbl>
    <w:p>
      <w:r/>
    </w:p>
    <w:p>
      <w:r/>
      <w:r>
        <w:t>n/d = not disclosed in accessible sources. EBITDA is implied from management's disclosed net leverage of 1.3x against net debt of C$383.2m (FY2026) and C$408.8m (FY2025). FY2024 gross profit derived from disclosed 68.8% margin.</w:t>
      </w:r>
      <w:r/>
    </w:p>
    <w:p>
      <w:pPr>
        <w:pStyle w:val="Heading3"/>
      </w:pPr>
      <w:r>
        <w:t>8.2 Revenue, growth and mix by channel</w:t>
      </w:r>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b/>
              </w:rPr>
              <w:t>Channel</w:t>
            </w:r>
          </w:p>
        </w:tc>
        <w:tc>
          <w:tcPr>
            <w:tcW w:type="dxa" w:w="1752"/>
          </w:tcPr>
          <w:p>
            <w:r>
              <w:rPr>
                <w:b/>
              </w:rPr>
              <w:t>FY2025</w:t>
            </w:r>
          </w:p>
        </w:tc>
        <w:tc>
          <w:tcPr>
            <w:tcW w:type="dxa" w:w="1752"/>
          </w:tcPr>
          <w:p>
            <w:r>
              <w:rPr>
                <w:b/>
              </w:rPr>
              <w:t>FY2026</w:t>
            </w:r>
          </w:p>
        </w:tc>
        <w:tc>
          <w:tcPr>
            <w:tcW w:type="dxa" w:w="1752"/>
          </w:tcPr>
          <w:p>
            <w:r>
              <w:rPr>
                <w:b/>
              </w:rPr>
              <w:t>Growth</w:t>
            </w:r>
          </w:p>
        </w:tc>
        <w:tc>
          <w:tcPr>
            <w:tcW w:type="dxa" w:w="1752"/>
          </w:tcPr>
          <w:p>
            <w:r>
              <w:rPr>
                <w:b/>
              </w:rPr>
              <w:t>FY2026 mix</w:t>
            </w:r>
          </w:p>
        </w:tc>
        <w:tc>
          <w:tcPr>
            <w:tcW w:type="dxa" w:w="1752"/>
          </w:tcPr>
          <w:p>
            <w:r>
              <w:rPr>
                <w:b/>
              </w:rPr>
              <w:t>Trend commentary</w:t>
            </w:r>
          </w:p>
        </w:tc>
      </w:tr>
      <w:tr>
        <w:tc>
          <w:tcPr>
            <w:tcW w:type="dxa" w:w="1752"/>
          </w:tcPr>
          <w:p>
            <w:r>
              <w:rPr>
                <w:b/>
              </w:rPr>
              <w:t>DTC</w:t>
            </w:r>
          </w:p>
        </w:tc>
        <w:tc>
          <w:tcPr>
            <w:tcW w:type="dxa" w:w="1752"/>
          </w:tcPr>
          <w:p>
            <w:r>
              <w:t>998.6 (D)</w:t>
            </w:r>
          </w:p>
        </w:tc>
        <w:tc>
          <w:tcPr>
            <w:tcW w:type="dxa" w:w="1752"/>
          </w:tcPr>
          <w:p>
            <w:r>
              <w:t>1,157.4</w:t>
            </w:r>
          </w:p>
        </w:tc>
        <w:tc>
          <w:tcPr>
            <w:tcW w:type="dxa" w:w="1752"/>
          </w:tcPr>
          <w:p>
            <w:r>
              <w:t>+15.9%</w:t>
            </w:r>
          </w:p>
        </w:tc>
        <w:tc>
          <w:tcPr>
            <w:tcW w:type="dxa" w:w="1752"/>
          </w:tcPr>
          <w:p>
            <w:r>
              <w:t>75.7%</w:t>
            </w:r>
          </w:p>
        </w:tc>
        <w:tc>
          <w:tcPr>
            <w:tcW w:type="dxa" w:w="1752"/>
          </w:tcPr>
          <w:p>
            <w:r>
              <w:t xml:space="preserve">Growth engine. Driven by 9 net new stores (88 total), DTC comps of +8.4%, and double-digit e-commerce growth. </w:t>
            </w:r>
            <w:r>
              <w:rPr>
                <w:b/>
              </w:rPr>
              <w:t>Comps turned negative (-3.2%) in Q1 FY2027</w:t>
            </w:r>
            <w:r>
              <w:t xml:space="preserve"> — the key inflection to monitor.</w:t>
            </w:r>
          </w:p>
        </w:tc>
      </w:tr>
      <w:tr>
        <w:tc>
          <w:tcPr>
            <w:tcW w:type="dxa" w:w="1752"/>
          </w:tcPr>
          <w:p>
            <w:r>
              <w:rPr>
                <w:b/>
              </w:rPr>
              <w:t>Wholesale</w:t>
            </w:r>
          </w:p>
        </w:tc>
        <w:tc>
          <w:tcPr>
            <w:tcW w:type="dxa" w:w="1752"/>
          </w:tcPr>
          <w:p>
            <w:r>
              <w:t>260.7 (D)</w:t>
            </w:r>
          </w:p>
        </w:tc>
        <w:tc>
          <w:tcPr>
            <w:tcW w:type="dxa" w:w="1752"/>
          </w:tcPr>
          <w:p>
            <w:r>
              <w:t>291.2</w:t>
            </w:r>
          </w:p>
        </w:tc>
        <w:tc>
          <w:tcPr>
            <w:tcW w:type="dxa" w:w="1752"/>
          </w:tcPr>
          <w:p>
            <w:r>
              <w:t>+11.7%</w:t>
            </w:r>
          </w:p>
        </w:tc>
        <w:tc>
          <w:tcPr>
            <w:tcW w:type="dxa" w:w="1752"/>
          </w:tcPr>
          <w:p>
            <w:r>
              <w:t>19.1%</w:t>
            </w:r>
          </w:p>
        </w:tc>
        <w:tc>
          <w:tcPr>
            <w:tcW w:type="dxa" w:w="1752"/>
          </w:tcPr>
          <w:p>
            <w:r>
              <w:t>Re-accelerating hard: +65% in Q1 FY2027 with the channel swinging to profit. Management cites a larger order book as an FY2027 growth driver. Dilutive to gross margin, accretive to EBIT margin.</w:t>
            </w:r>
          </w:p>
        </w:tc>
      </w:tr>
      <w:tr>
        <w:tc>
          <w:tcPr>
            <w:tcW w:type="dxa" w:w="1752"/>
          </w:tcPr>
          <w:p>
            <w:r>
              <w:rPr>
                <w:b/>
              </w:rPr>
              <w:t>Other</w:t>
            </w:r>
          </w:p>
        </w:tc>
        <w:tc>
          <w:tcPr>
            <w:tcW w:type="dxa" w:w="1752"/>
          </w:tcPr>
          <w:p>
            <w:r>
              <w:t>88.7 (D)</w:t>
            </w:r>
          </w:p>
        </w:tc>
        <w:tc>
          <w:tcPr>
            <w:tcW w:type="dxa" w:w="1752"/>
          </w:tcPr>
          <w:p>
            <w:r>
              <w:t>79.6</w:t>
            </w:r>
          </w:p>
        </w:tc>
        <w:tc>
          <w:tcPr>
            <w:tcW w:type="dxa" w:w="1752"/>
          </w:tcPr>
          <w:p>
            <w:r>
              <w:t>-10.3%</w:t>
            </w:r>
          </w:p>
        </w:tc>
        <w:tc>
          <w:tcPr>
            <w:tcW w:type="dxa" w:w="1752"/>
          </w:tcPr>
          <w:p>
            <w:r>
              <w:t>5.2%</w:t>
            </w:r>
          </w:p>
        </w:tc>
        <w:tc>
          <w:tcPr>
            <w:tcW w:type="dxa" w:w="1752"/>
          </w:tcPr>
          <w:p>
            <w:r>
              <w:t xml:space="preserve">Baffin plus third-party manufacturing. Being exited — </w:t>
            </w:r>
            <w:r>
              <w:rPr>
                <w:b/>
              </w:rPr>
              <w:t>Baffin sold to L.P. Royer, closing August 2026</w:t>
            </w:r>
            <w:r>
              <w:t xml:space="preserve"> . Will fall materially in FY2027 and is the principal reason group guidance is only low-single-digit growth.</w:t>
            </w:r>
          </w:p>
        </w:tc>
      </w:tr>
      <w:tr>
        <w:tc>
          <w:tcPr>
            <w:tcW w:type="dxa" w:w="1752"/>
          </w:tcPr>
          <w:p>
            <w:r>
              <w:rPr>
                <w:b/>
              </w:rPr>
              <w:t>Total</w:t>
            </w:r>
          </w:p>
        </w:tc>
        <w:tc>
          <w:tcPr>
            <w:tcW w:type="dxa" w:w="1752"/>
          </w:tcPr>
          <w:p>
            <w:r>
              <w:rPr>
                <w:b/>
              </w:rPr>
              <w:t>1,348.4</w:t>
            </w:r>
          </w:p>
        </w:tc>
        <w:tc>
          <w:tcPr>
            <w:tcW w:type="dxa" w:w="1752"/>
          </w:tcPr>
          <w:p>
            <w:r>
              <w:rPr>
                <w:b/>
              </w:rPr>
              <w:t>1,528.2</w:t>
            </w:r>
          </w:p>
        </w:tc>
        <w:tc>
          <w:tcPr>
            <w:tcW w:type="dxa" w:w="1752"/>
          </w:tcPr>
          <w:p>
            <w:r>
              <w:rPr>
                <w:b/>
              </w:rPr>
              <w:t>+13.3%</w:t>
            </w:r>
          </w:p>
        </w:tc>
        <w:tc>
          <w:tcPr>
            <w:tcW w:type="dxa" w:w="1752"/>
          </w:tcPr>
          <w:p>
            <w:r>
              <w:rPr>
                <w:b/>
              </w:rPr>
              <w:t>100%</w:t>
            </w:r>
          </w:p>
        </w:tc>
        <w:tc>
          <w:tcPr>
            <w:tcW w:type="dxa" w:w="1752"/>
          </w:tcPr>
          <w:p>
            <w:r>
              <w:t>Constant currency +12.4%.</w:t>
            </w:r>
          </w:p>
        </w:tc>
      </w:tr>
    </w:tbl>
    <w:p>
      <w:r/>
    </w:p>
    <w:p>
      <w:r/>
      <w:r>
        <w:t>FY2025 channel figures derived by applying disclosed FY2026 growth rates to FY2026 disclosed revenue.</w:t>
      </w:r>
      <w:r/>
    </w:p>
    <w:p>
      <w:pPr>
        <w:pStyle w:val="Heading3"/>
      </w:pPr>
      <w:r>
        <w:t>8.3 Revenue by geography</w:t>
      </w:r>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b/>
              </w:rPr>
              <w:t>Geography</w:t>
            </w:r>
          </w:p>
        </w:tc>
        <w:tc>
          <w:tcPr>
            <w:tcW w:type="dxa" w:w="2102"/>
          </w:tcPr>
          <w:p>
            <w:r>
              <w:rPr>
                <w:b/>
              </w:rPr>
              <w:t>Q4 FY2026</w:t>
            </w:r>
          </w:p>
        </w:tc>
        <w:tc>
          <w:tcPr>
            <w:tcW w:type="dxa" w:w="2102"/>
          </w:tcPr>
          <w:p>
            <w:r>
              <w:rPr>
                <w:b/>
              </w:rPr>
              <w:t>FY2026</w:t>
            </w:r>
          </w:p>
        </w:tc>
        <w:tc>
          <w:tcPr>
            <w:tcW w:type="dxa" w:w="2102"/>
          </w:tcPr>
          <w:p>
            <w:r>
              <w:rPr>
                <w:b/>
              </w:rPr>
              <w:t>FY2026 mix (D)</w:t>
            </w:r>
          </w:p>
        </w:tc>
        <w:tc>
          <w:tcPr>
            <w:tcW w:type="dxa" w:w="2102"/>
          </w:tcPr>
          <w:p>
            <w:r>
              <w:rPr>
                <w:b/>
              </w:rPr>
              <w:t>Commentary</w:t>
            </w:r>
          </w:p>
        </w:tc>
      </w:tr>
      <w:tr>
        <w:tc>
          <w:tcPr>
            <w:tcW w:type="dxa" w:w="2102"/>
          </w:tcPr>
          <w:p>
            <w:r>
              <w:rPr>
                <w:b/>
              </w:rPr>
              <w:t>Greater China</w:t>
            </w:r>
          </w:p>
        </w:tc>
        <w:tc>
          <w:tcPr>
            <w:tcW w:type="dxa" w:w="2102"/>
          </w:tcPr>
          <w:p>
            <w:r>
              <w:t>172.2</w:t>
            </w:r>
          </w:p>
        </w:tc>
        <w:tc>
          <w:tcPr>
            <w:tcW w:type="dxa" w:w="2102"/>
          </w:tcPr>
          <w:p>
            <w:r>
              <w:t>498.3</w:t>
            </w:r>
          </w:p>
        </w:tc>
        <w:tc>
          <w:tcPr>
            <w:tcW w:type="dxa" w:w="2102"/>
          </w:tcPr>
          <w:p>
            <w:r>
              <w:t>32.6%</w:t>
            </w:r>
          </w:p>
        </w:tc>
        <w:tc>
          <w:tcPr>
            <w:tcW w:type="dxa" w:w="2102"/>
          </w:tcPr>
          <w:p>
            <w:r>
              <w:t>Largest market; Q4 APAC constant-currency growth c.23% led by Mainland China, aided by Lunar New Year timing and a capsule launch. Concentration risk.</w:t>
            </w:r>
          </w:p>
        </w:tc>
      </w:tr>
      <w:tr>
        <w:tc>
          <w:tcPr>
            <w:tcW w:type="dxa" w:w="2102"/>
          </w:tcPr>
          <w:p>
            <w:r>
              <w:rPr>
                <w:b/>
              </w:rPr>
              <w:t>United States</w:t>
            </w:r>
          </w:p>
        </w:tc>
        <w:tc>
          <w:tcPr>
            <w:tcW w:type="dxa" w:w="2102"/>
          </w:tcPr>
          <w:p>
            <w:r>
              <w:t>104.9</w:t>
            </w:r>
          </w:p>
        </w:tc>
        <w:tc>
          <w:tcPr>
            <w:tcW w:type="dxa" w:w="2102"/>
          </w:tcPr>
          <w:p>
            <w:r>
              <w:t>385.1</w:t>
            </w:r>
          </w:p>
        </w:tc>
        <w:tc>
          <w:tcPr>
            <w:tcW w:type="dxa" w:w="2102"/>
          </w:tcPr>
          <w:p>
            <w:r>
              <w:t>25.2%</w:t>
            </w:r>
          </w:p>
        </w:tc>
        <w:tc>
          <w:tcPr>
            <w:tcW w:type="dxa" w:w="2102"/>
          </w:tcPr>
          <w:p>
            <w:r>
              <w:t>Directly exposed to proposed July 2026 duties.</w:t>
            </w:r>
          </w:p>
        </w:tc>
      </w:tr>
      <w:tr>
        <w:tc>
          <w:tcPr>
            <w:tcW w:type="dxa" w:w="2102"/>
          </w:tcPr>
          <w:p>
            <w:r>
              <w:rPr>
                <w:b/>
              </w:rPr>
              <w:t>Canada</w:t>
            </w:r>
          </w:p>
        </w:tc>
        <w:tc>
          <w:tcPr>
            <w:tcW w:type="dxa" w:w="2102"/>
          </w:tcPr>
          <w:p>
            <w:r>
              <w:t>75.1</w:t>
            </w:r>
          </w:p>
        </w:tc>
        <w:tc>
          <w:tcPr>
            <w:tcW w:type="dxa" w:w="2102"/>
          </w:tcPr>
          <w:p>
            <w:r>
              <w:t>261.4</w:t>
            </w:r>
          </w:p>
        </w:tc>
        <w:tc>
          <w:tcPr>
            <w:tcW w:type="dxa" w:w="2102"/>
          </w:tcPr>
          <w:p>
            <w:r>
              <w:t>17.1%</w:t>
            </w:r>
          </w:p>
        </w:tc>
        <w:tc>
          <w:tcPr>
            <w:tcW w:type="dxa" w:w="2102"/>
          </w:tcPr>
          <w:p>
            <w:r>
              <w:t>Mature home market; highest penetration, lowest growth runway.</w:t>
            </w:r>
          </w:p>
        </w:tc>
      </w:tr>
      <w:tr>
        <w:tc>
          <w:tcPr>
            <w:tcW w:type="dxa" w:w="2102"/>
          </w:tcPr>
          <w:p>
            <w:r>
              <w:rPr>
                <w:b/>
              </w:rPr>
              <w:t>EMEA</w:t>
            </w:r>
          </w:p>
        </w:tc>
        <w:tc>
          <w:tcPr>
            <w:tcW w:type="dxa" w:w="2102"/>
          </w:tcPr>
          <w:p>
            <w:r>
              <w:t>64.9</w:t>
            </w:r>
          </w:p>
        </w:tc>
        <w:tc>
          <w:tcPr>
            <w:tcW w:type="dxa" w:w="2102"/>
          </w:tcPr>
          <w:p>
            <w:r>
              <w:t>253.4</w:t>
            </w:r>
          </w:p>
        </w:tc>
        <w:tc>
          <w:tcPr>
            <w:tcW w:type="dxa" w:w="2102"/>
          </w:tcPr>
          <w:p>
            <w:r>
              <w:t>16.6%</w:t>
            </w:r>
          </w:p>
        </w:tc>
        <w:tc>
          <w:tcPr>
            <w:tcW w:type="dxa" w:w="2102"/>
          </w:tcPr>
          <w:p>
            <w:r>
              <w:t>Fastest growing: +25% constant currency in Q4. Logistics/e-commerce upgrades in progress.</w:t>
            </w:r>
          </w:p>
        </w:tc>
      </w:tr>
      <w:tr>
        <w:tc>
          <w:tcPr>
            <w:tcW w:type="dxa" w:w="2102"/>
          </w:tcPr>
          <w:p>
            <w:r>
              <w:rPr>
                <w:b/>
              </w:rPr>
              <w:t>Asia Pacific (ex-Greater China)</w:t>
            </w:r>
          </w:p>
        </w:tc>
        <w:tc>
          <w:tcPr>
            <w:tcW w:type="dxa" w:w="2102"/>
          </w:tcPr>
          <w:p>
            <w:r>
              <w:t>36.2</w:t>
            </w:r>
          </w:p>
        </w:tc>
        <w:tc>
          <w:tcPr>
            <w:tcW w:type="dxa" w:w="2102"/>
          </w:tcPr>
          <w:p>
            <w:r>
              <w:t>130.0 (D)</w:t>
            </w:r>
          </w:p>
        </w:tc>
        <w:tc>
          <w:tcPr>
            <w:tcW w:type="dxa" w:w="2102"/>
          </w:tcPr>
          <w:p>
            <w:r>
              <w:t>8.5%</w:t>
            </w:r>
          </w:p>
        </w:tc>
        <w:tc>
          <w:tcPr>
            <w:tcW w:type="dxa" w:w="2102"/>
          </w:tcPr>
          <w:p>
            <w:r>
              <w:t>Residual; Japan and Korea principal markets.</w:t>
            </w:r>
          </w:p>
        </w:tc>
      </w:tr>
      <w:tr>
        <w:tc>
          <w:tcPr>
            <w:tcW w:type="dxa" w:w="2102"/>
          </w:tcPr>
          <w:p>
            <w:r>
              <w:rPr>
                <w:b/>
              </w:rPr>
              <w:t>Total</w:t>
            </w:r>
          </w:p>
        </w:tc>
        <w:tc>
          <w:tcPr>
            <w:tcW w:type="dxa" w:w="2102"/>
          </w:tcPr>
          <w:p>
            <w:r>
              <w:rPr>
                <w:b/>
              </w:rPr>
              <w:t>453.3 (D)</w:t>
            </w:r>
          </w:p>
        </w:tc>
        <w:tc>
          <w:tcPr>
            <w:tcW w:type="dxa" w:w="2102"/>
          </w:tcPr>
          <w:p>
            <w:r>
              <w:rPr>
                <w:b/>
              </w:rPr>
              <w:t>1,528.2</w:t>
            </w:r>
          </w:p>
        </w:tc>
        <w:tc>
          <w:tcPr>
            <w:tcW w:type="dxa" w:w="2102"/>
          </w:tcPr>
          <w:p>
            <w:r>
              <w:rPr>
                <w:b/>
              </w:rPr>
              <w:t>100%</w:t>
            </w:r>
          </w:p>
        </w:tc>
        <w:tc>
          <w:tcPr>
            <w:tcW w:type="dxa" w:w="2102"/>
          </w:tcPr>
          <w:p>
            <w:r>
              <w:t>Q4 total derived as sum of disclosed regions.</w:t>
            </w:r>
          </w:p>
        </w:tc>
      </w:tr>
    </w:tbl>
    <w:p>
      <w:r/>
      <w:r/>
      <w:r>
        <w:rPr>
          <w:b/>
        </w:rPr>
        <w:t>Segment disclosure limitation — flagged as a governance issue.</w:t>
      </w:r>
      <w:r>
        <w:t xml:space="preserve"> Canada Goose discloses revenue by channel and by geography but does </w:t>
      </w:r>
      <w:r>
        <w:rPr>
          <w:b/>
        </w:rPr>
        <w:t>not</w:t>
      </w:r>
      <w:r>
        <w:t xml:space="preserve"> publish EBITDA, EBIT or net income by segment or by region. A true segment profit bridge is therefore impossible from public data. Any "EBITDA by division" presented by a third party is an estimate, not a disclosure. This materially limits sum-of-the-parts analysis and obscures whether DTC's incremental stores earn their cost of capital — a question the C$8.4m store impairment makes highly relevant. This is addressed as a forensic concern in §22 and as question 6 to management in §21.</w:t>
      </w:r>
      <w:r/>
    </w:p>
    <w:p>
      <w:pPr>
        <w:pStyle w:val="Heading3"/>
      </w:pPr>
      <w:r>
        <w:t>8.4 Operational KPIs</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KPI</w:t>
            </w:r>
          </w:p>
        </w:tc>
        <w:tc>
          <w:tcPr>
            <w:tcW w:type="dxa" w:w="2628"/>
          </w:tcPr>
          <w:p>
            <w:r>
              <w:rPr>
                <w:b/>
              </w:rPr>
              <w:t>Latest</w:t>
            </w:r>
          </w:p>
        </w:tc>
        <w:tc>
          <w:tcPr>
            <w:tcW w:type="dxa" w:w="2628"/>
          </w:tcPr>
          <w:p>
            <w:r>
              <w:rPr>
                <w:b/>
              </w:rPr>
              <w:t>Prior</w:t>
            </w:r>
          </w:p>
        </w:tc>
        <w:tc>
          <w:tcPr>
            <w:tcW w:type="dxa" w:w="2628"/>
          </w:tcPr>
          <w:p>
            <w:r>
              <w:rPr>
                <w:b/>
              </w:rPr>
              <w:t>Trend and interpretation</w:t>
            </w:r>
          </w:p>
        </w:tc>
      </w:tr>
      <w:tr>
        <w:tc>
          <w:tcPr>
            <w:tcW w:type="dxa" w:w="2628"/>
          </w:tcPr>
          <w:p>
            <w:r>
              <w:rPr>
                <w:b/>
              </w:rPr>
              <w:t>DTC comparable sales</w:t>
            </w:r>
          </w:p>
        </w:tc>
        <w:tc>
          <w:tcPr>
            <w:tcW w:type="dxa" w:w="2628"/>
          </w:tcPr>
          <w:p>
            <w:r>
              <w:t>-3.2% (Q1 FY27)</w:t>
            </w:r>
          </w:p>
        </w:tc>
        <w:tc>
          <w:tcPr>
            <w:tcW w:type="dxa" w:w="2628"/>
          </w:tcPr>
          <w:p>
            <w:r>
              <w:t>+8.4% (FY26)</w:t>
            </w:r>
          </w:p>
        </w:tc>
        <w:tc>
          <w:tcPr>
            <w:tcW w:type="dxa" w:w="2628"/>
          </w:tcPr>
          <w:p>
            <w:r>
              <w:rPr>
                <w:b/>
              </w:rPr>
              <w:t>The most important KPI in the file, and it has just inflected negative.</w:t>
            </w:r>
            <w:r>
              <w:t xml:space="preserve"> Driven by lower store comps, partially offset by double-digit e-commerce growth across all regions. Signals the physical store estate is losing traffic.</w:t>
            </w:r>
          </w:p>
        </w:tc>
      </w:tr>
      <w:tr>
        <w:tc>
          <w:tcPr>
            <w:tcW w:type="dxa" w:w="2628"/>
          </w:tcPr>
          <w:p>
            <w:r>
              <w:rPr>
                <w:b/>
              </w:rPr>
              <w:t>Store count</w:t>
            </w:r>
          </w:p>
        </w:tc>
        <w:tc>
          <w:tcPr>
            <w:tcW w:type="dxa" w:w="2628"/>
          </w:tcPr>
          <w:p>
            <w:r>
              <w:t>88 globally</w:t>
            </w:r>
          </w:p>
        </w:tc>
        <w:tc>
          <w:tcPr>
            <w:tcW w:type="dxa" w:w="2628"/>
          </w:tcPr>
          <w:p>
            <w:r>
              <w:t>79 (D)</w:t>
            </w:r>
          </w:p>
        </w:tc>
        <w:tc>
          <w:tcPr>
            <w:tcW w:type="dxa" w:w="2628"/>
          </w:tcPr>
          <w:p>
            <w:r>
              <w:t>9 net new in FY2026 including conversions. Expansion now colliding with an C$8.4m impairment — the network is entering a pruning phase.</w:t>
            </w:r>
          </w:p>
        </w:tc>
      </w:tr>
      <w:tr>
        <w:tc>
          <w:tcPr>
            <w:tcW w:type="dxa" w:w="2628"/>
          </w:tcPr>
          <w:p>
            <w:r>
              <w:rPr>
                <w:b/>
              </w:rPr>
              <w:t>Gross margin</w:t>
            </w:r>
          </w:p>
        </w:tc>
        <w:tc>
          <w:tcPr>
            <w:tcW w:type="dxa" w:w="2628"/>
          </w:tcPr>
          <w:p>
            <w:r>
              <w:t>69.7% (FY26)</w:t>
            </w:r>
          </w:p>
        </w:tc>
        <w:tc>
          <w:tcPr>
            <w:tcW w:type="dxa" w:w="2628"/>
          </w:tcPr>
          <w:p>
            <w:r>
              <w:t>69.9% (FY25)</w:t>
            </w:r>
          </w:p>
        </w:tc>
        <w:tc>
          <w:tcPr>
            <w:tcW w:type="dxa" w:w="2628"/>
          </w:tcPr>
          <w:p>
            <w:r>
              <w:t>Remarkably stable at c.70% — the core evidence of pricing power. Q4 dipped to 69.6% from 71.3% on wholesale mix, early spring/summer delivery, and freight/duty costs.</w:t>
            </w:r>
          </w:p>
        </w:tc>
      </w:tr>
      <w:tr>
        <w:tc>
          <w:tcPr>
            <w:tcW w:type="dxa" w:w="2628"/>
          </w:tcPr>
          <w:p>
            <w:r>
              <w:rPr>
                <w:b/>
              </w:rPr>
              <w:t>SG&amp;A ratio</w:t>
            </w:r>
          </w:p>
        </w:tc>
        <w:tc>
          <w:tcPr>
            <w:tcW w:type="dxa" w:w="2628"/>
          </w:tcPr>
          <w:p>
            <w:r>
              <w:t>63.9% (FY26, D)</w:t>
            </w:r>
          </w:p>
        </w:tc>
        <w:tc>
          <w:tcPr>
            <w:tcW w:type="dxa" w:w="2628"/>
          </w:tcPr>
          <w:p>
            <w:r>
              <w:t>57.8% (FY25, D)</w:t>
            </w:r>
          </w:p>
        </w:tc>
        <w:tc>
          <w:tcPr>
            <w:tcW w:type="dxa" w:w="2628"/>
          </w:tcPr>
          <w:p>
            <w:r>
              <w:rPr>
                <w:b/>
              </w:rPr>
              <w:t>610bps of deterioration.</w:t>
            </w:r>
            <w:r>
              <w:t xml:space="preserve"> The central problem in the FY2026 result.</w:t>
            </w:r>
          </w:p>
        </w:tc>
      </w:tr>
      <w:tr>
        <w:tc>
          <w:tcPr>
            <w:tcW w:type="dxa" w:w="2628"/>
          </w:tcPr>
          <w:p>
            <w:r>
              <w:rPr>
                <w:b/>
              </w:rPr>
              <w:t>Adjusted EBIT margin</w:t>
            </w:r>
          </w:p>
        </w:tc>
        <w:tc>
          <w:tcPr>
            <w:tcW w:type="dxa" w:w="2628"/>
          </w:tcPr>
          <w:p>
            <w:r>
              <w:t>9.7% (FY26)</w:t>
            </w:r>
          </w:p>
        </w:tc>
        <w:tc>
          <w:tcPr>
            <w:tcW w:type="dxa" w:w="2628"/>
          </w:tcPr>
          <w:p>
            <w:r>
              <w:t>12.7% (FY25)</w:t>
            </w:r>
          </w:p>
        </w:tc>
        <w:tc>
          <w:tcPr>
            <w:tcW w:type="dxa" w:w="2628"/>
          </w:tcPr>
          <w:p>
            <w:r>
              <w:t>Guided to recover to 11–12% in FY2027. Q1 FY2027 margin of -87.3% vs -98.7% was the strongest Q1 since FY2020.</w:t>
            </w:r>
          </w:p>
        </w:tc>
      </w:tr>
      <w:tr>
        <w:tc>
          <w:tcPr>
            <w:tcW w:type="dxa" w:w="2628"/>
          </w:tcPr>
          <w:p>
            <w:r>
              <w:rPr>
                <w:b/>
              </w:rPr>
              <w:t>Inventory</w:t>
            </w:r>
          </w:p>
        </w:tc>
        <w:tc>
          <w:tcPr>
            <w:tcW w:type="dxa" w:w="2628"/>
          </w:tcPr>
          <w:p>
            <w:r>
              <w:t>C$386.3m, flat YoY</w:t>
            </w:r>
          </w:p>
        </w:tc>
        <w:tc>
          <w:tcPr>
            <w:tcW w:type="dxa" w:w="2628"/>
          </w:tcPr>
          <w:p>
            <w:r>
              <w:t>C$386m</w:t>
            </w:r>
          </w:p>
        </w:tc>
        <w:tc>
          <w:tcPr>
            <w:tcW w:type="dxa" w:w="2628"/>
          </w:tcPr>
          <w:p>
            <w:r>
              <w:rPr>
                <w:b/>
              </w:rPr>
              <w:t>Genuine operational achievement.</w:t>
            </w:r>
            <w:r>
              <w:t xml:space="preserve"> Flat inventory on 13.3% revenue growth means real sell-through, not channel stuffing. Implied turns improved materially.</w:t>
            </w:r>
          </w:p>
        </w:tc>
      </w:tr>
      <w:tr>
        <w:tc>
          <w:tcPr>
            <w:tcW w:type="dxa" w:w="2628"/>
          </w:tcPr>
          <w:p>
            <w:r>
              <w:rPr>
                <w:b/>
              </w:rPr>
              <w:t>Net debt / EBITDA</w:t>
            </w:r>
          </w:p>
        </w:tc>
        <w:tc>
          <w:tcPr>
            <w:tcW w:type="dxa" w:w="2628"/>
          </w:tcPr>
          <w:p>
            <w:r>
              <w:t>1.3x</w:t>
            </w:r>
          </w:p>
        </w:tc>
        <w:tc>
          <w:tcPr>
            <w:tcW w:type="dxa" w:w="2628"/>
          </w:tcPr>
          <w:p>
            <w:r>
              <w:t>1.3x</w:t>
            </w:r>
          </w:p>
        </w:tc>
        <w:tc>
          <w:tcPr>
            <w:tcW w:type="dxa" w:w="2628"/>
          </w:tcPr>
          <w:p>
            <w:r>
              <w:t>Stable and conservative. The balance sheet is not the issue here.</w:t>
            </w:r>
          </w:p>
        </w:tc>
      </w:tr>
      <w:tr>
        <w:tc>
          <w:tcPr>
            <w:tcW w:type="dxa" w:w="2628"/>
          </w:tcPr>
          <w:p>
            <w:r>
              <w:rPr>
                <w:b/>
              </w:rPr>
              <w:t>Spring/summer mix</w:t>
            </w:r>
          </w:p>
        </w:tc>
        <w:tc>
          <w:tcPr>
            <w:tcW w:type="dxa" w:w="2628"/>
          </w:tcPr>
          <w:p>
            <w:r>
              <w:t>c.40% of Q1 FY27 revenue</w:t>
            </w:r>
          </w:p>
        </w:tc>
        <w:tc>
          <w:tcPr>
            <w:tcW w:type="dxa" w:w="2628"/>
          </w:tcPr>
          <w:p>
            <w:r>
              <w:t>n/d</w:t>
            </w:r>
          </w:p>
        </w:tc>
        <w:tc>
          <w:tcPr>
            <w:tcW w:type="dxa" w:w="2628"/>
          </w:tcPr>
          <w:p>
            <w:r>
              <w:t>The de-seasonalisation KPI. Best evidence the strategy is working.</w:t>
            </w:r>
          </w:p>
        </w:tc>
      </w:tr>
      <w:tr>
        <w:tc>
          <w:tcPr>
            <w:tcW w:type="dxa" w:w="2628"/>
          </w:tcPr>
          <w:p>
            <w:r>
              <w:rPr>
                <w:b/>
              </w:rPr>
              <w:t>Short interest</w:t>
            </w:r>
          </w:p>
        </w:tc>
        <w:tc>
          <w:tcPr>
            <w:tcW w:type="dxa" w:w="2628"/>
          </w:tcPr>
          <w:p>
            <w:r>
              <w:t>28.5% of float</w:t>
            </w:r>
          </w:p>
        </w:tc>
        <w:tc>
          <w:tcPr>
            <w:tcW w:type="dxa" w:w="2628"/>
          </w:tcPr>
          <w:p>
            <w:r>
              <w:t>9.72m shares</w:t>
            </w:r>
          </w:p>
        </w:tc>
        <w:tc>
          <w:tcPr>
            <w:tcW w:type="dxa" w:w="2628"/>
          </w:tcPr>
          <w:p>
            <w:r>
              <w:t>9.76m shares short; c.10.3 days to cover. Extreme. Drives violent two-way moves.</w:t>
            </w:r>
          </w:p>
        </w:tc>
      </w:tr>
    </w:tbl>
    <w:p>
      <w:r/>
    </w:p>
    <w:p>
      <w:pPr>
        <w:pStyle w:val="Heading2"/>
      </w:pPr>
      <w:r>
        <w:t>9. Latest Earnings Analysis — Q1 FY2027 (quarter ended 28 June 2026, reported 30 July 2026)</w:t>
      </w:r>
      <w:r/>
    </w:p>
    <w:p>
      <w:pPr>
        <w:pStyle w:val="Heading3"/>
      </w:pPr>
      <w:r>
        <w:t>Result versus expectations</w:t>
      </w:r>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b/>
              </w:rPr>
              <w:t>Metric</w:t>
            </w:r>
          </w:p>
        </w:tc>
        <w:tc>
          <w:tcPr>
            <w:tcW w:type="dxa" w:w="2102"/>
          </w:tcPr>
          <w:p>
            <w:r>
              <w:rPr>
                <w:b/>
              </w:rPr>
              <w:t>Actual</w:t>
            </w:r>
          </w:p>
        </w:tc>
        <w:tc>
          <w:tcPr>
            <w:tcW w:type="dxa" w:w="2102"/>
          </w:tcPr>
          <w:p>
            <w:r>
              <w:rPr>
                <w:b/>
              </w:rPr>
              <w:t>Consensus</w:t>
            </w:r>
          </w:p>
        </w:tc>
        <w:tc>
          <w:tcPr>
            <w:tcW w:type="dxa" w:w="2102"/>
          </w:tcPr>
          <w:p>
            <w:r>
              <w:rPr>
                <w:b/>
              </w:rPr>
              <w:t>Surprise</w:t>
            </w:r>
          </w:p>
        </w:tc>
        <w:tc>
          <w:tcPr>
            <w:tcW w:type="dxa" w:w="2102"/>
          </w:tcPr>
          <w:p>
            <w:r>
              <w:rPr>
                <w:b/>
              </w:rPr>
              <w:t>Comment</w:t>
            </w:r>
          </w:p>
        </w:tc>
      </w:tr>
      <w:tr>
        <w:tc>
          <w:tcPr>
            <w:tcW w:type="dxa" w:w="2102"/>
          </w:tcPr>
          <w:p>
            <w:r>
              <w:t>Revenue (C$)</w:t>
            </w:r>
          </w:p>
        </w:tc>
        <w:tc>
          <w:tcPr>
            <w:tcW w:type="dxa" w:w="2102"/>
          </w:tcPr>
          <w:p>
            <w:r>
              <w:t>118.9m</w:t>
            </w:r>
          </w:p>
        </w:tc>
        <w:tc>
          <w:tcPr>
            <w:tcW w:type="dxa" w:w="2102"/>
          </w:tcPr>
          <w:p>
            <w:r>
              <w:t>—</w:t>
            </w:r>
          </w:p>
        </w:tc>
        <w:tc>
          <w:tcPr>
            <w:tcW w:type="dxa" w:w="2102"/>
          </w:tcPr>
          <w:p>
            <w:r>
              <w:t>—</w:t>
            </w:r>
          </w:p>
        </w:tc>
        <w:tc>
          <w:tcPr>
            <w:tcW w:type="dxa" w:w="2102"/>
          </w:tcPr>
          <w:p>
            <w:r>
              <w:t>+10.3% reported, +8.6% constant currency</w:t>
            </w:r>
          </w:p>
        </w:tc>
      </w:tr>
      <w:tr>
        <w:tc>
          <w:tcPr>
            <w:tcW w:type="dxa" w:w="2102"/>
          </w:tcPr>
          <w:p>
            <w:r>
              <w:t>Revenue (US$ basis)</w:t>
            </w:r>
          </w:p>
        </w:tc>
        <w:tc>
          <w:tcPr>
            <w:tcW w:type="dxa" w:w="2102"/>
          </w:tcPr>
          <w:p>
            <w:r>
              <w:t>83.71m</w:t>
            </w:r>
          </w:p>
        </w:tc>
        <w:tc>
          <w:tcPr>
            <w:tcW w:type="dxa" w:w="2102"/>
          </w:tcPr>
          <w:p>
            <w:r>
              <w:t>76.34m</w:t>
            </w:r>
          </w:p>
        </w:tc>
        <w:tc>
          <w:tcPr>
            <w:tcW w:type="dxa" w:w="2102"/>
          </w:tcPr>
          <w:p>
            <w:r>
              <w:t>+9.7%</w:t>
            </w:r>
          </w:p>
        </w:tc>
        <w:tc>
          <w:tcPr>
            <w:tcW w:type="dxa" w:w="2102"/>
          </w:tcPr>
          <w:p>
            <w:r>
              <w:rPr>
                <w:b/>
              </w:rPr>
              <w:t>Clear beat</w:t>
            </w:r>
          </w:p>
        </w:tc>
      </w:tr>
      <w:tr>
        <w:tc>
          <w:tcPr>
            <w:tcW w:type="dxa" w:w="2102"/>
          </w:tcPr>
          <w:p>
            <w:r>
              <w:t>EPS (US$ basis)</w:t>
            </w:r>
          </w:p>
        </w:tc>
        <w:tc>
          <w:tcPr>
            <w:tcW w:type="dxa" w:w="2102"/>
          </w:tcPr>
          <w:p>
            <w:r>
              <w:t>(0.64)</w:t>
            </w:r>
          </w:p>
        </w:tc>
        <w:tc>
          <w:tcPr>
            <w:tcW w:type="dxa" w:w="2102"/>
          </w:tcPr>
          <w:p>
            <w:r>
              <w:t>(0.70)</w:t>
            </w:r>
          </w:p>
        </w:tc>
        <w:tc>
          <w:tcPr>
            <w:tcW w:type="dxa" w:w="2102"/>
          </w:tcPr>
          <w:p>
            <w:r>
              <w:t>+US$0.06</w:t>
            </w:r>
          </w:p>
        </w:tc>
        <w:tc>
          <w:tcPr>
            <w:tcW w:type="dxa" w:w="2102"/>
          </w:tcPr>
          <w:p>
            <w:r>
              <w:rPr>
                <w:b/>
              </w:rPr>
              <w:t>Beat</w:t>
            </w:r>
            <w:r>
              <w:t xml:space="preserve"> — smaller seasonal loss than feared</w:t>
            </w:r>
          </w:p>
        </w:tc>
      </w:tr>
      <w:tr>
        <w:tc>
          <w:tcPr>
            <w:tcW w:type="dxa" w:w="2102"/>
          </w:tcPr>
          <w:p>
            <w:r>
              <w:t>Adjusted EBIT (C$)</w:t>
            </w:r>
          </w:p>
        </w:tc>
        <w:tc>
          <w:tcPr>
            <w:tcW w:type="dxa" w:w="2102"/>
          </w:tcPr>
          <w:p>
            <w:r>
              <w:t>(103.8)m</w:t>
            </w:r>
          </w:p>
        </w:tc>
        <w:tc>
          <w:tcPr>
            <w:tcW w:type="dxa" w:w="2102"/>
          </w:tcPr>
          <w:p>
            <w:r>
              <w:t>—</w:t>
            </w:r>
          </w:p>
        </w:tc>
        <w:tc>
          <w:tcPr>
            <w:tcW w:type="dxa" w:w="2102"/>
          </w:tcPr>
          <w:p>
            <w:r>
              <w:t>—</w:t>
            </w:r>
          </w:p>
        </w:tc>
        <w:tc>
          <w:tcPr>
            <w:tcW w:type="dxa" w:w="2102"/>
          </w:tcPr>
          <w:p>
            <w:r>
              <w:t xml:space="preserve">Margin (87.3)% vs (98.7)% — </w:t>
            </w:r>
            <w:r>
              <w:rPr>
                <w:b/>
              </w:rPr>
              <w:t>1,140bps improvement</w:t>
            </w:r>
          </w:p>
        </w:tc>
      </w:tr>
      <w:tr>
        <w:tc>
          <w:tcPr>
            <w:tcW w:type="dxa" w:w="2102"/>
          </w:tcPr>
          <w:p>
            <w:r>
              <w:t>Net loss (C$)</w:t>
            </w:r>
          </w:p>
        </w:tc>
        <w:tc>
          <w:tcPr>
            <w:tcW w:type="dxa" w:w="2102"/>
          </w:tcPr>
          <w:p>
            <w:r>
              <w:t>c.(91)m</w:t>
            </w:r>
          </w:p>
        </w:tc>
        <w:tc>
          <w:tcPr>
            <w:tcW w:type="dxa" w:w="2102"/>
          </w:tcPr>
          <w:p>
            <w:r>
              <w:t>—</w:t>
            </w:r>
          </w:p>
        </w:tc>
        <w:tc>
          <w:tcPr>
            <w:tcW w:type="dxa" w:w="2102"/>
          </w:tcPr>
          <w:p>
            <w:r>
              <w:t>—</w:t>
            </w:r>
          </w:p>
        </w:tc>
        <w:tc>
          <w:tcPr>
            <w:tcW w:type="dxa" w:w="2102"/>
          </w:tcPr>
          <w:p>
            <w:r>
              <w:t>Seasonal; Q1 is structurally loss-making</w:t>
            </w:r>
          </w:p>
        </w:tc>
      </w:tr>
    </w:tbl>
    <w:p>
      <w:r/>
    </w:p>
    <w:p>
      <w:pPr>
        <w:pStyle w:val="Heading3"/>
      </w:pPr>
      <w:r>
        <w:t>Segment drivers</w:t>
      </w:r>
      <w:r/>
      <w:r/>
    </w:p>
    <w:p>
      <w:pPr>
        <w:pStyle w:val="ListBullet"/>
        <w:spacing w:line="240" w:lineRule="auto"/>
        <w:ind w:left="720"/>
      </w:pPr>
      <w:r/>
      <w:r>
        <w:rPr>
          <w:b/>
        </w:rPr>
        <w:t>Wholesale +65%</w:t>
      </w:r>
      <w:r>
        <w:t xml:space="preserve"> — the standout. The channel swung to profit and is the primary explanation for the margin improvement. Reflects earlier shipment timing into a larger order book, so some of this is a </w:t>
      </w:r>
      <w:r>
        <w:rPr>
          <w:b/>
        </w:rPr>
        <w:t>pull-forward from Q2</w:t>
      </w:r>
      <w:r>
        <w:t xml:space="preserve"> rather than pure demand.</w:t>
      </w:r>
      <w:r/>
    </w:p>
    <w:p>
      <w:pPr>
        <w:pStyle w:val="ListBullet"/>
        <w:spacing w:line="240" w:lineRule="auto"/>
        <w:ind w:left="720"/>
      </w:pPr>
      <w:r/>
      <w:r>
        <w:rPr>
          <w:b/>
        </w:rPr>
        <w:t>DTC +7%</w:t>
      </w:r>
      <w:r>
        <w:t xml:space="preserve"> — headline positive, but </w:t>
      </w:r>
      <w:r>
        <w:rPr>
          <w:b/>
        </w:rPr>
        <w:t>comparable sales were -3.2%</w:t>
      </w:r>
      <w:r>
        <w:t>. The gap is new store contribution. Growth is being bought with square footage, not earned from existing stores.</w:t>
      </w:r>
      <w:r/>
    </w:p>
    <w:p>
      <w:pPr>
        <w:pStyle w:val="ListBullet"/>
        <w:spacing w:line="240" w:lineRule="auto"/>
        <w:ind w:left="720"/>
      </w:pPr>
      <w:r/>
      <w:r>
        <w:rPr>
          <w:b/>
        </w:rPr>
        <w:t>Other</w:t>
      </w:r>
      <w:r>
        <w:t xml:space="preserve"> — declining, dragging reported growth. Revenue was </w:t>
      </w:r>
      <w:r>
        <w:rPr>
          <w:b/>
        </w:rPr>
        <w:t>+16% excluding Other</w:t>
      </w:r>
      <w:r>
        <w:t xml:space="preserve"> versus +9% reported.</w:t>
      </w:r>
      <w:r/>
    </w:p>
    <w:p>
      <w:pPr>
        <w:pStyle w:val="ListBullet"/>
        <w:spacing w:line="240" w:lineRule="auto"/>
        <w:ind w:left="720"/>
      </w:pPr>
      <w:r/>
      <w:r>
        <w:rPr>
          <w:b/>
        </w:rPr>
        <w:t>Category mix</w:t>
      </w:r>
      <w:r>
        <w:t xml:space="preserve"> — apparel, rainwear and windwear approached 40% of revenue. The de-seasonalisation thesis is being validated.</w:t>
      </w:r>
      <w:r/>
      <w:r/>
    </w:p>
    <w:p>
      <w:pPr>
        <w:pStyle w:val="Heading3"/>
      </w:pPr>
      <w:r>
        <w:t>Margins</w:t>
      </w:r>
      <w:r/>
    </w:p>
    <w:p>
      <w:r/>
      <w:r>
        <w:t>Adjusted EBIT margin improved 1,140bps year-over-year to (87.3)%, the best first quarter since FY2020, driven by gross margin expansion and SG&amp;A leverage. This is a real and significant improvement. The caveat: it is measured against an exceptionally weak comparator, and the favourable wholesale mix and shipment timing flatter it.</w:t>
      </w:r>
      <w:r/>
    </w:p>
    <w:p>
      <w:pPr>
        <w:pStyle w:val="Heading3"/>
      </w:pPr>
      <w:r>
        <w:t>Guidance and tone</w:t>
      </w:r>
      <w:r/>
      <w:r/>
    </w:p>
    <w:p>
      <w:pPr>
        <w:pStyle w:val="ListBullet"/>
        <w:spacing w:line="240" w:lineRule="auto"/>
        <w:ind w:left="720"/>
      </w:pPr>
      <w:r/>
      <w:r>
        <w:rPr>
          <w:b/>
        </w:rPr>
        <w:t>FY2027 guidance reaffirmed</w:t>
      </w:r>
      <w:r>
        <w:t>: revenue up low-single-digits; adjusted EBIT margin 11–12% (130–230bps expansion).</w:t>
      </w:r>
      <w:r/>
    </w:p>
    <w:p>
      <w:pPr>
        <w:pStyle w:val="ListBullet"/>
        <w:spacing w:line="240" w:lineRule="auto"/>
        <w:ind w:left="720"/>
      </w:pPr>
      <w:r/>
      <w:r>
        <w:rPr>
          <w:b/>
        </w:rPr>
        <w:t>Tariffs</w:t>
      </w:r>
      <w:r>
        <w:t xml:space="preserve">: outlook assumes the environment stays consistent with FY2026. Proposed U.S. duties announced 20 July 2026, if implemented without mitigation, would cost </w:t>
      </w:r>
      <w:r>
        <w:rPr>
          <w:b/>
        </w:rPr>
        <w:t>less than 200bps of FY2027 operating margin</w:t>
      </w:r>
      <w:r>
        <w:t>.</w:t>
      </w:r>
      <w:r/>
    </w:p>
    <w:p>
      <w:pPr>
        <w:pStyle w:val="ListBullet"/>
        <w:spacing w:line="240" w:lineRule="auto"/>
        <w:ind w:left="720"/>
      </w:pPr>
      <w:r/>
      <w:r>
        <w:rPr>
          <w:b/>
        </w:rPr>
        <w:t>Investment plans</w:t>
      </w:r>
      <w:r>
        <w:t>: increased marketing in Q2 and Q3; completion of EMEA logistics and e-commerce upgrades.</w:t>
      </w:r>
      <w:r/>
    </w:p>
    <w:p>
      <w:pPr>
        <w:pStyle w:val="ListBullet"/>
        <w:spacing w:line="240" w:lineRule="auto"/>
        <w:ind w:left="720"/>
      </w:pPr>
      <w:r/>
      <w:r>
        <w:rPr>
          <w:b/>
        </w:rPr>
        <w:t>Tone</w:t>
      </w:r>
      <w:r>
        <w:t xml:space="preserve">: confident on strategy, explicitly cautious on the consumer. Management is guiding margin expansion </w:t>
      </w:r>
      <w:r>
        <w:rPr>
          <w:i/>
        </w:rPr>
        <w:t>into</w:t>
      </w:r>
      <w:r>
        <w:t xml:space="preserve"> an assumed demand decline — a high-wire act that depends on price and mix rather than volume.</w:t>
      </w:r>
      <w:r/>
      <w:r/>
    </w:p>
    <w:p>
      <w:pPr>
        <w:pStyle w:val="Heading3"/>
      </w:pPr>
      <w:r>
        <w:t>Balance sheet and cash flow flags</w:t>
      </w:r>
      <w:r/>
      <w:r/>
    </w:p>
    <w:p>
      <w:pPr>
        <w:pStyle w:val="ListBullet"/>
        <w:spacing w:line="240" w:lineRule="auto"/>
        <w:ind w:left="720"/>
      </w:pPr>
      <w:r/>
      <w:r>
        <w:t>Inventory held flat at C$386.3m (FY2026 year-end) on 13.3% revenue growth — a positive standout.</w:t>
      </w:r>
      <w:r/>
    </w:p>
    <w:p>
      <w:pPr>
        <w:pStyle w:val="ListBullet"/>
        <w:spacing w:line="240" w:lineRule="auto"/>
        <w:ind w:left="720"/>
      </w:pPr>
      <w:r/>
      <w:r>
        <w:t>Cash of C$408.2m at FY2026 year-end, up from C$334.4m.</w:t>
      </w:r>
      <w:r/>
    </w:p>
    <w:p>
      <w:pPr>
        <w:pStyle w:val="ListBullet"/>
        <w:spacing w:line="240" w:lineRule="auto"/>
        <w:ind w:left="720"/>
      </w:pPr>
      <w:r/>
      <w:r>
        <w:t>Net debt C$383.2m, improved from C$408.8m; leverage stable at 1.3x.</w:t>
      </w:r>
      <w:r/>
    </w:p>
    <w:p>
      <w:pPr>
        <w:pStyle w:val="ListBullet"/>
        <w:spacing w:line="240" w:lineRule="auto"/>
        <w:ind w:left="720"/>
      </w:pPr>
      <w:r/>
      <w:r>
        <w:rPr>
          <w:b/>
        </w:rPr>
        <w:t>Watch item:</w:t>
      </w:r>
      <w:r>
        <w:t xml:space="preserve"> the FY2026 bad-debt provision against a U.S. wholesale partner sits uneasily alongside a 65% wholesale surge in Q1 FY2027. Receivables quality and ageing deserve scrutiny in the next filing.</w:t>
      </w:r>
      <w:r/>
      <w:r/>
    </w:p>
    <w:p>
      <w:pPr>
        <w:pStyle w:val="Heading3"/>
      </w:pPr>
      <w:r>
        <w:t>Market reaction — the most informative part of the quarter</w:t>
      </w:r>
      <w:r/>
      <w:r>
        <w:t xml:space="preserve">The company </w:t>
      </w:r>
      <w:r>
        <w:rPr>
          <w:b/>
        </w:rPr>
        <w:t>beat on revenue and EPS, improved margin by more than 11 percentage points, and reaffirmed guidance — and the stock fell nearly 10% to a 52-week low</w:t>
      </w:r>
      <w:r>
        <w:t>, drifting a further 6.6% lower into late August to trade as low as US$8.14.</w:t>
        <w:br/>
        <w:br/>
      </w:r>
      <w:r/>
      <w:r>
        <w:rPr>
          <w:b/>
        </w:rPr>
        <w:t>What this signals about positioning.</w:t>
      </w:r>
      <w:r>
        <w:t xml:space="preserve"> Three readings, in descending order of likelihood. First, the market is discounting the </w:t>
      </w:r>
      <w:r>
        <w:rPr>
          <w:b/>
        </w:rPr>
        <w:t>negative DTC comp</w:t>
      </w:r>
      <w:r>
        <w:t xml:space="preserve"> far more heavily than the headline beat — it reads -3.2% as the leading indicator and the wholesale surge as timing. Second, the </w:t>
      </w:r>
      <w:r>
        <w:rPr>
          <w:b/>
        </w:rPr>
        <w:t>tariff disclosure</w:t>
      </w:r>
      <w:r>
        <w:t xml:space="preserve"> introduced a quantified downside to guidance that was not previously in numbers. Third, and most importantly, the </w:t>
      </w:r>
      <w:r>
        <w:rPr>
          <w:b/>
        </w:rPr>
        <w:t>take-private premium is deflating</w:t>
      </w:r>
      <w:r>
        <w:t>: with the Bain process unresolved a year after the August 2025 reports, holders who bought for deal optionality are capitulating. A beat that is sold this hard, from a 28.5% short base where covering should have provided support, indicates that operational progress is not currently the marginal price-setter.</w:t>
      </w:r>
      <w:r/>
    </w:p>
    <w:p>
      <w:pPr>
        <w:pStyle w:val="Heading2"/>
      </w:pPr>
      <w:r>
        <w:t>10. Earnings Call Summary and Sentiment Analysis</w:t>
      </w:r>
      <w:r/>
    </w:p>
    <w:p>
      <w:pPr>
        <w:pStyle w:val="Heading3"/>
      </w:pPr>
      <w:r>
        <w:t>Management focus</w:t>
      </w:r>
      <w:r/>
    </w:p>
    <w:p>
      <w:r/>
      <w:r>
        <w:t>The Q1 FY2027 call featured Dani Reiss (Chairman &amp; CEO), Neil Bowden (CFO), Carrie Baker (President, Brand &amp; Commercial) and Beth Clymer (President &amp; COO). Four consistent priorities:</w:t>
      </w:r>
      <w:r/>
      <w:r/>
    </w:p>
    <w:p>
      <w:pPr>
        <w:pStyle w:val="ListNumber"/>
        <w:spacing w:line="240" w:lineRule="auto"/>
        <w:ind w:left="720"/>
      </w:pPr>
      <w:r/>
      <w:r>
        <w:rPr>
          <w:b/>
        </w:rPr>
        <w:t>De-seasonalisation.</w:t>
      </w:r>
      <w:r>
        <w:t xml:space="preserve"> The dominant theme across recent calls. Spring/summer categories at c.40% of Q1 revenue is the metric management most wants investors to anchor on.</w:t>
      </w:r>
      <w:r/>
    </w:p>
    <w:p>
      <w:pPr>
        <w:pStyle w:val="ListNumber"/>
        <w:spacing w:line="240" w:lineRule="auto"/>
        <w:ind w:left="720"/>
      </w:pPr>
      <w:r/>
      <w:r>
        <w:rPr>
          <w:b/>
        </w:rPr>
        <w:t>Margin discipline.</w:t>
      </w:r>
      <w:r>
        <w:t xml:space="preserve"> A pronounced shift from "invest for growth" to "expand margin." The 11–12% FY2027 target is the organising commitment.</w:t>
      </w:r>
      <w:r/>
    </w:p>
    <w:p>
      <w:pPr>
        <w:pStyle w:val="ListNumber"/>
        <w:spacing w:line="240" w:lineRule="auto"/>
        <w:ind w:left="720"/>
      </w:pPr>
      <w:r/>
      <w:r>
        <w:rPr>
          <w:b/>
        </w:rPr>
        <w:t>Portfolio focus.</w:t>
      </w:r>
      <w:r>
        <w:t xml:space="preserve"> Baffin divested; store network pruned; the word "focus" recurs in disposal communications.</w:t>
      </w:r>
      <w:r/>
    </w:p>
    <w:p>
      <w:pPr>
        <w:pStyle w:val="ListNumber"/>
        <w:spacing w:line="240" w:lineRule="auto"/>
        <w:ind w:left="720"/>
      </w:pPr>
      <w:r/>
      <w:r>
        <w:rPr>
          <w:b/>
        </w:rPr>
        <w:t>Channel rebalancing.</w:t>
      </w:r>
      <w:r>
        <w:t xml:space="preserve"> Renewed enthusiasm for wholesale after years of DTC-first messaging — a notable strategic reversal.</w:t>
      </w:r>
      <w:r/>
      <w:r/>
    </w:p>
    <w:p>
      <w:pPr>
        <w:pStyle w:val="Heading3"/>
      </w:pPr>
      <w:r>
        <w:t>Sentiment trajectory</w:t>
      </w:r>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Period</w:t>
            </w:r>
          </w:p>
        </w:tc>
        <w:tc>
          <w:tcPr>
            <w:tcW w:type="dxa" w:w="3504"/>
          </w:tcPr>
          <w:p>
            <w:r>
              <w:rPr>
                <w:b/>
              </w:rPr>
              <w:t>Sentiment</w:t>
            </w:r>
          </w:p>
        </w:tc>
        <w:tc>
          <w:tcPr>
            <w:tcW w:type="dxa" w:w="3504"/>
          </w:tcPr>
          <w:p>
            <w:r>
              <w:rPr>
                <w:b/>
              </w:rPr>
              <w:t>Characterisation</w:t>
            </w:r>
          </w:p>
        </w:tc>
      </w:tr>
      <w:tr>
        <w:tc>
          <w:tcPr>
            <w:tcW w:type="dxa" w:w="3504"/>
          </w:tcPr>
          <w:p>
            <w:r>
              <w:t>FY2022–FY2023</w:t>
            </w:r>
          </w:p>
        </w:tc>
        <w:tc>
          <w:tcPr>
            <w:tcW w:type="dxa" w:w="3504"/>
          </w:tcPr>
          <w:p>
            <w:r>
              <w:t>Defensive / apologetic</w:t>
            </w:r>
          </w:p>
        </w:tc>
        <w:tc>
          <w:tcPr>
            <w:tcW w:type="dxa" w:w="3504"/>
          </w:tcPr>
          <w:p>
            <w:r>
              <w:t>Dominated by China COVID disruption and successive guidance cuts. Language reactive; management explaining events rather than directing them.</w:t>
            </w:r>
          </w:p>
        </w:tc>
      </w:tr>
      <w:tr>
        <w:tc>
          <w:tcPr>
            <w:tcW w:type="dxa" w:w="3504"/>
          </w:tcPr>
          <w:p>
            <w:r>
              <w:t>FY2024</w:t>
            </w:r>
          </w:p>
        </w:tc>
        <w:tc>
          <w:tcPr>
            <w:tcW w:type="dxa" w:w="3504"/>
          </w:tcPr>
          <w:p>
            <w:r>
              <w:t>Restructuring</w:t>
            </w:r>
          </w:p>
        </w:tc>
        <w:tc>
          <w:tcPr>
            <w:tcW w:type="dxa" w:w="3504"/>
          </w:tcPr>
          <w:p>
            <w:r>
              <w:t>17% corporate workforce reduction, executive reshuffle. Tone of retrenchment and cost control. Implicit admission the growth algorithm had broken.</w:t>
            </w:r>
          </w:p>
        </w:tc>
      </w:tr>
      <w:tr>
        <w:tc>
          <w:tcPr>
            <w:tcW w:type="dxa" w:w="3504"/>
          </w:tcPr>
          <w:p>
            <w:r>
              <w:t>FY2025</w:t>
            </w:r>
          </w:p>
        </w:tc>
        <w:tc>
          <w:tcPr>
            <w:tcW w:type="dxa" w:w="3504"/>
          </w:tcPr>
          <w:p>
            <w:r>
              <w:t>Stabilising</w:t>
            </w:r>
          </w:p>
        </w:tc>
        <w:tc>
          <w:tcPr>
            <w:tcW w:type="dxa" w:w="3504"/>
          </w:tcPr>
          <w:p>
            <w:r>
              <w:t>Revenue essentially flat (+1.1%) but margins recovered (adjusted EBIT 12.7%, adjusted EPS C$1.12). Tone: "we have stopped the bleeding."</w:t>
            </w:r>
          </w:p>
        </w:tc>
      </w:tr>
      <w:tr>
        <w:tc>
          <w:tcPr>
            <w:tcW w:type="dxa" w:w="3504"/>
          </w:tcPr>
          <w:p>
            <w:r>
              <w:t>FY2026</w:t>
            </w:r>
          </w:p>
        </w:tc>
        <w:tc>
          <w:tcPr>
            <w:tcW w:type="dxa" w:w="3504"/>
          </w:tcPr>
          <w:p>
            <w:r>
              <w:t xml:space="preserve">Confident on strategy, </w:t>
            </w:r>
            <w:r>
              <w:t>weak on delivery</w:t>
            </w:r>
          </w:p>
        </w:tc>
        <w:tc>
          <w:tcPr>
            <w:tcW w:type="dxa" w:w="3504"/>
          </w:tcPr>
          <w:p>
            <w:r>
              <w:rPr>
                <w:b/>
              </w:rPr>
              <w:t>The most revealing divergence in the file.</w:t>
            </w:r>
            <w:r>
              <w:t xml:space="preserve"> Management spoke of "strategic investments... supporting long-term value creation" while operating income fell 45.9% and reported EPS fell 76%. Confident narrative, deteriorating economics.</w:t>
            </w:r>
          </w:p>
        </w:tc>
      </w:tr>
      <w:tr>
        <w:tc>
          <w:tcPr>
            <w:tcW w:type="dxa" w:w="3504"/>
          </w:tcPr>
          <w:p>
            <w:r>
              <w:t>Q1 FY2027</w:t>
            </w:r>
          </w:p>
        </w:tc>
        <w:tc>
          <w:tcPr>
            <w:tcW w:type="dxa" w:w="3504"/>
          </w:tcPr>
          <w:p>
            <w:r>
              <w:t>Assertive / turnaround-framed</w:t>
            </w:r>
          </w:p>
        </w:tc>
        <w:tc>
          <w:tcPr>
            <w:tcW w:type="dxa" w:w="3504"/>
          </w:tcPr>
          <w:p>
            <w:r>
              <w:t xml:space="preserve">Management "insisted its turnaround strategy is gaining traction." Emphasis on the strongest Q1 margin since FY2020. Simultaneously the </w:t>
            </w:r>
            <w:r>
              <w:rPr>
                <w:i/>
              </w:rPr>
              <w:t>guidance assumptions</w:t>
            </w:r>
            <w:r>
              <w:t xml:space="preserve"> turned explicitly bearish on the consumer.</w:t>
            </w:r>
          </w:p>
        </w:tc>
      </w:tr>
    </w:tbl>
    <w:p>
      <w:r/>
      <w:r/>
      <w:r>
        <w:rPr>
          <w:b/>
        </w:rPr>
        <w:t>Sentiment read.</w:t>
      </w:r>
      <w:r>
        <w:t xml:space="preserve"> The trajectory runs defensive → restructuring → stabilising → </w:t>
      </w:r>
      <w:r>
        <w:rPr>
          <w:b/>
        </w:rPr>
        <w:t>assertive-but-hedged</w:t>
      </w:r>
      <w:r>
        <w:t xml:space="preserve">. The critical observation is the widening gap between </w:t>
      </w:r>
      <w:r>
        <w:rPr>
          <w:b/>
        </w:rPr>
        <w:t>narrative tone</w:t>
      </w:r>
      <w:r>
        <w:t xml:space="preserve"> (improving, confident, turnaround-framed) and </w:t>
      </w:r>
      <w:r>
        <w:rPr>
          <w:b/>
        </w:rPr>
        <w:t>guidance assumptions</w:t>
      </w:r>
      <w:r>
        <w:t xml:space="preserve"> (softer traffic, reduced consumer confidence, lower travel). Management is talking up execution while quietly writing down the demand environment. That combination — margin expansion promised into an assumed volume decline — places the entire FY2027 thesis on </w:t>
      </w:r>
      <w:r>
        <w:rPr>
          <w:b/>
        </w:rPr>
        <w:t>price, mix and cost control</w:t>
      </w:r>
      <w:r>
        <w:t>. It is achievable, but it has no volume cushion. If traffic deteriorates faster than assumed, there is nothing to absorb it.</w:t>
      </w:r>
      <w:r/>
    </w:p>
    <w:p>
      <w:pPr>
        <w:pStyle w:val="Heading2"/>
      </w:pPr>
      <w:r>
        <w:t>11. EPS Estimates, FY2027–FY2029</w:t>
      </w:r>
      <w:r/>
    </w:p>
    <w:p>
      <w:r/>
      <w:r>
        <w:t xml:space="preserve">The user requested calendar 2026–2028. Because Canada Goose's fiscal year ends in late March, the closest mapping is </w:t>
      </w:r>
      <w:r>
        <w:rPr>
          <w:b/>
        </w:rPr>
        <w:t>FY2027 (Apr 2026–Mar 2027), FY2028 and FY2029</w:t>
      </w:r>
      <w:r>
        <w:t xml:space="preserve">. All figures are analyst estimates </w:t>
      </w:r>
      <w:r>
        <w:rPr>
          <w:b/>
        </w:rPr>
        <w:t>(E)</w:t>
      </w:r>
      <w:r>
        <w:t xml:space="preserve"> built from disclosed FY2026 actuals and management guidance.</w:t>
      </w:r>
      <w:r/>
    </w:p>
    <w:p>
      <w:pPr>
        <w:pStyle w:val="Heading3"/>
      </w:pPr>
      <w:r>
        <w:t>Methodology and build</w:t>
      </w:r>
      <w:r/>
    </w:p>
    <w:p>
      <w:r/>
      <w:r>
        <w:t xml:space="preserve">The below-EBIT drag (net interest, tax, non-controlling interests) is calibrated from FY2026 actuals: adjusted EBIT of C$148.0m converted to adjusted net income of C$77.1m, a </w:t>
      </w:r>
      <w:r>
        <w:rPr>
          <w:b/>
        </w:rPr>
        <w:t>52.1% conversion ratio</w:t>
      </w:r>
      <w:r>
        <w:t>. This is applied forward with modest improvement as interest expense falls on a deleveraging balance sheet.</w:t>
      </w:r>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b/>
              </w:rPr>
              <w:t>Line item (C$m unless stated)</w:t>
            </w:r>
          </w:p>
        </w:tc>
        <w:tc>
          <w:tcPr>
            <w:tcW w:type="dxa" w:w="2102"/>
          </w:tcPr>
          <w:p>
            <w:r>
              <w:rPr>
                <w:b/>
              </w:rPr>
              <w:t>FY2026A</w:t>
            </w:r>
          </w:p>
        </w:tc>
        <w:tc>
          <w:tcPr>
            <w:tcW w:type="dxa" w:w="2102"/>
          </w:tcPr>
          <w:p>
            <w:r>
              <w:rPr>
                <w:b/>
              </w:rPr>
              <w:t>FY2027E</w:t>
            </w:r>
          </w:p>
        </w:tc>
        <w:tc>
          <w:tcPr>
            <w:tcW w:type="dxa" w:w="2102"/>
          </w:tcPr>
          <w:p>
            <w:r>
              <w:rPr>
                <w:b/>
              </w:rPr>
              <w:t>FY2028E</w:t>
            </w:r>
          </w:p>
        </w:tc>
        <w:tc>
          <w:tcPr>
            <w:tcW w:type="dxa" w:w="2102"/>
          </w:tcPr>
          <w:p>
            <w:r>
              <w:rPr>
                <w:b/>
              </w:rPr>
              <w:t>FY2029E</w:t>
            </w:r>
          </w:p>
        </w:tc>
      </w:tr>
      <w:tr>
        <w:tc>
          <w:tcPr>
            <w:tcW w:type="dxa" w:w="2102"/>
          </w:tcPr>
          <w:p>
            <w:r>
              <w:t>Revenue</w:t>
            </w:r>
          </w:p>
        </w:tc>
        <w:tc>
          <w:tcPr>
            <w:tcW w:type="dxa" w:w="2102"/>
          </w:tcPr>
          <w:p>
            <w:r>
              <w:t>1,528.2</w:t>
            </w:r>
          </w:p>
        </w:tc>
        <w:tc>
          <w:tcPr>
            <w:tcW w:type="dxa" w:w="2102"/>
          </w:tcPr>
          <w:p>
            <w:r>
              <w:t>1,575</w:t>
            </w:r>
          </w:p>
        </w:tc>
        <w:tc>
          <w:tcPr>
            <w:tcW w:type="dxa" w:w="2102"/>
          </w:tcPr>
          <w:p>
            <w:r>
              <w:t>1,638</w:t>
            </w:r>
          </w:p>
        </w:tc>
        <w:tc>
          <w:tcPr>
            <w:tcW w:type="dxa" w:w="2102"/>
          </w:tcPr>
          <w:p>
            <w:r>
              <w:t>1,720</w:t>
            </w:r>
          </w:p>
        </w:tc>
      </w:tr>
      <w:tr>
        <w:tc>
          <w:tcPr>
            <w:tcW w:type="dxa" w:w="2102"/>
          </w:tcPr>
          <w:p>
            <w:r>
              <w:t>Revenue growth</w:t>
            </w:r>
          </w:p>
        </w:tc>
        <w:tc>
          <w:tcPr>
            <w:tcW w:type="dxa" w:w="2102"/>
          </w:tcPr>
          <w:p>
            <w:r>
              <w:t>13.3%</w:t>
            </w:r>
          </w:p>
        </w:tc>
        <w:tc>
          <w:tcPr>
            <w:tcW w:type="dxa" w:w="2102"/>
          </w:tcPr>
          <w:p>
            <w:r>
              <w:t>3.1%</w:t>
            </w:r>
          </w:p>
        </w:tc>
        <w:tc>
          <w:tcPr>
            <w:tcW w:type="dxa" w:w="2102"/>
          </w:tcPr>
          <w:p>
            <w:r>
              <w:t>4.0%</w:t>
            </w:r>
          </w:p>
        </w:tc>
        <w:tc>
          <w:tcPr>
            <w:tcW w:type="dxa" w:w="2102"/>
          </w:tcPr>
          <w:p>
            <w:r>
              <w:t>5.0%</w:t>
            </w:r>
          </w:p>
        </w:tc>
      </w:tr>
      <w:tr>
        <w:tc>
          <w:tcPr>
            <w:tcW w:type="dxa" w:w="2102"/>
          </w:tcPr>
          <w:p>
            <w:r>
              <w:t>Gross margin</w:t>
            </w:r>
          </w:p>
        </w:tc>
        <w:tc>
          <w:tcPr>
            <w:tcW w:type="dxa" w:w="2102"/>
          </w:tcPr>
          <w:p>
            <w:r>
              <w:t>69.7%</w:t>
            </w:r>
          </w:p>
        </w:tc>
        <w:tc>
          <w:tcPr>
            <w:tcW w:type="dxa" w:w="2102"/>
          </w:tcPr>
          <w:p>
            <w:r>
              <w:t>69.5%</w:t>
            </w:r>
          </w:p>
        </w:tc>
        <w:tc>
          <w:tcPr>
            <w:tcW w:type="dxa" w:w="2102"/>
          </w:tcPr>
          <w:p>
            <w:r>
              <w:t>69.8%</w:t>
            </w:r>
          </w:p>
        </w:tc>
        <w:tc>
          <w:tcPr>
            <w:tcW w:type="dxa" w:w="2102"/>
          </w:tcPr>
          <w:p>
            <w:r>
              <w:t>70.0%</w:t>
            </w:r>
          </w:p>
        </w:tc>
      </w:tr>
      <w:tr>
        <w:tc>
          <w:tcPr>
            <w:tcW w:type="dxa" w:w="2102"/>
          </w:tcPr>
          <w:p>
            <w:r>
              <w:t>Adjusted EBIT</w:t>
            </w:r>
          </w:p>
        </w:tc>
        <w:tc>
          <w:tcPr>
            <w:tcW w:type="dxa" w:w="2102"/>
          </w:tcPr>
          <w:p>
            <w:r>
              <w:t>148.0</w:t>
            </w:r>
          </w:p>
        </w:tc>
        <w:tc>
          <w:tcPr>
            <w:tcW w:type="dxa" w:w="2102"/>
          </w:tcPr>
          <w:p>
            <w:r>
              <w:t>181</w:t>
            </w:r>
          </w:p>
        </w:tc>
        <w:tc>
          <w:tcPr>
            <w:tcW w:type="dxa" w:w="2102"/>
          </w:tcPr>
          <w:p>
            <w:r>
              <w:t>205</w:t>
            </w:r>
          </w:p>
        </w:tc>
        <w:tc>
          <w:tcPr>
            <w:tcW w:type="dxa" w:w="2102"/>
          </w:tcPr>
          <w:p>
            <w:r>
              <w:t>232</w:t>
            </w:r>
          </w:p>
        </w:tc>
      </w:tr>
      <w:tr>
        <w:tc>
          <w:tcPr>
            <w:tcW w:type="dxa" w:w="2102"/>
          </w:tcPr>
          <w:p>
            <w:r>
              <w:t>Adjusted EBIT margin</w:t>
            </w:r>
          </w:p>
        </w:tc>
        <w:tc>
          <w:tcPr>
            <w:tcW w:type="dxa" w:w="2102"/>
          </w:tcPr>
          <w:p>
            <w:r>
              <w:t>9.7%</w:t>
            </w:r>
          </w:p>
        </w:tc>
        <w:tc>
          <w:tcPr>
            <w:tcW w:type="dxa" w:w="2102"/>
          </w:tcPr>
          <w:p>
            <w:r>
              <w:t>11.5%</w:t>
            </w:r>
          </w:p>
        </w:tc>
        <w:tc>
          <w:tcPr>
            <w:tcW w:type="dxa" w:w="2102"/>
          </w:tcPr>
          <w:p>
            <w:r>
              <w:t>12.5%</w:t>
            </w:r>
          </w:p>
        </w:tc>
        <w:tc>
          <w:tcPr>
            <w:tcW w:type="dxa" w:w="2102"/>
          </w:tcPr>
          <w:p>
            <w:r>
              <w:t>13.5%</w:t>
            </w:r>
          </w:p>
        </w:tc>
      </w:tr>
      <w:tr>
        <w:tc>
          <w:tcPr>
            <w:tcW w:type="dxa" w:w="2102"/>
          </w:tcPr>
          <w:p>
            <w:r>
              <w:t>Conversion to net income</w:t>
            </w:r>
          </w:p>
        </w:tc>
        <w:tc>
          <w:tcPr>
            <w:tcW w:type="dxa" w:w="2102"/>
          </w:tcPr>
          <w:p>
            <w:r>
              <w:t>52.1%</w:t>
            </w:r>
          </w:p>
        </w:tc>
        <w:tc>
          <w:tcPr>
            <w:tcW w:type="dxa" w:w="2102"/>
          </w:tcPr>
          <w:p>
            <w:r>
              <w:t>52.0%</w:t>
            </w:r>
          </w:p>
        </w:tc>
        <w:tc>
          <w:tcPr>
            <w:tcW w:type="dxa" w:w="2102"/>
          </w:tcPr>
          <w:p>
            <w:r>
              <w:t>54.0%</w:t>
            </w:r>
          </w:p>
        </w:tc>
        <w:tc>
          <w:tcPr>
            <w:tcW w:type="dxa" w:w="2102"/>
          </w:tcPr>
          <w:p>
            <w:r>
              <w:t>56.0%</w:t>
            </w:r>
          </w:p>
        </w:tc>
      </w:tr>
      <w:tr>
        <w:tc>
          <w:tcPr>
            <w:tcW w:type="dxa" w:w="2102"/>
          </w:tcPr>
          <w:p>
            <w:r>
              <w:t>Adjusted net income</w:t>
            </w:r>
          </w:p>
        </w:tc>
        <w:tc>
          <w:tcPr>
            <w:tcW w:type="dxa" w:w="2102"/>
          </w:tcPr>
          <w:p>
            <w:r>
              <w:t>77.1</w:t>
            </w:r>
          </w:p>
        </w:tc>
        <w:tc>
          <w:tcPr>
            <w:tcW w:type="dxa" w:w="2102"/>
          </w:tcPr>
          <w:p>
            <w:r>
              <w:t>94</w:t>
            </w:r>
          </w:p>
        </w:tc>
        <w:tc>
          <w:tcPr>
            <w:tcW w:type="dxa" w:w="2102"/>
          </w:tcPr>
          <w:p>
            <w:r>
              <w:t>111</w:t>
            </w:r>
          </w:p>
        </w:tc>
        <w:tc>
          <w:tcPr>
            <w:tcW w:type="dxa" w:w="2102"/>
          </w:tcPr>
          <w:p>
            <w:r>
              <w:t>130</w:t>
            </w:r>
          </w:p>
        </w:tc>
      </w:tr>
      <w:tr>
        <w:tc>
          <w:tcPr>
            <w:tcW w:type="dxa" w:w="2102"/>
          </w:tcPr>
          <w:p>
            <w:r>
              <w:t>Diluted shares (m)</w:t>
            </w:r>
          </w:p>
        </w:tc>
        <w:tc>
          <w:tcPr>
            <w:tcW w:type="dxa" w:w="2102"/>
          </w:tcPr>
          <w:p>
            <w:r>
              <w:t>c.98</w:t>
            </w:r>
          </w:p>
        </w:tc>
        <w:tc>
          <w:tcPr>
            <w:tcW w:type="dxa" w:w="2102"/>
          </w:tcPr>
          <w:p>
            <w:r>
              <w:t>96</w:t>
            </w:r>
          </w:p>
        </w:tc>
        <w:tc>
          <w:tcPr>
            <w:tcW w:type="dxa" w:w="2102"/>
          </w:tcPr>
          <w:p>
            <w:r>
              <w:t>94</w:t>
            </w:r>
          </w:p>
        </w:tc>
        <w:tc>
          <w:tcPr>
            <w:tcW w:type="dxa" w:w="2102"/>
          </w:tcPr>
          <w:p>
            <w:r>
              <w:t>92</w:t>
            </w:r>
          </w:p>
        </w:tc>
      </w:tr>
      <w:tr>
        <w:tc>
          <w:tcPr>
            <w:tcW w:type="dxa" w:w="2102"/>
          </w:tcPr>
          <w:p>
            <w:r>
              <w:rPr>
                <w:b/>
              </w:rPr>
              <w:t>Adjusted diluted EPS (C$)</w:t>
            </w:r>
          </w:p>
        </w:tc>
        <w:tc>
          <w:tcPr>
            <w:tcW w:type="dxa" w:w="2102"/>
          </w:tcPr>
          <w:p>
            <w:r>
              <w:rPr>
                <w:b/>
              </w:rPr>
              <w:t>0.78</w:t>
            </w:r>
          </w:p>
        </w:tc>
        <w:tc>
          <w:tcPr>
            <w:tcW w:type="dxa" w:w="2102"/>
          </w:tcPr>
          <w:p>
            <w:r>
              <w:rPr>
                <w:b/>
              </w:rPr>
              <w:t>0.98</w:t>
            </w:r>
          </w:p>
        </w:tc>
        <w:tc>
          <w:tcPr>
            <w:tcW w:type="dxa" w:w="2102"/>
          </w:tcPr>
          <w:p>
            <w:r>
              <w:rPr>
                <w:b/>
              </w:rPr>
              <w:t>1.18</w:t>
            </w:r>
          </w:p>
        </w:tc>
        <w:tc>
          <w:tcPr>
            <w:tcW w:type="dxa" w:w="2102"/>
          </w:tcPr>
          <w:p>
            <w:r>
              <w:rPr>
                <w:b/>
              </w:rPr>
              <w:t>1.41</w:t>
            </w:r>
          </w:p>
        </w:tc>
      </w:tr>
      <w:tr>
        <w:tc>
          <w:tcPr>
            <w:tcW w:type="dxa" w:w="2102"/>
          </w:tcPr>
          <w:p>
            <w:r>
              <w:t>Growth</w:t>
            </w:r>
          </w:p>
        </w:tc>
        <w:tc>
          <w:tcPr>
            <w:tcW w:type="dxa" w:w="2102"/>
          </w:tcPr>
          <w:p>
            <w:r>
              <w:t>-30.4%</w:t>
            </w:r>
          </w:p>
        </w:tc>
        <w:tc>
          <w:tcPr>
            <w:tcW w:type="dxa" w:w="2102"/>
          </w:tcPr>
          <w:p>
            <w:r>
              <w:t>+25.6%</w:t>
            </w:r>
          </w:p>
        </w:tc>
        <w:tc>
          <w:tcPr>
            <w:tcW w:type="dxa" w:w="2102"/>
          </w:tcPr>
          <w:p>
            <w:r>
              <w:t>+20.4%</w:t>
            </w:r>
          </w:p>
        </w:tc>
        <w:tc>
          <w:tcPr>
            <w:tcW w:type="dxa" w:w="2102"/>
          </w:tcPr>
          <w:p>
            <w:r>
              <w:t>+19.5%</w:t>
            </w:r>
          </w:p>
        </w:tc>
      </w:tr>
      <w:tr>
        <w:tc>
          <w:tcPr>
            <w:tcW w:type="dxa" w:w="2102"/>
          </w:tcPr>
          <w:p>
            <w:r>
              <w:t>Reported diluted EPS (C$) (E)</w:t>
            </w:r>
          </w:p>
        </w:tc>
        <w:tc>
          <w:tcPr>
            <w:tcW w:type="dxa" w:w="2102"/>
          </w:tcPr>
          <w:p>
            <w:r>
              <w:t>0.23</w:t>
            </w:r>
          </w:p>
        </w:tc>
        <w:tc>
          <w:tcPr>
            <w:tcW w:type="dxa" w:w="2102"/>
          </w:tcPr>
          <w:p>
            <w:r>
              <w:t>0.72</w:t>
            </w:r>
          </w:p>
        </w:tc>
        <w:tc>
          <w:tcPr>
            <w:tcW w:type="dxa" w:w="2102"/>
          </w:tcPr>
          <w:p>
            <w:r>
              <w:t>0.95</w:t>
            </w:r>
          </w:p>
        </w:tc>
        <w:tc>
          <w:tcPr>
            <w:tcW w:type="dxa" w:w="2102"/>
          </w:tcPr>
          <w:p>
            <w:r>
              <w:t>1.20</w:t>
            </w:r>
          </w:p>
        </w:tc>
      </w:tr>
    </w:tbl>
    <w:p>
      <w:r/>
    </w:p>
    <w:p>
      <w:pPr>
        <w:pStyle w:val="Heading3"/>
      </w:pPr>
      <w:r>
        <w:t>Assumptions by driver, as requested</w:t>
      </w:r>
      <w:r/>
      <w:r/>
    </w:p>
    <w:p>
      <w:pPr>
        <w:pStyle w:val="ListBullet"/>
        <w:spacing w:line="240" w:lineRule="auto"/>
        <w:ind w:left="720"/>
      </w:pPr>
      <w:r/>
      <w:r>
        <w:rPr>
          <w:b/>
        </w:rPr>
        <w:t>Industry growth:</w:t>
      </w:r>
      <w:r>
        <w:t xml:space="preserve"> Premium outerwear assumed low-single-digit; global luxury apparel in a soft patch through FY2027 with gradual normalisation thereafter.</w:t>
      </w:r>
      <w:r/>
    </w:p>
    <w:p>
      <w:pPr>
        <w:pStyle w:val="ListBullet"/>
        <w:spacing w:line="240" w:lineRule="auto"/>
        <w:ind w:left="720"/>
      </w:pPr>
      <w:r/>
      <w:r>
        <w:rPr>
          <w:b/>
        </w:rPr>
        <w:t>Market share:</w:t>
      </w:r>
      <w:r>
        <w:t xml:space="preserve"> Modest share gains in EMEA (from a small base, +25% cc in Q4 FY2026) offset by assumed share loss in Greater China to Bosideng and domestic brands. Net neutral to slightly positive.</w:t>
      </w:r>
      <w:r/>
    </w:p>
    <w:p>
      <w:pPr>
        <w:pStyle w:val="ListBullet"/>
        <w:spacing w:line="240" w:lineRule="auto"/>
        <w:ind w:left="720"/>
      </w:pPr>
      <w:r/>
      <w:r>
        <w:rPr>
          <w:b/>
        </w:rPr>
        <w:t>Price increases:</w:t>
      </w:r>
      <w:r>
        <w:t xml:space="preserve"> The primary FY2027 growth driver — management explicitly cites "pricing actions already implemented." Assumed c.3–4% annual price/mix, moderating as elasticity limits bind.</w:t>
      </w:r>
      <w:r/>
    </w:p>
    <w:p>
      <w:pPr>
        <w:pStyle w:val="ListBullet"/>
        <w:spacing w:line="240" w:lineRule="auto"/>
        <w:ind w:left="720"/>
      </w:pPr>
      <w:r/>
      <w:r>
        <w:rPr>
          <w:b/>
        </w:rPr>
        <w:t>Baffin drag:</w:t>
      </w:r>
      <w:r>
        <w:t xml:space="preserve"> FY2027 revenue growth is suppressed by the Baffin disposal. Core brand growth is materially higher than headline — Q1 FY2027 was +16% ex-Other versus +9% reported. This is why 3.1% headline growth is consistent with a healthy underlying brand.</w:t>
      </w:r>
      <w:r/>
    </w:p>
    <w:p>
      <w:pPr>
        <w:pStyle w:val="ListBullet"/>
        <w:spacing w:line="240" w:lineRule="auto"/>
        <w:ind w:left="720"/>
      </w:pPr>
      <w:r/>
      <w:r>
        <w:rPr>
          <w:b/>
        </w:rPr>
        <w:t>Cost pressures:</w:t>
      </w:r>
      <w:r>
        <w:t xml:space="preserve"> Tariffs are the swing factor. Base case assumes </w:t>
      </w:r>
      <w:r>
        <w:rPr>
          <w:b/>
        </w:rPr>
        <w:t>partial mitigation</w:t>
      </w:r>
      <w:r>
        <w:t xml:space="preserve"> — roughly half of the stated sub-200bps impact absorbed via pricing, sourcing and mix. A fully unmitigated tariff outcome would cut FY2027E EPS by roughly </w:t>
      </w:r>
      <w:r>
        <w:rPr>
          <w:b/>
        </w:rPr>
        <w:t>C$0.15</w:t>
      </w:r>
      <w:r>
        <w:t xml:space="preserve"> to c.C$0.83.</w:t>
      </w:r>
      <w:r/>
    </w:p>
    <w:p>
      <w:pPr>
        <w:pStyle w:val="ListBullet"/>
        <w:spacing w:line="240" w:lineRule="auto"/>
        <w:ind w:left="720"/>
      </w:pPr>
      <w:r/>
      <w:r>
        <w:rPr>
          <w:b/>
        </w:rPr>
        <w:t>Operating leverage:</w:t>
      </w:r>
      <w:r>
        <w:t xml:space="preserve"> The core of the thesis. FY2026 demonstrated </w:t>
      </w:r>
      <w:r>
        <w:rPr>
          <w:i/>
        </w:rPr>
        <w:t>negative</w:t>
      </w:r>
      <w:r>
        <w:t xml:space="preserve"> operating leverage; the forecast assumes the FY2026 SG&amp;A step-up was substantially one-off (arbitration payment, bad-debt provision, store impairment) and does not repeat, allowing 130–230bps of FY2027 margin recovery in line with guidance. </w:t>
      </w:r>
      <w:r>
        <w:rPr>
          <w:b/>
        </w:rPr>
        <w:t>This is the single largest estimate risk.</w:t>
      </w:r>
      <w:r/>
    </w:p>
    <w:p>
      <w:pPr>
        <w:pStyle w:val="ListBullet"/>
        <w:spacing w:line="240" w:lineRule="auto"/>
        <w:ind w:left="720"/>
      </w:pPr>
      <w:r/>
      <w:r>
        <w:rPr>
          <w:b/>
        </w:rPr>
        <w:t>Financing costs:</w:t>
      </w:r>
      <w:r>
        <w:t xml:space="preserve"> Roughly C$417m floating-rate term loan plus lease interest, partly offset by interest income on C$408m cash. Assumed to decline modestly as rates ease and cash builds.</w:t>
      </w:r>
      <w:r/>
    </w:p>
    <w:p>
      <w:pPr>
        <w:pStyle w:val="ListBullet"/>
        <w:spacing w:line="240" w:lineRule="auto"/>
        <w:ind w:left="720"/>
      </w:pPr>
      <w:r/>
      <w:r>
        <w:rPr>
          <w:b/>
        </w:rPr>
        <w:t>Share count:</w:t>
      </w:r>
      <w:r>
        <w:t xml:space="preserve"> Assumed c.2% annual reduction via continued NCIB activity, partially offset by SBC dilution. Note the FY2026 AGM approved a </w:t>
      </w:r>
      <w:r>
        <w:rPr>
          <w:b/>
        </w:rPr>
        <w:t>material increase to the equity incentive plan</w:t>
      </w:r>
      <w:r>
        <w:t>, which is a dilution headwind (see §22).</w:t>
      </w:r>
      <w:r/>
      <w:r/>
      <w:r/>
      <w:r>
        <w:rPr>
          <w:b/>
        </w:rPr>
        <w:t>Estimate risk.</w:t>
      </w:r>
      <w:r>
        <w:t xml:space="preserve"> These are constructed estimates, not a consensus compilation — consensus data was inaccessible in this session. Sell-side EPS is unusually dispersed here: published price targets in the period ranged from roughly US$9 to US$18 against a c.US$8.46 share price, and at least one source noted forecasts of earnings </w:t>
      </w:r>
      <w:r>
        <w:rPr>
          <w:i/>
        </w:rPr>
        <w:t>declining</w:t>
      </w:r>
      <w:r>
        <w:t xml:space="preserve"> c.11% annually. Treat the above as a base case with wide error bars, and note that FY2027E of C$0.98 still leaves adjusted EPS </w:t>
      </w:r>
      <w:r>
        <w:rPr>
          <w:b/>
        </w:rPr>
        <w:t>below the FY2025 level of C$1.12</w:t>
      </w:r>
      <w:r>
        <w:t xml:space="preserve"> — this is a recovery forecast, not a growth forecast.</w:t>
      </w:r>
      <w:r/>
    </w:p>
    <w:p>
      <w:pPr>
        <w:pStyle w:val="Heading2"/>
      </w:pPr>
      <w:r>
        <w:t>12. Capital Structure, Liquidity and Debt</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Item</w:t>
            </w:r>
          </w:p>
        </w:tc>
        <w:tc>
          <w:tcPr>
            <w:tcW w:type="dxa" w:w="2628"/>
          </w:tcPr>
          <w:p>
            <w:r>
              <w:rPr>
                <w:b/>
              </w:rPr>
              <w:t>FY2026</w:t>
            </w:r>
          </w:p>
        </w:tc>
        <w:tc>
          <w:tcPr>
            <w:tcW w:type="dxa" w:w="2628"/>
          </w:tcPr>
          <w:p>
            <w:r>
              <w:rPr>
                <w:b/>
              </w:rPr>
              <w:t>FY2025</w:t>
            </w:r>
          </w:p>
        </w:tc>
        <w:tc>
          <w:tcPr>
            <w:tcW w:type="dxa" w:w="2628"/>
          </w:tcPr>
          <w:p>
            <w:r>
              <w:rPr>
                <w:b/>
              </w:rPr>
              <w:t>Comment</w:t>
            </w:r>
          </w:p>
        </w:tc>
      </w:tr>
      <w:tr>
        <w:tc>
          <w:tcPr>
            <w:tcW w:type="dxa" w:w="2628"/>
          </w:tcPr>
          <w:p>
            <w:r>
              <w:t>Cash</w:t>
            </w:r>
          </w:p>
        </w:tc>
        <w:tc>
          <w:tcPr>
            <w:tcW w:type="dxa" w:w="2628"/>
          </w:tcPr>
          <w:p>
            <w:r>
              <w:t>C$408.2m</w:t>
            </w:r>
          </w:p>
        </w:tc>
        <w:tc>
          <w:tcPr>
            <w:tcW w:type="dxa" w:w="2628"/>
          </w:tcPr>
          <w:p>
            <w:r>
              <w:t>C$334.4m</w:t>
            </w:r>
          </w:p>
        </w:tc>
        <w:tc>
          <w:tcPr>
            <w:tcW w:type="dxa" w:w="2628"/>
          </w:tcPr>
          <w:p>
            <w:r>
              <w:t>+C$73.8m; healthy build</w:t>
            </w:r>
          </w:p>
        </w:tc>
      </w:tr>
      <w:tr>
        <w:tc>
          <w:tcPr>
            <w:tcW w:type="dxa" w:w="2628"/>
          </w:tcPr>
          <w:p>
            <w:r>
              <w:t>Term loan</w:t>
            </w:r>
          </w:p>
        </w:tc>
        <w:tc>
          <w:tcPr>
            <w:tcW w:type="dxa" w:w="2628"/>
          </w:tcPr>
          <w:p>
            <w:r>
              <w:t>C$416.8m</w:t>
            </w:r>
          </w:p>
        </w:tc>
        <w:tc>
          <w:tcPr>
            <w:tcW w:type="dxa" w:w="2628"/>
          </w:tcPr>
          <w:p>
            <w:r>
              <w:t>C$412.4m</w:t>
            </w:r>
          </w:p>
        </w:tc>
        <w:tc>
          <w:tcPr>
            <w:tcW w:type="dxa" w:w="2628"/>
          </w:tcPr>
          <w:p>
            <w:r>
              <w:t>Broadly stable; the principal debt instrument</w:t>
            </w:r>
          </w:p>
        </w:tc>
      </w:tr>
      <w:tr>
        <w:tc>
          <w:tcPr>
            <w:tcW w:type="dxa" w:w="2628"/>
          </w:tcPr>
          <w:p>
            <w:r>
              <w:t>Lease liabilities</w:t>
            </w:r>
          </w:p>
        </w:tc>
        <w:tc>
          <w:tcPr>
            <w:tcW w:type="dxa" w:w="2628"/>
          </w:tcPr>
          <w:p>
            <w:r>
              <w:t>C$374.6m</w:t>
            </w:r>
          </w:p>
        </w:tc>
        <w:tc>
          <w:tcPr>
            <w:tcW w:type="dxa" w:w="2628"/>
          </w:tcPr>
          <w:p>
            <w:r>
              <w:t>C$330.8m</w:t>
            </w:r>
          </w:p>
        </w:tc>
        <w:tc>
          <w:tcPr>
            <w:tcW w:type="dxa" w:w="2628"/>
          </w:tcPr>
          <w:p>
            <w:r>
              <w:t>+13.2% — rising with the store estate; an often-overlooked fixed obligation</w:t>
            </w:r>
          </w:p>
        </w:tc>
      </w:tr>
      <w:tr>
        <w:tc>
          <w:tcPr>
            <w:tcW w:type="dxa" w:w="2628"/>
          </w:tcPr>
          <w:p>
            <w:r>
              <w:rPr>
                <w:b/>
              </w:rPr>
              <w:t>Net debt</w:t>
            </w:r>
          </w:p>
        </w:tc>
        <w:tc>
          <w:tcPr>
            <w:tcW w:type="dxa" w:w="2628"/>
          </w:tcPr>
          <w:p>
            <w:r>
              <w:t>C$383.2m</w:t>
            </w:r>
          </w:p>
        </w:tc>
        <w:tc>
          <w:tcPr>
            <w:tcW w:type="dxa" w:w="2628"/>
          </w:tcPr>
          <w:p>
            <w:r>
              <w:t>C$408.8m</w:t>
            </w:r>
          </w:p>
        </w:tc>
        <w:tc>
          <w:tcPr>
            <w:tcW w:type="dxa" w:w="2628"/>
          </w:tcPr>
          <w:p>
            <w:r>
              <w:t>Improving</w:t>
            </w:r>
          </w:p>
        </w:tc>
      </w:tr>
      <w:tr>
        <w:tc>
          <w:tcPr>
            <w:tcW w:type="dxa" w:w="2628"/>
          </w:tcPr>
          <w:p>
            <w:r>
              <w:t>Net debt / EBITDA</w:t>
            </w:r>
          </w:p>
        </w:tc>
        <w:tc>
          <w:tcPr>
            <w:tcW w:type="dxa" w:w="2628"/>
          </w:tcPr>
          <w:p>
            <w:r>
              <w:t>1.3x</w:t>
            </w:r>
          </w:p>
        </w:tc>
        <w:tc>
          <w:tcPr>
            <w:tcW w:type="dxa" w:w="2628"/>
          </w:tcPr>
          <w:p>
            <w:r>
              <w:t>1.3x</w:t>
            </w:r>
          </w:p>
        </w:tc>
        <w:tc>
          <w:tcPr>
            <w:tcW w:type="dxa" w:w="2628"/>
          </w:tcPr>
          <w:p>
            <w:r>
              <w:t>Stable and conservative</w:t>
            </w:r>
          </w:p>
        </w:tc>
      </w:tr>
      <w:tr>
        <w:tc>
          <w:tcPr>
            <w:tcW w:type="dxa" w:w="2628"/>
          </w:tcPr>
          <w:p>
            <w:r>
              <w:t>Implied EBITDA (D)</w:t>
            </w:r>
          </w:p>
        </w:tc>
        <w:tc>
          <w:tcPr>
            <w:tcW w:type="dxa" w:w="2628"/>
          </w:tcPr>
          <w:p>
            <w:r>
              <w:t>c.C$295m</w:t>
            </w:r>
          </w:p>
        </w:tc>
        <w:tc>
          <w:tcPr>
            <w:tcW w:type="dxa" w:w="2628"/>
          </w:tcPr>
          <w:p>
            <w:r>
              <w:t>c.C$314m</w:t>
            </w:r>
          </w:p>
        </w:tc>
        <w:tc>
          <w:tcPr>
            <w:tcW w:type="dxa" w:w="2628"/>
          </w:tcPr>
          <w:p>
            <w:r>
              <w:t>Derived from disclosed leverage and net debt</w:t>
            </w:r>
          </w:p>
        </w:tc>
      </w:tr>
      <w:tr>
        <w:tc>
          <w:tcPr>
            <w:tcW w:type="dxa" w:w="2628"/>
          </w:tcPr>
          <w:p>
            <w:r>
              <w:t>Net debt incl. leases (D)</w:t>
            </w:r>
          </w:p>
        </w:tc>
        <w:tc>
          <w:tcPr>
            <w:tcW w:type="dxa" w:w="2628"/>
          </w:tcPr>
          <w:p>
            <w:r>
              <w:t>c.C$757.8m</w:t>
            </w:r>
          </w:p>
        </w:tc>
        <w:tc>
          <w:tcPr>
            <w:tcW w:type="dxa" w:w="2628"/>
          </w:tcPr>
          <w:p>
            <w:r>
              <w:t>c.C$739.6m</w:t>
            </w:r>
          </w:p>
        </w:tc>
        <w:tc>
          <w:tcPr>
            <w:tcW w:type="dxa" w:w="2628"/>
          </w:tcPr>
          <w:p>
            <w:r>
              <w:t>The more conservative measure; c.2.6x EBITDA (D)</w:t>
            </w:r>
          </w:p>
        </w:tc>
      </w:tr>
    </w:tbl>
    <w:p>
      <w:r/>
      <w:r/>
    </w:p>
    <w:p>
      <w:pPr>
        <w:pStyle w:val="ListBullet"/>
        <w:spacing w:line="240" w:lineRule="auto"/>
        <w:ind w:left="720"/>
      </w:pPr>
      <w:r/>
      <w:r>
        <w:rPr>
          <w:b/>
        </w:rPr>
        <w:t>Maturities:</w:t>
      </w:r>
      <w:r>
        <w:t xml:space="preserve"> Specific term-loan maturity dates were not obtainable from accessible sources and should be confirmed in the FY2026 Form 20-F. The term loan is Canada Goose's long-standing senior secured facility; there is also a revolving credit facility supporting seasonal working capital.</w:t>
      </w:r>
      <w:r/>
    </w:p>
    <w:p>
      <w:pPr>
        <w:pStyle w:val="ListBullet"/>
        <w:spacing w:line="240" w:lineRule="auto"/>
        <w:ind w:left="720"/>
      </w:pPr>
      <w:r/>
      <w:r>
        <w:rPr>
          <w:b/>
        </w:rPr>
        <w:t>Covenants:</w:t>
      </w:r>
      <w:r>
        <w:t xml:space="preserve"> Not disclosed in accessible sources. At 1.3x net leverage with C$408m of cash, covenant headroom appears comfortable and covenant risk is not a live concern.</w:t>
      </w:r>
      <w:r/>
    </w:p>
    <w:p>
      <w:pPr>
        <w:pStyle w:val="ListBullet"/>
        <w:spacing w:line="240" w:lineRule="auto"/>
        <w:ind w:left="720"/>
      </w:pPr>
      <w:r/>
      <w:r>
        <w:rPr>
          <w:b/>
        </w:rPr>
        <w:t>Interest costs:</w:t>
      </w:r>
      <w:r>
        <w:t xml:space="preserve"> Not separately disclosed in accessible summaries. The gap between adjusted EBIT (C$148.0m) and adjusted net income (C$77.1m) of C$70.9m encompasses interest, tax and non-controlling interests.</w:t>
      </w:r>
      <w:r/>
    </w:p>
    <w:p>
      <w:pPr>
        <w:pStyle w:val="ListBullet"/>
        <w:spacing w:line="240" w:lineRule="auto"/>
        <w:ind w:left="720"/>
      </w:pPr>
      <w:r/>
      <w:r>
        <w:rPr>
          <w:b/>
        </w:rPr>
        <w:t>Liquidity:</w:t>
      </w:r>
      <w:r>
        <w:t xml:space="preserve"> Strong. C$408.2m cash against a business whose peak working-capital draw occurs in the summer build ahead of the winter season. The seasonal swing is the principal liquidity consideration, and it is well covered.</w:t>
      </w:r>
      <w:r/>
      <w:r/>
      <w:r>
        <w:rPr>
          <w:b/>
        </w:rPr>
        <w:t>Capital structure verdict.</w:t>
      </w:r>
      <w:r>
        <w:t xml:space="preserve"> The balance sheet is </w:t>
      </w:r>
      <w:r>
        <w:rPr>
          <w:b/>
        </w:rPr>
        <w:t>not</w:t>
      </w:r>
      <w:r>
        <w:t xml:space="preserve"> where the risk lies. Leverage is modest, cash is ample, and the company has capacity to fund buybacks and investment. Two second-order observations: the C$374.6m of lease liabilities is real leverage that the headline 1.3x understates, and floating-rate term debt makes interest expense rate-sensitive. Neither is threatening. </w:t>
      </w:r>
      <w:r>
        <w:rPr>
          <w:b/>
        </w:rPr>
        <w:t>For a private-equity acquirer, this under-levered balance sheet is a feature, not a bug</w:t>
      </w:r>
      <w:r>
        <w:t xml:space="preserve"> — it provides substantial debt capacity to fund a take-private.</w:t>
      </w:r>
      <w:r/>
    </w:p>
    <w:p>
      <w:pPr>
        <w:pStyle w:val="Heading2"/>
      </w:pPr>
      <w:r>
        <w:t>13. Valuation — Absolute, Historical and Relative</w:t>
      </w:r>
      <w:r/>
    </w:p>
    <w:p>
      <w:pPr>
        <w:pStyle w:val="Heading3"/>
      </w:pPr>
      <w:r>
        <w:t>Current valuation</w:t>
      </w:r>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Metric</w:t>
            </w:r>
          </w:p>
        </w:tc>
        <w:tc>
          <w:tcPr>
            <w:tcW w:type="dxa" w:w="3504"/>
          </w:tcPr>
          <w:p>
            <w:r>
              <w:rPr>
                <w:b/>
              </w:rPr>
              <w:t>Value</w:t>
            </w:r>
          </w:p>
        </w:tc>
        <w:tc>
          <w:tcPr>
            <w:tcW w:type="dxa" w:w="3504"/>
          </w:tcPr>
          <w:p>
            <w:r>
              <w:rPr>
                <w:b/>
              </w:rPr>
              <w:t>Basis</w:t>
            </w:r>
          </w:p>
        </w:tc>
      </w:tr>
      <w:tr>
        <w:tc>
          <w:tcPr>
            <w:tcW w:type="dxa" w:w="3504"/>
          </w:tcPr>
          <w:p>
            <w:r>
              <w:t>Share price (NYSE)</w:t>
            </w:r>
          </w:p>
        </w:tc>
        <w:tc>
          <w:tcPr>
            <w:tcW w:type="dxa" w:w="3504"/>
          </w:tcPr>
          <w:p>
            <w:r>
              <w:t>c.US$8.46</w:t>
            </w:r>
          </w:p>
        </w:tc>
        <w:tc>
          <w:tcPr>
            <w:tcW w:type="dxa" w:w="3504"/>
          </w:tcPr>
          <w:p>
            <w:r>
              <w:t>Mid-to-late August 2026; traded as low as US$8.14</w:t>
            </w:r>
          </w:p>
        </w:tc>
      </w:tr>
      <w:tr>
        <w:tc>
          <w:tcPr>
            <w:tcW w:type="dxa" w:w="3504"/>
          </w:tcPr>
          <w:p>
            <w:r>
              <w:t>Market capitalisation</w:t>
            </w:r>
          </w:p>
        </w:tc>
        <w:tc>
          <w:tcPr>
            <w:tcW w:type="dxa" w:w="3504"/>
          </w:tcPr>
          <w:p>
            <w:r>
              <w:t>c.US$831m / C$1,146m (D)</w:t>
            </w:r>
          </w:p>
        </w:tc>
        <w:tc>
          <w:tcPr>
            <w:tcW w:type="dxa" w:w="3504"/>
          </w:tcPr>
          <w:p>
            <w:r>
              <w:t>c.98m shares; C$ at c.1.38 USD/CAD</w:t>
            </w:r>
          </w:p>
        </w:tc>
      </w:tr>
      <w:tr>
        <w:tc>
          <w:tcPr>
            <w:tcW w:type="dxa" w:w="3504"/>
          </w:tcPr>
          <w:p>
            <w:r>
              <w:t>Plus: net debt</w:t>
            </w:r>
          </w:p>
        </w:tc>
        <w:tc>
          <w:tcPr>
            <w:tcW w:type="dxa" w:w="3504"/>
          </w:tcPr>
          <w:p>
            <w:r>
              <w:t>C$383.2m</w:t>
            </w:r>
          </w:p>
        </w:tc>
        <w:tc>
          <w:tcPr>
            <w:tcW w:type="dxa" w:w="3504"/>
          </w:tcPr>
          <w:p>
            <w:r>
              <w:t>FY2026 year-end, excluding leases</w:t>
            </w:r>
          </w:p>
        </w:tc>
      </w:tr>
      <w:tr>
        <w:tc>
          <w:tcPr>
            <w:tcW w:type="dxa" w:w="3504"/>
          </w:tcPr>
          <w:p>
            <w:r>
              <w:rPr>
                <w:b/>
              </w:rPr>
              <w:t>Enterprise value</w:t>
            </w:r>
          </w:p>
        </w:tc>
        <w:tc>
          <w:tcPr>
            <w:tcW w:type="dxa" w:w="3504"/>
          </w:tcPr>
          <w:p>
            <w:r>
              <w:rPr>
                <w:b/>
              </w:rPr>
              <w:t>c.C$1,529m (D)</w:t>
            </w:r>
          </w:p>
        </w:tc>
        <w:tc>
          <w:tcPr>
            <w:tcW w:type="dxa" w:w="3504"/>
          </w:tcPr>
          <w:p/>
        </w:tc>
      </w:tr>
      <w:tr>
        <w:tc>
          <w:tcPr>
            <w:tcW w:type="dxa" w:w="3504"/>
          </w:tcPr>
          <w:p>
            <w:r>
              <w:t>EV / Sales (FY2026)</w:t>
            </w:r>
          </w:p>
        </w:tc>
        <w:tc>
          <w:tcPr>
            <w:tcW w:type="dxa" w:w="3504"/>
          </w:tcPr>
          <w:p>
            <w:r>
              <w:t>1.0x</w:t>
            </w:r>
          </w:p>
        </w:tc>
        <w:tc>
          <w:tcPr>
            <w:tcW w:type="dxa" w:w="3504"/>
          </w:tcPr>
          <w:p>
            <w:r>
              <w:t>On C$1,528.2m</w:t>
            </w:r>
          </w:p>
        </w:tc>
      </w:tr>
      <w:tr>
        <w:tc>
          <w:tcPr>
            <w:tcW w:type="dxa" w:w="3504"/>
          </w:tcPr>
          <w:p>
            <w:r>
              <w:rPr>
                <w:b/>
              </w:rPr>
              <w:t>EV / EBITDA (FY2026)</w:t>
            </w:r>
          </w:p>
        </w:tc>
        <w:tc>
          <w:tcPr>
            <w:tcW w:type="dxa" w:w="3504"/>
          </w:tcPr>
          <w:p>
            <w:r>
              <w:rPr>
                <w:b/>
              </w:rPr>
              <w:t>c.5.2x</w:t>
            </w:r>
          </w:p>
        </w:tc>
        <w:tc>
          <w:tcPr>
            <w:tcW w:type="dxa" w:w="3504"/>
          </w:tcPr>
          <w:p>
            <w:r>
              <w:t>On implied EBITDA of c.C$295m</w:t>
            </w:r>
          </w:p>
        </w:tc>
      </w:tr>
      <w:tr>
        <w:tc>
          <w:tcPr>
            <w:tcW w:type="dxa" w:w="3504"/>
          </w:tcPr>
          <w:p>
            <w:r>
              <w:t>EV / Adjusted EBIT (FY2026)</w:t>
            </w:r>
          </w:p>
        </w:tc>
        <w:tc>
          <w:tcPr>
            <w:tcW w:type="dxa" w:w="3504"/>
          </w:tcPr>
          <w:p>
            <w:r>
              <w:t>10.3x</w:t>
            </w:r>
          </w:p>
        </w:tc>
        <w:tc>
          <w:tcPr>
            <w:tcW w:type="dxa" w:w="3504"/>
          </w:tcPr>
          <w:p>
            <w:r>
              <w:t>On C$148.0m</w:t>
            </w:r>
          </w:p>
        </w:tc>
      </w:tr>
      <w:tr>
        <w:tc>
          <w:tcPr>
            <w:tcW w:type="dxa" w:w="3504"/>
          </w:tcPr>
          <w:p>
            <w:r>
              <w:t>EV / Adjusted EBIT (FY2027E)</w:t>
            </w:r>
          </w:p>
        </w:tc>
        <w:tc>
          <w:tcPr>
            <w:tcW w:type="dxa" w:w="3504"/>
          </w:tcPr>
          <w:p>
            <w:r>
              <w:t>8.4x</w:t>
            </w:r>
          </w:p>
        </w:tc>
        <w:tc>
          <w:tcPr>
            <w:tcW w:type="dxa" w:w="3504"/>
          </w:tcPr>
          <w:p>
            <w:r>
              <w:t>On C$181m estimate</w:t>
            </w:r>
          </w:p>
        </w:tc>
      </w:tr>
      <w:tr>
        <w:tc>
          <w:tcPr>
            <w:tcW w:type="dxa" w:w="3504"/>
          </w:tcPr>
          <w:p>
            <w:r>
              <w:t>P/E on adjusted EPS (FY2026)</w:t>
            </w:r>
          </w:p>
        </w:tc>
        <w:tc>
          <w:tcPr>
            <w:tcW w:type="dxa" w:w="3504"/>
          </w:tcPr>
          <w:p>
            <w:r>
              <w:t>c.15.0x</w:t>
            </w:r>
          </w:p>
        </w:tc>
        <w:tc>
          <w:tcPr>
            <w:tcW w:type="dxa" w:w="3504"/>
          </w:tcPr>
          <w:p>
            <w:r>
              <w:t>C$11.67 / C$0.78</w:t>
            </w:r>
          </w:p>
        </w:tc>
      </w:tr>
      <w:tr>
        <w:tc>
          <w:tcPr>
            <w:tcW w:type="dxa" w:w="3504"/>
          </w:tcPr>
          <w:p>
            <w:r>
              <w:t>P/E on adjusted EPS (FY2027E)</w:t>
            </w:r>
          </w:p>
        </w:tc>
        <w:tc>
          <w:tcPr>
            <w:tcW w:type="dxa" w:w="3504"/>
          </w:tcPr>
          <w:p>
            <w:r>
              <w:t>c.11.9x</w:t>
            </w:r>
          </w:p>
        </w:tc>
        <w:tc>
          <w:tcPr>
            <w:tcW w:type="dxa" w:w="3504"/>
          </w:tcPr>
          <w:p>
            <w:r>
              <w:t>C$11.67 / C$0.98</w:t>
            </w:r>
          </w:p>
        </w:tc>
      </w:tr>
      <w:tr>
        <w:tc>
          <w:tcPr>
            <w:tcW w:type="dxa" w:w="3504"/>
          </w:tcPr>
          <w:p>
            <w:r>
              <w:t>P/E on reported EPS (FY2026)</w:t>
            </w:r>
          </w:p>
        </w:tc>
        <w:tc>
          <w:tcPr>
            <w:tcW w:type="dxa" w:w="3504"/>
          </w:tcPr>
          <w:p>
            <w:r>
              <w:t>c.50.7x</w:t>
            </w:r>
          </w:p>
        </w:tc>
        <w:tc>
          <w:tcPr>
            <w:tcW w:type="dxa" w:w="3504"/>
          </w:tcPr>
          <w:p>
            <w:r>
              <w:t>C$11.67 / C$0.23 — illustrates the adjusted/reported gap</w:t>
            </w:r>
          </w:p>
        </w:tc>
      </w:tr>
      <w:tr>
        <w:tc>
          <w:tcPr>
            <w:tcW w:type="dxa" w:w="3504"/>
          </w:tcPr>
          <w:p>
            <w:r>
              <w:t>Net debt / EBITDA</w:t>
            </w:r>
          </w:p>
        </w:tc>
        <w:tc>
          <w:tcPr>
            <w:tcW w:type="dxa" w:w="3504"/>
          </w:tcPr>
          <w:p>
            <w:r>
              <w:t>1.3x</w:t>
            </w:r>
          </w:p>
        </w:tc>
        <w:tc>
          <w:tcPr>
            <w:tcW w:type="dxa" w:w="3504"/>
          </w:tcPr>
          <w:p>
            <w:r>
              <w:t>As disclosed</w:t>
            </w:r>
          </w:p>
        </w:tc>
      </w:tr>
    </w:tbl>
    <w:p>
      <w:r/>
    </w:p>
    <w:p>
      <w:pPr>
        <w:pStyle w:val="Heading3"/>
      </w:pPr>
      <w:r>
        <w:t>Peer comparison</w:t>
      </w:r>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rPr>
              <w:t>Company</w:t>
            </w:r>
          </w:p>
        </w:tc>
        <w:tc>
          <w:tcPr>
            <w:tcW w:type="dxa" w:w="1502"/>
          </w:tcPr>
          <w:p>
            <w:r>
              <w:rPr>
                <w:b/>
              </w:rPr>
              <w:t>Ticker</w:t>
            </w:r>
          </w:p>
        </w:tc>
        <w:tc>
          <w:tcPr>
            <w:tcW w:type="dxa" w:w="1502"/>
          </w:tcPr>
          <w:p>
            <w:r>
              <w:rPr>
                <w:b/>
              </w:rPr>
              <w:t>Listed</w:t>
            </w:r>
          </w:p>
        </w:tc>
        <w:tc>
          <w:tcPr>
            <w:tcW w:type="dxa" w:w="1502"/>
          </w:tcPr>
          <w:p>
            <w:r>
              <w:rPr>
                <w:b/>
              </w:rPr>
              <w:t>EV/EBITDA</w:t>
            </w:r>
          </w:p>
        </w:tc>
        <w:tc>
          <w:tcPr>
            <w:tcW w:type="dxa" w:w="1502"/>
          </w:tcPr>
          <w:p>
            <w:r>
              <w:rPr>
                <w:b/>
              </w:rPr>
              <w:t>P/E</w:t>
            </w:r>
          </w:p>
        </w:tc>
        <w:tc>
          <w:tcPr>
            <w:tcW w:type="dxa" w:w="1502"/>
          </w:tcPr>
          <w:p>
            <w:r>
              <w:rPr>
                <w:b/>
              </w:rPr>
              <w:t>EV/Sales</w:t>
            </w:r>
          </w:p>
        </w:tc>
        <w:tc>
          <w:tcPr>
            <w:tcW w:type="dxa" w:w="1502"/>
          </w:tcPr>
          <w:p>
            <w:r>
              <w:rPr>
                <w:b/>
              </w:rPr>
              <w:t>Positioning</w:t>
            </w:r>
          </w:p>
        </w:tc>
      </w:tr>
      <w:tr>
        <w:tc>
          <w:tcPr>
            <w:tcW w:type="dxa" w:w="1502"/>
          </w:tcPr>
          <w:p>
            <w:r>
              <w:rPr>
                <w:b/>
              </w:rPr>
              <w:t>Canada Goose</w:t>
            </w:r>
          </w:p>
        </w:tc>
        <w:tc>
          <w:tcPr>
            <w:tcW w:type="dxa" w:w="1502"/>
          </w:tcPr>
          <w:p>
            <w:r>
              <w:rPr>
                <w:b/>
              </w:rPr>
              <w:t>NYSE/TSX: GOOS</w:t>
            </w:r>
          </w:p>
        </w:tc>
        <w:tc>
          <w:tcPr>
            <w:tcW w:type="dxa" w:w="1502"/>
          </w:tcPr>
          <w:p>
            <w:r>
              <w:rPr>
                <w:b/>
              </w:rPr>
              <w:t>Yes</w:t>
            </w:r>
          </w:p>
        </w:tc>
        <w:tc>
          <w:tcPr>
            <w:tcW w:type="dxa" w:w="1502"/>
          </w:tcPr>
          <w:p>
            <w:r>
              <w:rPr>
                <w:b/>
              </w:rPr>
              <w:t>c.5.2x (D)</w:t>
            </w:r>
          </w:p>
        </w:tc>
        <w:tc>
          <w:tcPr>
            <w:tcW w:type="dxa" w:w="1502"/>
          </w:tcPr>
          <w:p>
            <w:r>
              <w:rPr>
                <w:b/>
              </w:rPr>
              <w:t>c.15.0x adj</w:t>
            </w:r>
          </w:p>
        </w:tc>
        <w:tc>
          <w:tcPr>
            <w:tcW w:type="dxa" w:w="1502"/>
          </w:tcPr>
          <w:p>
            <w:r>
              <w:rPr>
                <w:b/>
              </w:rPr>
              <w:t>c.1.0x (D)</w:t>
            </w:r>
          </w:p>
        </w:tc>
        <w:tc>
          <w:tcPr>
            <w:tcW w:type="dxa" w:w="1502"/>
          </w:tcPr>
          <w:p>
            <w:r>
              <w:rPr>
                <w:b/>
              </w:rPr>
              <w:t>Premium outerwear; DTC-led; c.70% GM, 9.7% adj EBIT margin</w:t>
            </w:r>
          </w:p>
        </w:tc>
      </w:tr>
      <w:tr>
        <w:tc>
          <w:tcPr>
            <w:tcW w:type="dxa" w:w="1502"/>
          </w:tcPr>
          <w:p>
            <w:r>
              <w:t>Moncler</w:t>
            </w:r>
          </w:p>
        </w:tc>
        <w:tc>
          <w:tcPr>
            <w:tcW w:type="dxa" w:w="1502"/>
          </w:tcPr>
          <w:p>
            <w:r>
              <w:t>BIT: MONC</w:t>
            </w:r>
          </w:p>
        </w:tc>
        <w:tc>
          <w:tcPr>
            <w:tcW w:type="dxa" w:w="1502"/>
          </w:tcPr>
          <w:p>
            <w:r>
              <w:t>Yes</w:t>
            </w:r>
          </w:p>
        </w:tc>
        <w:tc>
          <w:tcPr>
            <w:tcW w:type="dxa" w:w="1502"/>
          </w:tcPr>
          <w:p>
            <w:r>
              <w:t>c.11.7x</w:t>
            </w:r>
          </w:p>
        </w:tc>
        <w:tc>
          <w:tcPr>
            <w:tcW w:type="dxa" w:w="1502"/>
          </w:tcPr>
          <w:p>
            <w:r>
              <w:t>c.24.0x</w:t>
            </w:r>
          </w:p>
        </w:tc>
        <w:tc>
          <w:tcPr>
            <w:tcW w:type="dxa" w:w="1502"/>
          </w:tcPr>
          <w:p>
            <w:r>
              <w:t>c.4.9x</w:t>
            </w:r>
          </w:p>
        </w:tc>
        <w:tc>
          <w:tcPr>
            <w:tcW w:type="dxa" w:w="1502"/>
          </w:tcPr>
          <w:p>
            <w:r>
              <w:t>Luxury outerwear leader; the direct read-across and the aspiration</w:t>
            </w:r>
          </w:p>
        </w:tc>
      </w:tr>
      <w:tr>
        <w:tc>
          <w:tcPr>
            <w:tcW w:type="dxa" w:w="1502"/>
          </w:tcPr>
          <w:p>
            <w:r>
              <w:t>Bosideng</w:t>
            </w:r>
          </w:p>
        </w:tc>
        <w:tc>
          <w:tcPr>
            <w:tcW w:type="dxa" w:w="1502"/>
          </w:tcPr>
          <w:p>
            <w:r>
              <w:t>HKG: 3998</w:t>
            </w:r>
          </w:p>
        </w:tc>
        <w:tc>
          <w:tcPr>
            <w:tcW w:type="dxa" w:w="1502"/>
          </w:tcPr>
          <w:p>
            <w:r>
              <w:t>Yes</w:t>
            </w:r>
          </w:p>
        </w:tc>
        <w:tc>
          <w:tcPr>
            <w:tcW w:type="dxa" w:w="1502"/>
          </w:tcPr>
          <w:p>
            <w:r>
              <w:t>c.6.0x</w:t>
            </w:r>
          </w:p>
        </w:tc>
        <w:tc>
          <w:tcPr>
            <w:tcW w:type="dxa" w:w="1502"/>
          </w:tcPr>
          <w:p>
            <w:r>
              <w:t>c.12.6x</w:t>
            </w:r>
          </w:p>
        </w:tc>
        <w:tc>
          <w:tcPr>
            <w:tcW w:type="dxa" w:w="1502"/>
          </w:tcPr>
          <w:p>
            <w:r>
              <w:t>n/d</w:t>
            </w:r>
          </w:p>
        </w:tc>
        <w:tc>
          <w:tcPr>
            <w:tcW w:type="dxa" w:w="1502"/>
          </w:tcPr>
          <w:p>
            <w:r>
              <w:t>China down-apparel leader; the closest valuation comparator</w:t>
            </w:r>
          </w:p>
        </w:tc>
      </w:tr>
      <w:tr>
        <w:tc>
          <w:tcPr>
            <w:tcW w:type="dxa" w:w="1502"/>
          </w:tcPr>
          <w:p>
            <w:r>
              <w:t>Amer Sports</w:t>
            </w:r>
          </w:p>
        </w:tc>
        <w:tc>
          <w:tcPr>
            <w:tcW w:type="dxa" w:w="1502"/>
          </w:tcPr>
          <w:p>
            <w:r>
              <w:t>NYSE: AS</w:t>
            </w:r>
          </w:p>
        </w:tc>
        <w:tc>
          <w:tcPr>
            <w:tcW w:type="dxa" w:w="1502"/>
          </w:tcPr>
          <w:p>
            <w:r>
              <w:t>Yes</w:t>
            </w:r>
          </w:p>
        </w:tc>
        <w:tc>
          <w:tcPr>
            <w:tcW w:type="dxa" w:w="1502"/>
          </w:tcPr>
          <w:p>
            <w:r>
              <w:t>c.21.5x</w:t>
            </w:r>
          </w:p>
        </w:tc>
        <w:tc>
          <w:tcPr>
            <w:tcW w:type="dxa" w:w="1502"/>
          </w:tcPr>
          <w:p>
            <w:r>
              <w:t>n/d</w:t>
            </w:r>
          </w:p>
        </w:tc>
        <w:tc>
          <w:tcPr>
            <w:tcW w:type="dxa" w:w="1502"/>
          </w:tcPr>
          <w:p>
            <w:r>
              <w:t>n/d</w:t>
            </w:r>
          </w:p>
        </w:tc>
        <w:tc>
          <w:tcPr>
            <w:tcW w:type="dxa" w:w="1502"/>
          </w:tcPr>
          <w:p>
            <w:r>
              <w:t>Arc'teryx owner; what the market pays for premium-outdoor growth</w:t>
            </w:r>
          </w:p>
        </w:tc>
      </w:tr>
      <w:tr>
        <w:tc>
          <w:tcPr>
            <w:tcW w:type="dxa" w:w="1502"/>
          </w:tcPr>
          <w:p>
            <w:r>
              <w:t>Deckers Brands</w:t>
            </w:r>
          </w:p>
        </w:tc>
        <w:tc>
          <w:tcPr>
            <w:tcW w:type="dxa" w:w="1502"/>
          </w:tcPr>
          <w:p>
            <w:r>
              <w:t>NASDAQ: DECK</w:t>
            </w:r>
          </w:p>
        </w:tc>
        <w:tc>
          <w:tcPr>
            <w:tcW w:type="dxa" w:w="1502"/>
          </w:tcPr>
          <w:p>
            <w:r>
              <w:t>Yes</w:t>
            </w:r>
          </w:p>
        </w:tc>
        <w:tc>
          <w:tcPr>
            <w:tcW w:type="dxa" w:w="1502"/>
          </w:tcPr>
          <w:p>
            <w:r>
              <w:t>c.9.1x</w:t>
            </w:r>
          </w:p>
        </w:tc>
        <w:tc>
          <w:tcPr>
            <w:tcW w:type="dxa" w:w="1502"/>
          </w:tcPr>
          <w:p>
            <w:r>
              <w:t>n/d</w:t>
            </w:r>
          </w:p>
        </w:tc>
        <w:tc>
          <w:tcPr>
            <w:tcW w:type="dxa" w:w="1502"/>
          </w:tcPr>
          <w:p>
            <w:r>
              <w:t>c.2.2x</w:t>
            </w:r>
          </w:p>
        </w:tc>
        <w:tc>
          <w:tcPr>
            <w:tcW w:type="dxa" w:w="1502"/>
          </w:tcPr>
          <w:p>
            <w:r>
              <w:t>UGG; the successful de-seasonalisation analogue</w:t>
            </w:r>
          </w:p>
        </w:tc>
      </w:tr>
      <w:tr>
        <w:tc>
          <w:tcPr>
            <w:tcW w:type="dxa" w:w="1502"/>
          </w:tcPr>
          <w:p>
            <w:r>
              <w:t>Columbia Sportswear</w:t>
            </w:r>
          </w:p>
        </w:tc>
        <w:tc>
          <w:tcPr>
            <w:tcW w:type="dxa" w:w="1502"/>
          </w:tcPr>
          <w:p>
            <w:r>
              <w:t>NASDAQ: COLM</w:t>
            </w:r>
          </w:p>
        </w:tc>
        <w:tc>
          <w:tcPr>
            <w:tcW w:type="dxa" w:w="1502"/>
          </w:tcPr>
          <w:p>
            <w:r>
              <w:t>Yes</w:t>
            </w:r>
          </w:p>
        </w:tc>
        <w:tc>
          <w:tcPr>
            <w:tcW w:type="dxa" w:w="1502"/>
          </w:tcPr>
          <w:p>
            <w:r>
              <w:t>c.8.9x</w:t>
            </w:r>
          </w:p>
        </w:tc>
        <w:tc>
          <w:tcPr>
            <w:tcW w:type="dxa" w:w="1502"/>
          </w:tcPr>
          <w:p>
            <w:r>
              <w:t>n/d</w:t>
            </w:r>
          </w:p>
        </w:tc>
        <w:tc>
          <w:tcPr>
            <w:tcW w:type="dxa" w:w="1502"/>
          </w:tcPr>
          <w:p>
            <w:r>
              <w:t>c.0.9x</w:t>
            </w:r>
          </w:p>
        </w:tc>
        <w:tc>
          <w:tcPr>
            <w:tcW w:type="dxa" w:w="1502"/>
          </w:tcPr>
          <w:p>
            <w:r>
              <w:t>Mainstream outdoor; value comparator</w:t>
            </w:r>
          </w:p>
        </w:tc>
      </w:tr>
      <w:tr>
        <w:tc>
          <w:tcPr>
            <w:tcW w:type="dxa" w:w="1502"/>
          </w:tcPr>
          <w:p>
            <w:r>
              <w:t>VF Corporation</w:t>
            </w:r>
          </w:p>
        </w:tc>
        <w:tc>
          <w:tcPr>
            <w:tcW w:type="dxa" w:w="1502"/>
          </w:tcPr>
          <w:p>
            <w:r>
              <w:t>NYSE: VFC</w:t>
            </w:r>
          </w:p>
        </w:tc>
        <w:tc>
          <w:tcPr>
            <w:tcW w:type="dxa" w:w="1502"/>
          </w:tcPr>
          <w:p>
            <w:r>
              <w:t>Yes</w:t>
            </w:r>
          </w:p>
        </w:tc>
        <w:tc>
          <w:tcPr>
            <w:tcW w:type="dxa" w:w="1502"/>
          </w:tcPr>
          <w:p>
            <w:r>
              <w:t>n/d</w:t>
            </w:r>
          </w:p>
        </w:tc>
        <w:tc>
          <w:tcPr>
            <w:tcW w:type="dxa" w:w="1502"/>
          </w:tcPr>
          <w:p>
            <w:r>
              <w:t>n/d</w:t>
            </w:r>
          </w:p>
        </w:tc>
        <w:tc>
          <w:tcPr>
            <w:tcW w:type="dxa" w:w="1502"/>
          </w:tcPr>
          <w:p>
            <w:r>
              <w:t>n/d</w:t>
            </w:r>
          </w:p>
        </w:tc>
        <w:tc>
          <w:tcPr>
            <w:tcW w:type="dxa" w:w="1502"/>
          </w:tcPr>
          <w:p>
            <w:r>
              <w:t>The North Face owner; turnaround situation</w:t>
            </w:r>
          </w:p>
        </w:tc>
      </w:tr>
      <w:tr>
        <w:tc>
          <w:tcPr>
            <w:tcW w:type="dxa" w:w="1502"/>
          </w:tcPr>
          <w:p>
            <w:r>
              <w:t>Ralph Lauren</w:t>
            </w:r>
          </w:p>
        </w:tc>
        <w:tc>
          <w:tcPr>
            <w:tcW w:type="dxa" w:w="1502"/>
          </w:tcPr>
          <w:p>
            <w:r>
              <w:t>NYSE: RL</w:t>
            </w:r>
          </w:p>
        </w:tc>
        <w:tc>
          <w:tcPr>
            <w:tcW w:type="dxa" w:w="1502"/>
          </w:tcPr>
          <w:p>
            <w:r>
              <w:t>Yes</w:t>
            </w:r>
          </w:p>
        </w:tc>
        <w:tc>
          <w:tcPr>
            <w:tcW w:type="dxa" w:w="1502"/>
          </w:tcPr>
          <w:p>
            <w:r>
              <w:t>n/d</w:t>
            </w:r>
          </w:p>
        </w:tc>
        <w:tc>
          <w:tcPr>
            <w:tcW w:type="dxa" w:w="1502"/>
          </w:tcPr>
          <w:p>
            <w:r>
              <w:t>n/d</w:t>
            </w:r>
          </w:p>
        </w:tc>
        <w:tc>
          <w:tcPr>
            <w:tcW w:type="dxa" w:w="1502"/>
          </w:tcPr>
          <w:p>
            <w:r>
              <w:t>n/d</w:t>
            </w:r>
          </w:p>
        </w:tc>
        <w:tc>
          <w:tcPr>
            <w:tcW w:type="dxa" w:w="1502"/>
          </w:tcPr>
          <w:p>
            <w:r>
              <w:t>Accessible luxury apparel</w:t>
            </w:r>
          </w:p>
        </w:tc>
      </w:tr>
      <w:tr>
        <w:tc>
          <w:tcPr>
            <w:tcW w:type="dxa" w:w="1502"/>
          </w:tcPr>
          <w:p>
            <w:r>
              <w:t>Burberry</w:t>
            </w:r>
          </w:p>
        </w:tc>
        <w:tc>
          <w:tcPr>
            <w:tcW w:type="dxa" w:w="1502"/>
          </w:tcPr>
          <w:p>
            <w:r>
              <w:t>LON: BRBY</w:t>
            </w:r>
          </w:p>
        </w:tc>
        <w:tc>
          <w:tcPr>
            <w:tcW w:type="dxa" w:w="1502"/>
          </w:tcPr>
          <w:p>
            <w:r>
              <w:t>Yes</w:t>
            </w:r>
          </w:p>
        </w:tc>
        <w:tc>
          <w:tcPr>
            <w:tcW w:type="dxa" w:w="1502"/>
          </w:tcPr>
          <w:p>
            <w:r>
              <w:t>n/d</w:t>
            </w:r>
          </w:p>
        </w:tc>
        <w:tc>
          <w:tcPr>
            <w:tcW w:type="dxa" w:w="1502"/>
          </w:tcPr>
          <w:p>
            <w:r>
              <w:t>n/d</w:t>
            </w:r>
          </w:p>
        </w:tc>
        <w:tc>
          <w:tcPr>
            <w:tcW w:type="dxa" w:w="1502"/>
          </w:tcPr>
          <w:p>
            <w:r>
              <w:t>n/d</w:t>
            </w:r>
          </w:p>
        </w:tc>
        <w:tc>
          <w:tcPr>
            <w:tcW w:type="dxa" w:w="1502"/>
          </w:tcPr>
          <w:p>
            <w:r>
              <w:t>Luxury outerwear heritage; turnaround comparator</w:t>
            </w:r>
          </w:p>
        </w:tc>
      </w:tr>
      <w:tr>
        <w:tc>
          <w:tcPr>
            <w:tcW w:type="dxa" w:w="1502"/>
          </w:tcPr>
          <w:p>
            <w:r>
              <w:t>Prada</w:t>
            </w:r>
          </w:p>
        </w:tc>
        <w:tc>
          <w:tcPr>
            <w:tcW w:type="dxa" w:w="1502"/>
          </w:tcPr>
          <w:p>
            <w:r>
              <w:t>HKG: 1913</w:t>
            </w:r>
          </w:p>
        </w:tc>
        <w:tc>
          <w:tcPr>
            <w:tcW w:type="dxa" w:w="1502"/>
          </w:tcPr>
          <w:p>
            <w:r>
              <w:t>Yes</w:t>
            </w:r>
          </w:p>
        </w:tc>
        <w:tc>
          <w:tcPr>
            <w:tcW w:type="dxa" w:w="1502"/>
          </w:tcPr>
          <w:p>
            <w:r>
              <w:t>n/d</w:t>
            </w:r>
          </w:p>
        </w:tc>
        <w:tc>
          <w:tcPr>
            <w:tcW w:type="dxa" w:w="1502"/>
          </w:tcPr>
          <w:p>
            <w:r>
              <w:t>n/d</w:t>
            </w:r>
          </w:p>
        </w:tc>
        <w:tc>
          <w:tcPr>
            <w:tcW w:type="dxa" w:w="1502"/>
          </w:tcPr>
          <w:p>
            <w:r>
              <w:t>n/d</w:t>
            </w:r>
          </w:p>
        </w:tc>
        <w:tc>
          <w:tcPr>
            <w:tcW w:type="dxa" w:w="1502"/>
          </w:tcPr>
          <w:p>
            <w:r>
              <w:t>Luxury; acquirer of Versace</w:t>
            </w:r>
          </w:p>
        </w:tc>
      </w:tr>
      <w:tr>
        <w:tc>
          <w:tcPr>
            <w:tcW w:type="dxa" w:w="1502"/>
          </w:tcPr>
          <w:p>
            <w:r>
              <w:t>Mackage</w:t>
            </w:r>
          </w:p>
        </w:tc>
        <w:tc>
          <w:tcPr>
            <w:tcW w:type="dxa" w:w="1502"/>
          </w:tcPr>
          <w:p>
            <w:r>
              <w:t>—</w:t>
            </w:r>
          </w:p>
        </w:tc>
        <w:tc>
          <w:tcPr>
            <w:tcW w:type="dxa" w:w="1502"/>
          </w:tcPr>
          <w:p>
            <w:r>
              <w:t>No</w:t>
            </w:r>
          </w:p>
        </w:tc>
        <w:tc>
          <w:tcPr>
            <w:tcW w:type="dxa" w:w="1502"/>
          </w:tcPr>
          <w:p>
            <w:r>
              <w:t>—</w:t>
            </w:r>
          </w:p>
        </w:tc>
        <w:tc>
          <w:tcPr>
            <w:tcW w:type="dxa" w:w="1502"/>
          </w:tcPr>
          <w:p>
            <w:r>
              <w:t>—</w:t>
            </w:r>
          </w:p>
        </w:tc>
        <w:tc>
          <w:tcPr>
            <w:tcW w:type="dxa" w:w="1502"/>
          </w:tcPr>
          <w:p>
            <w:r>
              <w:t>—</w:t>
            </w:r>
          </w:p>
        </w:tc>
        <w:tc>
          <w:tcPr>
            <w:tcW w:type="dxa" w:w="1502"/>
          </w:tcPr>
          <w:p>
            <w:r>
              <w:t>Private Canadian premium outerwear</w:t>
            </w:r>
          </w:p>
        </w:tc>
      </w:tr>
      <w:tr>
        <w:tc>
          <w:tcPr>
            <w:tcW w:type="dxa" w:w="1502"/>
          </w:tcPr>
          <w:p>
            <w:r>
              <w:t>Nobis</w:t>
            </w:r>
          </w:p>
        </w:tc>
        <w:tc>
          <w:tcPr>
            <w:tcW w:type="dxa" w:w="1502"/>
          </w:tcPr>
          <w:p>
            <w:r>
              <w:t>—</w:t>
            </w:r>
          </w:p>
        </w:tc>
        <w:tc>
          <w:tcPr>
            <w:tcW w:type="dxa" w:w="1502"/>
          </w:tcPr>
          <w:p>
            <w:r>
              <w:t>No</w:t>
            </w:r>
          </w:p>
        </w:tc>
        <w:tc>
          <w:tcPr>
            <w:tcW w:type="dxa" w:w="1502"/>
          </w:tcPr>
          <w:p>
            <w:r>
              <w:t>—</w:t>
            </w:r>
          </w:p>
        </w:tc>
        <w:tc>
          <w:tcPr>
            <w:tcW w:type="dxa" w:w="1502"/>
          </w:tcPr>
          <w:p>
            <w:r>
              <w:t>—</w:t>
            </w:r>
          </w:p>
        </w:tc>
        <w:tc>
          <w:tcPr>
            <w:tcW w:type="dxa" w:w="1502"/>
          </w:tcPr>
          <w:p>
            <w:r>
              <w:t>—</w:t>
            </w:r>
          </w:p>
        </w:tc>
        <w:tc>
          <w:tcPr>
            <w:tcW w:type="dxa" w:w="1502"/>
          </w:tcPr>
          <w:p>
            <w:r>
              <w:t>Private Canadian premium outerwear</w:t>
            </w:r>
          </w:p>
        </w:tc>
      </w:tr>
      <w:tr>
        <w:tc>
          <w:tcPr>
            <w:tcW w:type="dxa" w:w="1502"/>
          </w:tcPr>
          <w:p>
            <w:r>
              <w:t>Quartz Co.</w:t>
            </w:r>
          </w:p>
        </w:tc>
        <w:tc>
          <w:tcPr>
            <w:tcW w:type="dxa" w:w="1502"/>
          </w:tcPr>
          <w:p>
            <w:r>
              <w:t>—</w:t>
            </w:r>
          </w:p>
        </w:tc>
        <w:tc>
          <w:tcPr>
            <w:tcW w:type="dxa" w:w="1502"/>
          </w:tcPr>
          <w:p>
            <w:r>
              <w:t>No</w:t>
            </w:r>
          </w:p>
        </w:tc>
        <w:tc>
          <w:tcPr>
            <w:tcW w:type="dxa" w:w="1502"/>
          </w:tcPr>
          <w:p>
            <w:r>
              <w:t>—</w:t>
            </w:r>
          </w:p>
        </w:tc>
        <w:tc>
          <w:tcPr>
            <w:tcW w:type="dxa" w:w="1502"/>
          </w:tcPr>
          <w:p>
            <w:r>
              <w:t>—</w:t>
            </w:r>
          </w:p>
        </w:tc>
        <w:tc>
          <w:tcPr>
            <w:tcW w:type="dxa" w:w="1502"/>
          </w:tcPr>
          <w:p>
            <w:r>
              <w:t>—</w:t>
            </w:r>
          </w:p>
        </w:tc>
        <w:tc>
          <w:tcPr>
            <w:tcW w:type="dxa" w:w="1502"/>
          </w:tcPr>
          <w:p>
            <w:r>
              <w:t>Private Canadian outerwear manufacturer</w:t>
            </w:r>
          </w:p>
        </w:tc>
      </w:tr>
      <w:tr>
        <w:tc>
          <w:tcPr>
            <w:tcW w:type="dxa" w:w="1502"/>
          </w:tcPr>
          <w:p>
            <w:r>
              <w:t>Parajumpers (Ape&amp;Partners)</w:t>
            </w:r>
          </w:p>
        </w:tc>
        <w:tc>
          <w:tcPr>
            <w:tcW w:type="dxa" w:w="1502"/>
          </w:tcPr>
          <w:p>
            <w:r>
              <w:t>—</w:t>
            </w:r>
          </w:p>
        </w:tc>
        <w:tc>
          <w:tcPr>
            <w:tcW w:type="dxa" w:w="1502"/>
          </w:tcPr>
          <w:p>
            <w:r>
              <w:t>No</w:t>
            </w:r>
          </w:p>
        </w:tc>
        <w:tc>
          <w:tcPr>
            <w:tcW w:type="dxa" w:w="1502"/>
          </w:tcPr>
          <w:p>
            <w:r>
              <w:t>—</w:t>
            </w:r>
          </w:p>
        </w:tc>
        <w:tc>
          <w:tcPr>
            <w:tcW w:type="dxa" w:w="1502"/>
          </w:tcPr>
          <w:p>
            <w:r>
              <w:t>—</w:t>
            </w:r>
          </w:p>
        </w:tc>
        <w:tc>
          <w:tcPr>
            <w:tcW w:type="dxa" w:w="1502"/>
          </w:tcPr>
          <w:p>
            <w:r>
              <w:t>—</w:t>
            </w:r>
          </w:p>
        </w:tc>
        <w:tc>
          <w:tcPr>
            <w:tcW w:type="dxa" w:w="1502"/>
          </w:tcPr>
          <w:p>
            <w:r>
              <w:t>Private Italian premium outerwear</w:t>
            </w:r>
          </w:p>
        </w:tc>
      </w:tr>
      <w:tr>
        <w:tc>
          <w:tcPr>
            <w:tcW w:type="dxa" w:w="1502"/>
          </w:tcPr>
          <w:p>
            <w:r>
              <w:t>Woolrich</w:t>
            </w:r>
          </w:p>
        </w:tc>
        <w:tc>
          <w:tcPr>
            <w:tcW w:type="dxa" w:w="1502"/>
          </w:tcPr>
          <w:p>
            <w:r>
              <w:t>—</w:t>
            </w:r>
          </w:p>
        </w:tc>
        <w:tc>
          <w:tcPr>
            <w:tcW w:type="dxa" w:w="1502"/>
          </w:tcPr>
          <w:p>
            <w:r>
              <w:t>No</w:t>
            </w:r>
          </w:p>
        </w:tc>
        <w:tc>
          <w:tcPr>
            <w:tcW w:type="dxa" w:w="1502"/>
          </w:tcPr>
          <w:p>
            <w:r>
              <w:t>—</w:t>
            </w:r>
          </w:p>
        </w:tc>
        <w:tc>
          <w:tcPr>
            <w:tcW w:type="dxa" w:w="1502"/>
          </w:tcPr>
          <w:p>
            <w:r>
              <w:t>—</w:t>
            </w:r>
          </w:p>
        </w:tc>
        <w:tc>
          <w:tcPr>
            <w:tcW w:type="dxa" w:w="1502"/>
          </w:tcPr>
          <w:p>
            <w:r>
              <w:t>—</w:t>
            </w:r>
          </w:p>
        </w:tc>
        <w:tc>
          <w:tcPr>
            <w:tcW w:type="dxa" w:w="1502"/>
          </w:tcPr>
          <w:p>
            <w:r>
              <w:t>Private; heritage outerwear</w:t>
            </w:r>
          </w:p>
        </w:tc>
      </w:tr>
      <w:tr>
        <w:tc>
          <w:tcPr>
            <w:tcW w:type="dxa" w:w="1502"/>
          </w:tcPr>
          <w:p>
            <w:r>
              <w:t>Herno</w:t>
            </w:r>
          </w:p>
        </w:tc>
        <w:tc>
          <w:tcPr>
            <w:tcW w:type="dxa" w:w="1502"/>
          </w:tcPr>
          <w:p>
            <w:r>
              <w:t>—</w:t>
            </w:r>
          </w:p>
        </w:tc>
        <w:tc>
          <w:tcPr>
            <w:tcW w:type="dxa" w:w="1502"/>
          </w:tcPr>
          <w:p>
            <w:r>
              <w:t>No</w:t>
            </w:r>
          </w:p>
        </w:tc>
        <w:tc>
          <w:tcPr>
            <w:tcW w:type="dxa" w:w="1502"/>
          </w:tcPr>
          <w:p>
            <w:r>
              <w:t>—</w:t>
            </w:r>
          </w:p>
        </w:tc>
        <w:tc>
          <w:tcPr>
            <w:tcW w:type="dxa" w:w="1502"/>
          </w:tcPr>
          <w:p>
            <w:r>
              <w:t>—</w:t>
            </w:r>
          </w:p>
        </w:tc>
        <w:tc>
          <w:tcPr>
            <w:tcW w:type="dxa" w:w="1502"/>
          </w:tcPr>
          <w:p>
            <w:r>
              <w:t>—</w:t>
            </w:r>
          </w:p>
        </w:tc>
        <w:tc>
          <w:tcPr>
            <w:tcW w:type="dxa" w:w="1502"/>
          </w:tcPr>
          <w:p>
            <w:r>
              <w:t>Private Italian luxury outerwear</w:t>
            </w:r>
          </w:p>
        </w:tc>
      </w:tr>
      <w:tr>
        <w:tc>
          <w:tcPr>
            <w:tcW w:type="dxa" w:w="1502"/>
          </w:tcPr>
          <w:p>
            <w:r>
              <w:t>Fusalp</w:t>
            </w:r>
          </w:p>
        </w:tc>
        <w:tc>
          <w:tcPr>
            <w:tcW w:type="dxa" w:w="1502"/>
          </w:tcPr>
          <w:p>
            <w:r>
              <w:t>—</w:t>
            </w:r>
          </w:p>
        </w:tc>
        <w:tc>
          <w:tcPr>
            <w:tcW w:type="dxa" w:w="1502"/>
          </w:tcPr>
          <w:p>
            <w:r>
              <w:t>No</w:t>
            </w:r>
          </w:p>
        </w:tc>
        <w:tc>
          <w:tcPr>
            <w:tcW w:type="dxa" w:w="1502"/>
          </w:tcPr>
          <w:p>
            <w:r>
              <w:t>—</w:t>
            </w:r>
          </w:p>
        </w:tc>
        <w:tc>
          <w:tcPr>
            <w:tcW w:type="dxa" w:w="1502"/>
          </w:tcPr>
          <w:p>
            <w:r>
              <w:t>—</w:t>
            </w:r>
          </w:p>
        </w:tc>
        <w:tc>
          <w:tcPr>
            <w:tcW w:type="dxa" w:w="1502"/>
          </w:tcPr>
          <w:p>
            <w:r>
              <w:t>—</w:t>
            </w:r>
          </w:p>
        </w:tc>
        <w:tc>
          <w:tcPr>
            <w:tcW w:type="dxa" w:w="1502"/>
          </w:tcPr>
          <w:p>
            <w:r>
              <w:t>Private French luxury technical</w:t>
            </w:r>
          </w:p>
        </w:tc>
      </w:tr>
    </w:tbl>
    <w:p>
      <w:r/>
    </w:p>
    <w:p>
      <w:r/>
      <w:r>
        <w:t>Peer multiples are point-in-time references gathered from differing dates in 2026 and are indicative only. n/d = not obtained in this session.</w:t>
      </w:r>
      <w:r/>
    </w:p>
    <w:p>
      <w:pPr>
        <w:pStyle w:val="Heading3"/>
      </w:pPr>
      <w:r>
        <w:t>Historical trading range</w:t>
      </w:r>
      <w:r/>
    </w:p>
    <w:p>
      <w:r/>
      <w:r>
        <w:t xml:space="preserve">Canada Goose peaked at a market capitalisation of roughly </w:t>
      </w:r>
      <w:r>
        <w:rPr>
          <w:b/>
        </w:rPr>
        <w:t>US$7.7bn in 2018</w:t>
      </w:r>
      <w:r>
        <w:t xml:space="preserve"> against roughly </w:t>
      </w:r>
      <w:r>
        <w:rPr>
          <w:b/>
        </w:rPr>
        <w:t>US$0.83bn today</w:t>
      </w:r>
      <w:r>
        <w:t xml:space="preserve"> — a decline of approximately </w:t>
      </w:r>
      <w:r>
        <w:rPr>
          <w:b/>
        </w:rPr>
        <w:t>89%</w:t>
      </w:r>
      <w:r>
        <w:t xml:space="preserve"> from peak. At IPO-era growth rates the stock traded on premium luxury multiples well north of 20x EV/EBITDA. Today it trades at c.5.2x. The de-rating is not a valuation anomaly to be arbitraged; it reflects a genuine and permanent reassessment of the growth algorithm following the China shock, the 2024 restructuring, and FY2026's negative operating leverage.</w:t>
      </w:r>
      <w:r/>
      <w:r/>
      <w:r>
        <w:rPr>
          <w:b/>
        </w:rPr>
        <w:t>Screening verdict: CHEAP on asset value, FAIR on current earnings power, EXPENSIVE if the DTC comp decline proves structural.</w:t>
      </w:r>
      <w:r>
        <w:br/>
        <w:br/>
      </w:r>
      <w:r>
        <w:t xml:space="preserve">At c.5.2x EV/EBITDA and 1.0x EV/Sales, GOOS trades at roughly </w:t>
      </w:r>
      <w:r>
        <w:rPr>
          <w:b/>
        </w:rPr>
        <w:t>half Moncler's EV/EBITDA</w:t>
      </w:r>
      <w:r>
        <w:t>, below Deckers (9.1x) and Columbia (8.9x), below the 8–11x apparel M&amp;A benchmark range, and at a modest discount to Bosideng (6.0x) — a Chinese manufacturer with materially lower gross margins. For a business generating c.70% gross margins and c.C$295m of EBITDA, that is a demanding level of pessimism.</w:t>
        <w:br/>
        <w:br/>
      </w:r>
      <w:r>
        <w:t xml:space="preserve">The discount is not irrational, however. It prices four things: (i) 32.6% revenue concentration in Greater China; (ii) demonstrated negative operating leverage; (iii) a dual-class structure in which minorities have no say; and (iv) newly negative DTC comps. </w:t>
      </w:r>
      <w:r>
        <w:rPr>
          <w:b/>
        </w:rPr>
        <w:t>The valuation is cheap because the earnings quality is poor and the governance is unfavourable — not because the market has missed something obvious.</w:t>
      </w:r>
      <w:r>
        <w:t xml:space="preserve"> The re-rating catalyst is far more likely to be a transaction than an operational quarter.</w:t>
      </w:r>
      <w:r/>
    </w:p>
    <w:p>
      <w:pPr>
        <w:pStyle w:val="Heading2"/>
      </w:pPr>
      <w:r>
        <w:t>14. M&amp;A: Industry Activity, Takeover Candidacy and Transaction Comparables</w:t>
      </w:r>
      <w:r/>
    </w:p>
    <w:p>
      <w:pPr>
        <w:pStyle w:val="Heading3"/>
      </w:pPr>
      <w:r>
        <w:t>14.1 The live situation — Canada Goose is an active take-private candidate</w:t>
      </w:r>
      <w:r/>
    </w:p>
    <w:p>
      <w:r/>
      <w:r>
        <w:t xml:space="preserve">This is not a theoretical question. In </w:t>
      </w:r>
      <w:r>
        <w:rPr>
          <w:b/>
        </w:rPr>
        <w:t>August 2025</w:t>
      </w:r>
      <w:r>
        <w:t xml:space="preserve">, CNBC and Reuters reported that Bain Capital, holder of </w:t>
      </w:r>
      <w:r>
        <w:rPr>
          <w:b/>
        </w:rPr>
        <w:t>60.5% of multiple voting shares and 55.5% of total voting power</w:t>
      </w:r>
      <w:r>
        <w:t xml:space="preserve">, had received take-private bids valuing the company at approximately </w:t>
      </w:r>
      <w:r>
        <w:rPr>
          <w:b/>
        </w:rPr>
        <w:t>US$1.35–1.4bn</w:t>
      </w:r>
      <w:r>
        <w:t xml:space="preserve">, or roughly </w:t>
      </w:r>
      <w:r>
        <w:rPr>
          <w:b/>
        </w:rPr>
        <w:t>8x average trailing-twelve-month EBITDA</w:t>
      </w:r>
      <w:r>
        <w:t xml:space="preserve">. </w:t>
      </w:r>
      <w:r>
        <w:rPr>
          <w:b/>
        </w:rPr>
        <w:t>Goldman Sachs</w:t>
      </w:r>
      <w:r>
        <w:t xml:space="preserve"> is advising. Named parties:</w:t>
      </w:r>
      <w:r/>
      <w:r/>
    </w:p>
    <w:p>
      <w:pPr>
        <w:pStyle w:val="ListBullet"/>
        <w:spacing w:line="240" w:lineRule="auto"/>
        <w:ind w:left="720"/>
      </w:pPr>
      <w:r/>
      <w:r>
        <w:rPr>
          <w:b/>
        </w:rPr>
        <w:t>Boyu Capital</w:t>
      </w:r>
      <w:r>
        <w:t xml:space="preserve"> — verbal offer submitted</w:t>
      </w:r>
      <w:r/>
    </w:p>
    <w:p>
      <w:pPr>
        <w:pStyle w:val="ListBullet"/>
        <w:spacing w:line="240" w:lineRule="auto"/>
        <w:ind w:left="720"/>
      </w:pPr>
      <w:r/>
      <w:r>
        <w:rPr>
          <w:b/>
        </w:rPr>
        <w:t>Advent International</w:t>
      </w:r>
      <w:r>
        <w:t xml:space="preserve"> — verbal offer submitted</w:t>
      </w:r>
      <w:r/>
    </w:p>
    <w:p>
      <w:pPr>
        <w:pStyle w:val="ListBullet"/>
        <w:spacing w:line="240" w:lineRule="auto"/>
        <w:ind w:left="720"/>
      </w:pPr>
      <w:r/>
      <w:r>
        <w:rPr>
          <w:b/>
        </w:rPr>
        <w:t>Bosideng International</w:t>
      </w:r>
      <w:r>
        <w:t xml:space="preserve"> — strategic; would be a direct competitor consolidation</w:t>
      </w:r>
      <w:r/>
    </w:p>
    <w:p>
      <w:pPr>
        <w:pStyle w:val="ListBullet"/>
        <w:spacing w:line="240" w:lineRule="auto"/>
        <w:ind w:left="720"/>
      </w:pPr>
      <w:r/>
      <w:r>
        <w:rPr>
          <w:b/>
        </w:rPr>
        <w:t>FountainVest Capital &amp; Anta Sports consortium</w:t>
      </w:r>
      <w:r>
        <w:t xml:space="preserve"> — the same partnership structure that acquired Amer Sports in 2019</w:t>
      </w:r>
      <w:r/>
      <w:r/>
    </w:p>
    <w:p>
      <w:r/>
      <w:r>
        <w:t xml:space="preserve">Bain invested c.US$250m in Canada Goose in 2013 and took it public in 2017. </w:t>
      </w:r>
      <w:r>
        <w:rPr>
          <w:b/>
        </w:rPr>
        <w:t>As of this note, no transaction has been announced.</w:t>
      </w:r>
      <w:r>
        <w:t xml:space="preserve"> The process has been outstanding for roughly a year, which is itself informative — and consistent with the share price returning to 52-week lows as deal optionality deflates.</w:t>
      </w:r>
      <w:r/>
    </w:p>
    <w:p>
      <w:pPr>
        <w:pStyle w:val="Heading3"/>
      </w:pPr>
      <w:r>
        <w:t>14.2 Pros and cons of Canada Goose as a takeover target</w:t>
      </w:r>
      <w:r/>
    </w:p>
    <w:tbl>
      <w:tblPr>
        <w:tblStyle w:val="TableGrid"/>
        <w:tblW w:type="auto" w:w="0"/>
        <w:tblLook w:firstColumn="1" w:firstRow="1" w:lastColumn="0" w:lastRow="0" w:noHBand="0" w:noVBand="1" w:val="04A0"/>
      </w:tblPr>
      <w:tblGrid>
        <w:gridCol w:w="5256"/>
        <w:gridCol w:w="5256"/>
      </w:tblGrid>
      <w:tr>
        <w:tc>
          <w:tcPr>
            <w:tcW w:type="dxa" w:w="5256"/>
          </w:tcPr>
          <w:p>
            <w:r>
              <w:rPr>
                <w:b/>
              </w:rPr>
              <w:t>Arguments FOR a takeover</w:t>
            </w:r>
          </w:p>
        </w:tc>
        <w:tc>
          <w:tcPr>
            <w:tcW w:type="dxa" w:w="5256"/>
          </w:tcPr>
          <w:p>
            <w:r>
              <w:rPr>
                <w:b/>
              </w:rPr>
              <w:t>Arguments AGAINST</w:t>
            </w:r>
          </w:p>
        </w:tc>
      </w:tr>
      <w:tr>
        <w:tc>
          <w:tcPr>
            <w:tcW w:type="dxa" w:w="5256"/>
          </w:tcPr>
          <w:p>
            <w:r/>
            <w:r/>
          </w:p>
          <w:p>
            <w:pPr>
              <w:pStyle w:val="ListBullet"/>
              <w:spacing w:line="240" w:lineRule="auto"/>
              <w:ind w:left="720"/>
            </w:pPr>
            <w:r/>
            <w:r>
              <w:rPr>
                <w:b/>
              </w:rPr>
              <w:t>A motivated seller with control.</w:t>
            </w:r>
            <w:r>
              <w:t xml:space="preserve"> Bain has held since 2013 — well beyond a normal PE horizon — and has publicly run a process.</w:t>
            </w:r>
            <w:r/>
          </w:p>
          <w:p>
            <w:pPr>
              <w:pStyle w:val="ListBullet"/>
              <w:spacing w:line="240" w:lineRule="auto"/>
              <w:ind w:left="720"/>
            </w:pPr>
            <w:r/>
            <w:r>
              <w:rPr>
                <w:b/>
              </w:rPr>
              <w:t>Clean control transfer.</w:t>
            </w:r>
            <w:r>
              <w:t xml:space="preserve"> 55.5% voting power means a deal can be agreed without a market-wide tender fight.</w:t>
            </w:r>
            <w:r/>
          </w:p>
          <w:p>
            <w:pPr>
              <w:pStyle w:val="ListBullet"/>
              <w:spacing w:line="240" w:lineRule="auto"/>
              <w:ind w:left="720"/>
            </w:pPr>
            <w:r/>
            <w:r>
              <w:rPr>
                <w:b/>
              </w:rPr>
              <w:t>Depressed valuation.</w:t>
            </w:r>
            <w:r>
              <w:t xml:space="preserve"> 5.2x EV/EBITDA versus 8–11x apparel M&amp;A benchmarks and 14.8x for luxury brands in Q1 2026.</w:t>
            </w:r>
            <w:r/>
          </w:p>
          <w:p>
            <w:pPr>
              <w:pStyle w:val="ListBullet"/>
              <w:spacing w:line="240" w:lineRule="auto"/>
              <w:ind w:left="720"/>
            </w:pPr>
            <w:r/>
            <w:r>
              <w:rPr>
                <w:b/>
              </w:rPr>
              <w:t>Under-levered.</w:t>
            </w:r>
            <w:r>
              <w:t xml:space="preserve"> 1.3x net leverage and C$408m cash provide substantial LBO debt capacity.</w:t>
            </w:r>
            <w:r/>
          </w:p>
          <w:p>
            <w:pPr>
              <w:pStyle w:val="ListBullet"/>
              <w:spacing w:line="240" w:lineRule="auto"/>
              <w:ind w:left="720"/>
            </w:pPr>
            <w:r/>
            <w:r>
              <w:rPr>
                <w:b/>
              </w:rPr>
              <w:t>Genuine brand asset.</w:t>
            </w:r>
            <w:r>
              <w:t xml:space="preserve"> c.70% gross margin is rare and hard to replicate.</w:t>
            </w:r>
            <w:r/>
          </w:p>
          <w:p>
            <w:pPr>
              <w:pStyle w:val="ListBullet"/>
              <w:spacing w:line="240" w:lineRule="auto"/>
              <w:ind w:left="720"/>
            </w:pPr>
            <w:r/>
            <w:r>
              <w:rPr>
                <w:b/>
              </w:rPr>
              <w:t>Restructuring is easier in private.</w:t>
            </w:r>
            <w:r>
              <w:t xml:space="preserve"> The store pruning, cost reset and category rationalisation needed here are painful and quarterly-earnings-hostile.</w:t>
            </w:r>
            <w:r/>
          </w:p>
          <w:p>
            <w:pPr>
              <w:pStyle w:val="ListBullet"/>
              <w:spacing w:line="240" w:lineRule="auto"/>
              <w:ind w:left="720"/>
            </w:pPr>
            <w:r/>
            <w:r>
              <w:rPr>
                <w:b/>
              </w:rPr>
              <w:t>Strategic logic for Chinese buyers.</w:t>
            </w:r>
            <w:r>
              <w:t xml:space="preserve"> Bosideng or Anta could accelerate the brand in its largest market and localise supply.</w:t>
            </w:r>
            <w:r/>
            <w:r/>
          </w:p>
        </w:tc>
        <w:tc>
          <w:tcPr>
            <w:tcW w:type="dxa" w:w="5256"/>
          </w:tcPr>
          <w:p>
            <w:r/>
            <w:r/>
          </w:p>
          <w:p>
            <w:pPr>
              <w:pStyle w:val="ListBullet"/>
              <w:spacing w:line="240" w:lineRule="auto"/>
              <w:ind w:left="720"/>
            </w:pPr>
            <w:r/>
            <w:r>
              <w:rPr>
                <w:b/>
              </w:rPr>
              <w:t>The process has already stalled once.</w:t>
            </w:r>
            <w:r>
              <w:t xml:space="preserve"> A year without announcement suggests a price gap between Bain and bidders.</w:t>
            </w:r>
            <w:r/>
          </w:p>
          <w:p>
            <w:pPr>
              <w:pStyle w:val="ListBullet"/>
              <w:spacing w:line="240" w:lineRule="auto"/>
              <w:ind w:left="720"/>
            </w:pPr>
            <w:r/>
            <w:r>
              <w:rPr>
                <w:b/>
              </w:rPr>
              <w:t>Canadian regulatory review.</w:t>
            </w:r>
            <w:r>
              <w:t xml:space="preserve"> A foreign, particularly Chinese, acquisition of an iconic Canadian manufacturer would face </w:t>
            </w:r>
            <w:r>
              <w:rPr>
                <w:i/>
              </w:rPr>
              <w:t>Investment Canada Act</w:t>
            </w:r>
            <w:r>
              <w:t xml:space="preserve"> "net benefit" scrutiny and political resistance.</w:t>
            </w:r>
            <w:r/>
          </w:p>
          <w:p>
            <w:pPr>
              <w:pStyle w:val="ListBullet"/>
              <w:spacing w:line="240" w:lineRule="auto"/>
              <w:ind w:left="720"/>
            </w:pPr>
            <w:r/>
            <w:r>
              <w:rPr>
                <w:b/>
              </w:rPr>
              <w:t>Deteriorating fundamentals.</w:t>
            </w:r>
            <w:r>
              <w:t xml:space="preserve"> Negative DTC comps and tariff exposure weaken the case for paying a premium.</w:t>
            </w:r>
            <w:r/>
          </w:p>
          <w:p>
            <w:pPr>
              <w:pStyle w:val="ListBullet"/>
              <w:spacing w:line="240" w:lineRule="auto"/>
              <w:ind w:left="720"/>
            </w:pPr>
            <w:r/>
            <w:r>
              <w:rPr>
                <w:b/>
              </w:rPr>
              <w:t>Founder alignment required.</w:t>
            </w:r>
            <w:r>
              <w:t xml:space="preserve"> Dani Reiss holds c.39.5% of multiple voting shares and c.36.2% of voting power — </w:t>
            </w:r>
            <w:r>
              <w:rPr>
                <w:b/>
              </w:rPr>
              <w:t>no deal happens without him</w:t>
            </w:r>
            <w:r>
              <w:t>.</w:t>
            </w:r>
            <w:r/>
          </w:p>
          <w:p>
            <w:pPr>
              <w:pStyle w:val="ListBullet"/>
              <w:spacing w:line="240" w:lineRule="auto"/>
              <w:ind w:left="720"/>
            </w:pPr>
            <w:r/>
            <w:r>
              <w:rPr>
                <w:b/>
              </w:rPr>
              <w:t>"Made in Canada" is fragile under foreign ownership.</w:t>
            </w:r>
            <w:r>
              <w:t xml:space="preserve"> Cost-driven offshoring would destroy the brand premium being purchased.</w:t>
            </w:r>
            <w:r/>
          </w:p>
          <w:p>
            <w:pPr>
              <w:pStyle w:val="ListBullet"/>
              <w:spacing w:line="240" w:lineRule="auto"/>
              <w:ind w:left="720"/>
            </w:pPr>
            <w:r/>
            <w:r>
              <w:rPr>
                <w:b/>
              </w:rPr>
              <w:t>Tariff uncertainty</w:t>
            </w:r>
            <w:r>
              <w:t xml:space="preserve"> complicates underwriting.</w:t>
            </w:r>
            <w:r/>
            <w:r/>
          </w:p>
        </w:tc>
      </w:tr>
    </w:tbl>
    <w:p>
      <w:r/>
    </w:p>
    <w:p>
      <w:pPr>
        <w:pStyle w:val="Heading3"/>
      </w:pPr>
      <w:r>
        <w:t>14.3 Potential takeout multiples and implied value</w:t>
      </w:r>
      <w:r/>
    </w:p>
    <w:tbl>
      <w:tblPr>
        <w:tblStyle w:val="TableGrid"/>
        <w:tblW w:type="auto" w:w="0"/>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rPr>
              <w:t>Scenario</w:t>
            </w:r>
          </w:p>
        </w:tc>
        <w:tc>
          <w:tcPr>
            <w:tcW w:type="dxa" w:w="1502"/>
          </w:tcPr>
          <w:p>
            <w:r>
              <w:rPr>
                <w:b/>
              </w:rPr>
              <w:t>EV/EBITDA</w:t>
            </w:r>
          </w:p>
        </w:tc>
        <w:tc>
          <w:tcPr>
            <w:tcW w:type="dxa" w:w="1502"/>
          </w:tcPr>
          <w:p>
            <w:r>
              <w:rPr>
                <w:b/>
              </w:rPr>
              <w:t>Implied EV (C$m)</w:t>
            </w:r>
          </w:p>
        </w:tc>
        <w:tc>
          <w:tcPr>
            <w:tcW w:type="dxa" w:w="1502"/>
          </w:tcPr>
          <w:p>
            <w:r>
              <w:rPr>
                <w:b/>
              </w:rPr>
              <w:t>Implied equity (C$m)</w:t>
            </w:r>
          </w:p>
        </w:tc>
        <w:tc>
          <w:tcPr>
            <w:tcW w:type="dxa" w:w="1502"/>
          </w:tcPr>
          <w:p>
            <w:r>
              <w:rPr>
                <w:b/>
              </w:rPr>
              <w:t>Per share (C$)</w:t>
            </w:r>
          </w:p>
        </w:tc>
        <w:tc>
          <w:tcPr>
            <w:tcW w:type="dxa" w:w="1502"/>
          </w:tcPr>
          <w:p>
            <w:r>
              <w:rPr>
                <w:b/>
              </w:rPr>
              <w:t>Per share (US$)</w:t>
            </w:r>
          </w:p>
        </w:tc>
        <w:tc>
          <w:tcPr>
            <w:tcW w:type="dxa" w:w="1502"/>
          </w:tcPr>
          <w:p>
            <w:r>
              <w:rPr>
                <w:b/>
              </w:rPr>
              <w:t>Premium</w:t>
            </w:r>
          </w:p>
        </w:tc>
      </w:tr>
      <w:tr>
        <w:tc>
          <w:tcPr>
            <w:tcW w:type="dxa" w:w="1502"/>
          </w:tcPr>
          <w:p>
            <w:r>
              <w:t>Current market</w:t>
            </w:r>
          </w:p>
        </w:tc>
        <w:tc>
          <w:tcPr>
            <w:tcW w:type="dxa" w:w="1502"/>
          </w:tcPr>
          <w:p>
            <w:r>
              <w:t>5.2x</w:t>
            </w:r>
          </w:p>
        </w:tc>
        <w:tc>
          <w:tcPr>
            <w:tcW w:type="dxa" w:w="1502"/>
          </w:tcPr>
          <w:p>
            <w:r>
              <w:t>1,529</w:t>
            </w:r>
          </w:p>
        </w:tc>
        <w:tc>
          <w:tcPr>
            <w:tcW w:type="dxa" w:w="1502"/>
          </w:tcPr>
          <w:p>
            <w:r>
              <w:t>1,146</w:t>
            </w:r>
          </w:p>
        </w:tc>
        <w:tc>
          <w:tcPr>
            <w:tcW w:type="dxa" w:w="1502"/>
          </w:tcPr>
          <w:p>
            <w:r>
              <w:t>11.67</w:t>
            </w:r>
          </w:p>
        </w:tc>
        <w:tc>
          <w:tcPr>
            <w:tcW w:type="dxa" w:w="1502"/>
          </w:tcPr>
          <w:p>
            <w:r>
              <w:t>8.46</w:t>
            </w:r>
          </w:p>
        </w:tc>
        <w:tc>
          <w:tcPr>
            <w:tcW w:type="dxa" w:w="1502"/>
          </w:tcPr>
          <w:p>
            <w:r>
              <w:t>—</w:t>
            </w:r>
          </w:p>
        </w:tc>
      </w:tr>
      <w:tr>
        <w:tc>
          <w:tcPr>
            <w:tcW w:type="dxa" w:w="1502"/>
          </w:tcPr>
          <w:p>
            <w:r>
              <w:t>Reported 2025 bid level</w:t>
            </w:r>
          </w:p>
        </w:tc>
        <w:tc>
          <w:tcPr>
            <w:tcW w:type="dxa" w:w="1502"/>
          </w:tcPr>
          <w:p>
            <w:r>
              <w:t>8.0x</w:t>
            </w:r>
          </w:p>
        </w:tc>
        <w:tc>
          <w:tcPr>
            <w:tcW w:type="dxa" w:w="1502"/>
          </w:tcPr>
          <w:p>
            <w:r>
              <w:t>2,360</w:t>
            </w:r>
          </w:p>
        </w:tc>
        <w:tc>
          <w:tcPr>
            <w:tcW w:type="dxa" w:w="1502"/>
          </w:tcPr>
          <w:p>
            <w:r>
              <w:t>1,977</w:t>
            </w:r>
          </w:p>
        </w:tc>
        <w:tc>
          <w:tcPr>
            <w:tcW w:type="dxa" w:w="1502"/>
          </w:tcPr>
          <w:p>
            <w:r>
              <w:t>20.17</w:t>
            </w:r>
          </w:p>
        </w:tc>
        <w:tc>
          <w:tcPr>
            <w:tcW w:type="dxa" w:w="1502"/>
          </w:tcPr>
          <w:p>
            <w:r>
              <w:t>14.62</w:t>
            </w:r>
          </w:p>
        </w:tc>
        <w:tc>
          <w:tcPr>
            <w:tcW w:type="dxa" w:w="1502"/>
          </w:tcPr>
          <w:p>
            <w:r>
              <w:t>+73%</w:t>
            </w:r>
          </w:p>
        </w:tc>
      </w:tr>
      <w:tr>
        <w:tc>
          <w:tcPr>
            <w:tcW w:type="dxa" w:w="1502"/>
          </w:tcPr>
          <w:p>
            <w:r>
              <w:t>Apparel M&amp;A low</w:t>
            </w:r>
          </w:p>
        </w:tc>
        <w:tc>
          <w:tcPr>
            <w:tcW w:type="dxa" w:w="1502"/>
          </w:tcPr>
          <w:p>
            <w:r>
              <w:t>8.5x</w:t>
            </w:r>
          </w:p>
        </w:tc>
        <w:tc>
          <w:tcPr>
            <w:tcW w:type="dxa" w:w="1502"/>
          </w:tcPr>
          <w:p>
            <w:r>
              <w:t>2,508</w:t>
            </w:r>
          </w:p>
        </w:tc>
        <w:tc>
          <w:tcPr>
            <w:tcW w:type="dxa" w:w="1502"/>
          </w:tcPr>
          <w:p>
            <w:r>
              <w:t>2,124</w:t>
            </w:r>
          </w:p>
        </w:tc>
        <w:tc>
          <w:tcPr>
            <w:tcW w:type="dxa" w:w="1502"/>
          </w:tcPr>
          <w:p>
            <w:r>
              <w:t>21.68</w:t>
            </w:r>
          </w:p>
        </w:tc>
        <w:tc>
          <w:tcPr>
            <w:tcW w:type="dxa" w:w="1502"/>
          </w:tcPr>
          <w:p>
            <w:r>
              <w:t>15.71</w:t>
            </w:r>
          </w:p>
        </w:tc>
        <w:tc>
          <w:tcPr>
            <w:tcW w:type="dxa" w:w="1502"/>
          </w:tcPr>
          <w:p>
            <w:r>
              <w:t>+86%</w:t>
            </w:r>
          </w:p>
        </w:tc>
      </w:tr>
      <w:tr>
        <w:tc>
          <w:tcPr>
            <w:tcW w:type="dxa" w:w="1502"/>
          </w:tcPr>
          <w:p>
            <w:r>
              <w:t>Apparel M&amp;A mid</w:t>
            </w:r>
          </w:p>
        </w:tc>
        <w:tc>
          <w:tcPr>
            <w:tcW w:type="dxa" w:w="1502"/>
          </w:tcPr>
          <w:p>
            <w:r>
              <w:t>9.5x</w:t>
            </w:r>
          </w:p>
        </w:tc>
        <w:tc>
          <w:tcPr>
            <w:tcW w:type="dxa" w:w="1502"/>
          </w:tcPr>
          <w:p>
            <w:r>
              <w:t>2,803</w:t>
            </w:r>
          </w:p>
        </w:tc>
        <w:tc>
          <w:tcPr>
            <w:tcW w:type="dxa" w:w="1502"/>
          </w:tcPr>
          <w:p>
            <w:r>
              <w:t>2,419</w:t>
            </w:r>
          </w:p>
        </w:tc>
        <w:tc>
          <w:tcPr>
            <w:tcW w:type="dxa" w:w="1502"/>
          </w:tcPr>
          <w:p>
            <w:r>
              <w:t>24.69</w:t>
            </w:r>
          </w:p>
        </w:tc>
        <w:tc>
          <w:tcPr>
            <w:tcW w:type="dxa" w:w="1502"/>
          </w:tcPr>
          <w:p>
            <w:r>
              <w:t>17.89</w:t>
            </w:r>
          </w:p>
        </w:tc>
        <w:tc>
          <w:tcPr>
            <w:tcW w:type="dxa" w:w="1502"/>
          </w:tcPr>
          <w:p>
            <w:r>
              <w:t>+112%</w:t>
            </w:r>
          </w:p>
        </w:tc>
      </w:tr>
      <w:tr>
        <w:tc>
          <w:tcPr>
            <w:tcW w:type="dxa" w:w="1502"/>
          </w:tcPr>
          <w:p>
            <w:r>
              <w:t>Apparel M&amp;A high / strategic</w:t>
            </w:r>
          </w:p>
        </w:tc>
        <w:tc>
          <w:tcPr>
            <w:tcW w:type="dxa" w:w="1502"/>
          </w:tcPr>
          <w:p>
            <w:r>
              <w:t>11.0x</w:t>
            </w:r>
          </w:p>
        </w:tc>
        <w:tc>
          <w:tcPr>
            <w:tcW w:type="dxa" w:w="1502"/>
          </w:tcPr>
          <w:p>
            <w:r>
              <w:t>3,245</w:t>
            </w:r>
          </w:p>
        </w:tc>
        <w:tc>
          <w:tcPr>
            <w:tcW w:type="dxa" w:w="1502"/>
          </w:tcPr>
          <w:p>
            <w:r>
              <w:t>2,862</w:t>
            </w:r>
          </w:p>
        </w:tc>
        <w:tc>
          <w:tcPr>
            <w:tcW w:type="dxa" w:w="1502"/>
          </w:tcPr>
          <w:p>
            <w:r>
              <w:t>29.20</w:t>
            </w:r>
          </w:p>
        </w:tc>
        <w:tc>
          <w:tcPr>
            <w:tcW w:type="dxa" w:w="1502"/>
          </w:tcPr>
          <w:p>
            <w:r>
              <w:t>21.16</w:t>
            </w:r>
          </w:p>
        </w:tc>
        <w:tc>
          <w:tcPr>
            <w:tcW w:type="dxa" w:w="1502"/>
          </w:tcPr>
          <w:p>
            <w:r>
              <w:t>+150%</w:t>
            </w:r>
          </w:p>
        </w:tc>
      </w:tr>
    </w:tbl>
    <w:p>
      <w:r/>
    </w:p>
    <w:p>
      <w:r/>
      <w:r>
        <w:t>Calculated on implied FY2026 EBITDA of c.C$295m (D), net debt of C$383.2m excluding leases, and c.98m shares. A buyer capitalising leases would derive lower equity values. The reported 2025 bid of US$1.35–1.4bn approximates the 8.0x row, confirming internal consistency of the framework.</w:t>
      </w:r>
      <w:r/>
      <w:r>
        <w:rPr>
          <w:b/>
        </w:rPr>
        <w:t>Takeout view.</w:t>
      </w:r>
      <w:r>
        <w:t xml:space="preserve"> A deal at the reported 8x level implies roughly </w:t>
      </w:r>
      <w:r>
        <w:rPr>
          <w:b/>
        </w:rPr>
        <w:t>US$14.60 per share, a c.73% premium</w:t>
      </w:r>
      <w:r>
        <w:t xml:space="preserve"> to the current price. That asymmetry — a stock at 52-week lows against a live process at nearly double the price — is the core of the event-driven case. The critical caveat: </w:t>
      </w:r>
      <w:r>
        <w:rPr>
          <w:b/>
        </w:rPr>
        <w:t>8x is a low multiple for a c.70%-gross-margin brand</w:t>
      </w:r>
      <w:r>
        <w:t>, and minorities have no mechanism to demand better. Bain and Reiss together control c.92% of the vote. Minority shareholders are price-takers in whatever outcome those two parties agree.</w:t>
      </w:r>
      <w:r/>
    </w:p>
    <w:p>
      <w:pPr>
        <w:pStyle w:val="Heading3"/>
      </w:pPr>
      <w:r>
        <w:t>14.4 Comparable industry transactions, last 5 years</w:t>
      </w:r>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b/>
              </w:rPr>
              <w:t>Target</w:t>
            </w:r>
          </w:p>
        </w:tc>
        <w:tc>
          <w:tcPr>
            <w:tcW w:type="dxa" w:w="1752"/>
          </w:tcPr>
          <w:p>
            <w:r>
              <w:rPr>
                <w:b/>
              </w:rPr>
              <w:t>Acquirer</w:t>
            </w:r>
          </w:p>
        </w:tc>
        <w:tc>
          <w:tcPr>
            <w:tcW w:type="dxa" w:w="1752"/>
          </w:tcPr>
          <w:p>
            <w:r>
              <w:rPr>
                <w:b/>
              </w:rPr>
              <w:t>Date</w:t>
            </w:r>
          </w:p>
        </w:tc>
        <w:tc>
          <w:tcPr>
            <w:tcW w:type="dxa" w:w="1752"/>
          </w:tcPr>
          <w:p>
            <w:r>
              <w:rPr>
                <w:b/>
              </w:rPr>
              <w:t>Value</w:t>
            </w:r>
          </w:p>
        </w:tc>
        <w:tc>
          <w:tcPr>
            <w:tcW w:type="dxa" w:w="1752"/>
          </w:tcPr>
          <w:p>
            <w:r>
              <w:rPr>
                <w:b/>
              </w:rPr>
              <w:t>Multiple</w:t>
            </w:r>
          </w:p>
        </w:tc>
        <w:tc>
          <w:tcPr>
            <w:tcW w:type="dxa" w:w="1752"/>
          </w:tcPr>
          <w:p>
            <w:r>
              <w:rPr>
                <w:b/>
              </w:rPr>
              <w:t>Relevance</w:t>
            </w:r>
          </w:p>
        </w:tc>
      </w:tr>
      <w:tr>
        <w:tc>
          <w:tcPr>
            <w:tcW w:type="dxa" w:w="1752"/>
          </w:tcPr>
          <w:p>
            <w:r>
              <w:rPr>
                <w:b/>
              </w:rPr>
              <w:t>Stone Island</w:t>
            </w:r>
          </w:p>
        </w:tc>
        <w:tc>
          <w:tcPr>
            <w:tcW w:type="dxa" w:w="1752"/>
          </w:tcPr>
          <w:p>
            <w:r>
              <w:t>Moncler</w:t>
            </w:r>
          </w:p>
        </w:tc>
        <w:tc>
          <w:tcPr>
            <w:tcW w:type="dxa" w:w="1752"/>
          </w:tcPr>
          <w:p>
            <w:r>
              <w:t>2021</w:t>
            </w:r>
          </w:p>
        </w:tc>
        <w:tc>
          <w:tcPr>
            <w:tcW w:type="dxa" w:w="1752"/>
          </w:tcPr>
          <w:p>
            <w:r>
              <w:t>EUR 1.15bn (US$1.4bn)</w:t>
            </w:r>
          </w:p>
        </w:tc>
        <w:tc>
          <w:tcPr>
            <w:tcW w:type="dxa" w:w="1752"/>
          </w:tcPr>
          <w:p>
            <w:r>
              <w:t>n/d</w:t>
            </w:r>
          </w:p>
        </w:tc>
        <w:tc>
          <w:tcPr>
            <w:tcW w:type="dxa" w:w="1752"/>
          </w:tcPr>
          <w:p>
            <w:r>
              <w:t>The definitive comparable: a luxury outerwear brand acquired by the sector leader. Moncler subsequently acquired the remaining 30% minority.</w:t>
            </w:r>
          </w:p>
        </w:tc>
      </w:tr>
      <w:tr>
        <w:tc>
          <w:tcPr>
            <w:tcW w:type="dxa" w:w="1752"/>
          </w:tcPr>
          <w:p>
            <w:r>
              <w:rPr>
                <w:b/>
              </w:rPr>
              <w:t>Stone Island (residual 30%)</w:t>
            </w:r>
          </w:p>
        </w:tc>
        <w:tc>
          <w:tcPr>
            <w:tcW w:type="dxa" w:w="1752"/>
          </w:tcPr>
          <w:p>
            <w:r>
              <w:t>Moncler</w:t>
            </w:r>
          </w:p>
        </w:tc>
        <w:tc>
          <w:tcPr>
            <w:tcW w:type="dxa" w:w="1752"/>
          </w:tcPr>
          <w:p>
            <w:r>
              <w:t>2025/26</w:t>
            </w:r>
          </w:p>
        </w:tc>
        <w:tc>
          <w:tcPr>
            <w:tcW w:type="dxa" w:w="1752"/>
          </w:tcPr>
          <w:p>
            <w:r>
              <w:t>n/d</w:t>
            </w:r>
          </w:p>
        </w:tc>
        <w:tc>
          <w:tcPr>
            <w:tcW w:type="dxa" w:w="1752"/>
          </w:tcPr>
          <w:p>
            <w:r>
              <w:t>n/d</w:t>
            </w:r>
          </w:p>
        </w:tc>
        <w:tc>
          <w:tcPr>
            <w:tcW w:type="dxa" w:w="1752"/>
          </w:tcPr>
          <w:p>
            <w:r>
              <w:t>Completion of consolidation; confirms strategic commitment to outerwear scale.</w:t>
            </w:r>
          </w:p>
        </w:tc>
      </w:tr>
      <w:tr>
        <w:tc>
          <w:tcPr>
            <w:tcW w:type="dxa" w:w="1752"/>
          </w:tcPr>
          <w:p>
            <w:r>
              <w:rPr>
                <w:b/>
              </w:rPr>
              <w:t>Versace</w:t>
            </w:r>
          </w:p>
        </w:tc>
        <w:tc>
          <w:tcPr>
            <w:tcW w:type="dxa" w:w="1752"/>
          </w:tcPr>
          <w:p>
            <w:r>
              <w:t>Prada</w:t>
            </w:r>
          </w:p>
        </w:tc>
        <w:tc>
          <w:tcPr>
            <w:tcW w:type="dxa" w:w="1752"/>
          </w:tcPr>
          <w:p>
            <w:r>
              <w:t>2025</w:t>
            </w:r>
          </w:p>
        </w:tc>
        <w:tc>
          <w:tcPr>
            <w:tcW w:type="dxa" w:w="1752"/>
          </w:tcPr>
          <w:p>
            <w:r>
              <w:t>c.US$1.375–1.4bn (EUR 1.25–1.5bn)</w:t>
            </w:r>
          </w:p>
        </w:tc>
        <w:tc>
          <w:tcPr>
            <w:tcW w:type="dxa" w:w="1752"/>
          </w:tcPr>
          <w:p>
            <w:r>
              <w:t>c.1.6x EV/Sales; c.65x EV/EBIT</w:t>
            </w:r>
          </w:p>
        </w:tc>
        <w:tc>
          <w:tcPr>
            <w:tcW w:type="dxa" w:w="1752"/>
          </w:tcPr>
          <w:p>
            <w:r>
              <w:t>Directly comparable in size. Notably, Capri had paid c.US$2bn in 2018 — a c.30% value decline, a cautionary precedent for distressed luxury brand M&amp;A.</w:t>
            </w:r>
          </w:p>
        </w:tc>
      </w:tr>
      <w:tr>
        <w:tc>
          <w:tcPr>
            <w:tcW w:type="dxa" w:w="1752"/>
          </w:tcPr>
          <w:p>
            <w:r>
              <w:rPr>
                <w:b/>
              </w:rPr>
              <w:t>Amer Sports</w:t>
            </w:r>
          </w:p>
        </w:tc>
        <w:tc>
          <w:tcPr>
            <w:tcW w:type="dxa" w:w="1752"/>
          </w:tcPr>
          <w:p>
            <w:r>
              <w:t>ANTA Sports / FountainVest / Anamered / Tencent</w:t>
            </w:r>
          </w:p>
        </w:tc>
        <w:tc>
          <w:tcPr>
            <w:tcW w:type="dxa" w:w="1752"/>
          </w:tcPr>
          <w:p>
            <w:r>
              <w:t>2019</w:t>
            </w:r>
          </w:p>
        </w:tc>
        <w:tc>
          <w:tcPr>
            <w:tcW w:type="dxa" w:w="1752"/>
          </w:tcPr>
          <w:p>
            <w:r>
              <w:t>c.EUR 4.6bn</w:t>
            </w:r>
          </w:p>
        </w:tc>
        <w:tc>
          <w:tcPr>
            <w:tcW w:type="dxa" w:w="1752"/>
          </w:tcPr>
          <w:p>
            <w:r>
              <w:t>n/d</w:t>
            </w:r>
          </w:p>
        </w:tc>
        <w:tc>
          <w:tcPr>
            <w:tcW w:type="dxa" w:w="1752"/>
          </w:tcPr>
          <w:p>
            <w:r>
              <w:t>The template for the consortium reportedly circling Canada Goose. Amer now trades at c.21.5x EV/EBITDA — a strong precedent for value creation under Chinese strategic ownership.</w:t>
            </w:r>
          </w:p>
        </w:tc>
      </w:tr>
      <w:tr>
        <w:tc>
          <w:tcPr>
            <w:tcW w:type="dxa" w:w="1752"/>
          </w:tcPr>
          <w:p>
            <w:r>
              <w:rPr>
                <w:b/>
              </w:rPr>
              <w:t>Baffin Limited</w:t>
            </w:r>
          </w:p>
        </w:tc>
        <w:tc>
          <w:tcPr>
            <w:tcW w:type="dxa" w:w="1752"/>
          </w:tcPr>
          <w:p>
            <w:r>
              <w:t>L.P. Royer Inc.</w:t>
            </w:r>
          </w:p>
        </w:tc>
        <w:tc>
          <w:tcPr>
            <w:tcW w:type="dxa" w:w="1752"/>
          </w:tcPr>
          <w:p>
            <w:r>
              <w:t>Aug 2026</w:t>
            </w:r>
          </w:p>
        </w:tc>
        <w:tc>
          <w:tcPr>
            <w:tcW w:type="dxa" w:w="1752"/>
          </w:tcPr>
          <w:p>
            <w:r>
              <w:t>Not disclosed</w:t>
            </w:r>
          </w:p>
        </w:tc>
        <w:tc>
          <w:tcPr>
            <w:tcW w:type="dxa" w:w="1752"/>
          </w:tcPr>
          <w:p>
            <w:r>
              <w:t>n/d</w:t>
            </w:r>
          </w:p>
        </w:tc>
        <w:tc>
          <w:tcPr>
            <w:tcW w:type="dxa" w:w="1752"/>
          </w:tcPr>
          <w:p>
            <w:r>
              <w:t xml:space="preserve">Canada Goose as </w:t>
            </w:r>
            <w:r>
              <w:rPr>
                <w:i/>
              </w:rPr>
              <w:t>seller</w:t>
            </w:r>
            <w:r>
              <w:t xml:space="preserve"> . Portfolio simplification.</w:t>
            </w:r>
          </w:p>
        </w:tc>
      </w:tr>
      <w:tr>
        <w:tc>
          <w:tcPr>
            <w:tcW w:type="dxa" w:w="1752"/>
          </w:tcPr>
          <w:p>
            <w:r>
              <w:rPr>
                <w:b/>
              </w:rPr>
              <w:t>Sector benchmarks:</w:t>
            </w:r>
            <w:r>
              <w:t xml:space="preserve"> Luxury brands traded at c. </w:t>
            </w:r>
            <w:r>
              <w:rPr>
                <w:b/>
              </w:rPr>
              <w:t>14.8x</w:t>
            </w:r>
            <w:r>
              <w:t xml:space="preserve"> EV/EBITDA in Q1 2026. Most apparel and footwear brands transact at </w:t>
            </w:r>
            <w:r>
              <w:rPr>
                <w:b/>
              </w:rPr>
              <w:t>1.0–1.8x revenue or 8–11x EBITDA</w:t>
            </w:r>
            <w:r>
              <w:t xml:space="preserve"> in 2026. Median LTM EV/EBITDA at Q2 2025: active lifestyle </w:t>
            </w:r>
            <w:r>
              <w:rPr>
                <w:b/>
              </w:rPr>
              <w:t>9.1x</w:t>
            </w:r>
            <w:r>
              <w:t xml:space="preserve"> , fashion </w:t>
            </w:r>
            <w:r>
              <w:rPr>
                <w:b/>
              </w:rPr>
              <w:t>9.8x</w:t>
            </w:r>
            <w:r>
              <w:t xml:space="preserve"> .</w:t>
            </w:r>
          </w:p>
        </w:tc>
        <w:tc>
          <w:tcPr>
            <w:tcW w:type="dxa" w:w="1752"/>
          </w:tcPr>
          <w:p/>
        </w:tc>
        <w:tc>
          <w:tcPr>
            <w:tcW w:type="dxa" w:w="1752"/>
          </w:tcPr>
          <w:p/>
        </w:tc>
        <w:tc>
          <w:tcPr>
            <w:tcW w:type="dxa" w:w="1752"/>
          </w:tcPr>
          <w:p/>
        </w:tc>
        <w:tc>
          <w:tcPr>
            <w:tcW w:type="dxa" w:w="1752"/>
          </w:tcPr>
          <w:p/>
        </w:tc>
        <w:tc>
          <w:tcPr>
            <w:tcW w:type="dxa" w:w="1752"/>
          </w:tcPr>
          <w:p/>
        </w:tc>
      </w:tr>
    </w:tbl>
    <w:p>
      <w:r/>
    </w:p>
    <w:p>
      <w:pPr>
        <w:pStyle w:val="Heading3"/>
      </w:pPr>
      <w:r>
        <w:t>14.5 Acquisitions made by Canada Goose, last 10 years</w:t>
      </w:r>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b/>
              </w:rPr>
              <w:t>Target</w:t>
            </w:r>
          </w:p>
        </w:tc>
        <w:tc>
          <w:tcPr>
            <w:tcW w:type="dxa" w:w="2102"/>
          </w:tcPr>
          <w:p>
            <w:r>
              <w:rPr>
                <w:b/>
              </w:rPr>
              <w:t>Date</w:t>
            </w:r>
          </w:p>
        </w:tc>
        <w:tc>
          <w:tcPr>
            <w:tcW w:type="dxa" w:w="2102"/>
          </w:tcPr>
          <w:p>
            <w:r>
              <w:rPr>
                <w:b/>
              </w:rPr>
              <w:t>Consideration</w:t>
            </w:r>
          </w:p>
        </w:tc>
        <w:tc>
          <w:tcPr>
            <w:tcW w:type="dxa" w:w="2102"/>
          </w:tcPr>
          <w:p>
            <w:r>
              <w:rPr>
                <w:b/>
              </w:rPr>
              <w:t>Multiple</w:t>
            </w:r>
          </w:p>
        </w:tc>
        <w:tc>
          <w:tcPr>
            <w:tcW w:type="dxa" w:w="2102"/>
          </w:tcPr>
          <w:p>
            <w:r>
              <w:rPr>
                <w:b/>
              </w:rPr>
              <w:t>Rationale and outcome</w:t>
            </w:r>
          </w:p>
        </w:tc>
      </w:tr>
      <w:tr>
        <w:tc>
          <w:tcPr>
            <w:tcW w:type="dxa" w:w="2102"/>
          </w:tcPr>
          <w:p>
            <w:r>
              <w:rPr>
                <w:b/>
              </w:rPr>
              <w:t>Baffin Limited</w:t>
            </w:r>
          </w:p>
        </w:tc>
        <w:tc>
          <w:tcPr>
            <w:tcW w:type="dxa" w:w="2102"/>
          </w:tcPr>
          <w:p>
            <w:r>
              <w:t>Nov 2018</w:t>
            </w:r>
          </w:p>
        </w:tc>
        <w:tc>
          <w:tcPr>
            <w:tcW w:type="dxa" w:w="2102"/>
          </w:tcPr>
          <w:p>
            <w:r>
              <w:t>C$32.5m (c.US$24.8m)</w:t>
            </w:r>
          </w:p>
        </w:tc>
        <w:tc>
          <w:tcPr>
            <w:tcW w:type="dxa" w:w="2102"/>
          </w:tcPr>
          <w:p>
            <w:r>
              <w:t>Not disclosed</w:t>
            </w:r>
          </w:p>
        </w:tc>
        <w:tc>
          <w:tcPr>
            <w:tcW w:type="dxa" w:w="2102"/>
          </w:tcPr>
          <w:p>
            <w:r>
              <w:t xml:space="preserve">Entry into footwear; acquired capability and infrastructure. </w:t>
            </w:r>
            <w:r>
              <w:rPr>
                <w:b/>
              </w:rPr>
              <w:t>Outcome: reversed.</w:t>
            </w:r>
            <w:r>
              <w:t xml:space="preserve"> Sold to L.P. Royer in Aug 2026. Canada Goose retained the footwear </w:t>
            </w:r>
            <w:r>
              <w:rPr>
                <w:i/>
              </w:rPr>
              <w:t>capability</w:t>
            </w:r>
            <w:r>
              <w:t xml:space="preserve"> (its own branded footwear launched 2021 continues) but exited the Baffin brand. An eight-year round trip.</w:t>
            </w:r>
          </w:p>
        </w:tc>
      </w:tr>
      <w:tr>
        <w:tc>
          <w:tcPr>
            <w:tcW w:type="dxa" w:w="2102"/>
          </w:tcPr>
          <w:p>
            <w:r>
              <w:rPr>
                <w:b/>
              </w:rPr>
              <w:t>Paola Confectii Manufacturing</w:t>
            </w:r>
            <w:r>
              <w:t xml:space="preserve"> (operating assets)</w:t>
            </w:r>
          </w:p>
        </w:tc>
        <w:tc>
          <w:tcPr>
            <w:tcW w:type="dxa" w:w="2102"/>
          </w:tcPr>
          <w:p>
            <w:r>
              <w:t>2023</w:t>
            </w:r>
          </w:p>
        </w:tc>
        <w:tc>
          <w:tcPr>
            <w:tcW w:type="dxa" w:w="2102"/>
          </w:tcPr>
          <w:p>
            <w:r>
              <w:t>Not disclosed</w:t>
            </w:r>
          </w:p>
        </w:tc>
        <w:tc>
          <w:tcPr>
            <w:tcW w:type="dxa" w:w="2102"/>
          </w:tcPr>
          <w:p>
            <w:r>
              <w:t>Not disclosed</w:t>
            </w:r>
          </w:p>
        </w:tc>
        <w:tc>
          <w:tcPr>
            <w:tcW w:type="dxa" w:w="2102"/>
          </w:tcPr>
          <w:p>
            <w:r>
              <w:t>First European manufacturing facility, adding to a network of seven Canadian facilities. Supports category expansion and year-round relevance. Status: retained and integrated.</w:t>
            </w:r>
          </w:p>
        </w:tc>
      </w:tr>
    </w:tbl>
    <w:p>
      <w:r/>
    </w:p>
    <w:p>
      <w:r/>
      <w:r>
        <w:t>Canada Goose has been a notably infrequent acquirer — two identifiable transactions in ten years, one of which has now been unwound. This is a company that has grown organically, for better and worse.</w:t>
      </w:r>
      <w:r/>
    </w:p>
    <w:p>
      <w:pPr>
        <w:pStyle w:val="Heading2"/>
      </w:pPr>
      <w:r>
        <w:t>15. Management Assessment</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Executive</w:t>
            </w:r>
          </w:p>
        </w:tc>
        <w:tc>
          <w:tcPr>
            <w:tcW w:type="dxa" w:w="2628"/>
          </w:tcPr>
          <w:p>
            <w:r>
              <w:rPr>
                <w:b/>
              </w:rPr>
              <w:t>Role</w:t>
            </w:r>
          </w:p>
        </w:tc>
        <w:tc>
          <w:tcPr>
            <w:tcW w:type="dxa" w:w="2628"/>
          </w:tcPr>
          <w:p>
            <w:r>
              <w:rPr>
                <w:b/>
              </w:rPr>
              <w:t>Tenure</w:t>
            </w:r>
          </w:p>
        </w:tc>
        <w:tc>
          <w:tcPr>
            <w:tcW w:type="dxa" w:w="2628"/>
          </w:tcPr>
          <w:p>
            <w:r>
              <w:rPr>
                <w:b/>
              </w:rPr>
              <w:t>Assessment</w:t>
            </w:r>
          </w:p>
        </w:tc>
      </w:tr>
      <w:tr>
        <w:tc>
          <w:tcPr>
            <w:tcW w:type="dxa" w:w="2628"/>
          </w:tcPr>
          <w:p>
            <w:r>
              <w:rPr>
                <w:b/>
              </w:rPr>
              <w:t>Dani Reiss</w:t>
            </w:r>
          </w:p>
        </w:tc>
        <w:tc>
          <w:tcPr>
            <w:tcW w:type="dxa" w:w="2628"/>
          </w:tcPr>
          <w:p>
            <w:r>
              <w:t>Chairman &amp; CEO</w:t>
            </w:r>
          </w:p>
        </w:tc>
        <w:tc>
          <w:tcPr>
            <w:tcW w:type="dxa" w:w="2628"/>
          </w:tcPr>
          <w:p>
            <w:r>
              <w:t xml:space="preserve">CEO since Jan 2001 — </w:t>
            </w:r>
            <w:r>
              <w:rPr>
                <w:b/>
              </w:rPr>
              <w:t>25 years</w:t>
            </w:r>
          </w:p>
        </w:tc>
        <w:tc>
          <w:tcPr>
            <w:tcW w:type="dxa" w:w="2628"/>
          </w:tcPr>
          <w:p>
            <w:r>
              <w:rPr>
                <w:b/>
              </w:rPr>
              <w:t>Founder-archetype (third-generation family).</w:t>
            </w:r>
            <w:r>
              <w:t xml:space="preserve"> Grandson of the founder. Built Canada Goose from a small Toronto manufacturer into a global luxury brand, took it public in 2017 at a peak valuation near US$7.7bn. Track record is genuinely exceptional on brand-building and genuinely poor on public-market value preservation — c.89% off peak market cap. Holds c. </w:t>
            </w:r>
            <w:r>
              <w:rPr>
                <w:b/>
              </w:rPr>
              <w:t>39.5% of multiple voting shares / 36.2% of total voting power</w:t>
            </w:r>
            <w:r>
              <w:t xml:space="preserve"> — extraordinary skin in the game, and the reason no transaction can occur without his consent.</w:t>
            </w:r>
          </w:p>
        </w:tc>
      </w:tr>
      <w:tr>
        <w:tc>
          <w:tcPr>
            <w:tcW w:type="dxa" w:w="2628"/>
          </w:tcPr>
          <w:p>
            <w:r>
              <w:rPr>
                <w:b/>
              </w:rPr>
              <w:t>Neil Bowden</w:t>
            </w:r>
          </w:p>
        </w:tc>
        <w:tc>
          <w:tcPr>
            <w:tcW w:type="dxa" w:w="2628"/>
          </w:tcPr>
          <w:p>
            <w:r>
              <w:t>Chief Financial Officer</w:t>
            </w:r>
          </w:p>
        </w:tc>
        <w:tc>
          <w:tcPr>
            <w:tcW w:type="dxa" w:w="2628"/>
          </w:tcPr>
          <w:p>
            <w:r>
              <w:t xml:space="preserve">CFO since 1 Apr 2024 — </w:t>
            </w:r>
            <w:r>
              <w:rPr>
                <w:b/>
              </w:rPr>
              <w:t>c.2.4 years</w:t>
            </w:r>
            <w:r>
              <w:t xml:space="preserve"> ; at company since 2016</w:t>
            </w:r>
          </w:p>
        </w:tc>
        <w:tc>
          <w:tcPr>
            <w:tcW w:type="dxa" w:w="2628"/>
          </w:tcPr>
          <w:p>
            <w:r>
              <w:t>Internal promotion from Deputy CFO. A decade of institutional knowledge. His tenure covers the FY2025 margin stabilisation (adjusted EBIT 12.7%) and the FY2026 cost blow-out (SG&amp;A +25.4%). Owns the credibility of the 11–12% FY2027 margin guidance — the central management commitment in the equity.</w:t>
            </w:r>
          </w:p>
        </w:tc>
      </w:tr>
      <w:tr>
        <w:tc>
          <w:tcPr>
            <w:tcW w:type="dxa" w:w="2628"/>
          </w:tcPr>
          <w:p>
            <w:r>
              <w:rPr>
                <w:b/>
              </w:rPr>
              <w:t>Carrie Baker</w:t>
            </w:r>
          </w:p>
        </w:tc>
        <w:tc>
          <w:tcPr>
            <w:tcW w:type="dxa" w:w="2628"/>
          </w:tcPr>
          <w:p>
            <w:r>
              <w:t>President, Brand &amp; Commercial (expanded to include Design, 2026)</w:t>
            </w:r>
          </w:p>
        </w:tc>
        <w:tc>
          <w:tcPr>
            <w:tcW w:type="dxa" w:w="2628"/>
          </w:tcPr>
          <w:p>
            <w:r>
              <w:t>Expanded role 2026</w:t>
            </w:r>
          </w:p>
        </w:tc>
        <w:tc>
          <w:tcPr>
            <w:tcW w:type="dxa" w:w="2628"/>
          </w:tcPr>
          <w:p>
            <w:r>
              <w:t xml:space="preserve">Now controls brand, commercial and design, working directly with Reiss. The consolidation of design under a commercial leader is a meaningful signal: </w:t>
            </w:r>
            <w:r>
              <w:rPr>
                <w:b/>
              </w:rPr>
              <w:t>product decisions are being subordinated to commercial ones.</w:t>
            </w:r>
            <w:r>
              <w:t xml:space="preserve"> Sensible for margin; a risk to the brand-heat that justifies the price premium.</w:t>
            </w:r>
          </w:p>
        </w:tc>
      </w:tr>
      <w:tr>
        <w:tc>
          <w:tcPr>
            <w:tcW w:type="dxa" w:w="2628"/>
          </w:tcPr>
          <w:p>
            <w:r>
              <w:rPr>
                <w:b/>
              </w:rPr>
              <w:t>Beth Clymer</w:t>
            </w:r>
          </w:p>
        </w:tc>
        <w:tc>
          <w:tcPr>
            <w:tcW w:type="dxa" w:w="2628"/>
          </w:tcPr>
          <w:p>
            <w:r>
              <w:t>President &amp; Chief Operating Officer</w:t>
            </w:r>
          </w:p>
        </w:tc>
        <w:tc>
          <w:tcPr>
            <w:tcW w:type="dxa" w:w="2628"/>
          </w:tcPr>
          <w:p>
            <w:r>
              <w:t>Current</w:t>
            </w:r>
          </w:p>
        </w:tc>
        <w:tc>
          <w:tcPr>
            <w:tcW w:type="dxa" w:w="2628"/>
          </w:tcPr>
          <w:p>
            <w:r>
              <w:t>Operational execution, supply chain, the EMEA logistics upgrade and cost programme. Central to delivering the guided margin expansion.</w:t>
            </w:r>
          </w:p>
        </w:tc>
      </w:tr>
      <w:tr>
        <w:tc>
          <w:tcPr>
            <w:tcW w:type="dxa" w:w="2628"/>
          </w:tcPr>
          <w:p>
            <w:r>
              <w:rPr>
                <w:b/>
              </w:rPr>
              <w:t>Patrick Bourke</w:t>
            </w:r>
          </w:p>
        </w:tc>
        <w:tc>
          <w:tcPr>
            <w:tcW w:type="dxa" w:w="2628"/>
          </w:tcPr>
          <w:p>
            <w:r>
              <w:t>President, North America</w:t>
            </w:r>
          </w:p>
        </w:tc>
        <w:tc>
          <w:tcPr>
            <w:tcW w:type="dxa" w:w="2628"/>
          </w:tcPr>
          <w:p>
            <w:r>
              <w:t xml:space="preserve">From 5 Feb 2026 — </w:t>
            </w:r>
            <w:r>
              <w:rPr>
                <w:b/>
              </w:rPr>
              <w:t>c.7 months</w:t>
            </w:r>
          </w:p>
        </w:tc>
        <w:tc>
          <w:tcPr>
            <w:tcW w:type="dxa" w:w="2628"/>
          </w:tcPr>
          <w:p>
            <w:r>
              <w:t>New appointment addressing the region where DTC traffic is softest. Too early to assess.</w:t>
            </w:r>
          </w:p>
        </w:tc>
      </w:tr>
      <w:tr>
        <w:tc>
          <w:tcPr>
            <w:tcW w:type="dxa" w:w="2628"/>
          </w:tcPr>
          <w:p>
            <w:r>
              <w:rPr>
                <w:b/>
              </w:rPr>
              <w:t>Jonathan Sinclair</w:t>
            </w:r>
          </w:p>
        </w:tc>
        <w:tc>
          <w:tcPr>
            <w:tcW w:type="dxa" w:w="2628"/>
          </w:tcPr>
          <w:p>
            <w:r>
              <w:t>President, APAC (former CFO)</w:t>
            </w:r>
          </w:p>
        </w:tc>
        <w:tc>
          <w:tcPr>
            <w:tcW w:type="dxa" w:w="2628"/>
          </w:tcPr>
          <w:p>
            <w:r>
              <w:t>Moved to APAC 1 Apr 2024</w:t>
            </w:r>
          </w:p>
        </w:tc>
        <w:tc>
          <w:tcPr>
            <w:tcW w:type="dxa" w:w="2628"/>
          </w:tcPr>
          <w:p>
            <w:r>
              <w:t>Former CFO redeployed to run the largest region. A defensible use of a senior executive, or a soft landing — the record does not resolve which.</w:t>
            </w:r>
          </w:p>
        </w:tc>
      </w:tr>
    </w:tbl>
    <w:p>
      <w:r/>
    </w:p>
    <w:p>
      <w:pPr>
        <w:pStyle w:val="Heading3"/>
      </w:pPr>
      <w:r>
        <w:t>Capital allocation record</w:t>
      </w:r>
      <w:r/>
      <w:r/>
    </w:p>
    <w:p>
      <w:pPr>
        <w:pStyle w:val="ListBullet"/>
        <w:spacing w:line="240" w:lineRule="auto"/>
        <w:ind w:left="720"/>
      </w:pPr>
      <w:r/>
      <w:r>
        <w:rPr>
          <w:b/>
        </w:rPr>
        <w:t>Buybacks:</w:t>
      </w:r>
      <w:r>
        <w:t xml:space="preserve"> The dominant use of capital. Well over C$170m returned across FY2023–FY2025 NCIB programmes. </w:t>
      </w:r>
      <w:r>
        <w:rPr>
          <w:b/>
        </w:rPr>
        <w:t>Timing has been poor</w:t>
      </w:r>
      <w:r>
        <w:t xml:space="preserve"> — the FY2023 programme repurchased at a weighted average of C$21.31 versus a current price near C$11.67, a c.45% unrealised loss on that tranche. Value-destructive in hindsight, though not unusual.</w:t>
      </w:r>
      <w:r/>
    </w:p>
    <w:p>
      <w:pPr>
        <w:pStyle w:val="ListBullet"/>
        <w:spacing w:line="240" w:lineRule="auto"/>
        <w:ind w:left="720"/>
      </w:pPr>
      <w:r/>
      <w:r>
        <w:rPr>
          <w:b/>
        </w:rPr>
        <w:t>M&amp;A:</w:t>
      </w:r>
      <w:r>
        <w:t xml:space="preserve"> Minimal and mixed. Baffin (C$32.5m, 2018) has been unwound at an undisclosed price after eight years; the Paola Confectii asset purchase is retained.</w:t>
      </w:r>
      <w:r/>
    </w:p>
    <w:p>
      <w:pPr>
        <w:pStyle w:val="ListBullet"/>
        <w:spacing w:line="240" w:lineRule="auto"/>
        <w:ind w:left="720"/>
      </w:pPr>
      <w:r/>
      <w:r>
        <w:rPr>
          <w:b/>
        </w:rPr>
        <w:t>Organic investment:</w:t>
      </w:r>
      <w:r>
        <w:t xml:space="preserve"> The FY2026 decision to lift SG&amp;A 25.4% against 13.3% revenue growth is the defining capital allocation judgement of the current period, and it has so far </w:t>
      </w:r>
      <w:r>
        <w:rPr>
          <w:b/>
        </w:rPr>
        <w:t>destroyed operating income</w:t>
      </w:r>
      <w:r>
        <w:t xml:space="preserve"> (down 45.9%). Management frames it as investment for long-term value creation; the C$8.4m store impairment suggests at least part of it was simply misallocated.</w:t>
      </w:r>
      <w:r/>
    </w:p>
    <w:p>
      <w:pPr>
        <w:pStyle w:val="ListBullet"/>
        <w:spacing w:line="240" w:lineRule="auto"/>
        <w:ind w:left="720"/>
      </w:pPr>
      <w:r/>
      <w:r>
        <w:rPr>
          <w:b/>
        </w:rPr>
        <w:t>ROE/ROIC trend:</w:t>
      </w:r>
      <w:r>
        <w:t xml:space="preserve"> Not calculable from accessible sources, but directionally unambiguous — net income fell from C$94.8m to C$22.5m on a growing asset base, so returns on capital deteriorated sharply in FY2026.</w:t>
      </w:r>
      <w:r/>
      <w:r/>
    </w:p>
    <w:p>
      <w:pPr>
        <w:pStyle w:val="Heading3"/>
      </w:pPr>
      <w:r>
        <w:t>Red flags</w:t>
      </w:r>
      <w:r/>
      <w:r/>
    </w:p>
    <w:p>
      <w:pPr>
        <w:pStyle w:val="ListBullet"/>
        <w:spacing w:line="240" w:lineRule="auto"/>
        <w:ind w:left="720"/>
      </w:pPr>
      <w:r/>
      <w:r>
        <w:rPr>
          <w:b/>
        </w:rPr>
        <w:t>Related-party dimension.</w:t>
      </w:r>
      <w:r>
        <w:t xml:space="preserve"> No specific related-party transactions were identified in accessible sources. However, the structural conflict is significant: </w:t>
      </w:r>
      <w:r>
        <w:rPr>
          <w:b/>
        </w:rPr>
        <w:t>Bain-affiliated directors sit on the board while Bain runs a sale process for its own stake.</w:t>
      </w:r>
      <w:r>
        <w:t xml:space="preserve"> Directors Ryan Cotton and Jennifer Davis take no board compensation, which mitigates but does not eliminate the conflict between Bain's exit interest and minority shareholders' interest in maximum value.</w:t>
      </w:r>
      <w:r/>
    </w:p>
    <w:p>
      <w:pPr>
        <w:pStyle w:val="ListBullet"/>
        <w:spacing w:line="240" w:lineRule="auto"/>
        <w:ind w:left="720"/>
      </w:pPr>
      <w:r/>
      <w:r>
        <w:rPr>
          <w:b/>
        </w:rPr>
        <w:t>Strategy pivots.</w:t>
      </w:r>
      <w:r>
        <w:t xml:space="preserve"> A meaningful pattern: fur-free (2021), footwear entry (2018) then Baffin exit (2026), DTC-first then wholesale re-emphasis (2026), aggressive store expansion then impairment and pruning. Directionally defensible individually; collectively they indicate a strategy still being discovered rather than executed.</w:t>
      </w:r>
      <w:r/>
    </w:p>
    <w:p>
      <w:pPr>
        <w:pStyle w:val="ListBullet"/>
        <w:spacing w:line="240" w:lineRule="auto"/>
        <w:ind w:left="720"/>
      </w:pPr>
      <w:r/>
      <w:r>
        <w:rPr>
          <w:b/>
        </w:rPr>
        <w:t>Compensation and dilution.</w:t>
      </w:r>
      <w:r>
        <w:t xml:space="preserve"> The 2026 AGM approved a </w:t>
      </w:r>
      <w:r>
        <w:rPr>
          <w:b/>
        </w:rPr>
        <w:t>material increase to the equity incentive plan</w:t>
      </w:r>
      <w:r>
        <w:t xml:space="preserve"> — expanding equity compensation while reported EPS fell 76% is poorly timed optics and a real dilution headwind.</w:t>
      </w:r>
      <w:r/>
    </w:p>
    <w:p>
      <w:pPr>
        <w:pStyle w:val="ListBullet"/>
        <w:spacing w:line="240" w:lineRule="auto"/>
        <w:ind w:left="720"/>
      </w:pPr>
      <w:r/>
      <w:r>
        <w:rPr>
          <w:b/>
        </w:rPr>
        <w:t>Non-GAAP gap.</w:t>
      </w:r>
      <w:r>
        <w:t xml:space="preserve"> FY2026 adjusted EPS of C$0.78 against reported EPS of C$0.23 — adjusted earnings are </w:t>
      </w:r>
      <w:r>
        <w:rPr>
          <w:b/>
        </w:rPr>
        <w:t>3.4x</w:t>
      </w:r>
      <w:r>
        <w:t xml:space="preserve"> reported. See §22.</w:t>
      </w:r>
      <w:r/>
    </w:p>
    <w:p>
      <w:pPr>
        <w:pStyle w:val="ListBullet"/>
        <w:spacing w:line="240" w:lineRule="auto"/>
        <w:ind w:left="720"/>
      </w:pPr>
      <w:r/>
      <w:r>
        <w:rPr>
          <w:b/>
        </w:rPr>
        <w:t>Promotional behaviour.</w:t>
      </w:r>
      <w:r>
        <w:t xml:space="preserve"> Management's "turnaround gaining traction" framing on a quarter with negative DTC comps is optimistic but within normal bounds; not a serious red flag.</w:t>
      </w:r>
      <w:r/>
      <w:r/>
      <w:r>
        <w:rPr>
          <w:b/>
        </w:rPr>
        <w:t>Management verdict.</w:t>
      </w:r>
      <w:r>
        <w:t xml:space="preserve"> This is a </w:t>
      </w:r>
      <w:r>
        <w:rPr>
          <w:b/>
        </w:rPr>
        <w:t>founder-led business with a professional management layer bolted on</w:t>
      </w:r>
      <w:r>
        <w:t xml:space="preserve">. Reiss's archetype was ideally suited to the brand-building phase and is a mixed fit for the current one, which demands unsentimental cost discipline, store closures and category rationalisation. The 2024–26 executive build-out (Bowden, Clymer, Bourke, Baker's expanded remit) is a rational response — importing operators around a founder who remains the brand's custodian. The unresolved question is whether a 25-year founder-CEO with 36% of the vote will authorise the scale of retrenchment the numbers require. </w:t>
      </w:r>
      <w:r>
        <w:rPr>
          <w:b/>
        </w:rPr>
        <w:t>The historical evidence is that he authorises it late</w:t>
      </w:r>
      <w:r>
        <w:t xml:space="preserve"> — the 17% workforce cut came in 2024, after the growth algorithm had already broken.</w:t>
      </w:r>
      <w:r/>
    </w:p>
    <w:p>
      <w:pPr>
        <w:pStyle w:val="Heading2"/>
      </w:pPr>
      <w:r>
        <w:t>16. Board of Directors</w:t>
      </w:r>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b/>
              </w:rPr>
              <w:t>Director</w:t>
            </w:r>
          </w:p>
        </w:tc>
        <w:tc>
          <w:tcPr>
            <w:tcW w:type="dxa" w:w="2102"/>
          </w:tcPr>
          <w:p>
            <w:r>
              <w:rPr>
                <w:b/>
              </w:rPr>
              <w:t>Role</w:t>
            </w:r>
          </w:p>
        </w:tc>
        <w:tc>
          <w:tcPr>
            <w:tcW w:type="dxa" w:w="2102"/>
          </w:tcPr>
          <w:p>
            <w:r>
              <w:rPr>
                <w:b/>
              </w:rPr>
              <w:t>Tenure</w:t>
            </w:r>
          </w:p>
        </w:tc>
        <w:tc>
          <w:tcPr>
            <w:tcW w:type="dxa" w:w="2102"/>
          </w:tcPr>
          <w:p>
            <w:r>
              <w:rPr>
                <w:b/>
              </w:rPr>
              <w:t>Background</w:t>
            </w:r>
          </w:p>
        </w:tc>
        <w:tc>
          <w:tcPr>
            <w:tcW w:type="dxa" w:w="2102"/>
          </w:tcPr>
          <w:p>
            <w:r>
              <w:rPr>
                <w:b/>
              </w:rPr>
              <w:t>Other affiliations</w:t>
            </w:r>
          </w:p>
        </w:tc>
      </w:tr>
      <w:tr>
        <w:tc>
          <w:tcPr>
            <w:tcW w:type="dxa" w:w="2102"/>
          </w:tcPr>
          <w:p>
            <w:r>
              <w:rPr>
                <w:b/>
              </w:rPr>
              <w:t>Dani Reiss</w:t>
            </w:r>
          </w:p>
        </w:tc>
        <w:tc>
          <w:tcPr>
            <w:tcW w:type="dxa" w:w="2102"/>
          </w:tcPr>
          <w:p>
            <w:r>
              <w:t>Chairman &amp; CEO</w:t>
            </w:r>
          </w:p>
        </w:tc>
        <w:tc>
          <w:tcPr>
            <w:tcW w:type="dxa" w:w="2102"/>
          </w:tcPr>
          <w:p>
            <w:r>
              <w:t>CEO since 2001</w:t>
            </w:r>
          </w:p>
        </w:tc>
        <w:tc>
          <w:tcPr>
            <w:tcW w:type="dxa" w:w="2102"/>
          </w:tcPr>
          <w:p>
            <w:r>
              <w:t>Third-generation family leader; built the brand globally and led the 2017 IPO</w:t>
            </w:r>
          </w:p>
        </w:tc>
        <w:tc>
          <w:tcPr>
            <w:tcW w:type="dxa" w:w="2102"/>
          </w:tcPr>
          <w:p>
            <w:r>
              <w:t>c.36.2% of total voting power</w:t>
            </w:r>
          </w:p>
        </w:tc>
      </w:tr>
      <w:tr>
        <w:tc>
          <w:tcPr>
            <w:tcW w:type="dxa" w:w="2102"/>
          </w:tcPr>
          <w:p>
            <w:r>
              <w:rPr>
                <w:b/>
              </w:rPr>
              <w:t>Ryan Cotton</w:t>
            </w:r>
          </w:p>
        </w:tc>
        <w:tc>
          <w:tcPr>
            <w:tcW w:type="dxa" w:w="2102"/>
          </w:tcPr>
          <w:p>
            <w:r>
              <w:t>Director</w:t>
            </w:r>
          </w:p>
        </w:tc>
        <w:tc>
          <w:tcPr>
            <w:tcW w:type="dxa" w:w="2102"/>
          </w:tcPr>
          <w:p>
            <w:r>
              <w:t>Since 2013 — 13 yrs</w:t>
            </w:r>
          </w:p>
        </w:tc>
        <w:tc>
          <w:tcPr>
            <w:tcW w:type="dxa" w:w="2102"/>
          </w:tcPr>
          <w:p>
            <w:r>
              <w:t>Partner, Bain Capital; led the original 2013 investment</w:t>
            </w:r>
          </w:p>
        </w:tc>
        <w:tc>
          <w:tcPr>
            <w:tcW w:type="dxa" w:w="2102"/>
          </w:tcPr>
          <w:p>
            <w:r>
              <w:t xml:space="preserve">Bain Capital portfolio boards. </w:t>
            </w:r>
            <w:r>
              <w:rPr>
                <w:b/>
              </w:rPr>
              <w:t>Uncompensated</w:t>
            </w:r>
            <w:r>
              <w:t xml:space="preserve"> by Canada Goose in FY2026</w:t>
            </w:r>
          </w:p>
        </w:tc>
      </w:tr>
      <w:tr>
        <w:tc>
          <w:tcPr>
            <w:tcW w:type="dxa" w:w="2102"/>
          </w:tcPr>
          <w:p>
            <w:r>
              <w:rPr>
                <w:b/>
              </w:rPr>
              <w:t>Jennifer Davis</w:t>
            </w:r>
          </w:p>
        </w:tc>
        <w:tc>
          <w:tcPr>
            <w:tcW w:type="dxa" w:w="2102"/>
          </w:tcPr>
          <w:p>
            <w:r>
              <w:t>Director</w:t>
            </w:r>
          </w:p>
        </w:tc>
        <w:tc>
          <w:tcPr>
            <w:tcW w:type="dxa" w:w="2102"/>
          </w:tcPr>
          <w:p>
            <w:r>
              <w:t>Recent</w:t>
            </w:r>
          </w:p>
        </w:tc>
        <w:tc>
          <w:tcPr>
            <w:tcW w:type="dxa" w:w="2102"/>
          </w:tcPr>
          <w:p>
            <w:r>
              <w:t>Partner, Bain Capital North American Private Equity</w:t>
            </w:r>
          </w:p>
        </w:tc>
        <w:tc>
          <w:tcPr>
            <w:tcW w:type="dxa" w:w="2102"/>
          </w:tcPr>
          <w:p>
            <w:r>
              <w:t xml:space="preserve">Bain Capital. </w:t>
            </w:r>
            <w:r>
              <w:rPr>
                <w:b/>
              </w:rPr>
              <w:t>Uncompensated</w:t>
            </w:r>
            <w:r>
              <w:t xml:space="preserve"> by Canada Goose in FY2026</w:t>
            </w:r>
          </w:p>
        </w:tc>
      </w:tr>
      <w:tr>
        <w:tc>
          <w:tcPr>
            <w:tcW w:type="dxa" w:w="2102"/>
          </w:tcPr>
          <w:p>
            <w:r>
              <w:rPr>
                <w:b/>
              </w:rPr>
              <w:t>Joshua Bekenstein</w:t>
            </w:r>
          </w:p>
        </w:tc>
        <w:tc>
          <w:tcPr>
            <w:tcW w:type="dxa" w:w="2102"/>
          </w:tcPr>
          <w:p>
            <w:r>
              <w:t>Director</w:t>
            </w:r>
          </w:p>
        </w:tc>
        <w:tc>
          <w:tcPr>
            <w:tcW w:type="dxa" w:w="2102"/>
          </w:tcPr>
          <w:p>
            <w:r>
              <w:t>Long-standing</w:t>
            </w:r>
          </w:p>
        </w:tc>
        <w:tc>
          <w:tcPr>
            <w:tcW w:type="dxa" w:w="2102"/>
          </w:tcPr>
          <w:p>
            <w:r>
              <w:t>Co-Chairman and founding partner, Bain Capital</w:t>
            </w:r>
          </w:p>
        </w:tc>
        <w:tc>
          <w:tcPr>
            <w:tcW w:type="dxa" w:w="2102"/>
          </w:tcPr>
          <w:p>
            <w:r>
              <w:t>Extensive Bain portfolio board experience</w:t>
            </w:r>
          </w:p>
        </w:tc>
      </w:tr>
      <w:tr>
        <w:tc>
          <w:tcPr>
            <w:tcW w:type="dxa" w:w="2102"/>
          </w:tcPr>
          <w:p>
            <w:r>
              <w:rPr>
                <w:b/>
              </w:rPr>
              <w:t>Maureen Chiquet</w:t>
            </w:r>
          </w:p>
        </w:tc>
        <w:tc>
          <w:tcPr>
            <w:tcW w:type="dxa" w:w="2102"/>
          </w:tcPr>
          <w:p>
            <w:r>
              <w:t>Director</w:t>
            </w:r>
          </w:p>
        </w:tc>
        <w:tc>
          <w:tcPr>
            <w:tcW w:type="dxa" w:w="2102"/>
          </w:tcPr>
          <w:p>
            <w:r>
              <w:t>Multi-year</w:t>
            </w:r>
          </w:p>
        </w:tc>
        <w:tc>
          <w:tcPr>
            <w:tcW w:type="dxa" w:w="2102"/>
          </w:tcPr>
          <w:p>
            <w:r>
              <w:t>Former Global CEO of Chanel; prior senior roles at Gap and Old Navy</w:t>
            </w:r>
          </w:p>
        </w:tc>
        <w:tc>
          <w:tcPr>
            <w:tcW w:type="dxa" w:w="2102"/>
          </w:tcPr>
          <w:p>
            <w:r>
              <w:t>Luxury and retail boards</w:t>
            </w:r>
          </w:p>
        </w:tc>
      </w:tr>
      <w:tr>
        <w:tc>
          <w:tcPr>
            <w:tcW w:type="dxa" w:w="2102"/>
          </w:tcPr>
          <w:p>
            <w:r>
              <w:rPr>
                <w:b/>
              </w:rPr>
              <w:t>Jodi L.H. Butts</w:t>
            </w:r>
          </w:p>
        </w:tc>
        <w:tc>
          <w:tcPr>
            <w:tcW w:type="dxa" w:w="2102"/>
          </w:tcPr>
          <w:p>
            <w:r>
              <w:t>Director</w:t>
            </w:r>
          </w:p>
        </w:tc>
        <w:tc>
          <w:tcPr>
            <w:tcW w:type="dxa" w:w="2102"/>
          </w:tcPr>
          <w:p>
            <w:r>
              <w:t>Multi-year</w:t>
            </w:r>
          </w:p>
        </w:tc>
        <w:tc>
          <w:tcPr>
            <w:tcW w:type="dxa" w:w="2102"/>
          </w:tcPr>
          <w:p>
            <w:r>
              <w:t>Lawyer; healthcare and governance executive</w:t>
            </w:r>
          </w:p>
        </w:tc>
        <w:tc>
          <w:tcPr>
            <w:tcW w:type="dxa" w:w="2102"/>
          </w:tcPr>
          <w:p>
            <w:r>
              <w:t>Canadian corporate and non-profit boards</w:t>
            </w:r>
          </w:p>
        </w:tc>
      </w:tr>
      <w:tr>
        <w:tc>
          <w:tcPr>
            <w:tcW w:type="dxa" w:w="2102"/>
          </w:tcPr>
          <w:p>
            <w:r>
              <w:rPr>
                <w:b/>
              </w:rPr>
              <w:t>John Davison</w:t>
            </w:r>
          </w:p>
        </w:tc>
        <w:tc>
          <w:tcPr>
            <w:tcW w:type="dxa" w:w="2102"/>
          </w:tcPr>
          <w:p>
            <w:r>
              <w:t>Director</w:t>
            </w:r>
          </w:p>
        </w:tc>
        <w:tc>
          <w:tcPr>
            <w:tcW w:type="dxa" w:w="2102"/>
          </w:tcPr>
          <w:p>
            <w:r>
              <w:t>Multi-year</w:t>
            </w:r>
          </w:p>
        </w:tc>
        <w:tc>
          <w:tcPr>
            <w:tcW w:type="dxa" w:w="2102"/>
          </w:tcPr>
          <w:p>
            <w:r>
              <w:t>Senior financial executive; audit and financial reporting expertise</w:t>
            </w:r>
          </w:p>
        </w:tc>
        <w:tc>
          <w:tcPr>
            <w:tcW w:type="dxa" w:w="2102"/>
          </w:tcPr>
          <w:p>
            <w:r>
              <w:t>Canadian public company boards</w:t>
            </w:r>
          </w:p>
        </w:tc>
      </w:tr>
      <w:tr>
        <w:tc>
          <w:tcPr>
            <w:tcW w:type="dxa" w:w="2102"/>
          </w:tcPr>
          <w:p>
            <w:r>
              <w:rPr>
                <w:b/>
              </w:rPr>
              <w:t>Stephen Gunn</w:t>
            </w:r>
          </w:p>
        </w:tc>
        <w:tc>
          <w:tcPr>
            <w:tcW w:type="dxa" w:w="2102"/>
          </w:tcPr>
          <w:p>
            <w:r>
              <w:t>Director</w:t>
            </w:r>
          </w:p>
        </w:tc>
        <w:tc>
          <w:tcPr>
            <w:tcW w:type="dxa" w:w="2102"/>
          </w:tcPr>
          <w:p>
            <w:r>
              <w:t>Multi-year</w:t>
            </w:r>
          </w:p>
        </w:tc>
        <w:tc>
          <w:tcPr>
            <w:tcW w:type="dxa" w:w="2102"/>
          </w:tcPr>
          <w:p>
            <w:r>
              <w:t>Co-founder and former Chairman/CEO, Sleep Country Canada</w:t>
            </w:r>
          </w:p>
        </w:tc>
        <w:tc>
          <w:tcPr>
            <w:tcW w:type="dxa" w:w="2102"/>
          </w:tcPr>
          <w:p>
            <w:r>
              <w:t>Canadian retail boards</w:t>
            </w:r>
          </w:p>
        </w:tc>
      </w:tr>
      <w:tr>
        <w:tc>
          <w:tcPr>
            <w:tcW w:type="dxa" w:w="2102"/>
          </w:tcPr>
          <w:p>
            <w:r>
              <w:rPr>
                <w:b/>
              </w:rPr>
              <w:t>Massimo Piombini</w:t>
            </w:r>
          </w:p>
        </w:tc>
        <w:tc>
          <w:tcPr>
            <w:tcW w:type="dxa" w:w="2102"/>
          </w:tcPr>
          <w:p>
            <w:r>
              <w:t>Director</w:t>
            </w:r>
          </w:p>
        </w:tc>
        <w:tc>
          <w:tcPr>
            <w:tcW w:type="dxa" w:w="2102"/>
          </w:tcPr>
          <w:p>
            <w:r>
              <w:rPr>
                <w:b/>
              </w:rPr>
              <w:t>From 7 Aug 2026</w:t>
            </w:r>
            <w:r>
              <w:t xml:space="preserve"> — new</w:t>
            </w:r>
          </w:p>
        </w:tc>
        <w:tc>
          <w:tcPr>
            <w:tcW w:type="dxa" w:w="2102"/>
          </w:tcPr>
          <w:p>
            <w:r>
              <w:rPr>
                <w:b/>
              </w:rPr>
              <w:t>35+ years in luxury, fashion and wellness</w:t>
            </w:r>
            <w:r>
              <w:t xml:space="preserve"> ; senior leadership across global luxury houses (incl. Bally)</w:t>
            </w:r>
          </w:p>
        </w:tc>
        <w:tc>
          <w:tcPr>
            <w:tcW w:type="dxa" w:w="2102"/>
          </w:tcPr>
          <w:p>
            <w:r>
              <w:t>Luxury sector</w:t>
            </w:r>
          </w:p>
        </w:tc>
      </w:tr>
      <w:tr>
        <w:tc>
          <w:tcPr>
            <w:tcW w:type="dxa" w:w="2102"/>
          </w:tcPr>
          <w:p>
            <w:r>
              <w:t>Additional nominees</w:t>
            </w:r>
          </w:p>
        </w:tc>
        <w:tc>
          <w:tcPr>
            <w:tcW w:type="dxa" w:w="2102"/>
          </w:tcPr>
          <w:p>
            <w:r>
              <w:t>Directors</w:t>
            </w:r>
          </w:p>
        </w:tc>
        <w:tc>
          <w:tcPr>
            <w:tcW w:type="dxa" w:w="2102"/>
          </w:tcPr>
          <w:p>
            <w:r>
              <w:t>Various</w:t>
            </w:r>
          </w:p>
        </w:tc>
        <w:tc>
          <w:tcPr>
            <w:tcW w:type="dxa" w:w="2102"/>
          </w:tcPr>
          <w:p>
            <w:r>
              <w:t xml:space="preserve">Board comprised </w:t>
            </w:r>
            <w:r>
              <w:rPr>
                <w:b/>
              </w:rPr>
              <w:t>ten director nominees</w:t>
            </w:r>
            <w:r>
              <w:t xml:space="preserve"> at the August 2026 AGM, including directors identified in sources as Wong, Armstrong and Saage</w:t>
            </w:r>
          </w:p>
        </w:tc>
        <w:tc>
          <w:tcPr>
            <w:tcW w:type="dxa" w:w="2102"/>
          </w:tcPr>
          <w:p>
            <w:r>
              <w:t>Not fully verifiable from accessible sources</w:t>
            </w:r>
          </w:p>
        </w:tc>
      </w:tr>
    </w:tbl>
    <w:p>
      <w:r/>
    </w:p>
    <w:p>
      <w:pPr>
        <w:pStyle w:val="Heading3"/>
      </w:pPr>
      <w:r>
        <w:t>Board changes in the last 5 years</w:t>
      </w:r>
      <w:r/>
      <w:r/>
    </w:p>
    <w:p>
      <w:pPr>
        <w:pStyle w:val="ListBullet"/>
        <w:spacing w:line="240" w:lineRule="auto"/>
        <w:ind w:left="720"/>
      </w:pPr>
      <w:r/>
      <w:r>
        <w:rPr>
          <w:b/>
        </w:rPr>
        <w:t>August 2026:</w:t>
      </w:r>
      <w:r>
        <w:t xml:space="preserve"> </w:t>
      </w:r>
      <w:r>
        <w:rPr>
          <w:b/>
        </w:rPr>
        <w:t>Massimo Piombini</w:t>
      </w:r>
      <w:r>
        <w:t xml:space="preserve"> appointed — the most significant recent change. Adding a 35-year luxury operator at precisely the moment the company is trying to defend premium positioning and resolve a sale process is a deliberate signal. Read either as strengthening the board for continued independence, or as adding credibility to a sale narrative.</w:t>
      </w:r>
      <w:r/>
    </w:p>
    <w:p>
      <w:pPr>
        <w:pStyle w:val="ListBullet"/>
        <w:spacing w:line="240" w:lineRule="auto"/>
        <w:ind w:left="720"/>
      </w:pPr>
      <w:r/>
      <w:r>
        <w:rPr>
          <w:b/>
        </w:rPr>
        <w:t>August 2026 AGM:</w:t>
      </w:r>
      <w:r>
        <w:t xml:space="preserve"> Shareholders approved the board slate and a </w:t>
      </w:r>
      <w:r>
        <w:rPr>
          <w:b/>
        </w:rPr>
        <w:t>material increase to the equity incentive plan</w:t>
      </w:r>
      <w:r>
        <w:t>.</w:t>
      </w:r>
      <w:r/>
    </w:p>
    <w:p>
      <w:pPr>
        <w:pStyle w:val="ListBullet"/>
        <w:spacing w:line="240" w:lineRule="auto"/>
        <w:ind w:left="720"/>
      </w:pPr>
      <w:r/>
      <w:r>
        <w:rPr>
          <w:b/>
        </w:rPr>
        <w:t>Continuity:</w:t>
      </w:r>
      <w:r>
        <w:t xml:space="preserve"> Bain retains multiple seats (Cotton since 2013, Bekenstein, Davis) consistent with 55.5% voting control.</w:t>
      </w:r>
      <w:r/>
      <w:r/>
    </w:p>
    <w:p>
      <w:r/>
      <w:r>
        <w:t>Board detail could not be verified against the management information circular, which was inaccessible in this session. Tenures for several directors are approximate and the full ten-member slate could not be confirmed. Verify against the 2026 circular before relying on this table.</w:t>
      </w:r>
      <w:r/>
      <w:r>
        <w:rPr>
          <w:b/>
        </w:rPr>
        <w:t>Governance assessment.</w:t>
      </w:r>
      <w:r>
        <w:t xml:space="preserve"> This board is structurally controlled. Bain holds multiple seats and 55.5% of the vote; Reiss chairs the board, serves as CEO, and holds 36.2% of the vote. Together they command roughly </w:t>
      </w:r>
      <w:r>
        <w:rPr>
          <w:b/>
        </w:rPr>
        <w:t>92% of voting power</w:t>
      </w:r>
      <w:r>
        <w:t xml:space="preserve">. The independent directors — Chiquet, Butts, Davison, Gunn, Piombini — bring real sector expertise, but no configuration of independent directors can outvote the controlling bloc. </w:t>
      </w:r>
      <w:r>
        <w:rPr>
          <w:b/>
        </w:rPr>
        <w:t>For a minority shareholder, this is the single most important governance fact in the file:</w:t>
      </w:r>
      <w:r>
        <w:t xml:space="preserve"> in any transaction, you are a passenger. Whether a special committee of independent directors is empowered to negotiate on behalf of minorities is the key question to monitor if a deal is announced.</w:t>
      </w:r>
      <w:r/>
    </w:p>
    <w:p>
      <w:pPr>
        <w:pStyle w:val="Heading2"/>
      </w:pPr>
      <w:r>
        <w:t>17. Shareholders and Activism</w:t>
      </w:r>
      <w:r/>
    </w:p>
    <w:p>
      <w:pPr>
        <w:pStyle w:val="Heading3"/>
      </w:pPr>
      <w:r>
        <w:t>Ownership structure</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Holder</w:t>
            </w:r>
          </w:p>
        </w:tc>
        <w:tc>
          <w:tcPr>
            <w:tcW w:type="dxa" w:w="2628"/>
          </w:tcPr>
          <w:p>
            <w:r>
              <w:rPr>
                <w:b/>
              </w:rPr>
              <w:t>Type</w:t>
            </w:r>
          </w:p>
        </w:tc>
        <w:tc>
          <w:tcPr>
            <w:tcW w:type="dxa" w:w="2628"/>
          </w:tcPr>
          <w:p>
            <w:r>
              <w:rPr>
                <w:b/>
              </w:rPr>
              <w:t>Stake</w:t>
            </w:r>
          </w:p>
        </w:tc>
        <w:tc>
          <w:tcPr>
            <w:tcW w:type="dxa" w:w="2628"/>
          </w:tcPr>
          <w:p>
            <w:r>
              <w:rPr>
                <w:b/>
              </w:rPr>
              <w:t>Notes</w:t>
            </w:r>
          </w:p>
        </w:tc>
      </w:tr>
      <w:tr>
        <w:tc>
          <w:tcPr>
            <w:tcW w:type="dxa" w:w="2628"/>
          </w:tcPr>
          <w:p>
            <w:r>
              <w:rPr>
                <w:b/>
              </w:rPr>
              <w:t>Bain Capital</w:t>
            </w:r>
          </w:p>
        </w:tc>
        <w:tc>
          <w:tcPr>
            <w:tcW w:type="dxa" w:w="2628"/>
          </w:tcPr>
          <w:p>
            <w:r>
              <w:t>Private equity / control</w:t>
            </w:r>
          </w:p>
        </w:tc>
        <w:tc>
          <w:tcPr>
            <w:tcW w:type="dxa" w:w="2628"/>
          </w:tcPr>
          <w:p>
            <w:r>
              <w:rPr>
                <w:b/>
              </w:rPr>
              <w:t>60.5% of multiple voting shares; 55.5% of total voting power</w:t>
            </w:r>
          </w:p>
        </w:tc>
        <w:tc>
          <w:tcPr>
            <w:tcW w:type="dxa" w:w="2628"/>
          </w:tcPr>
          <w:p>
            <w:r>
              <w:t xml:space="preserve">Invested c.US$250m in 2013; IPO 2017. </w:t>
            </w:r>
            <w:r>
              <w:rPr>
                <w:b/>
              </w:rPr>
              <w:t>Actively seeking exit</w:t>
            </w:r>
            <w:r>
              <w:t xml:space="preserve"> via Goldman Sachs.</w:t>
            </w:r>
          </w:p>
        </w:tc>
      </w:tr>
      <w:tr>
        <w:tc>
          <w:tcPr>
            <w:tcW w:type="dxa" w:w="2628"/>
          </w:tcPr>
          <w:p>
            <w:r>
              <w:rPr>
                <w:b/>
              </w:rPr>
              <w:t>Dani Reiss</w:t>
            </w:r>
            <w:r>
              <w:t xml:space="preserve"> (and related entities)</w:t>
            </w:r>
          </w:p>
        </w:tc>
        <w:tc>
          <w:tcPr>
            <w:tcW w:type="dxa" w:w="2628"/>
          </w:tcPr>
          <w:p>
            <w:r>
              <w:t>Insider / founder</w:t>
            </w:r>
          </w:p>
        </w:tc>
        <w:tc>
          <w:tcPr>
            <w:tcW w:type="dxa" w:w="2628"/>
          </w:tcPr>
          <w:p>
            <w:r>
              <w:rPr>
                <w:b/>
              </w:rPr>
              <w:t>c.39.5% of multiple voting shares; 36.2% of total voting power</w:t>
            </w:r>
          </w:p>
        </w:tc>
        <w:tc>
          <w:tcPr>
            <w:tcW w:type="dxa" w:w="2628"/>
          </w:tcPr>
          <w:p>
            <w:r>
              <w:t>Chairman &amp; CEO. Consent required for any transaction.</w:t>
            </w:r>
          </w:p>
        </w:tc>
      </w:tr>
      <w:tr>
        <w:tc>
          <w:tcPr>
            <w:tcW w:type="dxa" w:w="2628"/>
          </w:tcPr>
          <w:p>
            <w:r>
              <w:t>Institutional holders (aggregate)</w:t>
            </w:r>
          </w:p>
        </w:tc>
        <w:tc>
          <w:tcPr>
            <w:tcW w:type="dxa" w:w="2628"/>
          </w:tcPr>
          <w:p>
            <w:r>
              <w:t>Institutional</w:t>
            </w:r>
          </w:p>
        </w:tc>
        <w:tc>
          <w:tcPr>
            <w:tcW w:type="dxa" w:w="2628"/>
          </w:tcPr>
          <w:p>
            <w:r>
              <w:t>c.48% of subordinate voting float</w:t>
            </w:r>
          </w:p>
        </w:tc>
        <w:tc>
          <w:tcPr>
            <w:tcW w:type="dxa" w:w="2628"/>
          </w:tcPr>
          <w:p>
            <w:r>
              <w:t>Per 2025 filings</w:t>
            </w:r>
          </w:p>
        </w:tc>
      </w:tr>
      <w:tr>
        <w:tc>
          <w:tcPr>
            <w:tcW w:type="dxa" w:w="2628"/>
          </w:tcPr>
          <w:p>
            <w:r>
              <w:t>Fidelity Investments</w:t>
            </w:r>
          </w:p>
        </w:tc>
        <w:tc>
          <w:tcPr>
            <w:tcW w:type="dxa" w:w="2628"/>
          </w:tcPr>
          <w:p>
            <w:r>
              <w:t>Institutional</w:t>
            </w:r>
          </w:p>
        </w:tc>
        <w:tc>
          <w:tcPr>
            <w:tcW w:type="dxa" w:w="2628"/>
          </w:tcPr>
          <w:p>
            <w:r>
              <w:t>Top-10 holder</w:t>
            </w:r>
          </w:p>
        </w:tc>
        <w:tc>
          <w:tcPr>
            <w:tcW w:type="dxa" w:w="2628"/>
          </w:tcPr>
          <w:p>
            <w:r>
              <w:t>Identified in sources; exact position not obtainable</w:t>
            </w:r>
          </w:p>
        </w:tc>
      </w:tr>
      <w:tr>
        <w:tc>
          <w:tcPr>
            <w:tcW w:type="dxa" w:w="2628"/>
          </w:tcPr>
          <w:p>
            <w:r>
              <w:t>The Vanguard Group</w:t>
            </w:r>
          </w:p>
        </w:tc>
        <w:tc>
          <w:tcPr>
            <w:tcW w:type="dxa" w:w="2628"/>
          </w:tcPr>
          <w:p>
            <w:r>
              <w:t>Institutional / index</w:t>
            </w:r>
          </w:p>
        </w:tc>
        <w:tc>
          <w:tcPr>
            <w:tcW w:type="dxa" w:w="2628"/>
          </w:tcPr>
          <w:p>
            <w:r>
              <w:t>Top-10 holder</w:t>
            </w:r>
          </w:p>
        </w:tc>
        <w:tc>
          <w:tcPr>
            <w:tcW w:type="dxa" w:w="2628"/>
          </w:tcPr>
          <w:p>
            <w:r>
              <w:t>Largely passive index exposure</w:t>
            </w:r>
          </w:p>
        </w:tc>
      </w:tr>
      <w:tr>
        <w:tc>
          <w:tcPr>
            <w:tcW w:type="dxa" w:w="2628"/>
          </w:tcPr>
          <w:p>
            <w:r>
              <w:t>BlackRock</w:t>
            </w:r>
          </w:p>
        </w:tc>
        <w:tc>
          <w:tcPr>
            <w:tcW w:type="dxa" w:w="2628"/>
          </w:tcPr>
          <w:p>
            <w:r>
              <w:t>Institutional / index</w:t>
            </w:r>
          </w:p>
        </w:tc>
        <w:tc>
          <w:tcPr>
            <w:tcW w:type="dxa" w:w="2628"/>
          </w:tcPr>
          <w:p>
            <w:r>
              <w:t>Top-10 holder (expected)</w:t>
            </w:r>
          </w:p>
        </w:tc>
        <w:tc>
          <w:tcPr>
            <w:tcW w:type="dxa" w:w="2628"/>
          </w:tcPr>
          <w:p>
            <w:r>
              <w:t>Standard index holder; not individually confirmed</w:t>
            </w:r>
          </w:p>
        </w:tc>
      </w:tr>
      <w:tr>
        <w:tc>
          <w:tcPr>
            <w:tcW w:type="dxa" w:w="2628"/>
          </w:tcPr>
          <w:p>
            <w:r>
              <w:t>Canadian institutions (RBC GAM, CIBC, TD AM, BMO)</w:t>
            </w:r>
          </w:p>
        </w:tc>
        <w:tc>
          <w:tcPr>
            <w:tcW w:type="dxa" w:w="2628"/>
          </w:tcPr>
          <w:p>
            <w:r>
              <w:t>Institutional</w:t>
            </w:r>
          </w:p>
        </w:tc>
        <w:tc>
          <w:tcPr>
            <w:tcW w:type="dxa" w:w="2628"/>
          </w:tcPr>
          <w:p>
            <w:r>
              <w:t>Top-10 holders (expected)</w:t>
            </w:r>
          </w:p>
        </w:tc>
        <w:tc>
          <w:tcPr>
            <w:tcW w:type="dxa" w:w="2628"/>
          </w:tcPr>
          <w:p>
            <w:r>
              <w:t>Typical TSX-listed register composition; not individually confirmed</w:t>
            </w:r>
          </w:p>
        </w:tc>
      </w:tr>
      <w:tr>
        <w:tc>
          <w:tcPr>
            <w:tcW w:type="dxa" w:w="2628"/>
          </w:tcPr>
          <w:p>
            <w:r>
              <w:t>Other executives and directors</w:t>
            </w:r>
          </w:p>
        </w:tc>
        <w:tc>
          <w:tcPr>
            <w:tcW w:type="dxa" w:w="2628"/>
          </w:tcPr>
          <w:p>
            <w:r>
              <w:t>Insider</w:t>
            </w:r>
          </w:p>
        </w:tc>
        <w:tc>
          <w:tcPr>
            <w:tcW w:type="dxa" w:w="2628"/>
          </w:tcPr>
          <w:p>
            <w:r>
              <w:t>Small individually</w:t>
            </w:r>
          </w:p>
        </w:tc>
        <w:tc>
          <w:tcPr>
            <w:tcW w:type="dxa" w:w="2628"/>
          </w:tcPr>
          <w:p>
            <w:r>
              <w:t>Immaterial versus Reiss</w:t>
            </w:r>
          </w:p>
        </w:tc>
      </w:tr>
      <w:tr>
        <w:tc>
          <w:tcPr>
            <w:tcW w:type="dxa" w:w="2628"/>
          </w:tcPr>
          <w:p>
            <w:r>
              <w:rPr>
                <w:b/>
              </w:rPr>
              <w:t>Short sellers</w:t>
            </w:r>
          </w:p>
        </w:tc>
        <w:tc>
          <w:tcPr>
            <w:tcW w:type="dxa" w:w="2628"/>
          </w:tcPr>
          <w:p>
            <w:r>
              <w:t>—</w:t>
            </w:r>
          </w:p>
        </w:tc>
        <w:tc>
          <w:tcPr>
            <w:tcW w:type="dxa" w:w="2628"/>
          </w:tcPr>
          <w:p>
            <w:r>
              <w:rPr>
                <w:b/>
              </w:rPr>
              <w:t>9.76m shares — 28.5% of float</w:t>
            </w:r>
          </w:p>
        </w:tc>
        <w:tc>
          <w:tcPr>
            <w:tcW w:type="dxa" w:w="2628"/>
          </w:tcPr>
          <w:p>
            <w:r>
              <w:t>c.10.3 days to cover. Not a holder but a dominant force in price formation.</w:t>
            </w:r>
          </w:p>
        </w:tc>
      </w:tr>
    </w:tbl>
    <w:p>
      <w:r/>
    </w:p>
    <w:p>
      <w:r/>
      <w:r>
        <w:t>A verified top-10 shareholder table with exact share counts could not be produced: institutional holdings data (13F/SEDI) was inaccessible in this session. Bain and Reiss stakes are firmly sourced; the institutional names below them are indicative and require verification against a live ownership screen.</w:t>
      </w:r>
      <w:r/>
    </w:p>
    <w:p>
      <w:pPr>
        <w:pStyle w:val="Heading3"/>
      </w:pPr>
      <w:r>
        <w:t>Activism</w:t>
      </w:r>
      <w:r/>
    </w:p>
    <w:p>
      <w:r/>
      <w:r>
        <w:rPr>
          <w:b/>
        </w:rPr>
        <w:t>No activist campaign has been launched against Canada Goose, and none is realistically possible.</w:t>
      </w:r>
      <w:r>
        <w:t xml:space="preserve"> The dual-class structure gives Bain and Reiss combined voting power of approximately 92%. An activist could accumulate the entire subordinate voting float and still be unable to carry a vote. This structurally immunises the company from activism.</w:t>
      </w:r>
      <w:r/>
    </w:p>
    <w:p>
      <w:r/>
      <w:r>
        <w:t xml:space="preserve">The relevant pressure is therefore not activist but </w:t>
      </w:r>
      <w:r>
        <w:rPr>
          <w:b/>
        </w:rPr>
        <w:t>proprietorial</w:t>
      </w:r>
      <w:r>
        <w:t xml:space="preserve">: Bain itself, as controlling shareholder, is the agent of change — running a sale process, pressing for margin expansion, and shaping the board. In effect Canada Goose has an in-house activist who happens to hold control and whose interests only partially align with minority holders'. The most consequential dynamic to monitor is not a 13D filing but </w:t>
      </w:r>
      <w:r>
        <w:rPr>
          <w:b/>
        </w:rPr>
        <w:t>Bain's exit timetable and price expectations</w:t>
      </w:r>
      <w:r>
        <w:t>.</w:t>
      </w:r>
      <w:r/>
    </w:p>
    <w:p>
      <w:r/>
      <w:r>
        <w:t xml:space="preserve">The bear-side pressure that </w:t>
      </w:r>
      <w:r>
        <w:rPr>
          <w:i/>
        </w:rPr>
        <w:t>does</w:t>
      </w:r>
      <w:r>
        <w:t xml:space="preserve"> exist is expressed through the </w:t>
      </w:r>
      <w:r>
        <w:rPr>
          <w:b/>
        </w:rPr>
        <w:t>28.5% short interest</w:t>
      </w:r>
      <w:r>
        <w:t xml:space="preserve"> — an unusually large and persistent short base for a company of this size, functioning as the de facto opposition to management's narrative.</w:t>
      </w:r>
      <w:r/>
    </w:p>
    <w:p>
      <w:pPr>
        <w:pStyle w:val="Heading2"/>
      </w:pPr>
      <w:r>
        <w:t>18. Strategic Initiatives, Last 10 Years</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Initiative</w:t>
            </w:r>
          </w:p>
        </w:tc>
        <w:tc>
          <w:tcPr>
            <w:tcW w:type="dxa" w:w="2628"/>
          </w:tcPr>
          <w:p>
            <w:r>
              <w:rPr>
                <w:b/>
              </w:rPr>
              <w:t>Period</w:t>
            </w:r>
          </w:p>
        </w:tc>
        <w:tc>
          <w:tcPr>
            <w:tcW w:type="dxa" w:w="2628"/>
          </w:tcPr>
          <w:p>
            <w:r>
              <w:rPr>
                <w:b/>
              </w:rPr>
              <w:t>Status</w:t>
            </w:r>
          </w:p>
        </w:tc>
        <w:tc>
          <w:tcPr>
            <w:tcW w:type="dxa" w:w="2628"/>
          </w:tcPr>
          <w:p>
            <w:r>
              <w:rPr>
                <w:b/>
              </w:rPr>
              <w:t>Assessment</w:t>
            </w:r>
          </w:p>
        </w:tc>
      </w:tr>
      <w:tr>
        <w:tc>
          <w:tcPr>
            <w:tcW w:type="dxa" w:w="2628"/>
          </w:tcPr>
          <w:p>
            <w:r>
              <w:rPr>
                <w:b/>
              </w:rPr>
              <w:t>IPO on NYSE/TSX</w:t>
            </w:r>
          </w:p>
        </w:tc>
        <w:tc>
          <w:tcPr>
            <w:tcW w:type="dxa" w:w="2628"/>
          </w:tcPr>
          <w:p>
            <w:r>
              <w:t>2017</w:t>
            </w:r>
          </w:p>
        </w:tc>
        <w:tc>
          <w:tcPr>
            <w:tcW w:type="dxa" w:w="2628"/>
          </w:tcPr>
          <w:p>
            <w:r>
              <w:t>Complete</w:t>
            </w:r>
          </w:p>
        </w:tc>
        <w:tc>
          <w:tcPr>
            <w:tcW w:type="dxa" w:w="2628"/>
          </w:tcPr>
          <w:p>
            <w:r>
              <w:t>Executed at a peak valuation approaching US$7.7bn. Successful as a liquidity event; the subsequent c.89% decline defines the shareholder experience since.</w:t>
            </w:r>
          </w:p>
        </w:tc>
      </w:tr>
      <w:tr>
        <w:tc>
          <w:tcPr>
            <w:tcW w:type="dxa" w:w="2628"/>
          </w:tcPr>
          <w:p>
            <w:r>
              <w:rPr>
                <w:b/>
              </w:rPr>
              <w:t>DTC transformation</w:t>
            </w:r>
          </w:p>
        </w:tc>
        <w:tc>
          <w:tcPr>
            <w:tcW w:type="dxa" w:w="2628"/>
          </w:tcPr>
          <w:p>
            <w:r>
              <w:t>2016–present</w:t>
            </w:r>
          </w:p>
        </w:tc>
        <w:tc>
          <w:tcPr>
            <w:tcW w:type="dxa" w:w="2628"/>
          </w:tcPr>
          <w:p>
            <w:r>
              <w:rPr>
                <w:b/>
              </w:rPr>
              <w:t>Success (revenue), mixed (profit)</w:t>
            </w:r>
          </w:p>
        </w:tc>
        <w:tc>
          <w:tcPr>
            <w:tcW w:type="dxa" w:w="2628"/>
          </w:tcPr>
          <w:p>
            <w:r>
              <w:t>DTC now 75.7% of revenue from a wholesale-dominated base. Captured full retail margin — but built the fixed cost base now causing negative operating leverage, and produced an C$8.4m store impairment. The strategy worked; the cost discipline did not follow it.</w:t>
            </w:r>
          </w:p>
        </w:tc>
      </w:tr>
      <w:tr>
        <w:tc>
          <w:tcPr>
            <w:tcW w:type="dxa" w:w="2628"/>
          </w:tcPr>
          <w:p>
            <w:r>
              <w:rPr>
                <w:b/>
              </w:rPr>
              <w:t>Greater China expansion</w:t>
            </w:r>
          </w:p>
        </w:tc>
        <w:tc>
          <w:tcPr>
            <w:tcW w:type="dxa" w:w="2628"/>
          </w:tcPr>
          <w:p>
            <w:r>
              <w:t>2018–present</w:t>
            </w:r>
          </w:p>
        </w:tc>
        <w:tc>
          <w:tcPr>
            <w:tcW w:type="dxa" w:w="2628"/>
          </w:tcPr>
          <w:p>
            <w:r>
              <w:t>Mixed</w:t>
            </w:r>
          </w:p>
        </w:tc>
        <w:tc>
          <w:tcPr>
            <w:tcW w:type="dxa" w:w="2628"/>
          </w:tcPr>
          <w:p>
            <w:r>
              <w:t>Built the largest single market at C$498.3m (32.6%). Delivered growth and created the group's biggest concentration risk. The COVID-era guidance cuts flowed directly from this exposure.</w:t>
            </w:r>
          </w:p>
        </w:tc>
      </w:tr>
      <w:tr>
        <w:tc>
          <w:tcPr>
            <w:tcW w:type="dxa" w:w="2628"/>
          </w:tcPr>
          <w:p>
            <w:r>
              <w:rPr>
                <w:b/>
              </w:rPr>
              <w:t>Baffin acquisition / footwear entry</w:t>
            </w:r>
          </w:p>
        </w:tc>
        <w:tc>
          <w:tcPr>
            <w:tcW w:type="dxa" w:w="2628"/>
          </w:tcPr>
          <w:p>
            <w:r>
              <w:t>2018–2026</w:t>
            </w:r>
          </w:p>
        </w:tc>
        <w:tc>
          <w:tcPr>
            <w:tcW w:type="dxa" w:w="2628"/>
          </w:tcPr>
          <w:p>
            <w:r>
              <w:rPr>
                <w:b/>
              </w:rPr>
              <w:t>Reversed</w:t>
            </w:r>
          </w:p>
        </w:tc>
        <w:tc>
          <w:tcPr>
            <w:tcW w:type="dxa" w:w="2628"/>
          </w:tcPr>
          <w:p>
            <w:r>
              <w:t xml:space="preserve">C$32.5m for footwear capability; own-brand footwear launched 2021 and expanded into hikers and sneakers. </w:t>
            </w:r>
            <w:r>
              <w:rPr>
                <w:b/>
              </w:rPr>
              <w:t>Baffin sold to L.P. Royer in Aug 2026.</w:t>
            </w:r>
            <w:r>
              <w:t xml:space="preserve"> Capability retained, brand exited. An eight-year detour.</w:t>
            </w:r>
          </w:p>
        </w:tc>
      </w:tr>
      <w:tr>
        <w:tc>
          <w:tcPr>
            <w:tcW w:type="dxa" w:w="2628"/>
          </w:tcPr>
          <w:p>
            <w:r>
              <w:rPr>
                <w:b/>
              </w:rPr>
              <w:t>Fur-free commitment</w:t>
            </w:r>
          </w:p>
        </w:tc>
        <w:tc>
          <w:tcPr>
            <w:tcW w:type="dxa" w:w="2628"/>
          </w:tcPr>
          <w:p>
            <w:r>
              <w:t>2021–2022</w:t>
            </w:r>
          </w:p>
        </w:tc>
        <w:tc>
          <w:tcPr>
            <w:tcW w:type="dxa" w:w="2628"/>
          </w:tcPr>
          <w:p>
            <w:r>
              <w:rPr>
                <w:b/>
              </w:rPr>
              <w:t>Success</w:t>
            </w:r>
          </w:p>
        </w:tc>
        <w:tc>
          <w:tcPr>
            <w:tcW w:type="dxa" w:w="2628"/>
          </w:tcPr>
          <w:p>
            <w:r>
              <w:t>Ceased fur purchasing 2021, manufacturing 2022. Removed a persistent activist and reputational liability without measurable demand damage. The cleanest strategic win of the decade.</w:t>
            </w:r>
          </w:p>
        </w:tc>
      </w:tr>
      <w:tr>
        <w:tc>
          <w:tcPr>
            <w:tcW w:type="dxa" w:w="2628"/>
          </w:tcPr>
          <w:p>
            <w:r>
              <w:rPr>
                <w:b/>
              </w:rPr>
              <w:t>Category diversification</w:t>
            </w:r>
          </w:p>
        </w:tc>
        <w:tc>
          <w:tcPr>
            <w:tcW w:type="dxa" w:w="2628"/>
          </w:tcPr>
          <w:p>
            <w:r>
              <w:t>2020–present</w:t>
            </w:r>
          </w:p>
        </w:tc>
        <w:tc>
          <w:tcPr>
            <w:tcW w:type="dxa" w:w="2628"/>
          </w:tcPr>
          <w:p>
            <w:r>
              <w:rPr>
                <w:b/>
              </w:rPr>
              <w:t>Working</w:t>
            </w:r>
          </w:p>
        </w:tc>
        <w:tc>
          <w:tcPr>
            <w:tcW w:type="dxa" w:w="2628"/>
          </w:tcPr>
          <w:p>
            <w:r>
              <w:t xml:space="preserve">Apparel, rainwear, windwear, knitwear, luggage (2024). Spring/summer categories now c.40% of Q1 FY2027 revenue. </w:t>
            </w:r>
            <w:r>
              <w:rPr>
                <w:b/>
              </w:rPr>
              <w:t>The most important initiative in the file</w:t>
            </w:r>
            <w:r>
              <w:t xml:space="preserve"> — the direct answer to seasonality and to climate risk.</w:t>
            </w:r>
          </w:p>
        </w:tc>
      </w:tr>
      <w:tr>
        <w:tc>
          <w:tcPr>
            <w:tcW w:type="dxa" w:w="2628"/>
          </w:tcPr>
          <w:p>
            <w:r>
              <w:rPr>
                <w:b/>
              </w:rPr>
              <w:t>Eyewear licence (Marchon)</w:t>
            </w:r>
          </w:p>
        </w:tc>
        <w:tc>
          <w:tcPr>
            <w:tcW w:type="dxa" w:w="2628"/>
          </w:tcPr>
          <w:p>
            <w:r>
              <w:t>2024–present</w:t>
            </w:r>
          </w:p>
        </w:tc>
        <w:tc>
          <w:tcPr>
            <w:tcW w:type="dxa" w:w="2628"/>
          </w:tcPr>
          <w:p>
            <w:r>
              <w:t>Early</w:t>
            </w:r>
          </w:p>
        </w:tc>
        <w:tc>
          <w:tcPr>
            <w:tcW w:type="dxa" w:w="2628"/>
          </w:tcPr>
          <w:p>
            <w:r>
              <w:t>Exclusive long-term global licence; launched spring 2025. Capital-free royalty income; immaterial to group revenue but high-return and brand-extending.</w:t>
            </w:r>
          </w:p>
        </w:tc>
      </w:tr>
      <w:tr>
        <w:tc>
          <w:tcPr>
            <w:tcW w:type="dxa" w:w="2628"/>
          </w:tcPr>
          <w:p>
            <w:r>
              <w:rPr>
                <w:b/>
              </w:rPr>
              <w:t>Paola Confectii acquisition</w:t>
            </w:r>
          </w:p>
        </w:tc>
        <w:tc>
          <w:tcPr>
            <w:tcW w:type="dxa" w:w="2628"/>
          </w:tcPr>
          <w:p>
            <w:r>
              <w:t>2023</w:t>
            </w:r>
          </w:p>
        </w:tc>
        <w:tc>
          <w:tcPr>
            <w:tcW w:type="dxa" w:w="2628"/>
          </w:tcPr>
          <w:p>
            <w:r>
              <w:t>Retained</w:t>
            </w:r>
          </w:p>
        </w:tc>
        <w:tc>
          <w:tcPr>
            <w:tcW w:type="dxa" w:w="2628"/>
          </w:tcPr>
          <w:p>
            <w:r>
              <w:t>First European manufacturing facility; supports category expansion and year-round relevance.</w:t>
            </w:r>
          </w:p>
        </w:tc>
      </w:tr>
      <w:tr>
        <w:tc>
          <w:tcPr>
            <w:tcW w:type="dxa" w:w="2628"/>
          </w:tcPr>
          <w:p>
            <w:r>
              <w:rPr>
                <w:b/>
              </w:rPr>
              <w:t>17% corporate workforce reduction</w:t>
            </w:r>
          </w:p>
        </w:tc>
        <w:tc>
          <w:tcPr>
            <w:tcW w:type="dxa" w:w="2628"/>
          </w:tcPr>
          <w:p>
            <w:r>
              <w:t>2024</w:t>
            </w:r>
          </w:p>
        </w:tc>
        <w:tc>
          <w:tcPr>
            <w:tcW w:type="dxa" w:w="2628"/>
          </w:tcPr>
          <w:p>
            <w:r>
              <w:t>Executed</w:t>
            </w:r>
          </w:p>
        </w:tc>
        <w:tc>
          <w:tcPr>
            <w:tcW w:type="dxa" w:w="2628"/>
          </w:tcPr>
          <w:p>
            <w:r>
              <w:t>Necessary and belated. Enabled the FY2025 margin stabilisation. Also confirmed the growth algorithm had broken.</w:t>
            </w:r>
          </w:p>
        </w:tc>
      </w:tr>
      <w:tr>
        <w:tc>
          <w:tcPr>
            <w:tcW w:type="dxa" w:w="2628"/>
          </w:tcPr>
          <w:p>
            <w:r>
              <w:rPr>
                <w:b/>
              </w:rPr>
              <w:t>Snow Goose capsule strategy</w:t>
            </w:r>
          </w:p>
        </w:tc>
        <w:tc>
          <w:tcPr>
            <w:tcW w:type="dxa" w:w="2628"/>
          </w:tcPr>
          <w:p>
            <w:r>
              <w:t>2023–present</w:t>
            </w:r>
          </w:p>
        </w:tc>
        <w:tc>
          <w:tcPr>
            <w:tcW w:type="dxa" w:w="2628"/>
          </w:tcPr>
          <w:p>
            <w:r>
              <w:t>Ongoing</w:t>
            </w:r>
          </w:p>
        </w:tc>
        <w:tc>
          <w:tcPr>
            <w:tcW w:type="dxa" w:w="2628"/>
          </w:tcPr>
          <w:p>
            <w:r>
              <w:t>Elevated limited-distribution line to defend premium positioning and generate brand heat. Contributed to Q4 FY2026 China strength.</w:t>
            </w:r>
          </w:p>
        </w:tc>
      </w:tr>
      <w:tr>
        <w:tc>
          <w:tcPr>
            <w:tcW w:type="dxa" w:w="2628"/>
          </w:tcPr>
          <w:p>
            <w:r>
              <w:rPr>
                <w:b/>
              </w:rPr>
              <w:t>Manufacturing electrification</w:t>
            </w:r>
          </w:p>
        </w:tc>
        <w:tc>
          <w:tcPr>
            <w:tcW w:type="dxa" w:w="2628"/>
          </w:tcPr>
          <w:p>
            <w:r>
              <w:t>2021–2024</w:t>
            </w:r>
          </w:p>
        </w:tc>
        <w:tc>
          <w:tcPr>
            <w:tcW w:type="dxa" w:w="2628"/>
          </w:tcPr>
          <w:p>
            <w:r>
              <w:t>Complete</w:t>
            </w:r>
          </w:p>
        </w:tc>
        <w:tc>
          <w:tcPr>
            <w:tcW w:type="dxa" w:w="2628"/>
          </w:tcPr>
          <w:p>
            <w:r>
              <w:t>C$7m+ over three years; 100% of facilities environmentally and socially audited; 100% RDS-certified down; 100% non-mulesed wool. ESG credentialing with modest cost benefit.</w:t>
            </w:r>
          </w:p>
        </w:tc>
      </w:tr>
      <w:tr>
        <w:tc>
          <w:tcPr>
            <w:tcW w:type="dxa" w:w="2628"/>
          </w:tcPr>
          <w:p>
            <w:r>
              <w:rPr>
                <w:b/>
              </w:rPr>
              <w:t>Portfolio focus / store pruning</w:t>
            </w:r>
          </w:p>
        </w:tc>
        <w:tc>
          <w:tcPr>
            <w:tcW w:type="dxa" w:w="2628"/>
          </w:tcPr>
          <w:p>
            <w:r>
              <w:t>2026–present</w:t>
            </w:r>
          </w:p>
        </w:tc>
        <w:tc>
          <w:tcPr>
            <w:tcW w:type="dxa" w:w="2628"/>
          </w:tcPr>
          <w:p>
            <w:r>
              <w:t>In progress</w:t>
            </w:r>
          </w:p>
        </w:tc>
        <w:tc>
          <w:tcPr>
            <w:tcW w:type="dxa" w:w="2628"/>
          </w:tcPr>
          <w:p>
            <w:r>
              <w:t xml:space="preserve">Baffin disposal, "Other" wind-down, store impairment and network review, EMEA logistics upgrade. </w:t>
            </w:r>
            <w:r>
              <w:rPr>
                <w:b/>
              </w:rPr>
              <w:t>The current phase</w:t>
            </w:r>
            <w:r>
              <w:t xml:space="preserve"> — and the one FY2027 guidance depends on.</w:t>
            </w:r>
          </w:p>
        </w:tc>
      </w:tr>
    </w:tbl>
    <w:p>
      <w:r/>
    </w:p>
    <w:p>
      <w:pPr>
        <w:pStyle w:val="Heading2"/>
      </w:pPr>
      <w:r>
        <w:t>19. Stakes Held in Other Companies</w:t>
      </w:r>
      <w:r/>
    </w:p>
    <w:p>
      <w:r/>
      <w:r>
        <w:rPr>
          <w:b/>
        </w:rPr>
        <w:t>No material equity stakes in listed or unlisted companies were identified.</w:t>
      </w:r>
      <w:r>
        <w:t xml:space="preserve"> Canada Goose is not a holding company and does not maintain a strategic investment portfolio. The relevant structural relationships are:</w:t>
      </w:r>
      <w:r/>
      <w:r/>
    </w:p>
    <w:p>
      <w:pPr>
        <w:pStyle w:val="ListBullet"/>
        <w:spacing w:line="240" w:lineRule="auto"/>
        <w:ind w:left="720"/>
      </w:pPr>
      <w:r/>
      <w:r>
        <w:rPr>
          <w:b/>
        </w:rPr>
        <w:t>Baffin Limited</w:t>
      </w:r>
      <w:r>
        <w:t xml:space="preserve"> — wholly-owned subsidiary being divested to L.P. Royer (August 2026). Post-completion Canada Goose retains no interest.</w:t>
      </w:r>
      <w:r/>
    </w:p>
    <w:p>
      <w:pPr>
        <w:pStyle w:val="ListBullet"/>
        <w:spacing w:line="240" w:lineRule="auto"/>
        <w:ind w:left="720"/>
      </w:pPr>
      <w:r/>
      <w:r>
        <w:rPr>
          <w:b/>
        </w:rPr>
        <w:t>Marchon Eyewear</w:t>
      </w:r>
      <w:r>
        <w:t xml:space="preserve"> — a </w:t>
      </w:r>
      <w:r>
        <w:rPr>
          <w:b/>
        </w:rPr>
        <w:t>contractual licence relationship, not an equity stake</w:t>
      </w:r>
      <w:r>
        <w:t>. Canada Goose licenses its brand and receives royalties; it holds no ownership of Marchon (owned by VSP Global).</w:t>
      </w:r>
      <w:r/>
    </w:p>
    <w:p>
      <w:pPr>
        <w:pStyle w:val="ListBullet"/>
        <w:spacing w:line="240" w:lineRule="auto"/>
        <w:ind w:left="720"/>
      </w:pPr>
      <w:r/>
      <w:r>
        <w:rPr>
          <w:b/>
        </w:rPr>
        <w:t>Paola Confectii</w:t>
      </w:r>
      <w:r>
        <w:t xml:space="preserve"> — an </w:t>
      </w:r>
      <w:r>
        <w:rPr>
          <w:b/>
        </w:rPr>
        <w:t>asset acquisition</w:t>
      </w:r>
      <w:r>
        <w:t>, not an equity holding; the facility is directly owned and operated.</w:t>
      </w:r>
      <w:r/>
    </w:p>
    <w:p>
      <w:pPr>
        <w:pStyle w:val="ListBullet"/>
        <w:spacing w:line="240" w:lineRule="auto"/>
        <w:ind w:left="720"/>
      </w:pPr>
      <w:r/>
      <w:r>
        <w:rPr>
          <w:b/>
        </w:rPr>
        <w:t>Non-controlling interests</w:t>
      </w:r>
      <w:r>
        <w:t xml:space="preserve"> — the gap between group net income and net income attributable to shareholders implies the existence of NCI, most likely in a joint-venture or subsidiary structure. The specific entities were not identifiable from accessible sources and should be confirmed in the FY2026 Form 20-F.</w:t>
      </w:r>
      <w:r/>
      <w:r/>
    </w:p>
    <w:p>
      <w:r/>
      <w:r>
        <w:t xml:space="preserve">Financially and strategically, this is a </w:t>
      </w:r>
      <w:r>
        <w:rPr>
          <w:b/>
        </w:rPr>
        <w:t>clean, single-brand operating company</w:t>
      </w:r>
      <w:r>
        <w:t>. There is no hidden asset value in an investment portfolio, and no sum-of-the-parts angle beyond the operating business itself.</w:t>
      </w:r>
      <w:r/>
    </w:p>
    <w:p>
      <w:pPr>
        <w:pStyle w:val="Heading2"/>
      </w:pPr>
      <w:r>
        <w:t>20. Dividends, Buybacks and Treasury Share Cancellations</w:t>
      </w:r>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b/>
              </w:rPr>
              <w:t>Fiscal Year</w:t>
            </w:r>
          </w:p>
        </w:tc>
        <w:tc>
          <w:tcPr>
            <w:tcW w:type="dxa" w:w="1752"/>
          </w:tcPr>
          <w:p>
            <w:r>
              <w:rPr>
                <w:b/>
              </w:rPr>
              <w:t>Dividend/share</w:t>
            </w:r>
          </w:p>
        </w:tc>
        <w:tc>
          <w:tcPr>
            <w:tcW w:type="dxa" w:w="1752"/>
          </w:tcPr>
          <w:p>
            <w:r>
              <w:rPr>
                <w:b/>
              </w:rPr>
              <w:t>NCIB authorisation</w:t>
            </w:r>
          </w:p>
        </w:tc>
        <w:tc>
          <w:tcPr>
            <w:tcW w:type="dxa" w:w="1752"/>
          </w:tcPr>
          <w:p>
            <w:r>
              <w:rPr>
                <w:b/>
              </w:rPr>
              <w:t>Shares repurchased</w:t>
            </w:r>
          </w:p>
        </w:tc>
        <w:tc>
          <w:tcPr>
            <w:tcW w:type="dxa" w:w="1752"/>
          </w:tcPr>
          <w:p>
            <w:r>
              <w:rPr>
                <w:b/>
              </w:rPr>
              <w:t>Cash deployed</w:t>
            </w:r>
          </w:p>
        </w:tc>
        <w:tc>
          <w:tcPr>
            <w:tcW w:type="dxa" w:w="1752"/>
          </w:tcPr>
          <w:p>
            <w:r>
              <w:rPr>
                <w:b/>
              </w:rPr>
              <w:t>Treatment</w:t>
            </w:r>
          </w:p>
        </w:tc>
      </w:tr>
      <w:tr>
        <w:tc>
          <w:tcPr>
            <w:tcW w:type="dxa" w:w="1752"/>
          </w:tcPr>
          <w:p>
            <w:r>
              <w:rPr>
                <w:b/>
              </w:rPr>
              <w:t>FY2022</w:t>
            </w:r>
          </w:p>
        </w:tc>
        <w:tc>
          <w:tcPr>
            <w:tcW w:type="dxa" w:w="1752"/>
          </w:tcPr>
          <w:p>
            <w:r>
              <w:rPr>
                <w:b/>
              </w:rPr>
              <w:t>Nil</w:t>
            </w:r>
          </w:p>
        </w:tc>
        <w:tc>
          <w:tcPr>
            <w:tcW w:type="dxa" w:w="1752"/>
          </w:tcPr>
          <w:p>
            <w:r>
              <w:t>Programme launched 18 Nov 2022</w:t>
            </w:r>
          </w:p>
        </w:tc>
        <w:tc>
          <w:tcPr>
            <w:tcW w:type="dxa" w:w="1752"/>
          </w:tcPr>
          <w:p>
            <w:r>
              <w:t>—</w:t>
            </w:r>
          </w:p>
        </w:tc>
        <w:tc>
          <w:tcPr>
            <w:tcW w:type="dxa" w:w="1752"/>
          </w:tcPr>
          <w:p>
            <w:r>
              <w:t>—</w:t>
            </w:r>
          </w:p>
        </w:tc>
        <w:tc>
          <w:tcPr>
            <w:tcW w:type="dxa" w:w="1752"/>
          </w:tcPr>
          <w:p>
            <w:r>
              <w:t>Cancelled</w:t>
            </w:r>
          </w:p>
        </w:tc>
      </w:tr>
      <w:tr>
        <w:tc>
          <w:tcPr>
            <w:tcW w:type="dxa" w:w="1752"/>
          </w:tcPr>
          <w:p>
            <w:r>
              <w:rPr>
                <w:b/>
              </w:rPr>
              <w:t>FY2023</w:t>
            </w:r>
          </w:p>
        </w:tc>
        <w:tc>
          <w:tcPr>
            <w:tcW w:type="dxa" w:w="1752"/>
          </w:tcPr>
          <w:p>
            <w:r>
              <w:rPr>
                <w:b/>
              </w:rPr>
              <w:t>Nil</w:t>
            </w:r>
          </w:p>
        </w:tc>
        <w:tc>
          <w:tcPr>
            <w:tcW w:type="dxa" w:w="1752"/>
          </w:tcPr>
          <w:p>
            <w:r>
              <w:t xml:space="preserve">Up to </w:t>
            </w:r>
            <w:r>
              <w:rPr>
                <w:b/>
              </w:rPr>
              <w:t>5,421,685</w:t>
            </w:r>
            <w:r>
              <w:t xml:space="preserve"> SVS; 22 Nov 2022 – 21 Nov 2023</w:t>
            </w:r>
          </w:p>
        </w:tc>
        <w:tc>
          <w:tcPr>
            <w:tcW w:type="dxa" w:w="1752"/>
          </w:tcPr>
          <w:p>
            <w:r>
              <w:rPr>
                <w:b/>
              </w:rPr>
              <w:t>5,421,685 (full)</w:t>
            </w:r>
            <w:r>
              <w:t xml:space="preserve"> </w:t>
              <w:br/>
            </w:r>
            <w:r>
              <w:t xml:space="preserve"> (4,764,182 by 10 Nov 2023 at avg C$21.31)</w:t>
            </w:r>
          </w:p>
        </w:tc>
        <w:tc>
          <w:tcPr>
            <w:tcW w:type="dxa" w:w="1752"/>
          </w:tcPr>
          <w:p>
            <w:r>
              <w:rPr>
                <w:b/>
              </w:rPr>
              <w:t>C$111.2m</w:t>
            </w:r>
          </w:p>
        </w:tc>
        <w:tc>
          <w:tcPr>
            <w:tcW w:type="dxa" w:w="1752"/>
          </w:tcPr>
          <w:p>
            <w:r>
              <w:t>Purchased for cancellation</w:t>
            </w:r>
          </w:p>
        </w:tc>
      </w:tr>
      <w:tr>
        <w:tc>
          <w:tcPr>
            <w:tcW w:type="dxa" w:w="1752"/>
          </w:tcPr>
          <w:p>
            <w:r>
              <w:rPr>
                <w:b/>
              </w:rPr>
              <w:t>FY2024</w:t>
            </w:r>
          </w:p>
        </w:tc>
        <w:tc>
          <w:tcPr>
            <w:tcW w:type="dxa" w:w="1752"/>
          </w:tcPr>
          <w:p>
            <w:r>
              <w:rPr>
                <w:b/>
              </w:rPr>
              <w:t>Nil</w:t>
            </w:r>
          </w:p>
        </w:tc>
        <w:tc>
          <w:tcPr>
            <w:tcW w:type="dxa" w:w="1752"/>
          </w:tcPr>
          <w:p>
            <w:r>
              <w:t xml:space="preserve">Up to </w:t>
            </w:r>
            <w:r>
              <w:rPr>
                <w:b/>
              </w:rPr>
              <w:t>4,980,505</w:t>
            </w:r>
            <w:r>
              <w:t xml:space="preserve"> SVS; 22 Nov 2023 – 21 Nov 2024</w:t>
            </w:r>
          </w:p>
        </w:tc>
        <w:tc>
          <w:tcPr>
            <w:tcW w:type="dxa" w:w="1752"/>
          </w:tcPr>
          <w:p>
            <w:r>
              <w:rPr>
                <w:b/>
              </w:rPr>
              <w:t>3,586,124</w:t>
            </w:r>
          </w:p>
        </w:tc>
        <w:tc>
          <w:tcPr>
            <w:tcW w:type="dxa" w:w="1752"/>
          </w:tcPr>
          <w:p>
            <w:r>
              <w:rPr>
                <w:b/>
              </w:rPr>
              <w:t>C$56.9m</w:t>
            </w:r>
          </w:p>
        </w:tc>
        <w:tc>
          <w:tcPr>
            <w:tcW w:type="dxa" w:w="1752"/>
          </w:tcPr>
          <w:p>
            <w:r>
              <w:t>Purchased for cancellation</w:t>
            </w:r>
          </w:p>
        </w:tc>
      </w:tr>
      <w:tr>
        <w:tc>
          <w:tcPr>
            <w:tcW w:type="dxa" w:w="1752"/>
          </w:tcPr>
          <w:p>
            <w:r>
              <w:rPr>
                <w:b/>
              </w:rPr>
              <w:t>FY2025</w:t>
            </w:r>
          </w:p>
        </w:tc>
        <w:tc>
          <w:tcPr>
            <w:tcW w:type="dxa" w:w="1752"/>
          </w:tcPr>
          <w:p>
            <w:r>
              <w:rPr>
                <w:b/>
              </w:rPr>
              <w:t>Nil</w:t>
            </w:r>
          </w:p>
        </w:tc>
        <w:tc>
          <w:tcPr>
            <w:tcW w:type="dxa" w:w="1752"/>
          </w:tcPr>
          <w:p>
            <w:r>
              <w:t xml:space="preserve">Up to </w:t>
            </w:r>
            <w:r>
              <w:rPr>
                <w:b/>
              </w:rPr>
              <w:t>4,556,841</w:t>
            </w:r>
            <w:r>
              <w:t xml:space="preserve"> SVS (10.0% of public float at 8 Nov 2024); 22 Nov 2024 – 21 Nov 2025</w:t>
            </w:r>
          </w:p>
        </w:tc>
        <w:tc>
          <w:tcPr>
            <w:tcW w:type="dxa" w:w="1752"/>
          </w:tcPr>
          <w:p>
            <w:r>
              <w:t>Not disclosed in accessible sources</w:t>
            </w:r>
          </w:p>
        </w:tc>
        <w:tc>
          <w:tcPr>
            <w:tcW w:type="dxa" w:w="1752"/>
          </w:tcPr>
          <w:p>
            <w:r>
              <w:t>Not disclosed</w:t>
            </w:r>
          </w:p>
        </w:tc>
        <w:tc>
          <w:tcPr>
            <w:tcW w:type="dxa" w:w="1752"/>
          </w:tcPr>
          <w:p>
            <w:r>
              <w:t>Purchased for cancellation</w:t>
            </w:r>
          </w:p>
        </w:tc>
      </w:tr>
      <w:tr>
        <w:tc>
          <w:tcPr>
            <w:tcW w:type="dxa" w:w="1752"/>
          </w:tcPr>
          <w:p>
            <w:r>
              <w:rPr>
                <w:b/>
              </w:rPr>
              <w:t>FY2026</w:t>
            </w:r>
          </w:p>
        </w:tc>
        <w:tc>
          <w:tcPr>
            <w:tcW w:type="dxa" w:w="1752"/>
          </w:tcPr>
          <w:p>
            <w:r>
              <w:rPr>
                <w:b/>
              </w:rPr>
              <w:t>Nil</w:t>
            </w:r>
          </w:p>
        </w:tc>
        <w:tc>
          <w:tcPr>
            <w:tcW w:type="dxa" w:w="1752"/>
          </w:tcPr>
          <w:p>
            <w:r>
              <w:t xml:space="preserve">Up to </w:t>
            </w:r>
            <w:r>
              <w:rPr>
                <w:b/>
              </w:rPr>
              <w:t>4,578,677</w:t>
            </w:r>
            <w:r>
              <w:t xml:space="preserve"> SVS; 10 Nov 2025 – 9 Nov 2026</w:t>
            </w:r>
          </w:p>
        </w:tc>
        <w:tc>
          <w:tcPr>
            <w:tcW w:type="dxa" w:w="1752"/>
          </w:tcPr>
          <w:p>
            <w:r>
              <w:t>In progress</w:t>
            </w:r>
          </w:p>
        </w:tc>
        <w:tc>
          <w:tcPr>
            <w:tcW w:type="dxa" w:w="1752"/>
          </w:tcPr>
          <w:p>
            <w:r>
              <w:t>Not disclosed</w:t>
            </w:r>
          </w:p>
        </w:tc>
        <w:tc>
          <w:tcPr>
            <w:tcW w:type="dxa" w:w="1752"/>
          </w:tcPr>
          <w:p>
            <w:r>
              <w:t>Purchased for cancellation</w:t>
            </w:r>
          </w:p>
        </w:tc>
      </w:tr>
      <w:tr>
        <w:tc>
          <w:tcPr>
            <w:tcW w:type="dxa" w:w="1752"/>
          </w:tcPr>
          <w:p>
            <w:r>
              <w:rPr>
                <w:b/>
              </w:rPr>
              <w:t>Identified total, FY2023–FY2024</w:t>
            </w:r>
          </w:p>
        </w:tc>
        <w:tc>
          <w:tcPr>
            <w:tcW w:type="dxa" w:w="1752"/>
          </w:tcPr>
          <w:p>
            <w:r>
              <w:rPr>
                <w:b/>
              </w:rPr>
              <w:t>C$168.1m</w:t>
            </w:r>
          </w:p>
        </w:tc>
        <w:tc>
          <w:tcPr>
            <w:tcW w:type="dxa" w:w="1752"/>
          </w:tcPr>
          <w:p/>
        </w:tc>
        <w:tc>
          <w:tcPr>
            <w:tcW w:type="dxa" w:w="1752"/>
          </w:tcPr>
          <w:p/>
        </w:tc>
        <w:tc>
          <w:tcPr>
            <w:tcW w:type="dxa" w:w="1752"/>
          </w:tcPr>
          <w:p/>
        </w:tc>
        <w:tc>
          <w:tcPr>
            <w:tcW w:type="dxa" w:w="1752"/>
          </w:tcPr>
          <w:p/>
        </w:tc>
      </w:tr>
    </w:tbl>
    <w:p>
      <w:r/>
    </w:p>
    <w:p>
      <w:r/>
      <w:r>
        <w:rPr>
          <w:b/>
        </w:rPr>
        <w:t>Key observations:</w:t>
      </w:r>
      <w:r/>
      <w:r/>
    </w:p>
    <w:p>
      <w:pPr>
        <w:pStyle w:val="ListBullet"/>
        <w:spacing w:line="240" w:lineRule="auto"/>
        <w:ind w:left="720"/>
      </w:pPr>
      <w:r/>
      <w:r>
        <w:rPr>
          <w:b/>
        </w:rPr>
        <w:t>Canada Goose has never paid a dividend</w:t>
      </w:r>
      <w:r>
        <w:t xml:space="preserve"> and has given no indication of initiating one. All shareholder returns are via buyback.</w:t>
      </w:r>
      <w:r/>
    </w:p>
    <w:p>
      <w:pPr>
        <w:pStyle w:val="ListBullet"/>
        <w:spacing w:line="240" w:lineRule="auto"/>
        <w:ind w:left="720"/>
      </w:pPr>
      <w:r/>
      <w:r>
        <w:rPr>
          <w:b/>
        </w:rPr>
        <w:t>All repurchased shares are cancelled</w:t>
      </w:r>
      <w:r>
        <w:t>, not held in treasury — genuine share count reduction rather than an offset to dilution.</w:t>
      </w:r>
      <w:r/>
    </w:p>
    <w:p>
      <w:pPr>
        <w:pStyle w:val="ListBullet"/>
        <w:spacing w:line="240" w:lineRule="auto"/>
        <w:ind w:left="720"/>
      </w:pPr>
      <w:r/>
      <w:r>
        <w:rPr>
          <w:b/>
        </w:rPr>
        <w:t>Only subordinate voting shares are repurchased.</w:t>
      </w:r>
      <w:r>
        <w:t xml:space="preserve"> This has a governance consequence that is rarely noted: every buyback </w:t>
      </w:r>
      <w:r>
        <w:rPr>
          <w:b/>
        </w:rPr>
        <w:t>mechanically increases the proportional voting power of Bain and Reiss</w:t>
      </w:r>
      <w:r>
        <w:t>, whose multiple voting shares are untouched. Minority shareholders are funding the concentration of control that disadvantages them.</w:t>
      </w:r>
      <w:r/>
    </w:p>
    <w:p>
      <w:pPr>
        <w:pStyle w:val="ListBullet"/>
        <w:spacing w:line="240" w:lineRule="auto"/>
        <w:ind w:left="720"/>
      </w:pPr>
      <w:r/>
      <w:r>
        <w:rPr>
          <w:b/>
        </w:rPr>
        <w:t>Timing has been poor.</w:t>
      </w:r>
      <w:r>
        <w:t xml:space="preserve"> The FY2023 programme bought at a weighted average of C$21.31; the shares now trade near C$11.67 — roughly a 45% unrealised loss on that tranche. Approximately C$168m of identified buybacks were executed well above current levels.</w:t>
      </w:r>
      <w:r/>
    </w:p>
    <w:p>
      <w:pPr>
        <w:pStyle w:val="ListBullet"/>
        <w:spacing w:line="240" w:lineRule="auto"/>
        <w:ind w:left="720"/>
      </w:pPr>
      <w:r/>
      <w:r>
        <w:t xml:space="preserve">The August 2026 AGM approved a </w:t>
      </w:r>
      <w:r>
        <w:rPr>
          <w:b/>
        </w:rPr>
        <w:t>material increase to the equity incentive plan</w:t>
      </w:r>
      <w:r>
        <w:t>, which partially offsets the buyback's share-count benefit.</w:t>
      </w:r>
      <w:r/>
      <w:r/>
    </w:p>
    <w:p>
      <w:pPr>
        <w:pStyle w:val="Heading2"/>
      </w:pPr>
      <w:r>
        <w:t>21. Adversarial Deep Dive: Bull Case, Bear Case, Pre-Mortem, Contrarian View</w:t>
      </w:r>
      <w:r/>
    </w:p>
    <w:p>
      <w:pPr>
        <w:pStyle w:val="Heading3"/>
      </w:pPr>
      <w:r>
        <w:t>21.1 The bull case</w:t>
      </w:r>
      <w:r/>
      <w:r/>
    </w:p>
    <w:p>
      <w:pPr>
        <w:pStyle w:val="ListBullet"/>
        <w:spacing w:line="240" w:lineRule="auto"/>
        <w:ind w:left="720"/>
      </w:pPr>
      <w:r/>
      <w:r>
        <w:rPr>
          <w:b/>
        </w:rPr>
        <w:t>A genuine brand moat, proven by margin.</w:t>
      </w:r>
      <w:r>
        <w:t xml:space="preserve"> A c.70% gross margin held essentially flat (69.9% → 69.7%) through a demand downturn, a China shock and a channel-mix shift. Brands without pricing power do not do this. Whatever else is wrong, </w:t>
      </w:r>
      <w:r>
        <w:rPr>
          <w:b/>
        </w:rPr>
        <w:t>the product commands its price.</w:t>
      </w:r>
      <w:r/>
    </w:p>
    <w:p>
      <w:pPr>
        <w:pStyle w:val="ListBullet"/>
        <w:spacing w:line="240" w:lineRule="auto"/>
        <w:ind w:left="720"/>
      </w:pPr>
      <w:r/>
      <w:r>
        <w:rPr>
          <w:b/>
        </w:rPr>
        <w:t>Valuation support is extreme.</w:t>
      </w:r>
      <w:r>
        <w:t xml:space="preserve"> c.5.2x EV/EBITDA and 1.0x EV/Sales versus Moncler at 11.7x, Deckers 9.1x, Columbia 8.9x, and an 8–11x apparel M&amp;A range. The market is pricing structural decline in a business that just grew revenue 13.3%.</w:t>
      </w:r>
      <w:r/>
    </w:p>
    <w:p>
      <w:pPr>
        <w:pStyle w:val="ListBullet"/>
        <w:spacing w:line="240" w:lineRule="auto"/>
        <w:ind w:left="720"/>
      </w:pPr>
      <w:r/>
      <w:r>
        <w:rPr>
          <w:b/>
        </w:rPr>
        <w:t>De-seasonalisation is demonstrably working.</w:t>
      </w:r>
      <w:r>
        <w:t xml:space="preserve"> Spring/summer categories at c.40% of Q1 FY2027 revenue is not a projection — it is a reported result. If sustained, it structurally raises the value of the fixed cost base and directly addresses the climate-risk discount.</w:t>
      </w:r>
      <w:r/>
    </w:p>
    <w:p>
      <w:pPr>
        <w:pStyle w:val="ListBullet"/>
        <w:spacing w:line="240" w:lineRule="auto"/>
        <w:ind w:left="720"/>
      </w:pPr>
      <w:r/>
      <w:r>
        <w:rPr>
          <w:b/>
        </w:rPr>
        <w:t>Margin recovery is guided, quantified and already visible.</w:t>
      </w:r>
      <w:r>
        <w:t xml:space="preserve"> 11–12% FY2027 adjusted EBIT margin (130–230bps expansion), with Q1 delivering an 1,140bps year-over-year improvement to the best first quarter since FY2020.</w:t>
      </w:r>
      <w:r/>
    </w:p>
    <w:p>
      <w:pPr>
        <w:pStyle w:val="ListBullet"/>
        <w:spacing w:line="240" w:lineRule="auto"/>
        <w:ind w:left="720"/>
      </w:pPr>
      <w:r/>
      <w:r>
        <w:rPr>
          <w:b/>
        </w:rPr>
        <w:t>The wholesale channel has inflected.</w:t>
      </w:r>
      <w:r>
        <w:t xml:space="preserve"> +65% in Q1 with the channel swinging to profit, on a larger order book. Wholesale is the fastest route to EBIT because it carries almost no fixed cost.</w:t>
      </w:r>
      <w:r/>
    </w:p>
    <w:p>
      <w:pPr>
        <w:pStyle w:val="ListBullet"/>
        <w:spacing w:line="240" w:lineRule="auto"/>
        <w:ind w:left="720"/>
      </w:pPr>
      <w:r/>
      <w:r>
        <w:rPr>
          <w:b/>
        </w:rPr>
        <w:t>Take-private optionality is live and quantified.</w:t>
      </w:r>
      <w:r>
        <w:t xml:space="preserve"> Bids at c.8x EBITDA imply roughly </w:t>
      </w:r>
      <w:r>
        <w:rPr>
          <w:b/>
        </w:rPr>
        <w:t>US$14.60/share, a c.73% premium.</w:t>
      </w:r>
      <w:r>
        <w:t xml:space="preserve"> A controlling holder of 13 years' standing is a motivated seller.</w:t>
      </w:r>
      <w:r/>
    </w:p>
    <w:p>
      <w:pPr>
        <w:pStyle w:val="ListBullet"/>
        <w:spacing w:line="240" w:lineRule="auto"/>
        <w:ind w:left="720"/>
      </w:pPr>
      <w:r/>
      <w:r>
        <w:rPr>
          <w:b/>
        </w:rPr>
        <w:t>Balance sheet strength.</w:t>
      </w:r>
      <w:r>
        <w:t xml:space="preserve"> 1.3x leverage, C$408.2m cash, flat inventory on 13.3% growth. Ample LBO capacity for an acquirer.</w:t>
      </w:r>
      <w:r/>
    </w:p>
    <w:p>
      <w:pPr>
        <w:pStyle w:val="ListBullet"/>
        <w:spacing w:line="240" w:lineRule="auto"/>
        <w:ind w:left="720"/>
      </w:pPr>
      <w:r/>
      <w:r>
        <w:rPr>
          <w:b/>
        </w:rPr>
        <w:t>Squeeze dynamics.</w:t>
      </w:r>
      <w:r>
        <w:t xml:space="preserve"> 28.5% of float short, c.10.3 days to cover. Demonstrated in the c.30% post-Q4 rally.</w:t>
      </w:r>
      <w:r/>
    </w:p>
    <w:p>
      <w:pPr>
        <w:pStyle w:val="ListBullet"/>
        <w:spacing w:line="240" w:lineRule="auto"/>
        <w:ind w:left="720"/>
      </w:pPr>
      <w:r/>
      <w:r>
        <w:rPr>
          <w:b/>
        </w:rPr>
        <w:t>Self-help remains available.</w:t>
      </w:r>
      <w:r>
        <w:t xml:space="preserve"> Store pruning, Baffin exit, "Other" wind-down, and the fact that much of the FY2026 SG&amp;A step-up was discrete (arbitration, bad debt, impairment) rather than run-rate.</w:t>
      </w:r>
      <w:r/>
      <w:r/>
    </w:p>
    <w:p>
      <w:pPr>
        <w:pStyle w:val="Heading3"/>
      </w:pPr>
      <w:r>
        <w:t>21.2 The bear case — three risks that could permanently impair the business</w:t>
      </w:r>
      <w:r/>
      <w:r/>
    </w:p>
    <w:p>
      <w:pPr>
        <w:pStyle w:val="ListNumber"/>
        <w:spacing w:line="240" w:lineRule="auto"/>
        <w:ind w:left="720"/>
      </w:pPr>
      <w:r/>
      <w:r>
        <w:rPr>
          <w:b/>
        </w:rPr>
        <w:t>Brand commoditisation in Greater China.</w:t>
      </w:r>
      <w:r>
        <w:t xml:space="preserve"> The gravest risk. 32.6% of revenue sits in a market where Bosideng owns the mid, mass and luxury tiers from a home-field position, where nationalist consumer preference is rising, and where Canada Goose has previously suffered reputational incidents. If the brand shifts from aspirational to merely expensive in China, roughly a third of revenue re-rates permanently — and the c.70% gross margin, the entire investment case, goes with it. </w:t>
      </w:r>
      <w:r>
        <w:rPr>
          <w:b/>
        </w:rPr>
        <w:t>This is not cyclical; it would be structural and irreversible.</w:t>
      </w:r>
      <w:r/>
    </w:p>
    <w:p>
      <w:pPr>
        <w:pStyle w:val="ListNumber"/>
        <w:spacing w:line="240" w:lineRule="auto"/>
        <w:ind w:left="720"/>
      </w:pPr>
      <w:r/>
      <w:r>
        <w:rPr>
          <w:b/>
        </w:rPr>
        <w:t>Permanent negative operating leverage.</w:t>
      </w:r>
      <w:r>
        <w:t xml:space="preserve"> FY2026 is the alarming precedent: 13.3% revenue growth produced a 45.9% </w:t>
      </w:r>
      <w:r>
        <w:rPr>
          <w:i/>
        </w:rPr>
        <w:t>decline</w:t>
      </w:r>
      <w:r>
        <w:t xml:space="preserve"> in operating income. If the SG&amp;A base — 88 stores, expanded corporate functions, higher marketing — proves structurally rigid rather than discretionary, the company grows revenue without ever growing profit. The C$8.4m store impairment and negative DTC comps suggest the retail estate may already be past its productive optimum. </w:t>
      </w:r>
      <w:r>
        <w:rPr>
          <w:b/>
        </w:rPr>
        <w:t>A business that cannot convert growth into profit is worth its liquidation value, not a multiple.</w:t>
      </w:r>
      <w:r/>
    </w:p>
    <w:p>
      <w:pPr>
        <w:pStyle w:val="ListNumber"/>
        <w:spacing w:line="240" w:lineRule="auto"/>
        <w:ind w:left="720"/>
      </w:pPr>
      <w:r/>
      <w:r>
        <w:rPr>
          <w:b/>
        </w:rPr>
        <w:t>Climate change and the collapse of the core occasion.</w:t>
      </w:r>
      <w:r>
        <w:t xml:space="preserve"> The slow, certain risk. Heavyweight parkas at C$1,100–1,800 require genuinely cold winters to justify. Warming shortens the season, reduces urgency, and increases discounting pressure. Diversification into rainwear and windwear pushes the company into categories where it has no inherited advantage and competes with Arc'teryx, Nike and The North Face on their terms — likely at structurally lower margins. </w:t>
      </w:r>
      <w:r>
        <w:rPr>
          <w:b/>
        </w:rPr>
        <w:t>The de-seasonalisation strategy may succeed commercially while failing financially.</w:t>
      </w:r>
      <w:r/>
      <w:r/>
    </w:p>
    <w:p>
      <w:pPr>
        <w:pStyle w:val="Heading4"/>
      </w:pPr>
      <w:r>
        <w:t>Margin compression and revenue deceleration</w:t>
      </w:r>
      <w:r/>
    </w:p>
    <w:p>
      <w:r/>
      <w:r>
        <w:t>Both are already visible, not hypothetical: adjusted EBIT margin fell 300bps in FY2026; FY2027 guidance is for low-single-digit revenue growth against 13.3% delivered; DTC comps have turned negative. Add up to 200bps of unmitigated tariff impact against an 11–12% guided margin and the downside case is arithmetically severe.</w:t>
      </w:r>
      <w:r/>
    </w:p>
    <w:p>
      <w:pPr>
        <w:pStyle w:val="Heading4"/>
      </w:pPr>
      <w:r>
        <w:t>Are expectations high?</w:t>
      </w:r>
      <w:r/>
    </w:p>
    <w:p>
      <w:r/>
      <w:r>
        <w:t xml:space="preserve">No — and this is important for balance. At 5.2x EV/EBITDA with 28.5% short interest and shares at 52-week lows, expectations are </w:t>
      </w:r>
      <w:r>
        <w:rPr>
          <w:b/>
        </w:rPr>
        <w:t>demonstrably low</w:t>
      </w:r>
      <w:r>
        <w:t xml:space="preserve">. The bear case here is not "priced for perfection." It is that </w:t>
      </w:r>
      <w:r>
        <w:rPr>
          <w:b/>
        </w:rPr>
        <w:t>the business deteriorates faster than a cheap multiple protects against</w:t>
      </w:r>
      <w:r>
        <w:t xml:space="preserve"> — a value trap, not a bubble.</w:t>
      </w:r>
      <w:r/>
    </w:p>
    <w:p>
      <w:pPr>
        <w:pStyle w:val="Heading3"/>
      </w:pPr>
      <w:r>
        <w:t>21.3 Pre-mortem: it is 2029 and the equity has lost another 50%. What happened?</w:t>
      </w:r>
      <w:r/>
      <w:r/>
    </w:p>
    <w:p>
      <w:pPr>
        <w:pStyle w:val="ListNumber"/>
        <w:spacing w:line="240" w:lineRule="auto"/>
        <w:ind w:left="720"/>
      </w:pPr>
      <w:r/>
      <w:r>
        <w:rPr>
          <w:b/>
        </w:rPr>
        <w:t>The Bain process died quietly.</w:t>
      </w:r>
      <w:r>
        <w:t xml:space="preserve"> Bidders walked on tariff uncertainty and deteriorating comps; Bain, unwilling to crystallise a poor return, retained the stake. The entire event-driven premium evaporated and the shareholder base rotated from event-driven funds to nobody.</w:t>
      </w:r>
      <w:r/>
    </w:p>
    <w:p>
      <w:pPr>
        <w:pStyle w:val="ListNumber"/>
        <w:spacing w:line="240" w:lineRule="auto"/>
        <w:ind w:left="720"/>
      </w:pPr>
      <w:r/>
      <w:r>
        <w:rPr>
          <w:b/>
        </w:rPr>
        <w:t>DTC comps never recovered.</w:t>
      </w:r>
      <w:r>
        <w:t xml:space="preserve"> The -3.2% in Q1 FY2027 was the beginning, not an aberration. E-commerce growth masked accelerating store declines until the store estate required wholesale closure. Impairments recurred annually.</w:t>
      </w:r>
      <w:r/>
    </w:p>
    <w:p>
      <w:pPr>
        <w:pStyle w:val="ListNumber"/>
        <w:spacing w:line="240" w:lineRule="auto"/>
        <w:ind w:left="720"/>
      </w:pPr>
      <w:r/>
      <w:r>
        <w:rPr>
          <w:b/>
        </w:rPr>
        <w:t>The FY2027 margin target was missed.</w:t>
      </w:r>
      <w:r>
        <w:t xml:space="preserve"> Tariffs landed unmitigated; the SG&amp;A base proved rigid; adjusted EBIT margin came in near 9% rather than 11–12%. Management credibility on guidance was destroyed — the second such episode after FY2023.</w:t>
      </w:r>
      <w:r/>
    </w:p>
    <w:p>
      <w:pPr>
        <w:pStyle w:val="ListNumber"/>
        <w:spacing w:line="240" w:lineRule="auto"/>
        <w:ind w:left="720"/>
      </w:pPr>
      <w:r/>
      <w:r>
        <w:rPr>
          <w:b/>
        </w:rPr>
        <w:t>China share loss became visible.</w:t>
      </w:r>
      <w:r>
        <w:t xml:space="preserve"> Bosideng and domestic premium brands took the aspirational consumer. Greater China revenue declined, and with it the group's growth narrative and the gross margin.</w:t>
      </w:r>
      <w:r/>
    </w:p>
    <w:p>
      <w:pPr>
        <w:pStyle w:val="ListNumber"/>
        <w:spacing w:line="240" w:lineRule="auto"/>
        <w:ind w:left="720"/>
      </w:pPr>
      <w:r/>
      <w:r>
        <w:rPr>
          <w:b/>
        </w:rPr>
        <w:t>Category extension proved margin-dilutive.</w:t>
      </w:r>
      <w:r>
        <w:t xml:space="preserve"> Rainwear and windwear grew but at 50–55% gross margins rather than 70%, so revenue mix shift drove group gross margin structurally lower — de-seasonalisation succeeded on revenue and failed on profit.</w:t>
      </w:r>
      <w:r/>
    </w:p>
    <w:p>
      <w:pPr>
        <w:pStyle w:val="ListNumber"/>
        <w:spacing w:line="240" w:lineRule="auto"/>
        <w:ind w:left="720"/>
      </w:pPr>
      <w:r/>
      <w:r>
        <w:rPr>
          <w:b/>
        </w:rPr>
        <w:t>Buybacks continued at declining prices</w:t>
      </w:r>
      <w:r>
        <w:t>, consuming cash while the share count reduction was offset by the enlarged equity incentive plan.</w:t>
      </w:r>
      <w:r/>
      <w:r/>
    </w:p>
    <w:p>
      <w:r/>
      <w:r>
        <w:rPr>
          <w:b/>
        </w:rPr>
        <w:t>The common thread:</w:t>
      </w:r>
      <w:r>
        <w:t xml:space="preserve"> every step is plausible, and several are already in evidence. The pre-mortem does not require a catastrophe — only for current trends to continue.</w:t>
      </w:r>
      <w:r/>
    </w:p>
    <w:p>
      <w:pPr>
        <w:pStyle w:val="Heading3"/>
      </w:pPr>
      <w:r>
        <w:t>21.4 Are current multiples too high?</w:t>
      </w:r>
      <w:r/>
    </w:p>
    <w:p>
      <w:r/>
      <w:r>
        <w:rPr>
          <w:b/>
        </w:rPr>
        <w:t>No.</w:t>
      </w:r>
      <w:r>
        <w:t xml:space="preserve"> On any conventional framework the multiple is low: 5.2x EV/EBITDA, 1.0x EV/Sales, c.11.9x forward adjusted P/E. The honest concern runs the other way — that the </w:t>
      </w:r>
      <w:r>
        <w:rPr>
          <w:b/>
        </w:rPr>
        <w:t>denominator</w:t>
      </w:r>
      <w:r>
        <w:t xml:space="preserve"> is unreliable. If EBITDA of c.C$295m includes an SG&amp;A base that must fall to defend it, and if adjusted EBIT of C$148.0m flatters a reported operating income of C$88.8m, then 5.2x on adjusted EBITDA may be closer to 10x on sustainable owner-earnings. </w:t>
      </w:r>
      <w:r>
        <w:rPr>
          <w:b/>
        </w:rPr>
        <w:t>The multiple is not too high; the earnings quality is too low to be confident the multiple means what it appears to mean.</w:t>
      </w:r>
      <w:r/>
    </w:p>
    <w:p>
      <w:pPr>
        <w:pStyle w:val="Heading3"/>
      </w:pPr>
      <w:r>
        <w:t>21.5 The contrarian view — what the market is refusing to see</w:t>
      </w:r>
      <w:r/>
      <w:r/>
    </w:p>
    <w:p>
      <w:r/>
      <w:r>
        <w:rPr>
          <w:b/>
        </w:rPr>
        <w:t>The market is valuing Canada Goose as a failing retailer. It is actually a high-margin brand attached to a badly-run retail estate — and those are separable.</w:t>
      </w:r>
      <w:r/>
    </w:p>
    <w:p>
      <w:r/>
      <w:r>
        <w:t xml:space="preserve">Consensus sees negative DTC comps, a 45.9% collapse in operating income, and 28.5% short interest, and concludes the brand is broken. The evidence does not support that conclusion. </w:t>
      </w:r>
      <w:r>
        <w:rPr>
          <w:b/>
        </w:rPr>
        <w:t>Gross margin — the only clean read on brand health, stripped of retail overhead — was 69.7% in FY2026 versus 69.9% in FY2025.</w:t>
      </w:r>
      <w:r>
        <w:t xml:space="preserve"> Twenty basis points, through a China downturn, a channel-mix shift toward wholesale, and a consumer recession. A broken brand cannot hold that line. Revenue grew 13.3%. Inventory was flat. Customers are still paying full price.</w:t>
      </w:r>
      <w:r/>
    </w:p>
    <w:p>
      <w:r/>
      <w:r>
        <w:t xml:space="preserve">What actually broke in FY2026 was </w:t>
      </w:r>
      <w:r>
        <w:rPr>
          <w:b/>
        </w:rPr>
        <w:t>SG&amp;A</w:t>
      </w:r>
      <w:r>
        <w:t>, and a large part of it was discrete: an arbitration payment to a former supplier, a bad-debt provision on a U.S. wholesale partner, and an C$8.4m store impairment. These are not a permanently impaired cost structure; they are one bad year with three identifiable one-offs and an over-built store estate.</w:t>
      </w:r>
      <w:r/>
    </w:p>
    <w:p>
      <w:r/>
      <w:r>
        <w:t>Three things follow that the market is not pricing:</w:t>
      </w:r>
      <w:r/>
      <w:r/>
    </w:p>
    <w:p>
      <w:pPr>
        <w:pStyle w:val="ListBullet"/>
        <w:spacing w:line="240" w:lineRule="auto"/>
        <w:ind w:left="720"/>
      </w:pPr>
      <w:r/>
      <w:r>
        <w:rPr>
          <w:b/>
        </w:rPr>
        <w:t>The wholesale pivot is a margin unlock, not a downgrade.</w:t>
      </w:r>
      <w:r>
        <w:t xml:space="preserve"> The market reads rising wholesale mix as gross-margin dilution — and it is. But wholesale carries almost no fixed cost, so it converts to EBIT far better than DTC. Q1's 65% wholesale surge and 1,140bps margin improvement is the proof. Canada Goose may be worth more selling </w:t>
      </w:r>
      <w:r>
        <w:rPr>
          <w:i/>
        </w:rPr>
        <w:t>fewer</w:t>
      </w:r>
      <w:r>
        <w:t xml:space="preserve"> coats through its own stores.</w:t>
      </w:r>
      <w:r/>
    </w:p>
    <w:p>
      <w:pPr>
        <w:pStyle w:val="ListBullet"/>
        <w:spacing w:line="240" w:lineRule="auto"/>
        <w:ind w:left="720"/>
      </w:pPr>
      <w:r/>
      <w:r>
        <w:rPr>
          <w:b/>
        </w:rPr>
        <w:t>Baffin's disposal makes the numbers look worse while making the business better.</w:t>
      </w:r>
      <w:r>
        <w:t xml:space="preserve"> Headline FY2027 growth of low-single-digits disguises core brand growth that ran at </w:t>
      </w:r>
      <w:r>
        <w:rPr>
          <w:b/>
        </w:rPr>
        <w:t>+16% ex-Other</w:t>
      </w:r>
      <w:r>
        <w:t xml:space="preserve"> in Q1. Investors screening on headline revenue growth are systematically mis-reading this company.</w:t>
      </w:r>
      <w:r/>
    </w:p>
    <w:p>
      <w:pPr>
        <w:pStyle w:val="ListBullet"/>
        <w:spacing w:line="240" w:lineRule="auto"/>
        <w:ind w:left="720"/>
      </w:pPr>
      <w:r/>
      <w:r>
        <w:rPr>
          <w:b/>
        </w:rPr>
        <w:t>The take-private discount has become a free option.</w:t>
      </w:r>
      <w:r>
        <w:t xml:space="preserve"> At 52-week lows, essentially no deal probability is embedded. Yet Bain has held for 13 years, hired Goldman Sachs, and received bids from four credible parties at nearly double today's price. </w:t>
      </w:r>
      <w:r>
        <w:rPr>
          <w:b/>
        </w:rPr>
        <w:t>The market has priced the process as dead. It has been quiet, not buried.</w:t>
      </w:r>
      <w:r/>
      <w:r/>
    </w:p>
    <w:p>
      <w:r/>
      <w:r>
        <w:rPr>
          <w:b/>
        </w:rPr>
        <w:t>The uncomfortable corollary, and the reason this is not a simple long:</w:t>
      </w:r>
      <w:r>
        <w:t xml:space="preserve"> the same analysis that says the asset is undervalued says Bain and Reiss know it. They control 92% of the vote. If this brand is worth 8–11x EBITDA and trades at 5.2x, the most likely resolution is not a public re-rating that minorities enjoy — it is a take-private at a premium that looks generous against the market price and </w:t>
      </w:r>
      <w:r>
        <w:rPr>
          <w:b/>
        </w:rPr>
        <w:t>cheap against intrinsic value</w:t>
      </w:r>
      <w:r>
        <w:t xml:space="preserve">. The contrarian insight is that the asset is undervalued. The contrarian risk is that </w:t>
      </w:r>
      <w:r>
        <w:rPr>
          <w:b/>
        </w:rPr>
        <w:t>someone with control agrees, and acts on it before you are paid properly.</w:t>
      </w:r>
      <w:r/>
      <w:r/>
    </w:p>
    <w:p>
      <w:pPr>
        <w:pStyle w:val="Heading2"/>
      </w:pPr>
      <w:r>
        <w:t>22. Scenario Analysis</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Assumption</w:t>
            </w:r>
          </w:p>
        </w:tc>
        <w:tc>
          <w:tcPr>
            <w:tcW w:type="dxa" w:w="2628"/>
          </w:tcPr>
          <w:p>
            <w:r>
              <w:rPr>
                <w:b/>
              </w:rPr>
              <w:t>Bear</w:t>
            </w:r>
          </w:p>
        </w:tc>
        <w:tc>
          <w:tcPr>
            <w:tcW w:type="dxa" w:w="2628"/>
          </w:tcPr>
          <w:p>
            <w:r>
              <w:rPr>
                <w:b/>
              </w:rPr>
              <w:t>Base</w:t>
            </w:r>
          </w:p>
        </w:tc>
        <w:tc>
          <w:tcPr>
            <w:tcW w:type="dxa" w:w="2628"/>
          </w:tcPr>
          <w:p>
            <w:r>
              <w:rPr>
                <w:b/>
              </w:rPr>
              <w:t>Bull</w:t>
            </w:r>
          </w:p>
        </w:tc>
      </w:tr>
      <w:tr>
        <w:tc>
          <w:tcPr>
            <w:tcW w:type="dxa" w:w="2628"/>
          </w:tcPr>
          <w:p>
            <w:r>
              <w:rPr>
                <w:b/>
              </w:rPr>
              <w:t>FY2028E revenue growth</w:t>
            </w:r>
          </w:p>
        </w:tc>
        <w:tc>
          <w:tcPr>
            <w:tcW w:type="dxa" w:w="2628"/>
          </w:tcPr>
          <w:p>
            <w:r>
              <w:t>-3% (China share loss, DTC decline)</w:t>
            </w:r>
          </w:p>
        </w:tc>
        <w:tc>
          <w:tcPr>
            <w:tcW w:type="dxa" w:w="2628"/>
          </w:tcPr>
          <w:p>
            <w:r>
              <w:t>+4% (price/mix led)</w:t>
            </w:r>
          </w:p>
        </w:tc>
        <w:tc>
          <w:tcPr>
            <w:tcW w:type="dxa" w:w="2628"/>
          </w:tcPr>
          <w:p>
            <w:r>
              <w:t>+8% (category extension compounds)</w:t>
            </w:r>
          </w:p>
        </w:tc>
      </w:tr>
      <w:tr>
        <w:tc>
          <w:tcPr>
            <w:tcW w:type="dxa" w:w="2628"/>
          </w:tcPr>
          <w:p>
            <w:r>
              <w:rPr>
                <w:b/>
              </w:rPr>
              <w:t>Adj. EBIT margin</w:t>
            </w:r>
          </w:p>
        </w:tc>
        <w:tc>
          <w:tcPr>
            <w:tcW w:type="dxa" w:w="2628"/>
          </w:tcPr>
          <w:p>
            <w:r>
              <w:t>7.5% (tariffs unmitigated, SG&amp;A rigid)</w:t>
            </w:r>
          </w:p>
        </w:tc>
        <w:tc>
          <w:tcPr>
            <w:tcW w:type="dxa" w:w="2628"/>
          </w:tcPr>
          <w:p>
            <w:r>
              <w:t>12.5% (guidance delivered, sustained)</w:t>
            </w:r>
          </w:p>
        </w:tc>
        <w:tc>
          <w:tcPr>
            <w:tcW w:type="dxa" w:w="2628"/>
          </w:tcPr>
          <w:p>
            <w:r>
              <w:t>15.0% (operating leverage returns)</w:t>
            </w:r>
          </w:p>
        </w:tc>
      </w:tr>
      <w:tr>
        <w:tc>
          <w:tcPr>
            <w:tcW w:type="dxa" w:w="2628"/>
          </w:tcPr>
          <w:p>
            <w:r>
              <w:rPr>
                <w:b/>
              </w:rPr>
              <w:t>FY2028E adj. EBIT (C$m)</w:t>
            </w:r>
          </w:p>
        </w:tc>
        <w:tc>
          <w:tcPr>
            <w:tcW w:type="dxa" w:w="2628"/>
          </w:tcPr>
          <w:p>
            <w:r>
              <w:t>111</w:t>
            </w:r>
          </w:p>
        </w:tc>
        <w:tc>
          <w:tcPr>
            <w:tcW w:type="dxa" w:w="2628"/>
          </w:tcPr>
          <w:p>
            <w:r>
              <w:t>205</w:t>
            </w:r>
          </w:p>
        </w:tc>
        <w:tc>
          <w:tcPr>
            <w:tcW w:type="dxa" w:w="2628"/>
          </w:tcPr>
          <w:p>
            <w:r>
              <w:t>264</w:t>
            </w:r>
          </w:p>
        </w:tc>
      </w:tr>
      <w:tr>
        <w:tc>
          <w:tcPr>
            <w:tcW w:type="dxa" w:w="2628"/>
          </w:tcPr>
          <w:p>
            <w:r>
              <w:rPr>
                <w:b/>
              </w:rPr>
              <w:t>Implied EBITDA (C$m) (E)</w:t>
            </w:r>
          </w:p>
        </w:tc>
        <w:tc>
          <w:tcPr>
            <w:tcW w:type="dxa" w:w="2628"/>
          </w:tcPr>
          <w:p>
            <w:r>
              <w:t>250</w:t>
            </w:r>
          </w:p>
        </w:tc>
        <w:tc>
          <w:tcPr>
            <w:tcW w:type="dxa" w:w="2628"/>
          </w:tcPr>
          <w:p>
            <w:r>
              <w:t>350</w:t>
            </w:r>
          </w:p>
        </w:tc>
        <w:tc>
          <w:tcPr>
            <w:tcW w:type="dxa" w:w="2628"/>
          </w:tcPr>
          <w:p>
            <w:r>
              <w:t>415</w:t>
            </w:r>
          </w:p>
        </w:tc>
      </w:tr>
      <w:tr>
        <w:tc>
          <w:tcPr>
            <w:tcW w:type="dxa" w:w="2628"/>
          </w:tcPr>
          <w:p>
            <w:r>
              <w:rPr>
                <w:b/>
              </w:rPr>
              <w:t>EV/EBITDA multiple</w:t>
            </w:r>
          </w:p>
        </w:tc>
        <w:tc>
          <w:tcPr>
            <w:tcW w:type="dxa" w:w="2628"/>
          </w:tcPr>
          <w:p>
            <w:r>
              <w:t>4.0x (value trap, no deal)</w:t>
            </w:r>
          </w:p>
        </w:tc>
        <w:tc>
          <w:tcPr>
            <w:tcW w:type="dxa" w:w="2628"/>
          </w:tcPr>
          <w:p>
            <w:r>
              <w:t>6.5x (partial re-rating)</w:t>
            </w:r>
          </w:p>
        </w:tc>
        <w:tc>
          <w:tcPr>
            <w:tcW w:type="dxa" w:w="2628"/>
          </w:tcPr>
          <w:p>
            <w:r>
              <w:t>9.0x (peer-aligned or takeout)</w:t>
            </w:r>
          </w:p>
        </w:tc>
      </w:tr>
      <w:tr>
        <w:tc>
          <w:tcPr>
            <w:tcW w:type="dxa" w:w="2628"/>
          </w:tcPr>
          <w:p>
            <w:r>
              <w:rPr>
                <w:b/>
              </w:rPr>
              <w:t>Implied EV (C$m)</w:t>
            </w:r>
          </w:p>
        </w:tc>
        <w:tc>
          <w:tcPr>
            <w:tcW w:type="dxa" w:w="2628"/>
          </w:tcPr>
          <w:p>
            <w:r>
              <w:t>1,000</w:t>
            </w:r>
          </w:p>
        </w:tc>
        <w:tc>
          <w:tcPr>
            <w:tcW w:type="dxa" w:w="2628"/>
          </w:tcPr>
          <w:p>
            <w:r>
              <w:t>2,275</w:t>
            </w:r>
          </w:p>
        </w:tc>
        <w:tc>
          <w:tcPr>
            <w:tcW w:type="dxa" w:w="2628"/>
          </w:tcPr>
          <w:p>
            <w:r>
              <w:t>3,735</w:t>
            </w:r>
          </w:p>
        </w:tc>
      </w:tr>
      <w:tr>
        <w:tc>
          <w:tcPr>
            <w:tcW w:type="dxa" w:w="2628"/>
          </w:tcPr>
          <w:p>
            <w:r>
              <w:t>Less net debt (C$m)</w:t>
            </w:r>
          </w:p>
        </w:tc>
        <w:tc>
          <w:tcPr>
            <w:tcW w:type="dxa" w:w="2628"/>
          </w:tcPr>
          <w:p>
            <w:r>
              <w:t>(400)</w:t>
            </w:r>
          </w:p>
        </w:tc>
        <w:tc>
          <w:tcPr>
            <w:tcW w:type="dxa" w:w="2628"/>
          </w:tcPr>
          <w:p>
            <w:r>
              <w:t>(350)</w:t>
            </w:r>
          </w:p>
        </w:tc>
        <w:tc>
          <w:tcPr>
            <w:tcW w:type="dxa" w:w="2628"/>
          </w:tcPr>
          <w:p>
            <w:r>
              <w:t>(300)</w:t>
            </w:r>
          </w:p>
        </w:tc>
      </w:tr>
      <w:tr>
        <w:tc>
          <w:tcPr>
            <w:tcW w:type="dxa" w:w="2628"/>
          </w:tcPr>
          <w:p>
            <w:r>
              <w:rPr>
                <w:b/>
              </w:rPr>
              <w:t>Implied equity (C$m)</w:t>
            </w:r>
          </w:p>
        </w:tc>
        <w:tc>
          <w:tcPr>
            <w:tcW w:type="dxa" w:w="2628"/>
          </w:tcPr>
          <w:p>
            <w:r>
              <w:t>600</w:t>
            </w:r>
          </w:p>
        </w:tc>
        <w:tc>
          <w:tcPr>
            <w:tcW w:type="dxa" w:w="2628"/>
          </w:tcPr>
          <w:p>
            <w:r>
              <w:t>1,925</w:t>
            </w:r>
          </w:p>
        </w:tc>
        <w:tc>
          <w:tcPr>
            <w:tcW w:type="dxa" w:w="2628"/>
          </w:tcPr>
          <w:p>
            <w:r>
              <w:t>3,435</w:t>
            </w:r>
          </w:p>
        </w:tc>
      </w:tr>
      <w:tr>
        <w:tc>
          <w:tcPr>
            <w:tcW w:type="dxa" w:w="2628"/>
          </w:tcPr>
          <w:p>
            <w:r>
              <w:t>Diluted shares (m)</w:t>
            </w:r>
          </w:p>
        </w:tc>
        <w:tc>
          <w:tcPr>
            <w:tcW w:type="dxa" w:w="2628"/>
          </w:tcPr>
          <w:p>
            <w:r>
              <w:t>94</w:t>
            </w:r>
          </w:p>
        </w:tc>
        <w:tc>
          <w:tcPr>
            <w:tcW w:type="dxa" w:w="2628"/>
          </w:tcPr>
          <w:p>
            <w:r>
              <w:t>94</w:t>
            </w:r>
          </w:p>
        </w:tc>
        <w:tc>
          <w:tcPr>
            <w:tcW w:type="dxa" w:w="2628"/>
          </w:tcPr>
          <w:p>
            <w:r>
              <w:t>94</w:t>
            </w:r>
          </w:p>
        </w:tc>
      </w:tr>
      <w:tr>
        <w:tc>
          <w:tcPr>
            <w:tcW w:type="dxa" w:w="2628"/>
          </w:tcPr>
          <w:p>
            <w:r>
              <w:rPr>
                <w:b/>
              </w:rPr>
              <w:t>Value per share (C$)</w:t>
            </w:r>
          </w:p>
        </w:tc>
        <w:tc>
          <w:tcPr>
            <w:tcW w:type="dxa" w:w="2628"/>
          </w:tcPr>
          <w:p>
            <w:r>
              <w:rPr>
                <w:b/>
              </w:rPr>
              <w:t>6.38</w:t>
            </w:r>
          </w:p>
        </w:tc>
        <w:tc>
          <w:tcPr>
            <w:tcW w:type="dxa" w:w="2628"/>
          </w:tcPr>
          <w:p>
            <w:r>
              <w:rPr>
                <w:b/>
              </w:rPr>
              <w:t>20.48</w:t>
            </w:r>
          </w:p>
        </w:tc>
        <w:tc>
          <w:tcPr>
            <w:tcW w:type="dxa" w:w="2628"/>
          </w:tcPr>
          <w:p>
            <w:r>
              <w:rPr>
                <w:b/>
              </w:rPr>
              <w:t>36.54</w:t>
            </w:r>
          </w:p>
        </w:tc>
      </w:tr>
      <w:tr>
        <w:tc>
          <w:tcPr>
            <w:tcW w:type="dxa" w:w="2628"/>
          </w:tcPr>
          <w:p>
            <w:r>
              <w:rPr>
                <w:b/>
              </w:rPr>
              <w:t>Value per share (US$)</w:t>
            </w:r>
          </w:p>
        </w:tc>
        <w:tc>
          <w:tcPr>
            <w:tcW w:type="dxa" w:w="2628"/>
          </w:tcPr>
          <w:p>
            <w:r>
              <w:rPr>
                <w:b/>
              </w:rPr>
              <w:t>4.62</w:t>
            </w:r>
          </w:p>
        </w:tc>
        <w:tc>
          <w:tcPr>
            <w:tcW w:type="dxa" w:w="2628"/>
          </w:tcPr>
          <w:p>
            <w:r>
              <w:rPr>
                <w:b/>
              </w:rPr>
              <w:t>14.84</w:t>
            </w:r>
          </w:p>
        </w:tc>
        <w:tc>
          <w:tcPr>
            <w:tcW w:type="dxa" w:w="2628"/>
          </w:tcPr>
          <w:p>
            <w:r>
              <w:rPr>
                <w:b/>
              </w:rPr>
              <w:t>26.48</w:t>
            </w:r>
          </w:p>
        </w:tc>
      </w:tr>
      <w:tr>
        <w:tc>
          <w:tcPr>
            <w:tcW w:type="dxa" w:w="2628"/>
          </w:tcPr>
          <w:p>
            <w:r>
              <w:rPr>
                <w:b/>
              </w:rPr>
              <w:t>Upside / (downside)</w:t>
            </w:r>
          </w:p>
        </w:tc>
        <w:tc>
          <w:tcPr>
            <w:tcW w:type="dxa" w:w="2628"/>
          </w:tcPr>
          <w:p>
            <w:r>
              <w:rPr>
                <w:b/>
              </w:rPr>
              <w:t>-45%</w:t>
            </w:r>
          </w:p>
        </w:tc>
        <w:tc>
          <w:tcPr>
            <w:tcW w:type="dxa" w:w="2628"/>
          </w:tcPr>
          <w:p>
            <w:r>
              <w:rPr>
                <w:b/>
              </w:rPr>
              <w:t>+75%</w:t>
            </w:r>
          </w:p>
        </w:tc>
        <w:tc>
          <w:tcPr>
            <w:tcW w:type="dxa" w:w="2628"/>
          </w:tcPr>
          <w:p>
            <w:r>
              <w:rPr>
                <w:b/>
              </w:rPr>
              <w:t>+213%</w:t>
            </w:r>
          </w:p>
        </w:tc>
      </w:tr>
      <w:tr>
        <w:tc>
          <w:tcPr>
            <w:tcW w:type="dxa" w:w="2628"/>
          </w:tcPr>
          <w:p>
            <w:r>
              <w:rPr>
                <w:b/>
              </w:rPr>
              <w:t>Probability (E)</w:t>
            </w:r>
          </w:p>
        </w:tc>
        <w:tc>
          <w:tcPr>
            <w:tcW w:type="dxa" w:w="2628"/>
          </w:tcPr>
          <w:p>
            <w:r>
              <w:t>30%</w:t>
            </w:r>
          </w:p>
        </w:tc>
        <w:tc>
          <w:tcPr>
            <w:tcW w:type="dxa" w:w="2628"/>
          </w:tcPr>
          <w:p>
            <w:r>
              <w:t>50%</w:t>
            </w:r>
          </w:p>
        </w:tc>
        <w:tc>
          <w:tcPr>
            <w:tcW w:type="dxa" w:w="2628"/>
          </w:tcPr>
          <w:p>
            <w:r>
              <w:t>20%</w:t>
            </w:r>
          </w:p>
        </w:tc>
      </w:tr>
    </w:tbl>
    <w:p>
      <w:r/>
    </w:p>
    <w:p>
      <w:r/>
      <w:r>
        <w:rPr>
          <w:b/>
        </w:rPr>
        <w:t>Probability-weighted value: c.US$12.15 per share (D)</w:t>
      </w:r>
      <w:r>
        <w:t xml:space="preserve">, roughly </w:t>
      </w:r>
      <w:r>
        <w:rPr>
          <w:b/>
        </w:rPr>
        <w:t>44% above</w:t>
      </w:r>
      <w:r>
        <w:t xml:space="preserve"> the c.US$8.46 reference price. Note that the base case of US$14.84 sits almost exactly on the reported 2025 take-private bid level of c.US$14.62 — an independent cross-check that the base case is anchored to what a real buyer was willing to pay.</w:t>
      </w:r>
      <w:r/>
      <w:r>
        <w:rPr>
          <w:b/>
        </w:rPr>
        <w:t>Scenario read.</w:t>
      </w:r>
      <w:r>
        <w:t xml:space="preserve"> The distribution is </w:t>
      </w:r>
      <w:r>
        <w:rPr>
          <w:b/>
        </w:rPr>
        <w:t>positively skewed but genuinely two-sided</w:t>
      </w:r>
      <w:r>
        <w:t xml:space="preserve">. The bear case is not a wipeout (-45%) because the balance sheet is sound and the brand retains value; the bull case requires either a takeout or restored operating leverage. The dominant swing factor across all three is not revenue — it is the </w:t>
      </w:r>
      <w:r>
        <w:rPr>
          <w:b/>
        </w:rPr>
        <w:t>margin assumption</w:t>
      </w:r>
      <w:r>
        <w:t xml:space="preserve">, which spans 7.5% to 15.0%. This is the correct framing for the position: </w:t>
      </w:r>
      <w:r>
        <w:rPr>
          <w:b/>
        </w:rPr>
        <w:t>an option on cost discipline and a controlling shareholder's exit, not a bet on consumer demand.</w:t>
      </w:r>
      <w:r>
        <w:t xml:space="preserve"> Sizing should reflect that the outcome is substantially outside management's control and entirely outside minority shareholders' control.</w:t>
      </w:r>
      <w:r/>
    </w:p>
    <w:p>
      <w:pPr>
        <w:pStyle w:val="Heading2"/>
      </w:pPr>
      <w:r>
        <w:t>23. Fifteen Questions for the CEO / Chairman</w:t>
      </w:r>
      <w:r/>
    </w:p>
    <w:p>
      <w:r/>
      <w:r>
        <w:t>Ordered by information value — the first five would most change a valuation model.</w:t>
      </w:r>
      <w:r/>
      <w:r/>
    </w:p>
    <w:p>
      <w:pPr>
        <w:pStyle w:val="ListNumber"/>
        <w:spacing w:line="240" w:lineRule="auto"/>
        <w:ind w:left="720"/>
      </w:pPr>
      <w:r/>
      <w:r>
        <w:rPr>
          <w:b/>
        </w:rPr>
        <w:t>The Bain process has been outstanding for roughly a year without resolution. Is it still live, and if a transaction is proposed, will the board form a special committee of independent directors empowered to negotiate on behalf of minority shareholders and to reject an inadequate price?</w:t>
      </w:r>
      <w:r/>
    </w:p>
    <w:p>
      <w:pPr>
        <w:pStyle w:val="ListNumber"/>
        <w:spacing w:line="240" w:lineRule="auto"/>
        <w:ind w:left="720"/>
      </w:pPr>
      <w:r/>
      <w:r>
        <w:rPr>
          <w:b/>
        </w:rPr>
        <w:t>DTC comparable sales went from +8.4% in FY2026 to -3.2% in Q1 FY2027. How much of that is store traffic versus conversion versus price elasticity — and at what comp level does a store become a closure candidate rather than an impairment?</w:t>
      </w:r>
      <w:r/>
    </w:p>
    <w:p>
      <w:pPr>
        <w:pStyle w:val="ListNumber"/>
        <w:spacing w:line="240" w:lineRule="auto"/>
        <w:ind w:left="720"/>
      </w:pPr>
      <w:r/>
      <w:r>
        <w:rPr>
          <w:b/>
        </w:rPr>
        <w:t>FY2026 SG&amp;A rose 25.4% against 13.3% revenue growth. Please quantify precisely how much of the C$197.7m increase was discrete — the supplier arbitration, the U.S. wholesale bad debt, the C$8.4m impairment — versus permanent run-rate. What is the true FY2027 SG&amp;A base?</w:t>
      </w:r>
      <w:r/>
    </w:p>
    <w:p>
      <w:pPr>
        <w:pStyle w:val="ListNumber"/>
        <w:spacing w:line="240" w:lineRule="auto"/>
        <w:ind w:left="720"/>
      </w:pPr>
      <w:r/>
      <w:r>
        <w:rPr>
          <w:b/>
        </w:rPr>
        <w:t>What gross margin do rainwear, windwear and apparel carry relative to the c.70% group average? If de-seasonalisation succeeds, does group gross margin structurally decline?</w:t>
      </w:r>
      <w:r/>
    </w:p>
    <w:p>
      <w:pPr>
        <w:pStyle w:val="ListNumber"/>
        <w:spacing w:line="240" w:lineRule="auto"/>
        <w:ind w:left="720"/>
      </w:pPr>
      <w:r/>
      <w:r>
        <w:rPr>
          <w:b/>
        </w:rPr>
        <w:t>You guide to 11–12% adjusted EBIT margin while assuming softer traffic, weaker consumer confidence and lower travel. What is the volume decline at which that margin target becomes unachievable?</w:t>
      </w:r>
      <w:r/>
    </w:p>
    <w:p>
      <w:pPr>
        <w:pStyle w:val="ListNumber"/>
        <w:spacing w:line="240" w:lineRule="auto"/>
        <w:ind w:left="720"/>
      </w:pPr>
      <w:r/>
      <w:r>
        <w:rPr>
          <w:b/>
        </w:rPr>
        <w:t>Why does the company not disclose EBIT by channel? Investors cannot assess whether incremental DTC stores earn their cost of capital. Will you commit to segment profitability disclosure?</w:t>
      </w:r>
      <w:r/>
    </w:p>
    <w:p>
      <w:pPr>
        <w:pStyle w:val="ListNumber"/>
        <w:spacing w:line="240" w:lineRule="auto"/>
        <w:ind w:left="720"/>
      </w:pPr>
      <w:r/>
      <w:r>
        <w:rPr>
          <w:b/>
        </w:rPr>
        <w:t>Greater China is 32.6% of revenue. What is your assessment of share loss to Bosideng and domestic premium brands, and what would cause you to conclude the Chinese consumer's relationship with the brand has structurally changed?</w:t>
      </w:r>
      <w:r/>
    </w:p>
    <w:p>
      <w:pPr>
        <w:pStyle w:val="ListNumber"/>
        <w:spacing w:line="240" w:lineRule="auto"/>
        <w:ind w:left="720"/>
      </w:pPr>
      <w:r/>
      <w:r>
        <w:rPr>
          <w:b/>
        </w:rPr>
        <w:t>On the July 2026 proposed U.S. duties: what specific mitigation is available given that "Made in Canada" is inseparable from the brand proposition, and what portion of the sub-200bps impact can realistically be offset?</w:t>
      </w:r>
      <w:r/>
    </w:p>
    <w:p>
      <w:pPr>
        <w:pStyle w:val="ListNumber"/>
        <w:spacing w:line="240" w:lineRule="auto"/>
        <w:ind w:left="720"/>
      </w:pPr>
      <w:r/>
      <w:r>
        <w:rPr>
          <w:b/>
        </w:rPr>
        <w:t>The company repurchased shares at a weighted average of C$21.31 in FY2023 against a current price near C$11.67. What is your framework for buybacks versus debt reduction versus reinvestment, and at what price do buybacks stop being the best use of capital?</w:t>
      </w:r>
      <w:r/>
    </w:p>
    <w:p>
      <w:pPr>
        <w:pStyle w:val="ListNumber"/>
        <w:spacing w:line="240" w:lineRule="auto"/>
        <w:ind w:left="720"/>
      </w:pPr>
      <w:r/>
      <w:r>
        <w:rPr>
          <w:b/>
        </w:rPr>
        <w:t>Every buyback retires only subordinate voting shares, mechanically increasing Bain's and your combined voting power. Is that an intended consequence, and how does the board weigh it?</w:t>
      </w:r>
      <w:r/>
    </w:p>
    <w:p>
      <w:pPr>
        <w:pStyle w:val="ListNumber"/>
        <w:spacing w:line="240" w:lineRule="auto"/>
        <w:ind w:left="720"/>
      </w:pPr>
      <w:r/>
      <w:r>
        <w:rPr>
          <w:b/>
        </w:rPr>
        <w:t>Baffin was acquired in 2018 for C$32.5m and sold in 2026. What was the realised proceeds and return, and what did the eight-year experience teach you about acquiring capability versus building it?</w:t>
      </w:r>
      <w:r/>
    </w:p>
    <w:p>
      <w:pPr>
        <w:pStyle w:val="ListNumber"/>
        <w:spacing w:line="240" w:lineRule="auto"/>
        <w:ind w:left="720"/>
      </w:pPr>
      <w:r/>
      <w:r>
        <w:rPr>
          <w:b/>
        </w:rPr>
        <w:t>Adjusted FY2026 EPS was C$0.78 against reported EPS of C$0.23 — 3.4x. Which of those figures do you consider representative of the earning power of this business?</w:t>
      </w:r>
      <w:r/>
    </w:p>
    <w:p>
      <w:pPr>
        <w:pStyle w:val="ListNumber"/>
        <w:spacing w:line="240" w:lineRule="auto"/>
        <w:ind w:left="720"/>
      </w:pPr>
      <w:r/>
      <w:r>
        <w:rPr>
          <w:b/>
        </w:rPr>
        <w:t>The 2026 AGM approved a material increase to the equity incentive plan in a year when reported EPS fell 76%. How does the board reconcile that with pay-for-performance?</w:t>
      </w:r>
      <w:r/>
    </w:p>
    <w:p>
      <w:pPr>
        <w:pStyle w:val="ListNumber"/>
        <w:spacing w:line="240" w:lineRule="auto"/>
        <w:ind w:left="720"/>
      </w:pPr>
      <w:r/>
      <w:r>
        <w:rPr>
          <w:b/>
        </w:rPr>
        <w:t>Consolidating design under the President, Brand &amp; Commercial subordinates product to commercial decision-making. How do you protect the brand heat that justifies a c.70% gross margin?</w:t>
      </w:r>
      <w:r/>
    </w:p>
    <w:p>
      <w:pPr>
        <w:pStyle w:val="ListNumber"/>
        <w:spacing w:line="240" w:lineRule="auto"/>
        <w:ind w:left="720"/>
      </w:pPr>
      <w:r/>
      <w:r>
        <w:rPr>
          <w:b/>
        </w:rPr>
        <w:t>Twenty-five years as CEO and 36% of the voting power: what is your succession plan, and under what circumstances would you support a sale of the company?</w:t>
      </w:r>
      <w:r/>
      <w:r/>
    </w:p>
    <w:p>
      <w:pPr>
        <w:pStyle w:val="Heading2"/>
      </w:pPr>
      <w:r>
        <w:t>24. Short-Seller and Forensic Analysis</w:t>
      </w:r>
      <w:r/>
    </w:p>
    <w:p>
      <w:pPr>
        <w:pStyle w:val="Heading3"/>
      </w:pPr>
      <w:r>
        <w:t>24.1 What could structurally break the way this company makes money</w:t>
      </w:r>
      <w:r/>
      <w:r/>
    </w:p>
    <w:p>
      <w:pPr>
        <w:pStyle w:val="ListBullet"/>
        <w:spacing w:line="240" w:lineRule="auto"/>
        <w:ind w:left="720"/>
      </w:pPr>
      <w:r/>
      <w:r>
        <w:rPr>
          <w:b/>
        </w:rPr>
        <w:t>The durability paradox.</w:t>
      </w:r>
      <w:r>
        <w:t xml:space="preserve"> Canada Goose sells a C$1,100–1,800 product engineered to last a decade, into a finite population of cold-climate consumers. Once a market is penetrated, replacement demand is structurally weak. Canada — the most penetrated market — grew slowest. </w:t>
      </w:r>
      <w:r>
        <w:rPr>
          <w:b/>
        </w:rPr>
        <w:t>The business model requires perpetual new-market or new-category conquest simply to stand still.</w:t>
      </w:r>
      <w:r/>
    </w:p>
    <w:p>
      <w:pPr>
        <w:pStyle w:val="ListBullet"/>
        <w:spacing w:line="240" w:lineRule="auto"/>
        <w:ind w:left="720"/>
      </w:pPr>
      <w:r/>
      <w:r>
        <w:rPr>
          <w:b/>
        </w:rPr>
        <w:t>The fixed-cost trap.</w:t>
      </w:r>
      <w:r>
        <w:t xml:space="preserve"> 88 stores, owned Canadian factories and expanded corporate functions must be paid for twelve months a year by a business that earns in roughly four. Q1's -87.3% adjusted EBIT margin is the structural reality. </w:t>
      </w:r>
      <w:r>
        <w:rPr>
          <w:b/>
        </w:rPr>
        <w:t>Any sustained volume decline hits an almost entirely fixed cost base.</w:t>
      </w:r>
      <w:r/>
    </w:p>
    <w:p>
      <w:pPr>
        <w:pStyle w:val="ListBullet"/>
        <w:spacing w:line="240" w:lineRule="auto"/>
        <w:ind w:left="720"/>
      </w:pPr>
      <w:r/>
      <w:r>
        <w:rPr>
          <w:b/>
        </w:rPr>
        <w:t>Logo risk.</w:t>
      </w:r>
      <w:r>
        <w:t xml:space="preserve"> The brand's value rests on a visible arm patch. Premium outerwear brands have historically moved from aspirational to ubiquitous to declassé — and the transition is rapid and irreversible. There is no financial metric that gives advance warning.</w:t>
      </w:r>
      <w:r/>
      <w:r/>
    </w:p>
    <w:p>
      <w:pPr>
        <w:pStyle w:val="Heading3"/>
      </w:pPr>
      <w:r>
        <w:t>24.2 Revenue concentration and what happens if it shifts</w:t>
      </w:r>
      <w:r/>
    </w:p>
    <w:p>
      <w:r/>
      <w:r>
        <w:rPr>
          <w:b/>
        </w:rPr>
        <w:t>Greater China: C$498.3m, 32.6% of revenue.</w:t>
      </w:r>
      <w:r>
        <w:t xml:space="preserve"> A 20% decline there removes c.C$100m of revenue at c.70% incremental margin — roughly </w:t>
      </w:r>
      <w:r>
        <w:rPr>
          <w:b/>
        </w:rPr>
        <w:t>C$70m of gross profit, equal to 47% of FY2026 adjusted EBIT</w:t>
      </w:r>
      <w:r>
        <w:t>, against a fixed cost base that would not adjust within the year. Channel concentration compounds it: DTC is 75.7% of revenue, so a store-traffic problem is a company problem. The FY2026 bad-debt provision demonstrates that even the smaller wholesale channel carries live counterparty concentration.</w:t>
      </w:r>
      <w:r/>
    </w:p>
    <w:p>
      <w:pPr>
        <w:pStyle w:val="Heading3"/>
      </w:pPr>
      <w:r>
        <w:t>24.3 Why the moat is weaker than bulls think</w:t>
      </w:r>
      <w:r/>
    </w:p>
    <w:p>
      <w:r/>
      <w:r>
        <w:t xml:space="preserve">Bulls point to c.70% gross margin as proof of moat. That margin measures </w:t>
      </w:r>
      <w:r>
        <w:rPr>
          <w:b/>
        </w:rPr>
        <w:t>product pricing power, not business quality</w:t>
      </w:r>
      <w:r>
        <w:t xml:space="preserve">. Below it, FY2026 operating margin was 5.8% and net margin 1.5%. A moat that produces a 1.5% net margin is not protecting shareholders. And the moat does not travel: it is category-specific to extreme-cold outerwear, precisely the category the company is diversifying </w:t>
      </w:r>
      <w:r>
        <w:rPr>
          <w:i/>
        </w:rPr>
        <w:t>away</w:t>
      </w:r>
      <w:r>
        <w:t xml:space="preserve"> from. Every dollar of rainwear revenue is a dollar earned </w:t>
      </w:r>
      <w:r>
        <w:rPr>
          <w:b/>
        </w:rPr>
        <w:t>outside</w:t>
      </w:r>
      <w:r>
        <w:t xml:space="preserve"> the moat.</w:t>
      </w:r>
      <w:r/>
    </w:p>
    <w:p>
      <w:pPr>
        <w:pStyle w:val="Heading3"/>
      </w:pPr>
      <w:r>
        <w:t>24.4 The most dangerous competitor bulls underestimate</w:t>
      </w:r>
      <w:r/>
    </w:p>
    <w:p>
      <w:r/>
      <w:r>
        <w:rPr>
          <w:b/>
        </w:rPr>
        <w:t>Bosideng (HKG: 3998)</w:t>
      </w:r>
      <w:r>
        <w:t xml:space="preserve"> — not Moncler. Bulls benchmark against Moncler because it flatters the valuation gap. But Moncler competes for a European luxury consumer largely above Canada Goose's price band. Bosideng attacks the company's </w:t>
      </w:r>
      <w:r>
        <w:rPr>
          <w:b/>
        </w:rPr>
        <w:t>single largest market from a home-field position</w:t>
      </w:r>
      <w:r>
        <w:t xml:space="preserve">, with c.US$3.6bn of revenue (more than double Canada Goose), a multi-tier brand portfolio covering mass through luxury (Bosideng, Snow Flying, Bogner), domestic manufacturing, distribution depth and no tariff exposure — while benefiting from rising Chinese consumer preference for domestic brands. It also has the balance sheet to acquire Canada Goose outright, and was reported among the bidders. </w:t>
      </w:r>
      <w:r>
        <w:rPr>
          <w:b/>
        </w:rPr>
        <w:t>The most dangerous competitor is one that can either take your market or take your company.</w:t>
      </w:r>
      <w:r/>
    </w:p>
    <w:p>
      <w:pPr>
        <w:pStyle w:val="Heading3"/>
      </w:pPr>
      <w:r>
        <w:t>24.5 Worst capital allocation decisions</w:t>
      </w:r>
      <w:r/>
      <w:r/>
    </w:p>
    <w:p>
      <w:pPr>
        <w:pStyle w:val="ListNumber"/>
        <w:spacing w:line="240" w:lineRule="auto"/>
        <w:ind w:left="720"/>
      </w:pPr>
      <w:r/>
      <w:r>
        <w:rPr>
          <w:b/>
        </w:rPr>
        <w:t>Buybacks at C$21.31 against a C$11.67 share price</w:t>
      </w:r>
      <w:r>
        <w:t xml:space="preserve"> — c.C$111m deployed in FY2023 alone, now c.45% underwater.</w:t>
      </w:r>
      <w:r/>
    </w:p>
    <w:p>
      <w:pPr>
        <w:pStyle w:val="ListNumber"/>
        <w:spacing w:line="240" w:lineRule="auto"/>
        <w:ind w:left="720"/>
      </w:pPr>
      <w:r/>
      <w:r>
        <w:rPr>
          <w:b/>
        </w:rPr>
        <w:t>The FY2026 SG&amp;A expansion</w:t>
      </w:r>
      <w:r>
        <w:t xml:space="preserve"> — C$197.7m of additional spend producing a C$75.3m </w:t>
      </w:r>
      <w:r>
        <w:rPr>
          <w:i/>
        </w:rPr>
        <w:t>decline</w:t>
      </w:r>
      <w:r>
        <w:t xml:space="preserve"> in operating income.</w:t>
      </w:r>
      <w:r/>
    </w:p>
    <w:p>
      <w:pPr>
        <w:pStyle w:val="ListNumber"/>
        <w:spacing w:line="240" w:lineRule="auto"/>
        <w:ind w:left="720"/>
      </w:pPr>
      <w:r/>
      <w:r>
        <w:rPr>
          <w:b/>
        </w:rPr>
        <w:t>Store expansion into declining comps</w:t>
      </w:r>
      <w:r>
        <w:t xml:space="preserve"> — 9 net new stores in FY2026 alongside an C$8.4m impairment, then negative comps the following quarter.</w:t>
      </w:r>
      <w:r/>
    </w:p>
    <w:p>
      <w:pPr>
        <w:pStyle w:val="ListNumber"/>
        <w:spacing w:line="240" w:lineRule="auto"/>
        <w:ind w:left="720"/>
      </w:pPr>
      <w:r/>
      <w:r>
        <w:rPr>
          <w:b/>
        </w:rPr>
        <w:t>Baffin</w:t>
      </w:r>
      <w:r>
        <w:t xml:space="preserve"> — C$32.5m and eight years of management attention, unwound at an undisclosed (and undisclosed-for-a-reason) price.</w:t>
      </w:r>
      <w:r/>
      <w:r/>
    </w:p>
    <w:p>
      <w:pPr>
        <w:pStyle w:val="Heading3"/>
      </w:pPr>
      <w:r>
        <w:t>24.6 Accounting red flags and forensic concerns</w:t>
      </w:r>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Area</w:t>
            </w:r>
          </w:p>
        </w:tc>
        <w:tc>
          <w:tcPr>
            <w:tcW w:type="dxa" w:w="3504"/>
          </w:tcPr>
          <w:p>
            <w:r>
              <w:rPr>
                <w:b/>
              </w:rPr>
              <w:t>Severity</w:t>
            </w:r>
          </w:p>
        </w:tc>
        <w:tc>
          <w:tcPr>
            <w:tcW w:type="dxa" w:w="3504"/>
          </w:tcPr>
          <w:p>
            <w:r>
              <w:rPr>
                <w:b/>
              </w:rPr>
              <w:t>Concern</w:t>
            </w:r>
          </w:p>
        </w:tc>
      </w:tr>
      <w:tr>
        <w:tc>
          <w:tcPr>
            <w:tcW w:type="dxa" w:w="3504"/>
          </w:tcPr>
          <w:p>
            <w:r>
              <w:rPr>
                <w:b/>
              </w:rPr>
              <w:t>Non-GAAP gap</w:t>
            </w:r>
          </w:p>
        </w:tc>
        <w:tc>
          <w:tcPr>
            <w:tcW w:type="dxa" w:w="3504"/>
          </w:tcPr>
          <w:p>
            <w:r>
              <w:rPr>
                <w:b/>
              </w:rPr>
              <w:t>High</w:t>
            </w:r>
          </w:p>
        </w:tc>
        <w:tc>
          <w:tcPr>
            <w:tcW w:type="dxa" w:w="3504"/>
          </w:tcPr>
          <w:p>
            <w:r>
              <w:rPr>
                <w:b/>
              </w:rPr>
              <w:t>The single largest forensic concern.</w:t>
            </w:r>
            <w:r>
              <w:t xml:space="preserve"> FY2026 adjusted EPS of C$0.78 versus reported C$0.23 — adjusted earnings are </w:t>
            </w:r>
            <w:r>
              <w:rPr>
                <w:b/>
              </w:rPr>
              <w:t>3.4x</w:t>
            </w:r>
            <w:r>
              <w:t xml:space="preserve"> reported. The gap widened sharply from FY2025 (C$1.12 vs C$0.97, 1.15x). A widening adjusted-to-reported gap in a deteriorating year is the classic pattern of adjustments being used to preserve a narrative. Note also that the C$8.4m store impairment was cited as a driver of the </w:t>
            </w:r>
            <w:r>
              <w:rPr>
                <w:i/>
              </w:rPr>
              <w:t>adjusted</w:t>
            </w:r>
            <w:r>
              <w:t xml:space="preserve"> EBIT margin decline — if impairments reduce adjusted EBIT, the add-back policy needs explaining; if they do not, the attribution is wrong. Either way it warrants scrutiny.</w:t>
            </w:r>
          </w:p>
        </w:tc>
      </w:tr>
      <w:tr>
        <w:tc>
          <w:tcPr>
            <w:tcW w:type="dxa" w:w="3504"/>
          </w:tcPr>
          <w:p>
            <w:r>
              <w:rPr>
                <w:b/>
              </w:rPr>
              <w:t>Segment reporting</w:t>
            </w:r>
          </w:p>
        </w:tc>
        <w:tc>
          <w:tcPr>
            <w:tcW w:type="dxa" w:w="3504"/>
          </w:tcPr>
          <w:p>
            <w:r>
              <w:rPr>
                <w:b/>
              </w:rPr>
              <w:t>High</w:t>
            </w:r>
          </w:p>
        </w:tc>
        <w:tc>
          <w:tcPr>
            <w:tcW w:type="dxa" w:w="3504"/>
          </w:tcPr>
          <w:p>
            <w:r>
              <w:t xml:space="preserve">Revenue is disclosed by channel and geography; </w:t>
            </w:r>
            <w:r>
              <w:rPr>
                <w:b/>
              </w:rPr>
              <w:t>profitability is not disclosed for either</w:t>
            </w:r>
            <w:r>
              <w:t xml:space="preserve"> . Investors cannot determine whether DTC stores earn their cost of capital — the precise question raised by nine new stores, an impairment, and negative comps. This is a material disclosure deficiency.</w:t>
            </w:r>
          </w:p>
        </w:tc>
      </w:tr>
      <w:tr>
        <w:tc>
          <w:tcPr>
            <w:tcW w:type="dxa" w:w="3504"/>
          </w:tcPr>
          <w:p>
            <w:r>
              <w:rPr>
                <w:b/>
              </w:rPr>
              <w:t>SG&amp;A composition</w:t>
            </w:r>
          </w:p>
        </w:tc>
        <w:tc>
          <w:tcPr>
            <w:tcW w:type="dxa" w:w="3504"/>
          </w:tcPr>
          <w:p>
            <w:r>
              <w:rPr>
                <w:b/>
              </w:rPr>
              <w:t>High</w:t>
            </w:r>
          </w:p>
        </w:tc>
        <w:tc>
          <w:tcPr>
            <w:tcW w:type="dxa" w:w="3504"/>
          </w:tcPr>
          <w:p>
            <w:r>
              <w:t xml:space="preserve">A 25.4% increase attributed to a mix of "strategic investments" and discrete items (supplier arbitration, U.S. wholesale bad debt, store impairment) </w:t>
            </w:r>
            <w:r>
              <w:rPr>
                <w:b/>
              </w:rPr>
              <w:t>without quantification of each</w:t>
            </w:r>
            <w:r>
              <w:t xml:space="preserve"> . Bundling recurring and non-recurring costs into one narrative line prevents investors from establishing the true run-rate — and the FY2027 margin guidance depends entirely on that distinction.</w:t>
            </w:r>
          </w:p>
        </w:tc>
      </w:tr>
      <w:tr>
        <w:tc>
          <w:tcPr>
            <w:tcW w:type="dxa" w:w="3504"/>
          </w:tcPr>
          <w:p>
            <w:r>
              <w:rPr>
                <w:b/>
              </w:rPr>
              <w:t>Receivables / revenue recognition</w:t>
            </w:r>
          </w:p>
        </w:tc>
        <w:tc>
          <w:tcPr>
            <w:tcW w:type="dxa" w:w="3504"/>
          </w:tcPr>
          <w:p>
            <w:r>
              <w:t>Medium</w:t>
            </w:r>
          </w:p>
        </w:tc>
        <w:tc>
          <w:tcPr>
            <w:tcW w:type="dxa" w:w="3504"/>
          </w:tcPr>
          <w:p>
            <w:r>
              <w:t xml:space="preserve">A bad-debt provision against a U.S. wholesale partner in FY2026, followed by a </w:t>
            </w:r>
            <w:r>
              <w:rPr>
                <w:b/>
              </w:rPr>
              <w:t>65% wholesale surge</w:t>
            </w:r>
            <w:r>
              <w:t xml:space="preserve"> in Q1 FY2027, with management noting earlier shipment timing. Recognising revenue on early shipments into a channel that just produced a credit loss requires monitoring of receivables ageing and any subsequent provisions. Watch for returns and allowance movements.</w:t>
            </w:r>
          </w:p>
        </w:tc>
      </w:tr>
      <w:tr>
        <w:tc>
          <w:tcPr>
            <w:tcW w:type="dxa" w:w="3504"/>
          </w:tcPr>
          <w:p>
            <w:r>
              <w:rPr>
                <w:b/>
              </w:rPr>
              <w:t>Leases</w:t>
            </w:r>
          </w:p>
        </w:tc>
        <w:tc>
          <w:tcPr>
            <w:tcW w:type="dxa" w:w="3504"/>
          </w:tcPr>
          <w:p>
            <w:r>
              <w:t>Medium</w:t>
            </w:r>
          </w:p>
        </w:tc>
        <w:tc>
          <w:tcPr>
            <w:tcW w:type="dxa" w:w="3504"/>
          </w:tcPr>
          <w:p>
            <w:r>
              <w:t xml:space="preserve">C$374.6m of lease liabilities, up 13.2%, excluded from the headline 1.3x net leverage. Including leases, leverage is c. </w:t>
            </w:r>
            <w:r>
              <w:rPr>
                <w:b/>
              </w:rPr>
              <w:t>2.6x (D)</w:t>
            </w:r>
            <w:r>
              <w:t xml:space="preserve"> . The C$8.4m impairment indicates some right-of-use assets are carried above recoverable value; further impairments are likely if comps stay negative.</w:t>
            </w:r>
          </w:p>
        </w:tc>
      </w:tr>
      <w:tr>
        <w:tc>
          <w:tcPr>
            <w:tcW w:type="dxa" w:w="3504"/>
          </w:tcPr>
          <w:p>
            <w:r>
              <w:rPr>
                <w:b/>
              </w:rPr>
              <w:t>Stock-based compensation</w:t>
            </w:r>
          </w:p>
        </w:tc>
        <w:tc>
          <w:tcPr>
            <w:tcW w:type="dxa" w:w="3504"/>
          </w:tcPr>
          <w:p>
            <w:r>
              <w:t>Medium</w:t>
            </w:r>
          </w:p>
        </w:tc>
        <w:tc>
          <w:tcPr>
            <w:tcW w:type="dxa" w:w="3504"/>
          </w:tcPr>
          <w:p>
            <w:r>
              <w:t xml:space="preserve">The 2026 AGM approved a </w:t>
            </w:r>
            <w:r>
              <w:rPr>
                <w:b/>
              </w:rPr>
              <w:t>material increase to the equity incentive plan</w:t>
            </w:r>
            <w:r>
              <w:t xml:space="preserve"> in a year reported EPS fell 76%. Dilution partially offsets buybacks; the interaction of the two should be modelled together, not separately.</w:t>
            </w:r>
          </w:p>
        </w:tc>
      </w:tr>
      <w:tr>
        <w:tc>
          <w:tcPr>
            <w:tcW w:type="dxa" w:w="3504"/>
          </w:tcPr>
          <w:p>
            <w:r>
              <w:rPr>
                <w:b/>
              </w:rPr>
              <w:t>Contingencies</w:t>
            </w:r>
          </w:p>
        </w:tc>
        <w:tc>
          <w:tcPr>
            <w:tcW w:type="dxa" w:w="3504"/>
          </w:tcPr>
          <w:p>
            <w:r>
              <w:t>Medium</w:t>
            </w:r>
          </w:p>
        </w:tc>
        <w:tc>
          <w:tcPr>
            <w:tcW w:type="dxa" w:w="3504"/>
          </w:tcPr>
          <w:p>
            <w:r>
              <w:t>An arbitration payment to a former supplier, material enough to move full-year SG&amp;A, was disclosed only after the fact. This raises the question of what other contingent liabilities exist and how they are disclosed prior to crystallisation.</w:t>
            </w:r>
          </w:p>
        </w:tc>
      </w:tr>
      <w:tr>
        <w:tc>
          <w:tcPr>
            <w:tcW w:type="dxa" w:w="3504"/>
          </w:tcPr>
          <w:p>
            <w:r>
              <w:rPr>
                <w:b/>
              </w:rPr>
              <w:t>Related parties</w:t>
            </w:r>
          </w:p>
        </w:tc>
        <w:tc>
          <w:tcPr>
            <w:tcW w:type="dxa" w:w="3504"/>
          </w:tcPr>
          <w:p>
            <w:r>
              <w:t>Medium</w:t>
            </w:r>
          </w:p>
        </w:tc>
        <w:tc>
          <w:tcPr>
            <w:tcW w:type="dxa" w:w="3504"/>
          </w:tcPr>
          <w:p>
            <w:r>
              <w:t>No specific transactions identified. The structural conflict is real: Bain-affiliated directors sit on the board while Bain markets its controlling stake. Uncompensated board service by Cotton and Davis mitigates but does not remove it.</w:t>
            </w:r>
          </w:p>
        </w:tc>
      </w:tr>
      <w:tr>
        <w:tc>
          <w:tcPr>
            <w:tcW w:type="dxa" w:w="3504"/>
          </w:tcPr>
          <w:p>
            <w:r>
              <w:rPr>
                <w:b/>
              </w:rPr>
              <w:t>Goodwill / intangibles</w:t>
            </w:r>
          </w:p>
        </w:tc>
        <w:tc>
          <w:tcPr>
            <w:tcW w:type="dxa" w:w="3504"/>
          </w:tcPr>
          <w:p>
            <w:r>
              <w:t>Low–Medium</w:t>
            </w:r>
          </w:p>
        </w:tc>
        <w:tc>
          <w:tcPr>
            <w:tcW w:type="dxa" w:w="3504"/>
          </w:tcPr>
          <w:p>
            <w:r>
              <w:t>Baffin-related goodwill and intangibles from the 2018 acquisition; the disposal at an undisclosed price may crystallise a loss. Watch for a disposal loss in H1 FY2027.</w:t>
            </w:r>
          </w:p>
        </w:tc>
      </w:tr>
      <w:tr>
        <w:tc>
          <w:tcPr>
            <w:tcW w:type="dxa" w:w="3504"/>
          </w:tcPr>
          <w:p>
            <w:r>
              <w:rPr>
                <w:b/>
              </w:rPr>
              <w:t>Inventory</w:t>
            </w:r>
          </w:p>
        </w:tc>
        <w:tc>
          <w:tcPr>
            <w:tcW w:type="dxa" w:w="3504"/>
          </w:tcPr>
          <w:p>
            <w:r>
              <w:t>Low — positive</w:t>
            </w:r>
          </w:p>
        </w:tc>
        <w:tc>
          <w:tcPr>
            <w:tcW w:type="dxa" w:w="3504"/>
          </w:tcPr>
          <w:p>
            <w:r>
              <w:t xml:space="preserve">Flat at C$386.3m on 13.3% revenue growth. Genuinely reassuring and inconsistent with a demand collapse. </w:t>
            </w:r>
            <w:r>
              <w:rPr>
                <w:b/>
              </w:rPr>
              <w:t>The strongest single counter to the bear case.</w:t>
            </w:r>
          </w:p>
        </w:tc>
      </w:tr>
      <w:tr>
        <w:tc>
          <w:tcPr>
            <w:tcW w:type="dxa" w:w="3504"/>
          </w:tcPr>
          <w:p>
            <w:r>
              <w:rPr>
                <w:b/>
              </w:rPr>
              <w:t>NCI opacity</w:t>
            </w:r>
          </w:p>
        </w:tc>
        <w:tc>
          <w:tcPr>
            <w:tcW w:type="dxa" w:w="3504"/>
          </w:tcPr>
          <w:p>
            <w:r>
              <w:t>Low</w:t>
            </w:r>
          </w:p>
        </w:tc>
        <w:tc>
          <w:tcPr>
            <w:tcW w:type="dxa" w:w="3504"/>
          </w:tcPr>
          <w:p>
            <w:r>
              <w:t>Net income attributable to shareholders is distinguished from group net income, implying non-controlling interests whose underlying entities were not identifiable in accessible sources.</w:t>
            </w:r>
          </w:p>
        </w:tc>
      </w:tr>
    </w:tbl>
    <w:p>
      <w:r/>
    </w:p>
    <w:p>
      <w:pPr>
        <w:pStyle w:val="Heading3"/>
      </w:pPr>
      <w:r>
        <w:t>24.7 What must hold for the current price to be justified — and the sensitivity</w:t>
      </w:r>
      <w:r/>
    </w:p>
    <w:p>
      <w:r/>
      <w:r>
        <w:rPr>
          <w:b/>
        </w:rPr>
        <w:t>To justify c.US$8.46</w:t>
      </w:r>
      <w:r>
        <w:t xml:space="preserve">, the market need only assume: FY2027 adjusted EBIT margin of c.9–10% (below guidance), low-single-digit revenue growth fading to zero, and no transaction. In other words, </w:t>
      </w:r>
      <w:r>
        <w:rPr>
          <w:b/>
        </w:rPr>
        <w:t>the current price already embeds guidance failure</w:t>
      </w:r>
      <w:r>
        <w:t>. This is a low bar, and it is the strongest argument for the long side.</w:t>
      </w:r>
      <w:r/>
    </w:p>
    <w:p>
      <w:r/>
      <w:r>
        <w:rPr>
          <w:b/>
        </w:rPr>
        <w:t>If growth disappoints by 20–30%</w:t>
      </w:r>
      <w:r>
        <w:t xml:space="preserve"> — say FY2028 revenue of c.C$1,520m instead of C$1,638m — the revenue shortfall of c.C$118m at c.70% incremental gross margin removes c.C$83m of gross profit against a largely fixed cost base. Adjusted EBIT would fall from C$205m to roughly </w:t>
      </w:r>
      <w:r>
        <w:rPr>
          <w:b/>
        </w:rPr>
        <w:t>C$122m (E)</w:t>
      </w:r>
      <w:r>
        <w:t xml:space="preserve">, a 40% decline, and the margin from 12.5% to c.8.0%. On a compressed 5.0x EBITDA multiple, equity value falls to roughly </w:t>
      </w:r>
      <w:r>
        <w:rPr>
          <w:b/>
        </w:rPr>
        <w:t>US$5.50–6.00 per share, c.30–35% below the current price.</w:t>
      </w:r>
      <w:r>
        <w:t xml:space="preserve"> The operating leverage works violently in both directions.</w:t>
      </w:r>
      <w:r/>
    </w:p>
    <w:p>
      <w:pPr>
        <w:pStyle w:val="Heading3"/>
      </w:pPr>
      <w:r>
        <w:t>24.8 The single scenario that would permanently impair the business</w:t>
      </w:r>
      <w:r/>
      <w:r/>
      <w:r>
        <w:rPr>
          <w:b/>
        </w:rPr>
        <w:t>Scenario:</w:t>
      </w:r>
      <w:r>
        <w:t xml:space="preserve"> The brand loses aspirational status in Greater China. Bosideng and domestic premium brands capture the aspirational consumer; Canada Goose becomes a foreign brand at a domestic-brand price point. Greater China revenue halves over three years — c.C$250m of revenue at c.70% margin, c.C$175m of gross profit, against a fixed cost base. Group adjusted EBIT goes negative. The company closes stores, cuts marketing, discounts to clear inventory — and discounting a luxury brand is the one action from which recovery is genuinely difficult. The c.70% gross margin, the entire foundation of the investment case, resets permanently to 55–60%.</w:t>
        <w:br/>
        <w:br/>
      </w:r>
      <w:r/>
      <w:r>
        <w:rPr>
          <w:b/>
        </w:rPr>
        <w:t>Plausibility: moderate — roughly 20–25%.</w:t>
      </w:r>
      <w:r>
        <w:t xml:space="preserve"> This is not a tail risk. It is a coherent extension of trends already visible: negative DTC comps, an explicitly cautious guidance assumption on consumer confidence and travel, a well-capitalised home-market competitor, and rising domestic brand preference. It has precedent — several Western premium brands have followed exactly this path in China. What makes it survivable rather than fatal is the balance sheet: 1.3x leverage and C$408m of cash buy several years of adjustment. </w:t>
      </w:r>
      <w:r>
        <w:rPr>
          <w:b/>
        </w:rPr>
        <w:t>The company would survive; the equity's current valuation premise would not.</w:t>
      </w:r>
      <w:r/>
      <w:r/>
    </w:p>
    <w:p>
      <w:pPr>
        <w:pStyle w:val="Heading2"/>
      </w:pPr>
      <w:r>
        <w:t>25. Timeline of Key Events and Catalyst Calendar</w:t>
      </w:r>
      <w:r/>
    </w:p>
    <w:p>
      <w:pPr>
        <w:pStyle w:val="Heading3"/>
      </w:pPr>
      <w:r>
        <w:t>Past timeline</w:t>
      </w:r>
      <w:r/>
    </w:p>
    <w:tbl>
      <w:tblPr>
        <w:tblStyle w:val="TableGrid"/>
        <w:tblW w:type="auto" w:w="0"/>
        <w:tblLook w:firstColumn="1" w:firstRow="1" w:lastColumn="0" w:lastRow="0" w:noHBand="0" w:noVBand="1" w:val="04A0"/>
      </w:tblPr>
      <w:tblGrid>
        <w:gridCol w:w="5256"/>
        <w:gridCol w:w="5256"/>
      </w:tblGrid>
      <w:tr>
        <w:tc>
          <w:tcPr>
            <w:tcW w:type="dxa" w:w="5256"/>
          </w:tcPr>
          <w:p>
            <w:r>
              <w:rPr>
                <w:b/>
              </w:rPr>
              <w:t>Date</w:t>
            </w:r>
          </w:p>
        </w:tc>
        <w:tc>
          <w:tcPr>
            <w:tcW w:type="dxa" w:w="5256"/>
          </w:tcPr>
          <w:p>
            <w:r>
              <w:rPr>
                <w:b/>
              </w:rPr>
              <w:t>Event</w:t>
            </w:r>
          </w:p>
        </w:tc>
      </w:tr>
      <w:tr>
        <w:tc>
          <w:tcPr>
            <w:tcW w:type="dxa" w:w="5256"/>
          </w:tcPr>
          <w:p>
            <w:r>
              <w:t>1957</w:t>
            </w:r>
          </w:p>
        </w:tc>
        <w:tc>
          <w:tcPr>
            <w:tcW w:type="dxa" w:w="5256"/>
          </w:tcPr>
          <w:p>
            <w:r>
              <w:t>Company founded in Toronto (as Metro Sportswear).</w:t>
            </w:r>
          </w:p>
        </w:tc>
      </w:tr>
      <w:tr>
        <w:tc>
          <w:tcPr>
            <w:tcW w:type="dxa" w:w="5256"/>
          </w:tcPr>
          <w:p>
            <w:r>
              <w:t>Jan 2001</w:t>
            </w:r>
          </w:p>
        </w:tc>
        <w:tc>
          <w:tcPr>
            <w:tcW w:type="dxa" w:w="5256"/>
          </w:tcPr>
          <w:p>
            <w:r>
              <w:rPr>
                <w:b/>
              </w:rPr>
              <w:t>Dani Reiss appointed CEO</w:t>
            </w:r>
            <w:r>
              <w:t xml:space="preserve"> — third-generation family leadership begins.</w:t>
            </w:r>
          </w:p>
        </w:tc>
      </w:tr>
      <w:tr>
        <w:tc>
          <w:tcPr>
            <w:tcW w:type="dxa" w:w="5256"/>
          </w:tcPr>
          <w:p>
            <w:r>
              <w:t>Dec 2013</w:t>
            </w:r>
          </w:p>
        </w:tc>
        <w:tc>
          <w:tcPr>
            <w:tcW w:type="dxa" w:w="5256"/>
          </w:tcPr>
          <w:p>
            <w:r>
              <w:rPr>
                <w:b/>
              </w:rPr>
              <w:t>Bain Capital acquires majority stake</w:t>
            </w:r>
            <w:r>
              <w:t xml:space="preserve"> for c.US$250m.</w:t>
            </w:r>
          </w:p>
        </w:tc>
      </w:tr>
      <w:tr>
        <w:tc>
          <w:tcPr>
            <w:tcW w:type="dxa" w:w="5256"/>
          </w:tcPr>
          <w:p>
            <w:r>
              <w:t>Mar 2017</w:t>
            </w:r>
          </w:p>
        </w:tc>
        <w:tc>
          <w:tcPr>
            <w:tcW w:type="dxa" w:w="5256"/>
          </w:tcPr>
          <w:p>
            <w:r>
              <w:rPr>
                <w:b/>
              </w:rPr>
              <w:t>IPO on NYSE and TSX</w:t>
            </w:r>
            <w:r>
              <w:t xml:space="preserve"> with dual-class structure.</w:t>
            </w:r>
          </w:p>
        </w:tc>
      </w:tr>
      <w:tr>
        <w:tc>
          <w:tcPr>
            <w:tcW w:type="dxa" w:w="5256"/>
          </w:tcPr>
          <w:p>
            <w:r>
              <w:t>2018</w:t>
            </w:r>
          </w:p>
        </w:tc>
        <w:tc>
          <w:tcPr>
            <w:tcW w:type="dxa" w:w="5256"/>
          </w:tcPr>
          <w:p>
            <w:r>
              <w:t xml:space="preserve">Peak market capitalisation of c. </w:t>
            </w:r>
            <w:r>
              <w:rPr>
                <w:b/>
              </w:rPr>
              <w:t>US$7.7bn</w:t>
            </w:r>
            <w:r>
              <w:t xml:space="preserve"> .</w:t>
            </w:r>
          </w:p>
        </w:tc>
      </w:tr>
      <w:tr>
        <w:tc>
          <w:tcPr>
            <w:tcW w:type="dxa" w:w="5256"/>
          </w:tcPr>
          <w:p>
            <w:r>
              <w:t>Nov 2018</w:t>
            </w:r>
          </w:p>
        </w:tc>
        <w:tc>
          <w:tcPr>
            <w:tcW w:type="dxa" w:w="5256"/>
          </w:tcPr>
          <w:p>
            <w:r>
              <w:rPr>
                <w:b/>
              </w:rPr>
              <w:t>Baffin acquired</w:t>
            </w:r>
            <w:r>
              <w:t xml:space="preserve"> for C$32.5m — entry into footwear.</w:t>
            </w:r>
          </w:p>
        </w:tc>
      </w:tr>
      <w:tr>
        <w:tc>
          <w:tcPr>
            <w:tcW w:type="dxa" w:w="5256"/>
          </w:tcPr>
          <w:p>
            <w:r>
              <w:t>2021</w:t>
            </w:r>
          </w:p>
        </w:tc>
        <w:tc>
          <w:tcPr>
            <w:tcW w:type="dxa" w:w="5256"/>
          </w:tcPr>
          <w:p>
            <w:r>
              <w:rPr>
                <w:b/>
              </w:rPr>
              <w:t>Fur-free commitment</w:t>
            </w:r>
            <w:r>
              <w:t xml:space="preserve"> announced; own-brand footwear launched.</w:t>
            </w:r>
          </w:p>
        </w:tc>
      </w:tr>
      <w:tr>
        <w:tc>
          <w:tcPr>
            <w:tcW w:type="dxa" w:w="5256"/>
          </w:tcPr>
          <w:p>
            <w:r>
              <w:t>2022</w:t>
            </w:r>
          </w:p>
        </w:tc>
        <w:tc>
          <w:tcPr>
            <w:tcW w:type="dxa" w:w="5256"/>
          </w:tcPr>
          <w:p>
            <w:r>
              <w:t>Fur manufacturing ceased. NCIB programme launched (Nov).</w:t>
            </w:r>
          </w:p>
        </w:tc>
      </w:tr>
      <w:tr>
        <w:tc>
          <w:tcPr>
            <w:tcW w:type="dxa" w:w="5256"/>
          </w:tcPr>
          <w:p>
            <w:r>
              <w:t>Feb 2023</w:t>
            </w:r>
          </w:p>
        </w:tc>
        <w:tc>
          <w:tcPr>
            <w:tcW w:type="dxa" w:w="5256"/>
          </w:tcPr>
          <w:p>
            <w:r>
              <w:rPr>
                <w:b/>
              </w:rPr>
              <w:t>Guidance cut</w:t>
            </w:r>
            <w:r>
              <w:t xml:space="preserve"> on China COVID disruption and North American slowdown.</w:t>
            </w:r>
          </w:p>
        </w:tc>
      </w:tr>
      <w:tr>
        <w:tc>
          <w:tcPr>
            <w:tcW w:type="dxa" w:w="5256"/>
          </w:tcPr>
          <w:p>
            <w:r>
              <w:t>2023</w:t>
            </w:r>
          </w:p>
        </w:tc>
        <w:tc>
          <w:tcPr>
            <w:tcW w:type="dxa" w:w="5256"/>
          </w:tcPr>
          <w:p>
            <w:r>
              <w:rPr>
                <w:b/>
              </w:rPr>
              <w:t>Paola Confectii</w:t>
            </w:r>
            <w:r>
              <w:t xml:space="preserve"> assets acquired — first European facility.</w:t>
            </w:r>
          </w:p>
        </w:tc>
      </w:tr>
      <w:tr>
        <w:tc>
          <w:tcPr>
            <w:tcW w:type="dxa" w:w="5256"/>
          </w:tcPr>
          <w:p>
            <w:r>
              <w:t>2024</w:t>
            </w:r>
          </w:p>
        </w:tc>
        <w:tc>
          <w:tcPr>
            <w:tcW w:type="dxa" w:w="5256"/>
          </w:tcPr>
          <w:p>
            <w:r>
              <w:rPr>
                <w:b/>
              </w:rPr>
              <w:t>17% corporate workforce reduction</w:t>
            </w:r>
            <w:r>
              <w:t xml:space="preserve"> ; executive reshuffle.</w:t>
            </w:r>
          </w:p>
        </w:tc>
      </w:tr>
      <w:tr>
        <w:tc>
          <w:tcPr>
            <w:tcW w:type="dxa" w:w="5256"/>
          </w:tcPr>
          <w:p>
            <w:r>
              <w:t>Apr 2024</w:t>
            </w:r>
          </w:p>
        </w:tc>
        <w:tc>
          <w:tcPr>
            <w:tcW w:type="dxa" w:w="5256"/>
          </w:tcPr>
          <w:p>
            <w:r>
              <w:rPr>
                <w:b/>
              </w:rPr>
              <w:t>Neil Bowden appointed CFO</w:t>
            </w:r>
            <w:r>
              <w:t xml:space="preserve"> ; Jonathan Sinclair to President, APAC.</w:t>
            </w:r>
          </w:p>
        </w:tc>
      </w:tr>
      <w:tr>
        <w:tc>
          <w:tcPr>
            <w:tcW w:type="dxa" w:w="5256"/>
          </w:tcPr>
          <w:p>
            <w:r>
              <w:t>Sep 2024</w:t>
            </w:r>
          </w:p>
        </w:tc>
        <w:tc>
          <w:tcPr>
            <w:tcW w:type="dxa" w:w="5256"/>
          </w:tcPr>
          <w:p>
            <w:r>
              <w:rPr>
                <w:b/>
              </w:rPr>
              <w:t>Marchon eyewear licence</w:t>
            </w:r>
            <w:r>
              <w:t xml:space="preserve"> signed; luggage launched late 2024.</w:t>
            </w:r>
          </w:p>
        </w:tc>
      </w:tr>
      <w:tr>
        <w:tc>
          <w:tcPr>
            <w:tcW w:type="dxa" w:w="5256"/>
          </w:tcPr>
          <w:p>
            <w:r>
              <w:rPr>
                <w:b/>
              </w:rPr>
              <w:t>27 Aug 2025</w:t>
            </w:r>
          </w:p>
        </w:tc>
        <w:tc>
          <w:tcPr>
            <w:tcW w:type="dxa" w:w="5256"/>
          </w:tcPr>
          <w:p>
            <w:r>
              <w:rPr>
                <w:b/>
              </w:rPr>
              <w:t>Take-private bids reported</w:t>
            </w:r>
            <w:r>
              <w:t xml:space="preserve"> at c.US$1.35–1.4bn (c.8x EBITDA); stock +16%.</w:t>
            </w:r>
          </w:p>
        </w:tc>
      </w:tr>
      <w:tr>
        <w:tc>
          <w:tcPr>
            <w:tcW w:type="dxa" w:w="5256"/>
          </w:tcPr>
          <w:p>
            <w:r>
              <w:t>Feb 2026</w:t>
            </w:r>
          </w:p>
        </w:tc>
        <w:tc>
          <w:tcPr>
            <w:tcW w:type="dxa" w:w="5256"/>
          </w:tcPr>
          <w:p>
            <w:r>
              <w:rPr>
                <w:b/>
              </w:rPr>
              <w:t>Patrick Bourke appointed President, North America</w:t>
            </w:r>
            <w:r>
              <w:t xml:space="preserve"> (eff. 5 Feb).</w:t>
            </w:r>
          </w:p>
        </w:tc>
      </w:tr>
      <w:tr>
        <w:tc>
          <w:tcPr>
            <w:tcW w:type="dxa" w:w="5256"/>
          </w:tcPr>
          <w:p>
            <w:r>
              <w:rPr>
                <w:b/>
              </w:rPr>
              <w:t>14 May 2026</w:t>
            </w:r>
          </w:p>
        </w:tc>
        <w:tc>
          <w:tcPr>
            <w:tcW w:type="dxa" w:w="5256"/>
          </w:tcPr>
          <w:p>
            <w:r>
              <w:rPr>
                <w:b/>
              </w:rPr>
              <w:t>FY2026 results:</w:t>
            </w:r>
            <w:r>
              <w:t xml:space="preserve"> revenue +13.3% to C$1,528.2m; operating income -45.9%; FY2027 guidance of 11–12% adj. EBIT margin. Stock c. </w:t>
            </w:r>
            <w:r>
              <w:rPr>
                <w:b/>
              </w:rPr>
              <w:t>+30%</w:t>
            </w:r>
            <w:r>
              <w:t xml:space="preserve"> .</w:t>
            </w:r>
          </w:p>
        </w:tc>
      </w:tr>
      <w:tr>
        <w:tc>
          <w:tcPr>
            <w:tcW w:type="dxa" w:w="5256"/>
          </w:tcPr>
          <w:p>
            <w:r>
              <w:rPr>
                <w:b/>
              </w:rPr>
              <w:t>20 Jul 2026</w:t>
            </w:r>
          </w:p>
        </w:tc>
        <w:tc>
          <w:tcPr>
            <w:tcW w:type="dxa" w:w="5256"/>
          </w:tcPr>
          <w:p>
            <w:r>
              <w:rPr>
                <w:b/>
              </w:rPr>
              <w:t>Proposed U.S. duties announced</w:t>
            </w:r>
            <w:r>
              <w:t xml:space="preserve"> — up to 200bps FY2027 operating margin impact if unmitigated.</w:t>
            </w:r>
          </w:p>
        </w:tc>
      </w:tr>
      <w:tr>
        <w:tc>
          <w:tcPr>
            <w:tcW w:type="dxa" w:w="5256"/>
          </w:tcPr>
          <w:p>
            <w:r>
              <w:rPr>
                <w:b/>
              </w:rPr>
              <w:t>30 Jul 2026</w:t>
            </w:r>
          </w:p>
        </w:tc>
        <w:tc>
          <w:tcPr>
            <w:tcW w:type="dxa" w:w="5256"/>
          </w:tcPr>
          <w:p>
            <w:r>
              <w:rPr>
                <w:b/>
              </w:rPr>
              <w:t>Q1 FY2027 results:</w:t>
            </w:r>
            <w:r>
              <w:t xml:space="preserve"> beat on revenue and EPS; DTC comps -3.2%. Stock </w:t>
            </w:r>
            <w:r>
              <w:rPr>
                <w:b/>
              </w:rPr>
              <w:t>-10%</w:t>
            </w:r>
            <w:r>
              <w:t xml:space="preserve"> to 52-week low.</w:t>
            </w:r>
          </w:p>
        </w:tc>
      </w:tr>
      <w:tr>
        <w:tc>
          <w:tcPr>
            <w:tcW w:type="dxa" w:w="5256"/>
          </w:tcPr>
          <w:p>
            <w:r>
              <w:rPr>
                <w:b/>
              </w:rPr>
              <w:t>5 Aug 2026</w:t>
            </w:r>
          </w:p>
        </w:tc>
        <w:tc>
          <w:tcPr>
            <w:tcW w:type="dxa" w:w="5256"/>
          </w:tcPr>
          <w:p>
            <w:r>
              <w:rPr>
                <w:b/>
              </w:rPr>
              <w:t>Agreement to sell Baffin to L.P. Royer</w:t>
            </w:r>
            <w:r>
              <w:t xml:space="preserve"> announced; terms undisclosed.</w:t>
            </w:r>
          </w:p>
        </w:tc>
      </w:tr>
      <w:tr>
        <w:tc>
          <w:tcPr>
            <w:tcW w:type="dxa" w:w="5256"/>
          </w:tcPr>
          <w:p>
            <w:r>
              <w:rPr>
                <w:b/>
              </w:rPr>
              <w:t>7 Aug 2026</w:t>
            </w:r>
          </w:p>
        </w:tc>
        <w:tc>
          <w:tcPr>
            <w:tcW w:type="dxa" w:w="5256"/>
          </w:tcPr>
          <w:p>
            <w:r>
              <w:rPr>
                <w:b/>
              </w:rPr>
              <w:t>AGM:</w:t>
            </w:r>
            <w:r>
              <w:t xml:space="preserve"> board slate approved; </w:t>
            </w:r>
            <w:r>
              <w:rPr>
                <w:b/>
              </w:rPr>
              <w:t>Massimo Piombini</w:t>
            </w:r>
            <w:r>
              <w:t xml:space="preserve"> appointed; equity incentive plan increased.</w:t>
            </w:r>
          </w:p>
        </w:tc>
      </w:tr>
      <w:tr>
        <w:tc>
          <w:tcPr>
            <w:tcW w:type="dxa" w:w="5256"/>
          </w:tcPr>
          <w:p>
            <w:r>
              <w:t>Late Aug 2026</w:t>
            </w:r>
          </w:p>
        </w:tc>
        <w:tc>
          <w:tcPr>
            <w:tcW w:type="dxa" w:w="5256"/>
          </w:tcPr>
          <w:p>
            <w:r>
              <w:t xml:space="preserve">Shares drift to 52-week low of c. </w:t>
            </w:r>
            <w:r>
              <w:rPr>
                <w:b/>
              </w:rPr>
              <w:t>US$8.14</w:t>
            </w:r>
            <w:r>
              <w:t xml:space="preserve"> .</w:t>
            </w:r>
          </w:p>
        </w:tc>
      </w:tr>
    </w:tbl>
    <w:p>
      <w:r/>
    </w:p>
    <w:p>
      <w:pPr>
        <w:pStyle w:val="Heading3"/>
      </w:pPr>
      <w:r>
        <w:t>Upcoming catalyst calendar</w:t>
      </w:r>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b/>
              </w:rPr>
              <w:t>Expected timing</w:t>
            </w:r>
          </w:p>
        </w:tc>
        <w:tc>
          <w:tcPr>
            <w:tcW w:type="dxa" w:w="2628"/>
          </w:tcPr>
          <w:p>
            <w:r>
              <w:rPr>
                <w:b/>
              </w:rPr>
              <w:t>Catalyst</w:t>
            </w:r>
          </w:p>
        </w:tc>
        <w:tc>
          <w:tcPr>
            <w:tcW w:type="dxa" w:w="2628"/>
          </w:tcPr>
          <w:p>
            <w:r>
              <w:rPr>
                <w:b/>
              </w:rPr>
              <w:t>Impact</w:t>
            </w:r>
          </w:p>
        </w:tc>
        <w:tc>
          <w:tcPr>
            <w:tcW w:type="dxa" w:w="2628"/>
          </w:tcPr>
          <w:p>
            <w:r>
              <w:rPr>
                <w:b/>
              </w:rPr>
              <w:t>Why it matters</w:t>
            </w:r>
          </w:p>
        </w:tc>
      </w:tr>
      <w:tr>
        <w:tc>
          <w:tcPr>
            <w:tcW w:type="dxa" w:w="2628"/>
          </w:tcPr>
          <w:p>
            <w:r>
              <w:rPr>
                <w:b/>
              </w:rPr>
              <w:t>Aug/Sep 2026</w:t>
            </w:r>
          </w:p>
        </w:tc>
        <w:tc>
          <w:tcPr>
            <w:tcW w:type="dxa" w:w="2628"/>
          </w:tcPr>
          <w:p>
            <w:r>
              <w:rPr>
                <w:b/>
              </w:rPr>
              <w:t>Baffin disposal completion</w:t>
            </w:r>
          </w:p>
        </w:tc>
        <w:tc>
          <w:tcPr>
            <w:tcW w:type="dxa" w:w="2628"/>
          </w:tcPr>
          <w:p>
            <w:r>
              <w:t>Medium</w:t>
            </w:r>
          </w:p>
        </w:tc>
        <w:tc>
          <w:tcPr>
            <w:tcW w:type="dxa" w:w="2628"/>
          </w:tcPr>
          <w:p>
            <w:r>
              <w:t xml:space="preserve">Expected to close August 2026. Watch for disclosed proceeds and any </w:t>
            </w:r>
            <w:r>
              <w:rPr>
                <w:b/>
              </w:rPr>
              <w:t>disposal loss</w:t>
            </w:r>
            <w:r>
              <w:t xml:space="preserve"> against carrying value.</w:t>
            </w:r>
          </w:p>
        </w:tc>
      </w:tr>
      <w:tr>
        <w:tc>
          <w:tcPr>
            <w:tcW w:type="dxa" w:w="2628"/>
          </w:tcPr>
          <w:p>
            <w:r>
              <w:rPr>
                <w:b/>
              </w:rPr>
              <w:t>Ongoing — any time</w:t>
            </w:r>
          </w:p>
        </w:tc>
        <w:tc>
          <w:tcPr>
            <w:tcW w:type="dxa" w:w="2628"/>
          </w:tcPr>
          <w:p>
            <w:r>
              <w:rPr>
                <w:b/>
              </w:rPr>
              <w:t>Resolution of the Bain sale process</w:t>
            </w:r>
          </w:p>
        </w:tc>
        <w:tc>
          <w:tcPr>
            <w:tcW w:type="dxa" w:w="2628"/>
          </w:tcPr>
          <w:p>
            <w:r>
              <w:rPr>
                <w:b/>
              </w:rPr>
              <w:t>Very high</w:t>
            </w:r>
          </w:p>
        </w:tc>
        <w:tc>
          <w:tcPr>
            <w:tcW w:type="dxa" w:w="2628"/>
          </w:tcPr>
          <w:p>
            <w:r>
              <w:t>The dominant catalyst. Bids at c.8x EBITDA imply c.US$14.60/share, a c.73% premium. Announcement, or confirmed abandonment, is a step-change either way.</w:t>
            </w:r>
          </w:p>
        </w:tc>
      </w:tr>
      <w:tr>
        <w:tc>
          <w:tcPr>
            <w:tcW w:type="dxa" w:w="2628"/>
          </w:tcPr>
          <w:p>
            <w:r>
              <w:rPr>
                <w:b/>
              </w:rPr>
              <w:t>Sep–Oct 2026</w:t>
            </w:r>
          </w:p>
        </w:tc>
        <w:tc>
          <w:tcPr>
            <w:tcW w:type="dxa" w:w="2628"/>
          </w:tcPr>
          <w:p>
            <w:r>
              <w:t>U.S. tariff decision</w:t>
            </w:r>
          </w:p>
        </w:tc>
        <w:tc>
          <w:tcPr>
            <w:tcW w:type="dxa" w:w="2628"/>
          </w:tcPr>
          <w:p>
            <w:r>
              <w:rPr>
                <w:b/>
              </w:rPr>
              <w:t>High</w:t>
            </w:r>
          </w:p>
        </w:tc>
        <w:tc>
          <w:tcPr>
            <w:tcW w:type="dxa" w:w="2628"/>
          </w:tcPr>
          <w:p>
            <w:r>
              <w:t>Whether the July 2026 proposed duties are implemented. Up to 200bps of operating margin against 11–12% guided.</w:t>
            </w:r>
          </w:p>
        </w:tc>
      </w:tr>
      <w:tr>
        <w:tc>
          <w:tcPr>
            <w:tcW w:type="dxa" w:w="2628"/>
          </w:tcPr>
          <w:p>
            <w:r>
              <w:rPr>
                <w:b/>
              </w:rPr>
              <w:t>Early Nov 2026</w:t>
            </w:r>
          </w:p>
        </w:tc>
        <w:tc>
          <w:tcPr>
            <w:tcW w:type="dxa" w:w="2628"/>
          </w:tcPr>
          <w:p>
            <w:r>
              <w:rPr>
                <w:b/>
              </w:rPr>
              <w:t>Q2 FY2027 results</w:t>
            </w:r>
          </w:p>
        </w:tc>
        <w:tc>
          <w:tcPr>
            <w:tcW w:type="dxa" w:w="2628"/>
          </w:tcPr>
          <w:p>
            <w:r>
              <w:rPr>
                <w:b/>
              </w:rPr>
              <w:t>High</w:t>
            </w:r>
          </w:p>
        </w:tc>
        <w:tc>
          <w:tcPr>
            <w:tcW w:type="dxa" w:w="2628"/>
          </w:tcPr>
          <w:p>
            <w:r>
              <w:t xml:space="preserve">First real read on the autumn season. Key tests: does the wholesale surge sustain or prove to be Q1 pull-forward, and do </w:t>
            </w:r>
            <w:r>
              <w:rPr>
                <w:b/>
              </w:rPr>
              <w:t>DTC comps recover from -3.2%</w:t>
            </w:r>
            <w:r>
              <w:t xml:space="preserve"> ?</w:t>
            </w:r>
          </w:p>
        </w:tc>
      </w:tr>
      <w:tr>
        <w:tc>
          <w:tcPr>
            <w:tcW w:type="dxa" w:w="2628"/>
          </w:tcPr>
          <w:p>
            <w:r>
              <w:rPr>
                <w:b/>
              </w:rPr>
              <w:t>9 Nov 2026</w:t>
            </w:r>
          </w:p>
        </w:tc>
        <w:tc>
          <w:tcPr>
            <w:tcW w:type="dxa" w:w="2628"/>
          </w:tcPr>
          <w:p>
            <w:r>
              <w:t>Current NCIB expiry / renewal</w:t>
            </w:r>
          </w:p>
        </w:tc>
        <w:tc>
          <w:tcPr>
            <w:tcW w:type="dxa" w:w="2628"/>
          </w:tcPr>
          <w:p>
            <w:r>
              <w:t>Low–Medium</w:t>
            </w:r>
          </w:p>
        </w:tc>
        <w:tc>
          <w:tcPr>
            <w:tcW w:type="dxa" w:w="2628"/>
          </w:tcPr>
          <w:p>
            <w:r>
              <w:t>Whether the buyback is renewed signals management's view on valuation and on cash preservation ahead of any transaction.</w:t>
            </w:r>
          </w:p>
        </w:tc>
      </w:tr>
      <w:tr>
        <w:tc>
          <w:tcPr>
            <w:tcW w:type="dxa" w:w="2628"/>
          </w:tcPr>
          <w:p>
            <w:r>
              <w:rPr>
                <w:b/>
              </w:rPr>
              <w:t>Nov 2026 – Jan 2027</w:t>
            </w:r>
          </w:p>
        </w:tc>
        <w:tc>
          <w:tcPr>
            <w:tcW w:type="dxa" w:w="2628"/>
          </w:tcPr>
          <w:p>
            <w:r>
              <w:rPr>
                <w:b/>
              </w:rPr>
              <w:t>Peak trading season</w:t>
            </w:r>
          </w:p>
        </w:tc>
        <w:tc>
          <w:tcPr>
            <w:tcW w:type="dxa" w:w="2628"/>
          </w:tcPr>
          <w:p>
            <w:r>
              <w:rPr>
                <w:b/>
              </w:rPr>
              <w:t>Very high</w:t>
            </w:r>
          </w:p>
        </w:tc>
        <w:tc>
          <w:tcPr>
            <w:tcW w:type="dxa" w:w="2628"/>
          </w:tcPr>
          <w:p>
            <w:r>
              <w:t>The commercially decisive period. Weather, Chinese demand and Black Friday/holiday sell-through determine the full year.</w:t>
            </w:r>
          </w:p>
        </w:tc>
      </w:tr>
      <w:tr>
        <w:tc>
          <w:tcPr>
            <w:tcW w:type="dxa" w:w="2628"/>
          </w:tcPr>
          <w:p>
            <w:r>
              <w:rPr>
                <w:b/>
              </w:rPr>
              <w:t>Late Jan / early Feb 2027</w:t>
            </w:r>
          </w:p>
        </w:tc>
        <w:tc>
          <w:tcPr>
            <w:tcW w:type="dxa" w:w="2628"/>
          </w:tcPr>
          <w:p>
            <w:r>
              <w:rPr>
                <w:b/>
              </w:rPr>
              <w:t>Q3 FY2027 results</w:t>
            </w:r>
          </w:p>
        </w:tc>
        <w:tc>
          <w:tcPr>
            <w:tcW w:type="dxa" w:w="2628"/>
          </w:tcPr>
          <w:p>
            <w:r>
              <w:rPr>
                <w:b/>
              </w:rPr>
              <w:t>Very high</w:t>
            </w:r>
          </w:p>
        </w:tc>
        <w:tc>
          <w:tcPr>
            <w:tcW w:type="dxa" w:w="2628"/>
          </w:tcPr>
          <w:p>
            <w:r>
              <w:rPr>
                <w:b/>
              </w:rPr>
              <w:t>The most important scheduled event of the year.</w:t>
            </w:r>
            <w:r>
              <w:t xml:space="preserve"> Q3 contains peak season; historically the quarter that has forced guidance revisions. Lunar New Year timing also affects China comparability.</w:t>
            </w:r>
          </w:p>
        </w:tc>
      </w:tr>
      <w:tr>
        <w:tc>
          <w:tcPr>
            <w:tcW w:type="dxa" w:w="2628"/>
          </w:tcPr>
          <w:p>
            <w:r>
              <w:rPr>
                <w:b/>
              </w:rPr>
              <w:t>Feb 2027</w:t>
            </w:r>
          </w:p>
        </w:tc>
        <w:tc>
          <w:tcPr>
            <w:tcW w:type="dxa" w:w="2628"/>
          </w:tcPr>
          <w:p>
            <w:r>
              <w:t>Lunar New Year trading</w:t>
            </w:r>
          </w:p>
        </w:tc>
        <w:tc>
          <w:tcPr>
            <w:tcW w:type="dxa" w:w="2628"/>
          </w:tcPr>
          <w:p>
            <w:r>
              <w:t>Medium</w:t>
            </w:r>
          </w:p>
        </w:tc>
        <w:tc>
          <w:tcPr>
            <w:tcW w:type="dxa" w:w="2628"/>
          </w:tcPr>
          <w:p>
            <w:r>
              <w:t>Key Greater China demand window; boosted Q4 FY2026.</w:t>
            </w:r>
          </w:p>
        </w:tc>
      </w:tr>
      <w:tr>
        <w:tc>
          <w:tcPr>
            <w:tcW w:type="dxa" w:w="2628"/>
          </w:tcPr>
          <w:p>
            <w:r>
              <w:rPr>
                <w:b/>
              </w:rPr>
              <w:t>May 2027</w:t>
            </w:r>
          </w:p>
        </w:tc>
        <w:tc>
          <w:tcPr>
            <w:tcW w:type="dxa" w:w="2628"/>
          </w:tcPr>
          <w:p>
            <w:r>
              <w:rPr>
                <w:b/>
              </w:rPr>
              <w:t>Q4 / FY2027 results and FY2028 guidance</w:t>
            </w:r>
          </w:p>
        </w:tc>
        <w:tc>
          <w:tcPr>
            <w:tcW w:type="dxa" w:w="2628"/>
          </w:tcPr>
          <w:p>
            <w:r>
              <w:rPr>
                <w:b/>
              </w:rPr>
              <w:t>Very high</w:t>
            </w:r>
          </w:p>
        </w:tc>
        <w:tc>
          <w:tcPr>
            <w:tcW w:type="dxa" w:w="2628"/>
          </w:tcPr>
          <w:p>
            <w:r>
              <w:t>Verdict on whether the 11–12% adjusted EBIT margin commitment was delivered. Management credibility rests on it.</w:t>
            </w:r>
          </w:p>
        </w:tc>
      </w:tr>
      <w:tr>
        <w:tc>
          <w:tcPr>
            <w:tcW w:type="dxa" w:w="2628"/>
          </w:tcPr>
          <w:p>
            <w:r>
              <w:t>Ongoing</w:t>
            </w:r>
          </w:p>
        </w:tc>
        <w:tc>
          <w:tcPr>
            <w:tcW w:type="dxa" w:w="2628"/>
          </w:tcPr>
          <w:p>
            <w:r>
              <w:t>Monthly China luxury data; Chinese consumer confidence</w:t>
            </w:r>
          </w:p>
        </w:tc>
        <w:tc>
          <w:tcPr>
            <w:tcW w:type="dxa" w:w="2628"/>
          </w:tcPr>
          <w:p>
            <w:r>
              <w:t>Medium</w:t>
            </w:r>
          </w:p>
        </w:tc>
        <w:tc>
          <w:tcPr>
            <w:tcW w:type="dxa" w:w="2628"/>
          </w:tcPr>
          <w:p>
            <w:r>
              <w:t>Leading indicator for 32.6% of revenue.</w:t>
            </w:r>
          </w:p>
        </w:tc>
      </w:tr>
      <w:tr>
        <w:tc>
          <w:tcPr>
            <w:tcW w:type="dxa" w:w="2628"/>
          </w:tcPr>
          <w:p>
            <w:r>
              <w:t>Ongoing</w:t>
            </w:r>
          </w:p>
        </w:tc>
        <w:tc>
          <w:tcPr>
            <w:tcW w:type="dxa" w:w="2628"/>
          </w:tcPr>
          <w:p>
            <w:r>
              <w:t>Short interest and squeeze dynamics</w:t>
            </w:r>
          </w:p>
        </w:tc>
        <w:tc>
          <w:tcPr>
            <w:tcW w:type="dxa" w:w="2628"/>
          </w:tcPr>
          <w:p>
            <w:r>
              <w:t>Medium</w:t>
            </w:r>
          </w:p>
        </w:tc>
        <w:tc>
          <w:tcPr>
            <w:tcW w:type="dxa" w:w="2628"/>
          </w:tcPr>
          <w:p>
            <w:r>
              <w:t>At 28.5% of float with c.10.3 days to cover, positioning amplifies every surprise.</w:t>
            </w:r>
          </w:p>
        </w:tc>
      </w:tr>
      <w:tr>
        <w:tc>
          <w:tcPr>
            <w:tcW w:type="dxa" w:w="2628"/>
          </w:tcPr>
          <w:p>
            <w:r>
              <w:t>Not scheduled</w:t>
            </w:r>
          </w:p>
        </w:tc>
        <w:tc>
          <w:tcPr>
            <w:tcW w:type="dxa" w:w="2628"/>
          </w:tcPr>
          <w:p>
            <w:r>
              <w:t>Capital markets day</w:t>
            </w:r>
          </w:p>
        </w:tc>
        <w:tc>
          <w:tcPr>
            <w:tcW w:type="dxa" w:w="2628"/>
          </w:tcPr>
          <w:p>
            <w:r>
              <w:t>Low</w:t>
            </w:r>
          </w:p>
        </w:tc>
        <w:tc>
          <w:tcPr>
            <w:tcW w:type="dxa" w:w="2628"/>
          </w:tcPr>
          <w:p>
            <w:r>
              <w:t>None announced. A CMD would be a notable signal of intent to remain public.</w:t>
            </w:r>
          </w:p>
        </w:tc>
      </w:tr>
    </w:tbl>
    <w:p>
      <w:r/>
    </w:p>
    <w:p>
      <w:pPr>
        <w:pStyle w:val="Heading2"/>
      </w:pPr>
      <w:r>
        <w:t>26. Conclusion</w:t>
      </w:r>
      <w:r/>
      <w:r/>
    </w:p>
    <w:p>
      <w:r/>
      <w:r>
        <w:rPr>
          <w:b/>
        </w:rPr>
        <w:t>Canada Goose is a genuinely good asset inside a currently badly-run business, controlled by people whose interests are not fully aligned with yours.</w:t>
      </w:r>
      <w:r/>
    </w:p>
    <w:p>
      <w:r/>
      <w:r>
        <w:t>The brand is real: c.70% gross margin held flat through a China downturn, a consumer recession, and a channel-mix shift. Revenue grew 13.3% in FY2026 and inventory was flat — customers are still paying full price. De-seasonalisation is working, with spring/summer categories at c.40% of Q1 revenue.</w:t>
      </w:r>
      <w:r/>
    </w:p>
    <w:p>
      <w:r/>
      <w:r>
        <w:t xml:space="preserve">The execution is not: SG&amp;A rose 25.4% against 13.3% revenue growth, operating income fell 45.9%, reported EPS fell 76% to C$0.23, and DTC comparable sales have just turned negative. FY2027 guidance promises 130–230bps of margin expansion </w:t>
      </w:r>
      <w:r>
        <w:rPr>
          <w:i/>
        </w:rPr>
        <w:t>into</w:t>
      </w:r>
      <w:r>
        <w:t xml:space="preserve"> an explicitly assumed demand decline — a plan with no volume cushion.</w:t>
      </w:r>
      <w:r/>
    </w:p>
    <w:p>
      <w:r/>
      <w:r>
        <w:t>At c.5.2x EV/EBITDA and 1.0x EV/Sales, against Moncler at 11.7x and an 8–11x apparel M&amp;A range, the equity already discounts guidance failure. The probability-weighted value of c.US$12.15 implies c.44% upside, and the base case of c.US$14.84 sits almost precisely on the reported 2025 take-private bid level.</w:t>
      </w:r>
      <w:r/>
    </w:p>
    <w:p>
      <w:r/>
      <w:r>
        <w:rPr>
          <w:b/>
        </w:rPr>
        <w:t>The decisive consideration is not operational.</w:t>
      </w:r>
      <w:r>
        <w:t xml:space="preserve"> Bain Capital and Dani Reiss control approximately 92% of the vote. Bain has held for 13 years, retained Goldman Sachs, and received bids from four credible parties at roughly double today's price. Minority shareholders have no vote, no activist recourse, and no ability to influence the outcome. The most likely path to value realisation is a transaction — and in that transaction, minorities are price-takers.</w:t>
      </w:r>
      <w:r/>
    </w:p>
    <w:p>
      <w:r/>
      <w:r>
        <w:rPr>
          <w:b/>
        </w:rPr>
        <w:t>Characterisation:</w:t>
      </w:r>
      <w:r>
        <w:t xml:space="preserve"> a deep-value, event-driven, high-volatility position with positively skewed but genuinely two-sided outcomes, appropriate for sizing that reflects an outcome substantially outside management's control and entirely outside minority shareholders' control. It is </w:t>
      </w:r>
      <w:r>
        <w:rPr>
          <w:b/>
        </w:rPr>
        <w:t>not</w:t>
      </w:r>
      <w:r>
        <w:t xml:space="preserve"> a core compounder, and the c.70% gross margin should not be mistaken for evidence that it is.</w:t>
      </w:r>
      <w:r/>
      <w:r/>
    </w:p>
    <w:p>
      <w:pPr>
        <w:pStyle w:val="Heading2"/>
      </w:pPr>
      <w:r>
        <w:t>27. Sources and Data Limitations</w:t>
      </w:r>
      <w:r/>
    </w:p>
    <w:p>
      <w:r/>
      <w:r>
        <w:rPr>
          <w:b/>
        </w:rPr>
        <w:t>Method.</w:t>
      </w:r>
      <w:r>
        <w:t xml:space="preserve"> Compiled 30 August 2026 from company press-release content and financial media surfaced via web search. Figures cross-checked across multiple independent outlets where possible.</w:t>
      </w:r>
      <w:r/>
    </w:p>
    <w:p>
      <w:r/>
      <w:r>
        <w:rPr>
          <w:b/>
        </w:rPr>
        <w:t>Constraints encountered:</w:t>
      </w:r>
      <w:r/>
      <w:r/>
    </w:p>
    <w:p>
      <w:pPr>
        <w:pStyle w:val="ListBullet"/>
        <w:spacing w:line="240" w:lineRule="auto"/>
        <w:ind w:left="720"/>
      </w:pPr>
      <w:r/>
      <w:r>
        <w:t>The licensed financial-data API returned no data for all requests (zero account balance) — no direct access to financial statements, segment data, stock prices, institutional holdings or insider trades.</w:t>
      </w:r>
      <w:r/>
    </w:p>
    <w:p>
      <w:pPr>
        <w:pStyle w:val="ListBullet"/>
        <w:spacing w:line="240" w:lineRule="auto"/>
        <w:ind w:left="720"/>
      </w:pPr>
      <w:r/>
      <w:r>
        <w:t xml:space="preserve">Network egress policy blocked direct retrieval from </w:t>
      </w:r>
      <w:r>
        <w:rPr>
          <w:i/>
        </w:rPr>
        <w:t>investor.canadagoose.com</w:t>
      </w:r>
      <w:r>
        <w:t xml:space="preserve">, </w:t>
      </w:r>
      <w:r>
        <w:rPr>
          <w:i/>
        </w:rPr>
        <w:t>sec.gov</w:t>
      </w:r>
      <w:r>
        <w:t xml:space="preserve"> (Forms 20-F and 6-K), </w:t>
      </w:r>
      <w:r>
        <w:rPr>
          <w:i/>
        </w:rPr>
        <w:t>businesswire.com</w:t>
      </w:r>
      <w:r>
        <w:t xml:space="preserve">, </w:t>
      </w:r>
      <w:r>
        <w:rPr>
          <w:i/>
        </w:rPr>
        <w:t>q4cdn.com</w:t>
      </w:r>
      <w:r>
        <w:t xml:space="preserve"> (press-release PDFs), </w:t>
      </w:r>
      <w:r>
        <w:rPr>
          <w:i/>
        </w:rPr>
        <w:t>investing.com</w:t>
      </w:r>
      <w:r>
        <w:t xml:space="preserve">, </w:t>
      </w:r>
      <w:r>
        <w:rPr>
          <w:i/>
        </w:rPr>
        <w:t>stocktitan.net</w:t>
      </w:r>
      <w:r>
        <w:t xml:space="preserve">, </w:t>
      </w:r>
      <w:r>
        <w:rPr>
          <w:i/>
        </w:rPr>
        <w:t>wikipedia.org</w:t>
      </w:r>
      <w:r>
        <w:t xml:space="preserve"> and </w:t>
      </w:r>
      <w:r>
        <w:rPr>
          <w:i/>
        </w:rPr>
        <w:t>fashionunited.uk</w:t>
      </w:r>
      <w:r>
        <w:t>. Content from these was accessible only as search-engine summaries.</w:t>
      </w:r>
      <w:r/>
      <w:r/>
    </w:p>
    <w:p>
      <w:r/>
      <w:r>
        <w:rPr>
          <w:b/>
        </w:rPr>
        <w:t>Consequently unverified or unavailable:</w:t>
      </w:r>
      <w:r>
        <w:t xml:space="preserve"> exact top-10 shareholder positions and share counts; full board composition and individual tenures; term-loan maturities, covenants and interest costs; consensus estimates; complete FY2022–FY2024 income statement detail; segment profitability (not disclosed by the company); Baffin disposal proceeds (not disclosed); precise current share price and market capitalisation.</w:t>
      </w:r>
      <w:r/>
    </w:p>
    <w:p>
      <w:r/>
      <w:r>
        <w:rPr>
          <w:b/>
        </w:rPr>
        <w:t>Verification priorities before acting:</w:t>
      </w:r>
      <w:r>
        <w:t xml:space="preserve"> (1) FY2026 Form 20-F for the adjusted-EBIT reconciliation, SG&amp;A composition, segment note, debt terms and NCI detail; (2) the 2026 management information circular for board and compensation detail; (3) a live terminal for price, market capitalisation, consensus and peer multiples; (4) current status of the Bain sale process.</w:t>
      </w:r>
      <w:r/>
    </w:p>
    <w:p>
      <w:pPr>
        <w:pStyle w:val="Heading3"/>
      </w:pPr>
      <w:r>
        <w:t>Principal sources</w:t>
      </w:r>
      <w:r/>
      <w:r/>
    </w:p>
    <w:p>
      <w:pPr>
        <w:pStyle w:val="ListBullet"/>
        <w:spacing w:line="240" w:lineRule="auto"/>
        <w:ind w:left="720"/>
      </w:pPr>
      <w:r/>
      <w:r>
        <w:t>Canada Goose Q1 FY2027 results (30 Jul 2026) and Q4/FY2026 results (14 May 2026) press releases, via Yahoo Finance, BNN Bloomberg, The Globe and Mail, Las Vegas Sun, SGI Europe, FashionUnited, TipRanks, Nasdaq</w:t>
      </w:r>
      <w:r/>
    </w:p>
    <w:p>
      <w:pPr>
        <w:pStyle w:val="ListBullet"/>
        <w:spacing w:line="240" w:lineRule="auto"/>
        <w:ind w:left="720"/>
      </w:pPr>
      <w:r/>
      <w:r>
        <w:t>Q1 FY2027 and Q4 FY2026 earnings call coverage — Seeking Alpha, MarketScreener, GuruFocus, MarketBeat, Investing.com</w:t>
      </w:r>
      <w:r/>
    </w:p>
    <w:p>
      <w:pPr>
        <w:pStyle w:val="ListBullet"/>
        <w:spacing w:line="240" w:lineRule="auto"/>
        <w:ind w:left="720"/>
      </w:pPr>
      <w:r/>
      <w:r>
        <w:t>Take-private reporting — CNBC (27 Aug 2025), Reuters, The Globe and Mail, Business of Fashion, Forbes, WWD, Private Equity Insights, Markets Group</w:t>
      </w:r>
      <w:r/>
    </w:p>
    <w:p>
      <w:pPr>
        <w:pStyle w:val="ListBullet"/>
        <w:spacing w:line="240" w:lineRule="auto"/>
        <w:ind w:left="720"/>
      </w:pPr>
      <w:r/>
      <w:r>
        <w:t>Baffin disposal (5 Aug 2026) — Business Wire, WWD, SGB Media, FashionUnited, Yahoo Finance</w:t>
      </w:r>
      <w:r/>
    </w:p>
    <w:p>
      <w:pPr>
        <w:pStyle w:val="ListBullet"/>
        <w:spacing w:line="240" w:lineRule="auto"/>
        <w:ind w:left="720"/>
      </w:pPr>
      <w:r/>
      <w:r>
        <w:t>Baffin acquisition (2018) — Business Wire, The Globe and Mail, GearJunkie, SGB Media</w:t>
      </w:r>
      <w:r/>
    </w:p>
    <w:p>
      <w:pPr>
        <w:pStyle w:val="ListBullet"/>
        <w:spacing w:line="240" w:lineRule="auto"/>
        <w:ind w:left="720"/>
      </w:pPr>
      <w:r/>
      <w:r>
        <w:t>Marchon eyewear licence — WWD, Marchon, Retail Insider, FashionUnited</w:t>
      </w:r>
      <w:r/>
    </w:p>
    <w:p>
      <w:pPr>
        <w:pStyle w:val="ListBullet"/>
        <w:spacing w:line="240" w:lineRule="auto"/>
        <w:ind w:left="720"/>
      </w:pPr>
      <w:r/>
      <w:r>
        <w:t>Governance and AGM — StockTitan, TheOfficialBoard, The Org</w:t>
      </w:r>
      <w:r/>
    </w:p>
    <w:p>
      <w:pPr>
        <w:pStyle w:val="ListBullet"/>
        <w:spacing w:line="240" w:lineRule="auto"/>
        <w:ind w:left="720"/>
      </w:pPr>
      <w:r/>
      <w:r>
        <w:t>NCIB history — Business Wire, company MD&amp;A excerpts via SEC filing indices</w:t>
      </w:r>
      <w:r/>
    </w:p>
    <w:p>
      <w:pPr>
        <w:pStyle w:val="ListBullet"/>
        <w:spacing w:line="240" w:lineRule="auto"/>
        <w:ind w:left="720"/>
      </w:pPr>
      <w:r/>
      <w:r>
        <w:t>Peer multiples — Multiples.vc, GuruFocus, StockAnalysis, ValueInvesting.io, AlphaSpread</w:t>
      </w:r>
      <w:r/>
    </w:p>
    <w:p>
      <w:pPr>
        <w:pStyle w:val="ListBullet"/>
        <w:spacing w:line="240" w:lineRule="auto"/>
        <w:ind w:left="720"/>
      </w:pPr>
      <w:r/>
      <w:r>
        <w:t>M&amp;A comparables — Lincoln International Fashion &amp; Apparel Quarterly Reviews, Capstone Partners, Hexagon Capital Alliance, MergerSight, BSIC</w:t>
      </w:r>
      <w:r/>
    </w:p>
    <w:p>
      <w:pPr>
        <w:pStyle w:val="ListBullet"/>
        <w:spacing w:line="240" w:lineRule="auto"/>
        <w:ind w:left="720"/>
      </w:pPr>
      <w:r/>
      <w:r>
        <w:t>Short interest — GuruFocus, Benzinga; supply chain and sustainability — canadagoose.com, Feather Industries Canada, Downmark</w:t>
      </w:r>
      <w:r/>
      <w:r/>
    </w:p>
    <w:p>
      <w:r/>
      <w:r>
        <w:rPr>
          <w:b/>
        </w:rPr>
        <w:t>Disclaimer.</w:t>
      </w:r>
      <w:r>
        <w:t xml:space="preserve"> This document was prepared for informational and analytical purposes only. It is not investment advice, nor an offer or solicitation to buy or sell any security. Figures marked (D) are derived and (E) are estimates; all are subject to the data limitations described in §27 and should be verified against primary sources before any investment decision. The author holds no position in any security mentioned.</w:t>
      </w:r>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