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6BD0"/>
          <w:sz w:val="18"/>
        </w:rPr>
        <w:t>EQUITY RESEARCH | EVENT &amp; SPECIAL SITUATIONS</w:t>
      </w:r>
    </w:p>
    <w:p>
      <w:r>
        <w:rPr>
          <w:b/>
          <w:color w:val="14243F"/>
          <w:sz w:val="52"/>
        </w:rPr>
        <w:t>Obayashi Corporation (1802 JT)</w:t>
      </w:r>
    </w:p>
    <w:p>
      <w:r>
        <w:rPr>
          <w:color w:val="555F70"/>
          <w:sz w:val="25"/>
        </w:rPr>
        <w:t>Japan's #2 super-general contractor: record margins, net cash and a stock 32% off its high</w:t>
      </w:r>
    </w:p>
    <w:p>
      <w:r>
        <w:rPr>
          <w:color w:val="555F70"/>
          <w:sz w:val="17"/>
        </w:rPr>
        <w:t>Report date: 3 October 2026 | Reference price: JPY 3,008 (30 Sep 2026 close†) | Fiscal year ends 31 March (FY3/26 = year to March 2026)</w:t>
      </w:r>
    </w:p>
    <w:tbl>
      <w:tblPr>
        <w:tblW w:type="auto" w:w="0"/>
        <w:jc w:val="center"/>
        <w:tblLook w:firstColumn="1" w:firstRow="1" w:lastColumn="0" w:lastRow="0" w:noHBand="0" w:noVBand="1" w:val="04A0"/>
      </w:tblPr>
      <w:tblGrid>
        <w:gridCol w:w="9752"/>
      </w:tblGrid>
      <w:tr>
        <w:tc>
          <w:tcPr>
            <w:tcW w:type="dxa" w:w="9752"/>
            <w:shd w:val="clear" w:color="auto" w:fill="EEF2FA"/>
          </w:tcPr>
          <w:p>
            <w:r/>
            <w:r>
              <w:rPr>
                <w:b/>
                <w:sz w:val="18"/>
              </w:rPr>
              <w:t>Rating: ACCUMULATE (moderately positive).  12-month target JPY 3,500 (+16%); probability-weighted value JPY 3,384 (+12%).</w:t>
            </w:r>
            <w:r>
              <w:rPr>
                <w:sz w:val="18"/>
              </w:rPr>
              <w:t xml:space="preserve">  Net cash, a guidance record that is deliberately conservative, a regression-implied discount of c.23% to peers on EV/Sales, and an active capital-return and cross-holding-unwind programme support the shares. Against that: FY3/26 earnings were flattered by securities-sale gains, the order book is flat-to-down, margin is at a cyclical high, and material and labour inflation plus the Multiplex integration are live risks.</w:t>
            </w:r>
          </w:p>
        </w:tc>
      </w:tr>
    </w:tbl>
    <w:p>
      <w:pPr>
        <w:spacing w:after="40"/>
      </w:pPr>
    </w:p>
    <w:tbl>
      <w:tblPr>
        <w:tblStyle w:val="TableGrid"/>
        <w:tblW w:type="auto" w:w="0"/>
        <w:jc w:val="center"/>
        <w:tblLayout w:type="fixed"/>
        <w:tblLook w:firstColumn="1" w:firstRow="1" w:lastColumn="0" w:lastRow="0" w:noHBand="0" w:noVBand="1" w:val="04A0"/>
      </w:tblPr>
      <w:tblGrid>
        <w:gridCol w:w="2353"/>
        <w:gridCol w:w="2578"/>
        <w:gridCol w:w="2353"/>
        <w:gridCol w:w="2353"/>
      </w:tblGrid>
      <w:tr>
        <w:trPr>
          <w:tblHeader w:val="true"/>
        </w:trPr>
        <w:tc>
          <w:tcPr>
            <w:tcW w:type="dxa" w:w="2353"/>
            <w:shd w:val="clear" w:color="auto" w:fill="14243F"/>
          </w:tcPr>
          <w:p>
            <w:r/>
            <w:r>
              <w:rPr>
                <w:b/>
                <w:color w:val="FFFFFF"/>
                <w:sz w:val="16"/>
              </w:rPr>
              <w:t>Metric</w:t>
            </w:r>
          </w:p>
        </w:tc>
        <w:tc>
          <w:tcPr>
            <w:tcW w:type="dxa" w:w="2578"/>
            <w:shd w:val="clear" w:color="auto" w:fill="14243F"/>
          </w:tcPr>
          <w:p>
            <w:r/>
            <w:r>
              <w:rPr>
                <w:b/>
                <w:color w:val="FFFFFF"/>
                <w:sz w:val="16"/>
              </w:rPr>
              <w:t>Value</w:t>
            </w:r>
          </w:p>
        </w:tc>
        <w:tc>
          <w:tcPr>
            <w:tcW w:type="dxa" w:w="2353"/>
            <w:shd w:val="clear" w:color="auto" w:fill="14243F"/>
          </w:tcPr>
          <w:p>
            <w:r/>
            <w:r>
              <w:rPr>
                <w:b/>
                <w:color w:val="FFFFFF"/>
                <w:sz w:val="16"/>
              </w:rPr>
              <w:t>Metric</w:t>
            </w:r>
          </w:p>
        </w:tc>
        <w:tc>
          <w:tcPr>
            <w:tcW w:type="dxa" w:w="2353"/>
            <w:shd w:val="clear" w:color="auto" w:fill="14243F"/>
          </w:tcPr>
          <w:p>
            <w:r/>
            <w:r>
              <w:rPr>
                <w:b/>
                <w:color w:val="FFFFFF"/>
                <w:sz w:val="16"/>
              </w:rPr>
              <w:t>Value</w:t>
            </w:r>
          </w:p>
        </w:tc>
      </w:tr>
      <w:tr>
        <w:tc>
          <w:tcPr>
            <w:tcW w:type="dxa" w:w="2353"/>
          </w:tcPr>
          <w:p>
            <w:pPr>
              <w:spacing w:after="20"/>
            </w:pPr>
            <w:r/>
            <w:r>
              <w:rPr>
                <w:b/>
                <w:sz w:val="16"/>
              </w:rPr>
              <w:t>Price / market cap</w:t>
            </w:r>
          </w:p>
        </w:tc>
        <w:tc>
          <w:tcPr>
            <w:tcW w:type="dxa" w:w="2578"/>
          </w:tcPr>
          <w:p>
            <w:pPr>
              <w:spacing w:after="20"/>
            </w:pPr>
            <w:r/>
            <w:r>
              <w:rPr>
                <w:sz w:val="16"/>
              </w:rPr>
              <w:t>JPY 3,008 / JPY 2,081bn</w:t>
            </w:r>
          </w:p>
        </w:tc>
        <w:tc>
          <w:tcPr>
            <w:tcW w:type="dxa" w:w="2353"/>
          </w:tcPr>
          <w:p>
            <w:pPr>
              <w:spacing w:after="20"/>
            </w:pPr>
            <w:r/>
            <w:r>
              <w:rPr>
                <w:sz w:val="16"/>
              </w:rPr>
              <w:t>FY3/26 sales / OP</w:t>
            </w:r>
          </w:p>
        </w:tc>
        <w:tc>
          <w:tcPr>
            <w:tcW w:type="dxa" w:w="2353"/>
          </w:tcPr>
          <w:p>
            <w:pPr>
              <w:spacing w:after="20"/>
            </w:pPr>
            <w:r/>
            <w:r>
              <w:rPr>
                <w:sz w:val="16"/>
              </w:rPr>
              <w:t>JPY 2,586bn / JPY 194.7bn (7.5%)</w:t>
            </w:r>
          </w:p>
        </w:tc>
      </w:tr>
      <w:tr>
        <w:tc>
          <w:tcPr>
            <w:tcW w:type="dxa" w:w="2353"/>
            <w:shd w:val="clear" w:color="auto" w:fill="F1F3F8"/>
          </w:tcPr>
          <w:p>
            <w:pPr>
              <w:spacing w:after="20"/>
            </w:pPr>
            <w:r/>
            <w:r>
              <w:rPr>
                <w:b/>
                <w:sz w:val="16"/>
              </w:rPr>
              <w:t>52-wk high / low (YTD)</w:t>
            </w:r>
          </w:p>
        </w:tc>
        <w:tc>
          <w:tcPr>
            <w:tcW w:type="dxa" w:w="2578"/>
            <w:shd w:val="clear" w:color="auto" w:fill="F1F3F8"/>
          </w:tcPr>
          <w:p>
            <w:pPr>
              <w:spacing w:after="20"/>
            </w:pPr>
            <w:r/>
            <w:r>
              <w:rPr>
                <w:sz w:val="16"/>
              </w:rPr>
              <w:t>JPY 4,439 (27 Feb 26) / 2,891 (19 Aug 26)†</w:t>
            </w:r>
          </w:p>
        </w:tc>
        <w:tc>
          <w:tcPr>
            <w:tcW w:type="dxa" w:w="2353"/>
            <w:shd w:val="clear" w:color="auto" w:fill="F1F3F8"/>
          </w:tcPr>
          <w:p>
            <w:pPr>
              <w:spacing w:after="20"/>
            </w:pPr>
            <w:r/>
            <w:r>
              <w:rPr>
                <w:sz w:val="16"/>
              </w:rPr>
              <w:t>FY3/26 net income / EPS</w:t>
            </w:r>
          </w:p>
        </w:tc>
        <w:tc>
          <w:tcPr>
            <w:tcW w:type="dxa" w:w="2353"/>
            <w:shd w:val="clear" w:color="auto" w:fill="F1F3F8"/>
          </w:tcPr>
          <w:p>
            <w:pPr>
              <w:spacing w:after="20"/>
            </w:pPr>
            <w:r/>
            <w:r>
              <w:rPr>
                <w:sz w:val="16"/>
              </w:rPr>
              <w:t>JPY 173.8bn / JPY 249.4</w:t>
            </w:r>
          </w:p>
        </w:tc>
      </w:tr>
      <w:tr>
        <w:tc>
          <w:tcPr>
            <w:tcW w:type="dxa" w:w="2353"/>
          </w:tcPr>
          <w:p>
            <w:pPr>
              <w:spacing w:after="20"/>
            </w:pPr>
            <w:r/>
            <w:r>
              <w:rPr>
                <w:b/>
                <w:sz w:val="16"/>
              </w:rPr>
              <w:t>Net cash (31 Mar 26)</w:t>
            </w:r>
          </w:p>
        </w:tc>
        <w:tc>
          <w:tcPr>
            <w:tcW w:type="dxa" w:w="2578"/>
          </w:tcPr>
          <w:p>
            <w:pPr>
              <w:spacing w:after="20"/>
            </w:pPr>
            <w:r/>
            <w:r>
              <w:rPr>
                <w:sz w:val="16"/>
              </w:rPr>
              <w:t>JPY 84bn†</w:t>
            </w:r>
          </w:p>
        </w:tc>
        <w:tc>
          <w:tcPr>
            <w:tcW w:type="dxa" w:w="2353"/>
          </w:tcPr>
          <w:p>
            <w:pPr>
              <w:spacing w:after="20"/>
            </w:pPr>
            <w:r/>
            <w:r>
              <w:rPr>
                <w:sz w:val="16"/>
              </w:rPr>
              <w:t>FY3/27 guidance (sales/OP/NI)</w:t>
            </w:r>
          </w:p>
        </w:tc>
        <w:tc>
          <w:tcPr>
            <w:tcW w:type="dxa" w:w="2353"/>
          </w:tcPr>
          <w:p>
            <w:pPr>
              <w:spacing w:after="20"/>
            </w:pPr>
            <w:r/>
            <w:r>
              <w:rPr>
                <w:sz w:val="16"/>
              </w:rPr>
              <w:t>JPY 2,945bn / 180bn / 157bn</w:t>
            </w:r>
          </w:p>
        </w:tc>
      </w:tr>
      <w:tr>
        <w:tc>
          <w:tcPr>
            <w:tcW w:type="dxa" w:w="2353"/>
            <w:shd w:val="clear" w:color="auto" w:fill="F1F3F8"/>
          </w:tcPr>
          <w:p>
            <w:pPr>
              <w:spacing w:after="20"/>
            </w:pPr>
            <w:r/>
            <w:r>
              <w:rPr>
                <w:b/>
                <w:sz w:val="16"/>
              </w:rPr>
              <w:t>EV (mkt cap less net cash)</w:t>
            </w:r>
          </w:p>
        </w:tc>
        <w:tc>
          <w:tcPr>
            <w:tcW w:type="dxa" w:w="2578"/>
            <w:shd w:val="clear" w:color="auto" w:fill="F1F3F8"/>
          </w:tcPr>
          <w:p>
            <w:pPr>
              <w:spacing w:after="20"/>
            </w:pPr>
            <w:r/>
            <w:r>
              <w:rPr>
                <w:sz w:val="16"/>
              </w:rPr>
              <w:t>JPY 1,997bn</w:t>
            </w:r>
          </w:p>
        </w:tc>
        <w:tc>
          <w:tcPr>
            <w:tcW w:type="dxa" w:w="2353"/>
            <w:shd w:val="clear" w:color="auto" w:fill="F1F3F8"/>
          </w:tcPr>
          <w:p>
            <w:pPr>
              <w:spacing w:after="20"/>
            </w:pPr>
            <w:r/>
            <w:r>
              <w:rPr>
                <w:sz w:val="16"/>
              </w:rPr>
              <w:t>DPS FY3/26 / FY3/27E</w:t>
            </w:r>
          </w:p>
        </w:tc>
        <w:tc>
          <w:tcPr>
            <w:tcW w:type="dxa" w:w="2353"/>
            <w:shd w:val="clear" w:color="auto" w:fill="F1F3F8"/>
          </w:tcPr>
          <w:p>
            <w:pPr>
              <w:spacing w:after="20"/>
            </w:pPr>
            <w:r/>
            <w:r>
              <w:rPr>
                <w:sz w:val="16"/>
              </w:rPr>
              <w:t>JPY 88 / JPY 94 (DOE c.5%)</w:t>
            </w:r>
          </w:p>
        </w:tc>
      </w:tr>
      <w:tr>
        <w:tc>
          <w:tcPr>
            <w:tcW w:type="dxa" w:w="2353"/>
          </w:tcPr>
          <w:p>
            <w:pPr>
              <w:spacing w:after="20"/>
            </w:pPr>
            <w:r/>
            <w:r>
              <w:rPr>
                <w:b/>
                <w:sz w:val="16"/>
              </w:rPr>
              <w:t>EV/Sales | EV/EBITDA* | EV/EBIT</w:t>
            </w:r>
          </w:p>
        </w:tc>
        <w:tc>
          <w:tcPr>
            <w:tcW w:type="dxa" w:w="2578"/>
          </w:tcPr>
          <w:p>
            <w:pPr>
              <w:spacing w:after="20"/>
            </w:pPr>
            <w:r/>
            <w:r>
              <w:rPr>
                <w:sz w:val="16"/>
              </w:rPr>
              <w:t>0.77x | 8.2x | 10.3x</w:t>
            </w:r>
          </w:p>
        </w:tc>
        <w:tc>
          <w:tcPr>
            <w:tcW w:type="dxa" w:w="2353"/>
          </w:tcPr>
          <w:p>
            <w:pPr>
              <w:spacing w:after="20"/>
            </w:pPr>
            <w:r/>
            <w:r>
              <w:rPr>
                <w:sz w:val="16"/>
              </w:rPr>
              <w:t>P/E trailing | on guidance | on our FY27E</w:t>
            </w:r>
          </w:p>
        </w:tc>
        <w:tc>
          <w:tcPr>
            <w:tcW w:type="dxa" w:w="2353"/>
          </w:tcPr>
          <w:p>
            <w:pPr>
              <w:spacing w:after="20"/>
            </w:pPr>
            <w:r/>
            <w:r>
              <w:rPr>
                <w:sz w:val="16"/>
              </w:rPr>
              <w:t>12.0x | 13.3x | 12.5x</w:t>
            </w:r>
          </w:p>
        </w:tc>
      </w:tr>
      <w:tr>
        <w:tc>
          <w:tcPr>
            <w:tcW w:type="dxa" w:w="2353"/>
            <w:shd w:val="clear" w:color="auto" w:fill="F1F3F8"/>
          </w:tcPr>
          <w:p>
            <w:pPr>
              <w:spacing w:after="20"/>
            </w:pPr>
            <w:r/>
            <w:r>
              <w:rPr>
                <w:b/>
                <w:sz w:val="16"/>
              </w:rPr>
              <w:t>P/B | dividend yield</w:t>
            </w:r>
          </w:p>
        </w:tc>
        <w:tc>
          <w:tcPr>
            <w:tcW w:type="dxa" w:w="2578"/>
            <w:shd w:val="clear" w:color="auto" w:fill="F1F3F8"/>
          </w:tcPr>
          <w:p>
            <w:pPr>
              <w:spacing w:after="20"/>
            </w:pPr>
            <w:r/>
            <w:r>
              <w:rPr>
                <w:sz w:val="16"/>
              </w:rPr>
              <w:t>1.58x | 2.9%</w:t>
            </w:r>
          </w:p>
        </w:tc>
        <w:tc>
          <w:tcPr>
            <w:tcW w:type="dxa" w:w="2353"/>
            <w:shd w:val="clear" w:color="auto" w:fill="F1F3F8"/>
          </w:tcPr>
          <w:p>
            <w:pPr>
              <w:spacing w:after="20"/>
            </w:pPr>
            <w:r/>
            <w:r>
              <w:rPr>
                <w:sz w:val="16"/>
              </w:rPr>
              <w:t>Our EPS FY27E / 28E / 29E</w:t>
            </w:r>
          </w:p>
        </w:tc>
        <w:tc>
          <w:tcPr>
            <w:tcW w:type="dxa" w:w="2353"/>
            <w:shd w:val="clear" w:color="auto" w:fill="F1F3F8"/>
          </w:tcPr>
          <w:p>
            <w:pPr>
              <w:spacing w:after="20"/>
            </w:pPr>
            <w:r/>
            <w:r>
              <w:rPr>
                <w:sz w:val="16"/>
              </w:rPr>
              <w:t>JPY 242 / 229 / 235</w:t>
            </w:r>
          </w:p>
        </w:tc>
      </w:tr>
    </w:tbl>
    <w:p>
      <w:pPr>
        <w:spacing w:after="40"/>
      </w:pPr>
    </w:p>
    <w:p>
      <w:r>
        <w:rPr>
          <w:i/>
          <w:color w:val="555F70"/>
          <w:sz w:val="15"/>
        </w:rPr>
        <w:t>*EBITDA is estimated as operating income plus an assumed JPY 50bn of depreciation and amortisation; D&amp;A could not be retrieved. † = from search-result summaries, not verified against a primary filing. See the Data Confidence note on the last page.</w:t>
      </w:r>
    </w:p>
    <w:p>
      <w:pPr>
        <w:pStyle w:val="Heading2"/>
      </w:pPr>
      <w:r>
        <w:t>Read this first: data limitations</w:t>
      </w:r>
    </w:p>
    <w:p>
      <w:r>
        <w:t xml:space="preserve">This environment could not open Obayashi's investor-relations site, EDINET, JPX, Kabutan or Yahoo pages (blocked by the network egress policy), and the Financial Datasets feed returned no credits. Every number here comes from web-search result summaries of primary and secondary sources. Where figures conflicted we say so, and where nothing could be found we write 'n/a'. </w:t>
      </w:r>
      <w:r>
        <w:rPr>
          <w:b/>
        </w:rPr>
        <w:t>The most important figures (FY3/26 results, FY3/27 guidance, Q1 FY3/27 results, board and shareholder lists) were corroborated by at least two independent summaries; peer multiples, price history and capital-structure detail were not.</w:t>
      </w:r>
      <w:r>
        <w:t xml:space="preserve"> Before committing capital, tie the flagged items to the FY3/26 tanshin, the 2026 Integrated Report and the securities report (yuho).</w:t>
      </w:r>
    </w:p>
    <w:p>
      <w:pPr>
        <w:pStyle w:val="Heading1"/>
      </w:pPr>
      <w:r>
        <w:t>1. Investment summary</w:t>
      </w:r>
    </w:p>
    <w:p>
      <w:pPr>
        <w:pStyle w:val="ListBullet"/>
        <w:spacing w:after="40"/>
        <w:ind w:left="340"/>
      </w:pPr>
      <w:r>
        <w:rPr>
          <w:b/>
        </w:rPr>
        <w:t>What it is:</w:t>
      </w:r>
      <w:r>
        <w:t xml:space="preserve"> Japan's second-largest listed general contractor by FY3/25 sales (JPY 2.59tn vs Kajima 2.91tn), building offices, data centres, factories and hospitals, plus tunnels, dams and rail, with a third of sales overseas (US, Asia, and from late 2026 Australia/UK/Canada via Multiplex).</w:t>
      </w:r>
    </w:p>
    <w:p>
      <w:pPr>
        <w:pStyle w:val="ListBullet"/>
        <w:spacing w:after="40"/>
        <w:ind w:left="340"/>
      </w:pPr>
      <w:r>
        <w:rPr>
          <w:b/>
        </w:rPr>
        <w:t>The earnings reset is real:</w:t>
      </w:r>
      <w:r>
        <w:t xml:space="preserve"> operating margin rose from 2.1% (FY3/22) to 7.5% (FY3/26) on selective order-taking, price escalation, change orders on large domestic building jobs, and fewer loss-making legacy projects. Operating income is up 4.7x in four years.</w:t>
      </w:r>
    </w:p>
    <w:p>
      <w:pPr>
        <w:pStyle w:val="ListBullet"/>
        <w:spacing w:after="40"/>
        <w:ind w:left="340"/>
      </w:pPr>
      <w:r>
        <w:rPr>
          <w:b/>
        </w:rPr>
        <w:t>But the FY3/26 EPS of JPY 249 flatters:</w:t>
      </w:r>
      <w:r>
        <w:t xml:space="preserve"> net income (JPY 173.8bn) was 85% of ordinary income (JPY 204bn). A normal tax-adjusted ratio is c.68-70%, implying roughly JPY 30-35bn of net one-off gains (securities sales), an inference we cannot confirm without the tanshin. Q1 FY3/27 net income (JPY 39bn) again exceeded operating income because of a c.JPY 20bn securities gain.</w:t>
      </w:r>
    </w:p>
    <w:p>
      <w:pPr>
        <w:pStyle w:val="ListBullet"/>
        <w:spacing w:after="40"/>
        <w:ind w:left="340"/>
      </w:pPr>
      <w:r>
        <w:rPr>
          <w:b/>
        </w:rPr>
        <w:t>Guidance is a sandbag, not a forecast:</w:t>
      </w:r>
      <w:r>
        <w:t xml:space="preserve"> for FY3/26 management guided net income down 32% to JPY 100bn (the shares fell c.9% intraday on 13 May 2025); the outcome was JPY 173.8bn. For FY3/27 it guides OP JPY 180bn (-7.5%) and NI JPY 157bn (-9.6%); Q1 delivered 19.9% of full-year ordinary-profit guidance against a five-year average of 16.2%, and consensus ordinary profit (JPY 193bn) already sits 5% above guidance.</w:t>
      </w:r>
    </w:p>
    <w:p>
      <w:pPr>
        <w:pStyle w:val="ListBullet"/>
        <w:spacing w:after="40"/>
        <w:ind w:left="340"/>
      </w:pPr>
      <w:r>
        <w:rPr>
          <w:b/>
        </w:rPr>
        <w:t>Valuation is undemanding but no longer cheap against its own history:</w:t>
      </w:r>
      <w:r>
        <w:t xml:space="preserve"> 12x trailing P/E, 8.2x EV/EBITDA (c.7x after deducting JPY 289bn of cross-held shares), 1.6x P/B, JPY 84bn net cash, c.8% free-cash-flow yield on a CFO+CFI proxy. A seven-peer regression of EV/Sales on EBIT margin (R² 0.86) implies 0.95x vs 0.77x actual, a c.23% discount.</w:t>
      </w:r>
    </w:p>
    <w:p>
      <w:pPr>
        <w:pStyle w:val="ListBullet"/>
        <w:spacing w:after="40"/>
        <w:ind w:left="340"/>
      </w:pPr>
      <w:r>
        <w:rPr>
          <w:b/>
        </w:rPr>
        <w:t>Capital return is the engine:</w:t>
      </w:r>
      <w:r>
        <w:t xml:space="preserve"> DOE target c.5%, JPY 100bn buyback programme through FY3/27 (c.JPY 70bn executed or announced†), cross-holdings of JPY 289bn (21.9% of net assets) being cut to the 20% ceiling by March 2027 with JPY 58bn already contracted, and a successor mid-term plan due around May 2027.</w:t>
      </w:r>
    </w:p>
    <w:p>
      <w:pPr>
        <w:pStyle w:val="ListBullet"/>
        <w:spacing w:after="40"/>
        <w:ind w:left="340"/>
      </w:pPr>
      <w:r>
        <w:rPr>
          <w:b/>
        </w:rPr>
        <w:t>Key risks:</w:t>
      </w:r>
      <w:r>
        <w:t xml:space="preserve"> (1) cost inflation in a fixed-price backlog (Middle East-driven naphtha-material disruption, labour), (2) the Multiplex acquisition (USD 540m for a thin-margin Australian/UK builder with a history of fixed-price disputes), (3) an order book that is not growing (Q1 orders -7.2%), (4) margin mean-reversion after a 4.7x profit recovery, and (5) a regulatory and reputational tail from the Linear bid-rigging legacy.</w:t>
      </w:r>
    </w:p>
    <w:p>
      <w:pPr>
        <w:pStyle w:val="Heading2"/>
      </w:pPr>
      <w:r>
        <w:t>Our view in one table</w:t>
      </w:r>
    </w:p>
    <w:tbl>
      <w:tblPr>
        <w:tblStyle w:val="TableGrid"/>
        <w:tblW w:type="auto" w:w="0"/>
        <w:jc w:val="center"/>
        <w:tblLayout w:type="fixed"/>
        <w:tblLook w:firstColumn="1" w:firstRow="1" w:lastColumn="0" w:lastRow="0" w:noHBand="0" w:noVBand="1" w:val="04A0"/>
      </w:tblPr>
      <w:tblGrid>
        <w:gridCol w:w="2835"/>
        <w:gridCol w:w="2268"/>
        <w:gridCol w:w="2268"/>
        <w:gridCol w:w="2268"/>
      </w:tblGrid>
      <w:tr>
        <w:trPr>
          <w:tblHeader w:val="true"/>
        </w:trPr>
        <w:tc>
          <w:tcPr>
            <w:tcW w:type="dxa" w:w="2835"/>
            <w:shd w:val="clear" w:color="auto" w:fill="14243F"/>
          </w:tcPr>
          <w:p>
            <w:r/>
          </w:p>
        </w:tc>
        <w:tc>
          <w:tcPr>
            <w:tcW w:type="dxa" w:w="2268"/>
            <w:shd w:val="clear" w:color="auto" w:fill="14243F"/>
          </w:tcPr>
          <w:p>
            <w:r/>
            <w:r>
              <w:rPr>
                <w:b/>
                <w:color w:val="FFFFFF"/>
                <w:sz w:val="17"/>
              </w:rPr>
              <w:t>Bear (30%)</w:t>
            </w:r>
          </w:p>
        </w:tc>
        <w:tc>
          <w:tcPr>
            <w:tcW w:type="dxa" w:w="2268"/>
            <w:shd w:val="clear" w:color="auto" w:fill="14243F"/>
          </w:tcPr>
          <w:p>
            <w:r/>
            <w:r>
              <w:rPr>
                <w:b/>
                <w:color w:val="FFFFFF"/>
                <w:sz w:val="17"/>
              </w:rPr>
              <w:t>Base (50%)</w:t>
            </w:r>
          </w:p>
        </w:tc>
        <w:tc>
          <w:tcPr>
            <w:tcW w:type="dxa" w:w="2268"/>
            <w:shd w:val="clear" w:color="auto" w:fill="14243F"/>
          </w:tcPr>
          <w:p>
            <w:r/>
            <w:r>
              <w:rPr>
                <w:b/>
                <w:color w:val="FFFFFF"/>
                <w:sz w:val="17"/>
              </w:rPr>
              <w:t>Bull (20%)</w:t>
            </w:r>
          </w:p>
        </w:tc>
      </w:tr>
      <w:tr>
        <w:tc>
          <w:tcPr>
            <w:tcW w:type="dxa" w:w="2835"/>
          </w:tcPr>
          <w:p>
            <w:pPr>
              <w:spacing w:after="20"/>
            </w:pPr>
            <w:r/>
            <w:r>
              <w:rPr>
                <w:b/>
                <w:sz w:val="17"/>
              </w:rPr>
              <w:t>FY3/28E operating income</w:t>
            </w:r>
          </w:p>
        </w:tc>
        <w:tc>
          <w:tcPr>
            <w:tcW w:type="dxa" w:w="2268"/>
          </w:tcPr>
          <w:p>
            <w:pPr>
              <w:spacing w:after="20"/>
            </w:pPr>
            <w:r/>
            <w:r>
              <w:rPr>
                <w:sz w:val="17"/>
              </w:rPr>
              <w:t>JPY 150bn</w:t>
            </w:r>
          </w:p>
        </w:tc>
        <w:tc>
          <w:tcPr>
            <w:tcW w:type="dxa" w:w="2268"/>
          </w:tcPr>
          <w:p>
            <w:pPr>
              <w:spacing w:after="20"/>
            </w:pPr>
            <w:r/>
            <w:r>
              <w:rPr>
                <w:sz w:val="17"/>
              </w:rPr>
              <w:t>JPY 197bn</w:t>
            </w:r>
          </w:p>
        </w:tc>
        <w:tc>
          <w:tcPr>
            <w:tcW w:type="dxa" w:w="2268"/>
          </w:tcPr>
          <w:p>
            <w:pPr>
              <w:spacing w:after="20"/>
            </w:pPr>
            <w:r/>
            <w:r>
              <w:rPr>
                <w:sz w:val="17"/>
              </w:rPr>
              <w:t>JPY 225bn</w:t>
            </w:r>
          </w:p>
        </w:tc>
      </w:tr>
      <w:tr>
        <w:tc>
          <w:tcPr>
            <w:tcW w:type="dxa" w:w="2835"/>
            <w:shd w:val="clear" w:color="auto" w:fill="F1F3F8"/>
          </w:tcPr>
          <w:p>
            <w:pPr>
              <w:spacing w:after="20"/>
            </w:pPr>
            <w:r/>
            <w:r>
              <w:rPr>
                <w:b/>
                <w:sz w:val="17"/>
              </w:rPr>
              <w:t>FY3/28E EPS</w:t>
            </w:r>
          </w:p>
        </w:tc>
        <w:tc>
          <w:tcPr>
            <w:tcW w:type="dxa" w:w="2268"/>
            <w:shd w:val="clear" w:color="auto" w:fill="F1F3F8"/>
          </w:tcPr>
          <w:p>
            <w:pPr>
              <w:spacing w:after="20"/>
            </w:pPr>
            <w:r/>
            <w:r>
              <w:rPr>
                <w:sz w:val="17"/>
              </w:rPr>
              <w:t>JPY 167</w:t>
            </w:r>
          </w:p>
        </w:tc>
        <w:tc>
          <w:tcPr>
            <w:tcW w:type="dxa" w:w="2268"/>
            <w:shd w:val="clear" w:color="auto" w:fill="F1F3F8"/>
          </w:tcPr>
          <w:p>
            <w:pPr>
              <w:spacing w:after="20"/>
            </w:pPr>
            <w:r/>
            <w:r>
              <w:rPr>
                <w:sz w:val="17"/>
              </w:rPr>
              <w:t>JPY 229</w:t>
            </w:r>
          </w:p>
        </w:tc>
        <w:tc>
          <w:tcPr>
            <w:tcW w:type="dxa" w:w="2268"/>
            <w:shd w:val="clear" w:color="auto" w:fill="F1F3F8"/>
          </w:tcPr>
          <w:p>
            <w:pPr>
              <w:spacing w:after="20"/>
            </w:pPr>
            <w:r/>
            <w:r>
              <w:rPr>
                <w:sz w:val="17"/>
              </w:rPr>
              <w:t>JPY 259</w:t>
            </w:r>
          </w:p>
        </w:tc>
      </w:tr>
      <w:tr>
        <w:tc>
          <w:tcPr>
            <w:tcW w:type="dxa" w:w="2835"/>
          </w:tcPr>
          <w:p>
            <w:pPr>
              <w:spacing w:after="20"/>
            </w:pPr>
            <w:r/>
            <w:r>
              <w:rPr>
                <w:b/>
                <w:sz w:val="17"/>
              </w:rPr>
              <w:t>EV/EBITDA applied</w:t>
            </w:r>
          </w:p>
        </w:tc>
        <w:tc>
          <w:tcPr>
            <w:tcW w:type="dxa" w:w="2268"/>
          </w:tcPr>
          <w:p>
            <w:pPr>
              <w:spacing w:after="20"/>
            </w:pPr>
            <w:r/>
            <w:r>
              <w:rPr>
                <w:sz w:val="17"/>
              </w:rPr>
              <w:t>6.5x</w:t>
            </w:r>
          </w:p>
        </w:tc>
        <w:tc>
          <w:tcPr>
            <w:tcW w:type="dxa" w:w="2268"/>
          </w:tcPr>
          <w:p>
            <w:pPr>
              <w:spacing w:after="20"/>
            </w:pPr>
            <w:r/>
            <w:r>
              <w:rPr>
                <w:sz w:val="17"/>
              </w:rPr>
              <w:t>8.5x</w:t>
            </w:r>
          </w:p>
        </w:tc>
        <w:tc>
          <w:tcPr>
            <w:tcW w:type="dxa" w:w="2268"/>
          </w:tcPr>
          <w:p>
            <w:pPr>
              <w:spacing w:after="20"/>
            </w:pPr>
            <w:r/>
            <w:r>
              <w:rPr>
                <w:sz w:val="17"/>
              </w:rPr>
              <w:t>9.5x</w:t>
            </w:r>
          </w:p>
        </w:tc>
      </w:tr>
      <w:tr>
        <w:tc>
          <w:tcPr>
            <w:tcW w:type="dxa" w:w="2835"/>
            <w:shd w:val="clear" w:color="auto" w:fill="F1F3F8"/>
          </w:tcPr>
          <w:p>
            <w:pPr>
              <w:spacing w:after="20"/>
            </w:pPr>
            <w:r/>
            <w:r>
              <w:rPr>
                <w:b/>
                <w:sz w:val="17"/>
              </w:rPr>
              <w:t>Value per share</w:t>
            </w:r>
          </w:p>
        </w:tc>
        <w:tc>
          <w:tcPr>
            <w:tcW w:type="dxa" w:w="2268"/>
            <w:shd w:val="clear" w:color="auto" w:fill="F1F3F8"/>
          </w:tcPr>
          <w:p>
            <w:pPr>
              <w:spacing w:after="20"/>
            </w:pPr>
            <w:r/>
            <w:r>
              <w:rPr>
                <w:sz w:val="17"/>
              </w:rPr>
              <w:t>JPY 2,354 (-22%)</w:t>
            </w:r>
          </w:p>
        </w:tc>
        <w:tc>
          <w:tcPr>
            <w:tcW w:type="dxa" w:w="2268"/>
            <w:shd w:val="clear" w:color="auto" w:fill="F1F3F8"/>
          </w:tcPr>
          <w:p>
            <w:pPr>
              <w:spacing w:after="20"/>
            </w:pPr>
            <w:r/>
            <w:r>
              <w:rPr>
                <w:sz w:val="17"/>
              </w:rPr>
              <w:t>JPY 3,530 (+17%)</w:t>
            </w:r>
          </w:p>
        </w:tc>
        <w:tc>
          <w:tcPr>
            <w:tcW w:type="dxa" w:w="2268"/>
            <w:shd w:val="clear" w:color="auto" w:fill="F1F3F8"/>
          </w:tcPr>
          <w:p>
            <w:pPr>
              <w:spacing w:after="20"/>
            </w:pPr>
            <w:r/>
            <w:r>
              <w:rPr>
                <w:sz w:val="17"/>
              </w:rPr>
              <w:t>JPY 4,564 (+52%)</w:t>
            </w:r>
          </w:p>
        </w:tc>
      </w:tr>
    </w:tbl>
    <w:p>
      <w:pPr>
        <w:spacing w:after="40"/>
      </w:pPr>
    </w:p>
    <w:p>
      <w:r>
        <w:rPr>
          <w:i/>
          <w:color w:val="555F70"/>
          <w:sz w:val="16"/>
        </w:rPr>
        <w:t>Probability-weighted value JPY 3,384 (+12%). Equity value = EBITDA x multiple + net cash (JPY 84bn) + 75% of cross-held shares (JPY 289bn x 0.75) on 680m shares. Full assumptions in Section 21.</w:t>
      </w:r>
    </w:p>
    <w:p>
      <w:pPr>
        <w:pStyle w:val="Heading1"/>
      </w:pPr>
      <w:r>
        <w:t>2. Layman's guide: what Obayashi does and how it makes money</w:t>
      </w:r>
    </w:p>
    <w:p>
      <w:r>
        <w:t>Obayashi is a builder. Clients (a property developer, a railway company, a government ministry, a chipmaker, a data-centre operator) hire Obayashi to design and construct something. Obayashi usually agrees a price up front, hires hundreds of specialist subcontractors, buys steel, concrete and equipment, and earns the difference between the contract price and what the job really costs. It is paid in stages as the work progresses (progress billings), with government clients often paying a sizeable advance at the start.</w:t>
      </w:r>
    </w:p>
    <w:p>
      <w:pPr>
        <w:pStyle w:val="ListBullet"/>
        <w:spacing w:after="40"/>
        <w:ind w:left="340"/>
      </w:pPr>
      <w:r>
        <w:rPr>
          <w:b/>
        </w:rPr>
        <w:t>Revenue = contracts won x how much of each job is finished this year.</w:t>
      </w:r>
      <w:r>
        <w:t xml:space="preserve"> It is recognised as work proceeds (cost-to-cost percentage of completion), so today's order wins become sales over 2-4 years.</w:t>
      </w:r>
    </w:p>
    <w:p>
      <w:pPr>
        <w:pStyle w:val="ListBullet"/>
        <w:spacing w:after="40"/>
        <w:ind w:left="340"/>
      </w:pPr>
      <w:r>
        <w:rPr>
          <w:b/>
        </w:rPr>
        <w:t>Profit = contract price - actual cost.</w:t>
      </w:r>
      <w:r>
        <w:t xml:space="preserve"> The margin is thin (5-10% operating), and the whole game is pricing jobs properly, controlling costs, and getting paid for changes the client asks for mid-build.</w:t>
      </w:r>
    </w:p>
    <w:p>
      <w:pPr>
        <w:pStyle w:val="ListBullet"/>
        <w:spacing w:after="40"/>
        <w:ind w:left="340"/>
      </w:pPr>
      <w:r>
        <w:rPr>
          <w:b/>
        </w:rPr>
        <w:t>A small property arm</w:t>
      </w:r>
      <w:r>
        <w:t xml:space="preserve"> builds and sells or leases buildings (including data-centre sites); this is lumpy but high-margin.</w:t>
      </w:r>
    </w:p>
    <w:p>
      <w:pPr>
        <w:pStyle w:val="ListBullet"/>
        <w:spacing w:after="40"/>
        <w:ind w:left="340"/>
      </w:pPr>
      <w:r>
        <w:rPr>
          <w:b/>
        </w:rPr>
        <w:t>Overseas</w:t>
      </w:r>
      <w:r>
        <w:t xml:space="preserve"> (c.33% of sales) means mostly US construction through subsidiaries (Webcor, Kraemer, E.W. Howell, James E. Roberts-Obayashi, MWH, GCON) plus Asian subsidiaries; Australia/UK/Canada is being added via the Multiplex deal.</w:t>
      </w:r>
    </w:p>
    <w:tbl>
      <w:tblPr>
        <w:tblStyle w:val="TableGrid"/>
        <w:tblW w:type="auto" w:w="0"/>
        <w:jc w:val="center"/>
        <w:tblLayout w:type="fixed"/>
        <w:tblLook w:firstColumn="1" w:firstRow="1" w:lastColumn="0" w:lastRow="0" w:noHBand="0" w:noVBand="1" w:val="04A0"/>
      </w:tblPr>
      <w:tblGrid>
        <w:gridCol w:w="1951"/>
        <w:gridCol w:w="2639"/>
        <w:gridCol w:w="1262"/>
        <w:gridCol w:w="861"/>
        <w:gridCol w:w="1147"/>
        <w:gridCol w:w="918"/>
        <w:gridCol w:w="861"/>
      </w:tblGrid>
      <w:tr>
        <w:trPr>
          <w:tblHeader w:val="true"/>
        </w:trPr>
        <w:tc>
          <w:tcPr>
            <w:tcW w:type="dxa" w:w="1951"/>
            <w:shd w:val="clear" w:color="auto" w:fill="14243F"/>
          </w:tcPr>
          <w:p>
            <w:r/>
            <w:r>
              <w:rPr>
                <w:b/>
                <w:color w:val="FFFFFF"/>
                <w:sz w:val="15"/>
              </w:rPr>
              <w:t>Division</w:t>
            </w:r>
          </w:p>
        </w:tc>
        <w:tc>
          <w:tcPr>
            <w:tcW w:type="dxa" w:w="2639"/>
            <w:shd w:val="clear" w:color="auto" w:fill="14243F"/>
          </w:tcPr>
          <w:p>
            <w:r/>
            <w:r>
              <w:rPr>
                <w:b/>
                <w:color w:val="FFFFFF"/>
                <w:sz w:val="15"/>
              </w:rPr>
              <w:t>What it builds</w:t>
            </w:r>
          </w:p>
        </w:tc>
        <w:tc>
          <w:tcPr>
            <w:tcW w:type="dxa" w:w="1262"/>
            <w:shd w:val="clear" w:color="auto" w:fill="14243F"/>
          </w:tcPr>
          <w:p>
            <w:r/>
            <w:r>
              <w:rPr>
                <w:b/>
                <w:color w:val="FFFFFF"/>
                <w:sz w:val="15"/>
              </w:rPr>
              <w:t>FY3/26 sales (JPY bn)</w:t>
            </w:r>
          </w:p>
        </w:tc>
        <w:tc>
          <w:tcPr>
            <w:tcW w:type="dxa" w:w="861"/>
            <w:shd w:val="clear" w:color="auto" w:fill="14243F"/>
          </w:tcPr>
          <w:p>
            <w:r/>
            <w:r>
              <w:rPr>
                <w:b/>
                <w:color w:val="FFFFFF"/>
                <w:sz w:val="15"/>
              </w:rPr>
              <w:t>% of sales</w:t>
            </w:r>
          </w:p>
        </w:tc>
        <w:tc>
          <w:tcPr>
            <w:tcW w:type="dxa" w:w="1147"/>
            <w:shd w:val="clear" w:color="auto" w:fill="14243F"/>
          </w:tcPr>
          <w:p>
            <w:r/>
            <w:r>
              <w:rPr>
                <w:b/>
                <w:color w:val="FFFFFF"/>
                <w:sz w:val="15"/>
              </w:rPr>
              <w:t>FY3/26 OP (JPY bn)</w:t>
            </w:r>
          </w:p>
        </w:tc>
        <w:tc>
          <w:tcPr>
            <w:tcW w:type="dxa" w:w="918"/>
            <w:shd w:val="clear" w:color="auto" w:fill="14243F"/>
          </w:tcPr>
          <w:p>
            <w:r/>
            <w:r>
              <w:rPr>
                <w:b/>
                <w:color w:val="FFFFFF"/>
                <w:sz w:val="15"/>
              </w:rPr>
              <w:t>OP margin</w:t>
            </w:r>
          </w:p>
        </w:tc>
        <w:tc>
          <w:tcPr>
            <w:tcW w:type="dxa" w:w="861"/>
            <w:shd w:val="clear" w:color="auto" w:fill="14243F"/>
          </w:tcPr>
          <w:p>
            <w:r/>
            <w:r>
              <w:rPr>
                <w:b/>
                <w:color w:val="FFFFFF"/>
                <w:sz w:val="15"/>
              </w:rPr>
              <w:t>% of OP</w:t>
            </w:r>
          </w:p>
        </w:tc>
      </w:tr>
      <w:tr>
        <w:tc>
          <w:tcPr>
            <w:tcW w:type="dxa" w:w="1951"/>
          </w:tcPr>
          <w:p>
            <w:pPr>
              <w:spacing w:after="20"/>
            </w:pPr>
            <w:r/>
            <w:r>
              <w:rPr>
                <w:b/>
                <w:sz w:val="15"/>
              </w:rPr>
              <w:t>Domestic building</w:t>
            </w:r>
          </w:p>
        </w:tc>
        <w:tc>
          <w:tcPr>
            <w:tcW w:type="dxa" w:w="2639"/>
          </w:tcPr>
          <w:p>
            <w:pPr>
              <w:spacing w:after="20"/>
            </w:pPr>
            <w:r/>
            <w:r>
              <w:rPr>
                <w:sz w:val="15"/>
              </w:rPr>
              <w:t>Offices, high-rises, factories, data centres, hospitals, logistics</w:t>
            </w:r>
          </w:p>
        </w:tc>
        <w:tc>
          <w:tcPr>
            <w:tcW w:type="dxa" w:w="1262"/>
          </w:tcPr>
          <w:p>
            <w:pPr>
              <w:spacing w:after="20"/>
            </w:pPr>
            <w:r/>
            <w:r>
              <w:rPr>
                <w:sz w:val="15"/>
              </w:rPr>
              <w:t>1,138.8</w:t>
            </w:r>
          </w:p>
        </w:tc>
        <w:tc>
          <w:tcPr>
            <w:tcW w:type="dxa" w:w="861"/>
          </w:tcPr>
          <w:p>
            <w:pPr>
              <w:spacing w:after="20"/>
            </w:pPr>
            <w:r/>
            <w:r>
              <w:rPr>
                <w:sz w:val="15"/>
              </w:rPr>
              <w:t>44%</w:t>
            </w:r>
          </w:p>
        </w:tc>
        <w:tc>
          <w:tcPr>
            <w:tcW w:type="dxa" w:w="1147"/>
          </w:tcPr>
          <w:p>
            <w:pPr>
              <w:spacing w:after="20"/>
            </w:pPr>
            <w:r/>
            <w:r>
              <w:rPr>
                <w:sz w:val="15"/>
              </w:rPr>
              <w:t>104.0</w:t>
            </w:r>
          </w:p>
        </w:tc>
        <w:tc>
          <w:tcPr>
            <w:tcW w:type="dxa" w:w="918"/>
          </w:tcPr>
          <w:p>
            <w:pPr>
              <w:spacing w:after="20"/>
            </w:pPr>
            <w:r/>
            <w:r>
              <w:rPr>
                <w:sz w:val="15"/>
              </w:rPr>
              <w:t>9.1%</w:t>
            </w:r>
          </w:p>
        </w:tc>
        <w:tc>
          <w:tcPr>
            <w:tcW w:type="dxa" w:w="861"/>
          </w:tcPr>
          <w:p>
            <w:pPr>
              <w:spacing w:after="20"/>
            </w:pPr>
            <w:r/>
            <w:r>
              <w:rPr>
                <w:sz w:val="15"/>
              </w:rPr>
              <w:t>53%</w:t>
            </w:r>
          </w:p>
        </w:tc>
      </w:tr>
      <w:tr>
        <w:tc>
          <w:tcPr>
            <w:tcW w:type="dxa" w:w="1951"/>
            <w:shd w:val="clear" w:color="auto" w:fill="F1F3F8"/>
          </w:tcPr>
          <w:p>
            <w:pPr>
              <w:spacing w:after="20"/>
            </w:pPr>
            <w:r/>
            <w:r>
              <w:rPr>
                <w:b/>
                <w:sz w:val="15"/>
              </w:rPr>
              <w:t>Domestic civil engineering</w:t>
            </w:r>
          </w:p>
        </w:tc>
        <w:tc>
          <w:tcPr>
            <w:tcW w:type="dxa" w:w="2639"/>
            <w:shd w:val="clear" w:color="auto" w:fill="F1F3F8"/>
          </w:tcPr>
          <w:p>
            <w:pPr>
              <w:spacing w:after="20"/>
            </w:pPr>
            <w:r/>
            <w:r>
              <w:rPr>
                <w:sz w:val="15"/>
              </w:rPr>
              <w:t>Tunnels, dams, rail, roads, ports, renewables civil</w:t>
            </w:r>
          </w:p>
        </w:tc>
        <w:tc>
          <w:tcPr>
            <w:tcW w:type="dxa" w:w="1262"/>
            <w:shd w:val="clear" w:color="auto" w:fill="F1F3F8"/>
          </w:tcPr>
          <w:p>
            <w:pPr>
              <w:spacing w:after="20"/>
            </w:pPr>
            <w:r/>
            <w:r>
              <w:rPr>
                <w:sz w:val="15"/>
              </w:rPr>
              <w:t>426.6</w:t>
            </w:r>
          </w:p>
        </w:tc>
        <w:tc>
          <w:tcPr>
            <w:tcW w:type="dxa" w:w="861"/>
            <w:shd w:val="clear" w:color="auto" w:fill="F1F3F8"/>
          </w:tcPr>
          <w:p>
            <w:pPr>
              <w:spacing w:after="20"/>
            </w:pPr>
            <w:r/>
            <w:r>
              <w:rPr>
                <w:sz w:val="15"/>
              </w:rPr>
              <w:t>16%</w:t>
            </w:r>
          </w:p>
        </w:tc>
        <w:tc>
          <w:tcPr>
            <w:tcW w:type="dxa" w:w="1147"/>
            <w:shd w:val="clear" w:color="auto" w:fill="F1F3F8"/>
          </w:tcPr>
          <w:p>
            <w:pPr>
              <w:spacing w:after="20"/>
            </w:pPr>
            <w:r/>
            <w:r>
              <w:rPr>
                <w:sz w:val="15"/>
              </w:rPr>
              <w:t>40.9</w:t>
            </w:r>
          </w:p>
        </w:tc>
        <w:tc>
          <w:tcPr>
            <w:tcW w:type="dxa" w:w="918"/>
            <w:shd w:val="clear" w:color="auto" w:fill="F1F3F8"/>
          </w:tcPr>
          <w:p>
            <w:pPr>
              <w:spacing w:after="20"/>
            </w:pPr>
            <w:r/>
            <w:r>
              <w:rPr>
                <w:sz w:val="15"/>
              </w:rPr>
              <w:t>9.6%</w:t>
            </w:r>
          </w:p>
        </w:tc>
        <w:tc>
          <w:tcPr>
            <w:tcW w:type="dxa" w:w="861"/>
            <w:shd w:val="clear" w:color="auto" w:fill="F1F3F8"/>
          </w:tcPr>
          <w:p>
            <w:pPr>
              <w:spacing w:after="20"/>
            </w:pPr>
            <w:r/>
            <w:r>
              <w:rPr>
                <w:sz w:val="15"/>
              </w:rPr>
              <w:t>21%</w:t>
            </w:r>
          </w:p>
        </w:tc>
      </w:tr>
      <w:tr>
        <w:tc>
          <w:tcPr>
            <w:tcW w:type="dxa" w:w="1951"/>
          </w:tcPr>
          <w:p>
            <w:pPr>
              <w:spacing w:after="20"/>
            </w:pPr>
            <w:r/>
            <w:r>
              <w:rPr>
                <w:b/>
                <w:sz w:val="15"/>
              </w:rPr>
              <w:t>Overseas building</w:t>
            </w:r>
          </w:p>
        </w:tc>
        <w:tc>
          <w:tcPr>
            <w:tcW w:type="dxa" w:w="2639"/>
          </w:tcPr>
          <w:p>
            <w:pPr>
              <w:spacing w:after="20"/>
            </w:pPr>
            <w:r/>
            <w:r>
              <w:rPr>
                <w:sz w:val="15"/>
              </w:rPr>
              <w:t>US/Asia commercial, tech, healthcare</w:t>
            </w:r>
          </w:p>
        </w:tc>
        <w:tc>
          <w:tcPr>
            <w:tcW w:type="dxa" w:w="1262"/>
          </w:tcPr>
          <w:p>
            <w:pPr>
              <w:spacing w:after="20"/>
            </w:pPr>
            <w:r/>
            <w:r>
              <w:rPr>
                <w:sz w:val="15"/>
              </w:rPr>
              <w:t>508.0</w:t>
            </w:r>
          </w:p>
        </w:tc>
        <w:tc>
          <w:tcPr>
            <w:tcW w:type="dxa" w:w="861"/>
          </w:tcPr>
          <w:p>
            <w:pPr>
              <w:spacing w:after="20"/>
            </w:pPr>
            <w:r/>
            <w:r>
              <w:rPr>
                <w:sz w:val="15"/>
              </w:rPr>
              <w:t>20%</w:t>
            </w:r>
          </w:p>
        </w:tc>
        <w:tc>
          <w:tcPr>
            <w:tcW w:type="dxa" w:w="1147"/>
          </w:tcPr>
          <w:p>
            <w:pPr>
              <w:spacing w:after="20"/>
            </w:pPr>
            <w:r/>
            <w:r>
              <w:rPr>
                <w:sz w:val="15"/>
              </w:rPr>
              <w:t>11.9</w:t>
            </w:r>
          </w:p>
        </w:tc>
        <w:tc>
          <w:tcPr>
            <w:tcW w:type="dxa" w:w="918"/>
          </w:tcPr>
          <w:p>
            <w:pPr>
              <w:spacing w:after="20"/>
            </w:pPr>
            <w:r/>
            <w:r>
              <w:rPr>
                <w:sz w:val="15"/>
              </w:rPr>
              <w:t>2.3%</w:t>
            </w:r>
          </w:p>
        </w:tc>
        <w:tc>
          <w:tcPr>
            <w:tcW w:type="dxa" w:w="861"/>
          </w:tcPr>
          <w:p>
            <w:pPr>
              <w:spacing w:after="20"/>
            </w:pPr>
            <w:r/>
            <w:r>
              <w:rPr>
                <w:sz w:val="15"/>
              </w:rPr>
              <w:t>6%</w:t>
            </w:r>
          </w:p>
        </w:tc>
      </w:tr>
      <w:tr>
        <w:tc>
          <w:tcPr>
            <w:tcW w:type="dxa" w:w="1951"/>
            <w:shd w:val="clear" w:color="auto" w:fill="F1F3F8"/>
          </w:tcPr>
          <w:p>
            <w:pPr>
              <w:spacing w:after="20"/>
            </w:pPr>
            <w:r/>
            <w:r>
              <w:rPr>
                <w:b/>
                <w:sz w:val="15"/>
              </w:rPr>
              <w:t>Overseas civil engineering</w:t>
            </w:r>
          </w:p>
        </w:tc>
        <w:tc>
          <w:tcPr>
            <w:tcW w:type="dxa" w:w="2639"/>
            <w:shd w:val="clear" w:color="auto" w:fill="F1F3F8"/>
          </w:tcPr>
          <w:p>
            <w:pPr>
              <w:spacing w:after="20"/>
            </w:pPr>
            <w:r/>
            <w:r>
              <w:rPr>
                <w:sz w:val="15"/>
              </w:rPr>
              <w:t>Infrastructure, rail, water</w:t>
            </w:r>
          </w:p>
        </w:tc>
        <w:tc>
          <w:tcPr>
            <w:tcW w:type="dxa" w:w="1262"/>
            <w:shd w:val="clear" w:color="auto" w:fill="F1F3F8"/>
          </w:tcPr>
          <w:p>
            <w:pPr>
              <w:spacing w:after="20"/>
            </w:pPr>
            <w:r/>
            <w:r>
              <w:rPr>
                <w:sz w:val="15"/>
              </w:rPr>
              <w:t>336.0</w:t>
            </w:r>
          </w:p>
        </w:tc>
        <w:tc>
          <w:tcPr>
            <w:tcW w:type="dxa" w:w="861"/>
            <w:shd w:val="clear" w:color="auto" w:fill="F1F3F8"/>
          </w:tcPr>
          <w:p>
            <w:pPr>
              <w:spacing w:after="20"/>
            </w:pPr>
            <w:r/>
            <w:r>
              <w:rPr>
                <w:sz w:val="15"/>
              </w:rPr>
              <w:t>13%</w:t>
            </w:r>
          </w:p>
        </w:tc>
        <w:tc>
          <w:tcPr>
            <w:tcW w:type="dxa" w:w="1147"/>
            <w:shd w:val="clear" w:color="auto" w:fill="F1F3F8"/>
          </w:tcPr>
          <w:p>
            <w:pPr>
              <w:spacing w:after="20"/>
            </w:pPr>
            <w:r/>
            <w:r>
              <w:rPr>
                <w:sz w:val="15"/>
              </w:rPr>
              <w:t>14.7</w:t>
            </w:r>
          </w:p>
        </w:tc>
        <w:tc>
          <w:tcPr>
            <w:tcW w:type="dxa" w:w="918"/>
            <w:shd w:val="clear" w:color="auto" w:fill="F1F3F8"/>
          </w:tcPr>
          <w:p>
            <w:pPr>
              <w:spacing w:after="20"/>
            </w:pPr>
            <w:r/>
            <w:r>
              <w:rPr>
                <w:sz w:val="15"/>
              </w:rPr>
              <w:t>4.4%</w:t>
            </w:r>
          </w:p>
        </w:tc>
        <w:tc>
          <w:tcPr>
            <w:tcW w:type="dxa" w:w="861"/>
            <w:shd w:val="clear" w:color="auto" w:fill="F1F3F8"/>
          </w:tcPr>
          <w:p>
            <w:pPr>
              <w:spacing w:after="20"/>
            </w:pPr>
            <w:r/>
            <w:r>
              <w:rPr>
                <w:sz w:val="15"/>
              </w:rPr>
              <w:t>8%</w:t>
            </w:r>
          </w:p>
        </w:tc>
      </w:tr>
      <w:tr>
        <w:tc>
          <w:tcPr>
            <w:tcW w:type="dxa" w:w="1951"/>
          </w:tcPr>
          <w:p>
            <w:pPr>
              <w:spacing w:after="20"/>
            </w:pPr>
            <w:r/>
            <w:r>
              <w:rPr>
                <w:b/>
                <w:sz w:val="15"/>
              </w:rPr>
              <w:t>Real estate + other (derived)</w:t>
            </w:r>
          </w:p>
        </w:tc>
        <w:tc>
          <w:tcPr>
            <w:tcW w:type="dxa" w:w="2639"/>
          </w:tcPr>
          <w:p>
            <w:pPr>
              <w:spacing w:after="20"/>
            </w:pPr>
            <w:r/>
            <w:r>
              <w:rPr>
                <w:sz w:val="15"/>
              </w:rPr>
              <w:t>Development, leasing, renewables, wood, group services</w:t>
            </w:r>
          </w:p>
        </w:tc>
        <w:tc>
          <w:tcPr>
            <w:tcW w:type="dxa" w:w="1262"/>
          </w:tcPr>
          <w:p>
            <w:pPr>
              <w:spacing w:after="20"/>
            </w:pPr>
            <w:r/>
            <w:r>
              <w:rPr>
                <w:sz w:val="15"/>
              </w:rPr>
              <w:t>177.0</w:t>
            </w:r>
          </w:p>
        </w:tc>
        <w:tc>
          <w:tcPr>
            <w:tcW w:type="dxa" w:w="861"/>
          </w:tcPr>
          <w:p>
            <w:pPr>
              <w:spacing w:after="20"/>
            </w:pPr>
            <w:r/>
            <w:r>
              <w:rPr>
                <w:sz w:val="15"/>
              </w:rPr>
              <w:t>7%</w:t>
            </w:r>
          </w:p>
        </w:tc>
        <w:tc>
          <w:tcPr>
            <w:tcW w:type="dxa" w:w="1147"/>
          </w:tcPr>
          <w:p>
            <w:pPr>
              <w:spacing w:after="20"/>
            </w:pPr>
            <w:r/>
            <w:r>
              <w:rPr>
                <w:sz w:val="15"/>
              </w:rPr>
              <w:t>23.0</w:t>
            </w:r>
          </w:p>
        </w:tc>
        <w:tc>
          <w:tcPr>
            <w:tcW w:type="dxa" w:w="918"/>
          </w:tcPr>
          <w:p>
            <w:pPr>
              <w:spacing w:after="20"/>
            </w:pPr>
            <w:r/>
            <w:r>
              <w:rPr>
                <w:sz w:val="15"/>
              </w:rPr>
              <w:t>c.13%</w:t>
            </w:r>
          </w:p>
        </w:tc>
        <w:tc>
          <w:tcPr>
            <w:tcW w:type="dxa" w:w="861"/>
          </w:tcPr>
          <w:p>
            <w:pPr>
              <w:spacing w:after="20"/>
            </w:pPr>
            <w:r/>
            <w:r>
              <w:rPr>
                <w:sz w:val="15"/>
              </w:rPr>
              <w:t>12%</w:t>
            </w:r>
          </w:p>
        </w:tc>
      </w:tr>
      <w:tr>
        <w:tc>
          <w:tcPr>
            <w:tcW w:type="dxa" w:w="1951"/>
            <w:shd w:val="clear" w:color="auto" w:fill="F1F3F8"/>
            <w:shd w:val="clear" w:color="auto" w:fill="DCE7FA"/>
          </w:tcPr>
          <w:p>
            <w:pPr>
              <w:spacing w:after="20"/>
            </w:pPr>
            <w:r/>
            <w:r>
              <w:rPr>
                <w:b/>
                <w:sz w:val="15"/>
              </w:rPr>
              <w:t>Group total</w:t>
            </w:r>
          </w:p>
        </w:tc>
        <w:tc>
          <w:tcPr>
            <w:tcW w:type="dxa" w:w="2639"/>
            <w:shd w:val="clear" w:color="auto" w:fill="F1F3F8"/>
            <w:shd w:val="clear" w:color="auto" w:fill="DCE7FA"/>
          </w:tcPr>
          <w:p>
            <w:pPr>
              <w:spacing w:after="20"/>
            </w:pPr>
            <w:r/>
          </w:p>
        </w:tc>
        <w:tc>
          <w:tcPr>
            <w:tcW w:type="dxa" w:w="1262"/>
            <w:shd w:val="clear" w:color="auto" w:fill="F1F3F8"/>
            <w:shd w:val="clear" w:color="auto" w:fill="DCE7FA"/>
          </w:tcPr>
          <w:p>
            <w:pPr>
              <w:spacing w:after="20"/>
            </w:pPr>
            <w:r/>
            <w:r>
              <w:rPr>
                <w:sz w:val="15"/>
              </w:rPr>
              <w:t>2,586.3</w:t>
            </w:r>
          </w:p>
        </w:tc>
        <w:tc>
          <w:tcPr>
            <w:tcW w:type="dxa" w:w="861"/>
            <w:shd w:val="clear" w:color="auto" w:fill="F1F3F8"/>
            <w:shd w:val="clear" w:color="auto" w:fill="DCE7FA"/>
          </w:tcPr>
          <w:p>
            <w:pPr>
              <w:spacing w:after="20"/>
            </w:pPr>
            <w:r/>
            <w:r>
              <w:rPr>
                <w:sz w:val="15"/>
              </w:rPr>
              <w:t>100%</w:t>
            </w:r>
          </w:p>
        </w:tc>
        <w:tc>
          <w:tcPr>
            <w:tcW w:type="dxa" w:w="1147"/>
            <w:shd w:val="clear" w:color="auto" w:fill="F1F3F8"/>
            <w:shd w:val="clear" w:color="auto" w:fill="DCE7FA"/>
          </w:tcPr>
          <w:p>
            <w:pPr>
              <w:spacing w:after="20"/>
            </w:pPr>
            <w:r/>
            <w:r>
              <w:rPr>
                <w:sz w:val="15"/>
              </w:rPr>
              <w:t>194.7</w:t>
            </w:r>
          </w:p>
        </w:tc>
        <w:tc>
          <w:tcPr>
            <w:tcW w:type="dxa" w:w="918"/>
            <w:shd w:val="clear" w:color="auto" w:fill="F1F3F8"/>
            <w:shd w:val="clear" w:color="auto" w:fill="DCE7FA"/>
          </w:tcPr>
          <w:p>
            <w:pPr>
              <w:spacing w:after="20"/>
            </w:pPr>
            <w:r/>
            <w:r>
              <w:rPr>
                <w:sz w:val="15"/>
              </w:rPr>
              <w:t>7.5%</w:t>
            </w:r>
          </w:p>
        </w:tc>
        <w:tc>
          <w:tcPr>
            <w:tcW w:type="dxa" w:w="861"/>
            <w:shd w:val="clear" w:color="auto" w:fill="F1F3F8"/>
            <w:shd w:val="clear" w:color="auto" w:fill="DCE7FA"/>
          </w:tcPr>
          <w:p>
            <w:pPr>
              <w:spacing w:after="20"/>
            </w:pPr>
            <w:r/>
            <w:r>
              <w:rPr>
                <w:sz w:val="15"/>
              </w:rPr>
              <w:t>100%</w:t>
            </w:r>
          </w:p>
        </w:tc>
      </w:tr>
    </w:tbl>
    <w:p>
      <w:pPr>
        <w:spacing w:after="40"/>
      </w:pPr>
    </w:p>
    <w:p>
      <w:r>
        <w:rPr>
          <w:i/>
          <w:color w:val="555F70"/>
          <w:sz w:val="15"/>
        </w:rPr>
        <w:t>Source: BUILT/ITmedia and japanir summaries of the FY3/26 tanshin; segment sales are secondary-source figures†. 'Real estate + other' sales and OP are derived as group total less the four construction segments (construction segment total: sales JPY 2,409.3bn, OP JPY 171.7bn). Overseas segment OP margins are well below Japan's; overseas civil OP is JPY 8.3bn in one summary, so treat that line as uncertain.</w:t>
      </w:r>
    </w:p>
    <w:p>
      <w:pPr>
        <w:jc w:val="center"/>
      </w:pPr>
      <w:r>
        <w:drawing>
          <wp:inline xmlns:a="http://schemas.openxmlformats.org/drawingml/2006/main" xmlns:pic="http://schemas.openxmlformats.org/drawingml/2006/picture">
            <wp:extent cx="4860000" cy="2685789"/>
            <wp:docPr id="1" name="Picture 1"/>
            <wp:cNvGraphicFramePr>
              <a:graphicFrameLocks noChangeAspect="1"/>
            </wp:cNvGraphicFramePr>
            <a:graphic>
              <a:graphicData uri="http://schemas.openxmlformats.org/drawingml/2006/picture">
                <pic:pic>
                  <pic:nvPicPr>
                    <pic:cNvPr id="0" name="segment_op.png"/>
                    <pic:cNvPicPr/>
                  </pic:nvPicPr>
                  <pic:blipFill>
                    <a:blip r:embed="rId10"/>
                    <a:stretch>
                      <a:fillRect/>
                    </a:stretch>
                  </pic:blipFill>
                  <pic:spPr>
                    <a:xfrm>
                      <a:off x="0" y="0"/>
                      <a:ext cx="4860000" cy="2685789"/>
                    </a:xfrm>
                    <a:prstGeom prst="rect"/>
                  </pic:spPr>
                </pic:pic>
              </a:graphicData>
            </a:graphic>
          </wp:inline>
        </w:drawing>
      </w:r>
    </w:p>
    <w:tbl>
      <w:tblPr>
        <w:tblW w:type="auto" w:w="0"/>
        <w:jc w:val="center"/>
        <w:tblLook w:firstColumn="1" w:firstRow="1" w:lastColumn="0" w:lastRow="0" w:noHBand="0" w:noVBand="1" w:val="04A0"/>
      </w:tblPr>
      <w:tblGrid>
        <w:gridCol w:w="9752"/>
      </w:tblGrid>
      <w:tr>
        <w:tc>
          <w:tcPr>
            <w:tcW w:type="dxa" w:w="9752"/>
            <w:shd w:val="clear" w:color="auto" w:fill="EEF2FA"/>
          </w:tcPr>
          <w:p>
            <w:r/>
            <w:r>
              <w:rPr>
                <w:b/>
                <w:sz w:val="18"/>
              </w:rPr>
              <w:t>The one-line version:</w:t>
            </w:r>
            <w:r>
              <w:rPr>
                <w:sz w:val="18"/>
              </w:rPr>
              <w:t xml:space="preserve"> Obayashi earns about 9-10 yen of operating profit per 100 yen of Japanese contracts and about 3 yen per 100 yen overseas. Japan is c.67% of sales but c.86% of operating profit, so the investment case is largely a bet on Japanese construction pricing discipline.</w:t>
            </w:r>
          </w:p>
        </w:tc>
      </w:tr>
    </w:tbl>
    <w:p>
      <w:pPr>
        <w:spacing w:after="40"/>
      </w:pPr>
    </w:p>
    <w:p>
      <w:pPr>
        <w:pStyle w:val="Heading1"/>
      </w:pPr>
      <w:r>
        <w:t>3. What has moved the stock: catalysts since 2021</w:t>
      </w:r>
    </w:p>
    <w:p>
      <w:r>
        <w:t>We could not retrieve a daily price series, so this table lists events we can date, with the move where a source gave one. Over five years the shares roughly tripled to the February 2026 peak of JPY 4,439 (approx. JPY 1,000 in late 2021; approximate, from memory†) before falling 35% to JPY 2,891 on 19 August 2026. Only one single-session move of more than 10% could be dated (5 March 2024); most of the re-rating came in multi-week legs driven by earnings, not single days.</w:t>
      </w:r>
    </w:p>
    <w:tbl>
      <w:tblPr>
        <w:tblStyle w:val="TableGrid"/>
        <w:tblW w:type="auto" w:w="0"/>
        <w:jc w:val="center"/>
        <w:tblLayout w:type="fixed"/>
        <w:tblLook w:firstColumn="1" w:firstRow="1" w:lastColumn="0" w:lastRow="0" w:noHBand="0" w:noVBand="1" w:val="04A0"/>
      </w:tblPr>
      <w:tblGrid>
        <w:gridCol w:w="1247"/>
        <w:gridCol w:w="3628"/>
        <w:gridCol w:w="1928"/>
        <w:gridCol w:w="2835"/>
      </w:tblGrid>
      <w:tr>
        <w:trPr>
          <w:tblHeader w:val="true"/>
        </w:trPr>
        <w:tc>
          <w:tcPr>
            <w:tcW w:type="dxa" w:w="1247"/>
            <w:shd w:val="clear" w:color="auto" w:fill="14243F"/>
          </w:tcPr>
          <w:p>
            <w:r/>
            <w:r>
              <w:rPr>
                <w:b/>
                <w:color w:val="FFFFFF"/>
                <w:sz w:val="15"/>
              </w:rPr>
              <w:t>Date</w:t>
            </w:r>
          </w:p>
        </w:tc>
        <w:tc>
          <w:tcPr>
            <w:tcW w:type="dxa" w:w="3628"/>
            <w:shd w:val="clear" w:color="auto" w:fill="14243F"/>
          </w:tcPr>
          <w:p>
            <w:r/>
            <w:r>
              <w:rPr>
                <w:b/>
                <w:color w:val="FFFFFF"/>
                <w:sz w:val="15"/>
              </w:rPr>
              <w:t>Event</w:t>
            </w:r>
          </w:p>
        </w:tc>
        <w:tc>
          <w:tcPr>
            <w:tcW w:type="dxa" w:w="1928"/>
            <w:shd w:val="clear" w:color="auto" w:fill="14243F"/>
          </w:tcPr>
          <w:p>
            <w:r/>
            <w:r>
              <w:rPr>
                <w:b/>
                <w:color w:val="FFFFFF"/>
                <w:sz w:val="15"/>
              </w:rPr>
              <w:t>Move</w:t>
            </w:r>
          </w:p>
        </w:tc>
        <w:tc>
          <w:tcPr>
            <w:tcW w:type="dxa" w:w="2835"/>
            <w:shd w:val="clear" w:color="auto" w:fill="14243F"/>
          </w:tcPr>
          <w:p>
            <w:r/>
            <w:r>
              <w:rPr>
                <w:b/>
                <w:color w:val="FFFFFF"/>
                <w:sz w:val="15"/>
              </w:rPr>
              <w:t>Read-through</w:t>
            </w:r>
          </w:p>
        </w:tc>
      </w:tr>
      <w:tr>
        <w:tc>
          <w:tcPr>
            <w:tcW w:type="dxa" w:w="1247"/>
          </w:tcPr>
          <w:p>
            <w:pPr>
              <w:spacing w:after="20"/>
            </w:pPr>
            <w:r/>
            <w:r>
              <w:rPr>
                <w:b/>
                <w:sz w:val="15"/>
              </w:rPr>
              <w:t>7 Nov 2022</w:t>
            </w:r>
          </w:p>
        </w:tc>
        <w:tc>
          <w:tcPr>
            <w:tcW w:type="dxa" w:w="3628"/>
          </w:tcPr>
          <w:p>
            <w:pPr>
              <w:spacing w:after="20"/>
            </w:pPr>
            <w:r/>
            <w:r>
              <w:rPr>
                <w:sz w:val="15"/>
              </w:rPr>
              <w:t>FY3/23 forecast cut: construction-material inflation and delivery delays hit domestic building (gross profit -JPY 9.5bn)</w:t>
            </w:r>
          </w:p>
        </w:tc>
        <w:tc>
          <w:tcPr>
            <w:tcW w:type="dxa" w:w="1928"/>
          </w:tcPr>
          <w:p>
            <w:pPr>
              <w:spacing w:after="20"/>
            </w:pPr>
            <w:r/>
            <w:r>
              <w:rPr>
                <w:sz w:val="15"/>
              </w:rPr>
              <w:t>n/a</w:t>
            </w:r>
          </w:p>
        </w:tc>
        <w:tc>
          <w:tcPr>
            <w:tcW w:type="dxa" w:w="2835"/>
          </w:tcPr>
          <w:p>
            <w:pPr>
              <w:spacing w:after="20"/>
            </w:pPr>
            <w:r/>
            <w:r>
              <w:rPr>
                <w:sz w:val="15"/>
              </w:rPr>
              <w:t>Trough-margin signal; sets up the pricing-discipline pivot</w:t>
            </w:r>
          </w:p>
        </w:tc>
      </w:tr>
      <w:tr>
        <w:tc>
          <w:tcPr>
            <w:tcW w:type="dxa" w:w="1247"/>
            <w:shd w:val="clear" w:color="auto" w:fill="F1F3F8"/>
          </w:tcPr>
          <w:p>
            <w:pPr>
              <w:spacing w:after="20"/>
            </w:pPr>
            <w:r/>
            <w:r>
              <w:rPr>
                <w:b/>
                <w:sz w:val="15"/>
              </w:rPr>
              <w:t>28 Jun 2023</w:t>
            </w:r>
          </w:p>
        </w:tc>
        <w:tc>
          <w:tcPr>
            <w:tcW w:type="dxa" w:w="3628"/>
            <w:shd w:val="clear" w:color="auto" w:fill="F1F3F8"/>
          </w:tcPr>
          <w:p>
            <w:pPr>
              <w:spacing w:after="20"/>
            </w:pPr>
            <w:r/>
            <w:r>
              <w:rPr>
                <w:sz w:val="15"/>
              </w:rPr>
              <w:t>Silchester shareholder proposal (JPY 12 special dividend) gets c.26.8% support</w:t>
            </w:r>
          </w:p>
        </w:tc>
        <w:tc>
          <w:tcPr>
            <w:tcW w:type="dxa" w:w="1928"/>
            <w:shd w:val="clear" w:color="auto" w:fill="F1F3F8"/>
          </w:tcPr>
          <w:p>
            <w:pPr>
              <w:spacing w:after="20"/>
            </w:pPr>
            <w:r/>
            <w:r>
              <w:rPr>
                <w:sz w:val="15"/>
              </w:rPr>
              <w:t>n/a</w:t>
            </w:r>
          </w:p>
        </w:tc>
        <w:tc>
          <w:tcPr>
            <w:tcW w:type="dxa" w:w="2835"/>
            <w:shd w:val="clear" w:color="auto" w:fill="F1F3F8"/>
          </w:tcPr>
          <w:p>
            <w:pPr>
              <w:spacing w:after="20"/>
            </w:pPr>
            <w:r/>
            <w:r>
              <w:rPr>
                <w:sz w:val="15"/>
              </w:rPr>
              <w:t>First clear sign of investor pressure on capital returns</w:t>
            </w:r>
          </w:p>
        </w:tc>
      </w:tr>
      <w:tr>
        <w:tc>
          <w:tcPr>
            <w:tcW w:type="dxa" w:w="1247"/>
          </w:tcPr>
          <w:p>
            <w:pPr>
              <w:spacing w:after="20"/>
            </w:pPr>
            <w:r/>
            <w:r>
              <w:rPr>
                <w:b/>
                <w:sz w:val="15"/>
              </w:rPr>
              <w:t>early Mar 2024</w:t>
            </w:r>
          </w:p>
        </w:tc>
        <w:tc>
          <w:tcPr>
            <w:tcW w:type="dxa" w:w="3628"/>
          </w:tcPr>
          <w:p>
            <w:pPr>
              <w:spacing w:after="20"/>
            </w:pPr>
            <w:r/>
            <w:r>
              <w:rPr>
                <w:sz w:val="15"/>
              </w:rPr>
              <w:t>Capital policy: ROE 10%+ target, DOE c.5%, large dividend increase (formalised in 13 May 2024 plan addendum)</w:t>
            </w:r>
          </w:p>
        </w:tc>
        <w:tc>
          <w:tcPr>
            <w:tcW w:type="dxa" w:w="1928"/>
          </w:tcPr>
          <w:p>
            <w:pPr>
              <w:spacing w:after="20"/>
            </w:pPr>
            <w:r/>
            <w:r>
              <w:rPr>
                <w:sz w:val="15"/>
              </w:rPr>
              <w:t>Limit-up on 5 Mar 2024 (&gt;10%; exact % n/a)</w:t>
            </w:r>
          </w:p>
        </w:tc>
        <w:tc>
          <w:tcPr>
            <w:tcW w:type="dxa" w:w="2835"/>
          </w:tcPr>
          <w:p>
            <w:pPr>
              <w:spacing w:after="20"/>
            </w:pPr>
            <w:r/>
            <w:r>
              <w:rPr>
                <w:sz w:val="15"/>
              </w:rPr>
              <w:t>The re-rating catalyst: dividends, buybacks and cross-holding sales</w:t>
            </w:r>
          </w:p>
        </w:tc>
      </w:tr>
      <w:tr>
        <w:tc>
          <w:tcPr>
            <w:tcW w:type="dxa" w:w="1247"/>
            <w:shd w:val="clear" w:color="auto" w:fill="F1F3F8"/>
          </w:tcPr>
          <w:p>
            <w:pPr>
              <w:spacing w:after="20"/>
            </w:pPr>
            <w:r/>
            <w:r>
              <w:rPr>
                <w:b/>
                <w:sz w:val="15"/>
              </w:rPr>
              <w:t>Nov 2024</w:t>
            </w:r>
          </w:p>
        </w:tc>
        <w:tc>
          <w:tcPr>
            <w:tcW w:type="dxa" w:w="3628"/>
            <w:shd w:val="clear" w:color="auto" w:fill="F1F3F8"/>
          </w:tcPr>
          <w:p>
            <w:pPr>
              <w:spacing w:after="20"/>
            </w:pPr>
            <w:r/>
            <w:r>
              <w:rPr>
                <w:sz w:val="15"/>
              </w:rPr>
              <w:t>Domestic broker upgrade to Outperform (target 2,100 to 2,400)</w:t>
            </w:r>
          </w:p>
        </w:tc>
        <w:tc>
          <w:tcPr>
            <w:tcW w:type="dxa" w:w="1928"/>
            <w:shd w:val="clear" w:color="auto" w:fill="F1F3F8"/>
          </w:tcPr>
          <w:p>
            <w:pPr>
              <w:spacing w:after="20"/>
            </w:pPr>
            <w:r/>
            <w:r>
              <w:rPr>
                <w:sz w:val="15"/>
              </w:rPr>
              <w:t>n/a</w:t>
            </w:r>
          </w:p>
        </w:tc>
        <w:tc>
          <w:tcPr>
            <w:tcW w:type="dxa" w:w="2835"/>
            <w:shd w:val="clear" w:color="auto" w:fill="F1F3F8"/>
          </w:tcPr>
          <w:p>
            <w:pPr>
              <w:spacing w:after="20"/>
            </w:pPr>
            <w:r/>
            <w:r>
              <w:rPr>
                <w:sz w:val="15"/>
              </w:rPr>
              <w:t>Sell-side validation of margin recovery</w:t>
            </w:r>
          </w:p>
        </w:tc>
      </w:tr>
      <w:tr>
        <w:tc>
          <w:tcPr>
            <w:tcW w:type="dxa" w:w="1247"/>
          </w:tcPr>
          <w:p>
            <w:pPr>
              <w:spacing w:after="20"/>
            </w:pPr>
            <w:r/>
            <w:r>
              <w:rPr>
                <w:b/>
                <w:sz w:val="15"/>
              </w:rPr>
              <w:t>10 Feb 2025</w:t>
            </w:r>
          </w:p>
        </w:tc>
        <w:tc>
          <w:tcPr>
            <w:tcW w:type="dxa" w:w="3628"/>
          </w:tcPr>
          <w:p>
            <w:pPr>
              <w:spacing w:after="20"/>
            </w:pPr>
            <w:r/>
            <w:r>
              <w:rPr>
                <w:sz w:val="15"/>
              </w:rPr>
              <w:t>Buyback of up to 20m shares (2.8%) as first tranche of JPY 100bn programme</w:t>
            </w:r>
          </w:p>
        </w:tc>
        <w:tc>
          <w:tcPr>
            <w:tcW w:type="dxa" w:w="1928"/>
          </w:tcPr>
          <w:p>
            <w:pPr>
              <w:spacing w:after="20"/>
            </w:pPr>
            <w:r/>
            <w:r>
              <w:rPr>
                <w:sz w:val="15"/>
              </w:rPr>
              <w:t>n/a</w:t>
            </w:r>
          </w:p>
        </w:tc>
        <w:tc>
          <w:tcPr>
            <w:tcW w:type="dxa" w:w="2835"/>
          </w:tcPr>
          <w:p>
            <w:pPr>
              <w:spacing w:after="20"/>
            </w:pPr>
            <w:r/>
            <w:r>
              <w:rPr>
                <w:sz w:val="15"/>
              </w:rPr>
              <w:t>Capital return begins</w:t>
            </w:r>
          </w:p>
        </w:tc>
      </w:tr>
      <w:tr>
        <w:tc>
          <w:tcPr>
            <w:tcW w:type="dxa" w:w="1247"/>
            <w:shd w:val="clear" w:color="auto" w:fill="F1F3F8"/>
          </w:tcPr>
          <w:p>
            <w:pPr>
              <w:spacing w:after="20"/>
            </w:pPr>
            <w:r/>
            <w:r>
              <w:rPr>
                <w:b/>
                <w:sz w:val="15"/>
              </w:rPr>
              <w:t>13 May 2025</w:t>
            </w:r>
          </w:p>
        </w:tc>
        <w:tc>
          <w:tcPr>
            <w:tcW w:type="dxa" w:w="3628"/>
            <w:shd w:val="clear" w:color="auto" w:fill="F1F3F8"/>
          </w:tcPr>
          <w:p>
            <w:pPr>
              <w:spacing w:after="20"/>
            </w:pPr>
            <w:r/>
            <w:r>
              <w:rPr>
                <w:sz w:val="15"/>
              </w:rPr>
              <w:t>FY3/26 guidance: net income -32% to JPY 100bn</w:t>
            </w:r>
          </w:p>
        </w:tc>
        <w:tc>
          <w:tcPr>
            <w:tcW w:type="dxa" w:w="1928"/>
            <w:shd w:val="clear" w:color="auto" w:fill="F1F3F8"/>
          </w:tcPr>
          <w:p>
            <w:pPr>
              <w:spacing w:after="20"/>
            </w:pPr>
            <w:r/>
            <w:r>
              <w:rPr>
                <w:sz w:val="15"/>
              </w:rPr>
              <w:t>c.-9% in the afternoon session†</w:t>
            </w:r>
          </w:p>
        </w:tc>
        <w:tc>
          <w:tcPr>
            <w:tcW w:type="dxa" w:w="2835"/>
            <w:shd w:val="clear" w:color="auto" w:fill="F1F3F8"/>
          </w:tcPr>
          <w:p>
            <w:pPr>
              <w:spacing w:after="20"/>
            </w:pPr>
            <w:r/>
            <w:r>
              <w:rPr>
                <w:sz w:val="15"/>
              </w:rPr>
              <w:t>Over-conservative guidance; recovered as results beat</w:t>
            </w:r>
          </w:p>
        </w:tc>
      </w:tr>
      <w:tr>
        <w:tc>
          <w:tcPr>
            <w:tcW w:type="dxa" w:w="1247"/>
          </w:tcPr>
          <w:p>
            <w:pPr>
              <w:spacing w:after="20"/>
            </w:pPr>
            <w:r/>
            <w:r>
              <w:rPr>
                <w:b/>
                <w:sz w:val="15"/>
              </w:rPr>
              <w:t>Aug 2025</w:t>
            </w:r>
          </w:p>
        </w:tc>
        <w:tc>
          <w:tcPr>
            <w:tcW w:type="dxa" w:w="3628"/>
          </w:tcPr>
          <w:p>
            <w:pPr>
              <w:spacing w:after="20"/>
            </w:pPr>
            <w:r/>
            <w:r>
              <w:rPr>
                <w:sz w:val="15"/>
              </w:rPr>
              <w:t>Share cancellation and JPY 40bn buyback announced†</w:t>
            </w:r>
          </w:p>
        </w:tc>
        <w:tc>
          <w:tcPr>
            <w:tcW w:type="dxa" w:w="1928"/>
          </w:tcPr>
          <w:p>
            <w:pPr>
              <w:spacing w:after="20"/>
            </w:pPr>
            <w:r/>
            <w:r>
              <w:rPr>
                <w:sz w:val="15"/>
              </w:rPr>
              <w:t>n/a</w:t>
            </w:r>
          </w:p>
        </w:tc>
        <w:tc>
          <w:tcPr>
            <w:tcW w:type="dxa" w:w="2835"/>
          </w:tcPr>
          <w:p>
            <w:pPr>
              <w:spacing w:after="20"/>
            </w:pPr>
            <w:r/>
            <w:r>
              <w:rPr>
                <w:sz w:val="15"/>
              </w:rPr>
              <w:t>Continued return of capital</w:t>
            </w:r>
          </w:p>
        </w:tc>
      </w:tr>
      <w:tr>
        <w:tc>
          <w:tcPr>
            <w:tcW w:type="dxa" w:w="1247"/>
            <w:shd w:val="clear" w:color="auto" w:fill="F1F3F8"/>
          </w:tcPr>
          <w:p>
            <w:pPr>
              <w:spacing w:after="20"/>
            </w:pPr>
            <w:r/>
            <w:r>
              <w:rPr>
                <w:b/>
                <w:sz w:val="15"/>
              </w:rPr>
              <w:t>Nov 2025</w:t>
            </w:r>
          </w:p>
        </w:tc>
        <w:tc>
          <w:tcPr>
            <w:tcW w:type="dxa" w:w="3628"/>
            <w:shd w:val="clear" w:color="auto" w:fill="F1F3F8"/>
          </w:tcPr>
          <w:p>
            <w:pPr>
              <w:spacing w:after="20"/>
            </w:pPr>
            <w:r/>
            <w:r>
              <w:rPr>
                <w:sz w:val="15"/>
              </w:rPr>
              <w:t>FY3/26 forecast raised</w:t>
            </w:r>
          </w:p>
        </w:tc>
        <w:tc>
          <w:tcPr>
            <w:tcW w:type="dxa" w:w="1928"/>
            <w:shd w:val="clear" w:color="auto" w:fill="F1F3F8"/>
          </w:tcPr>
          <w:p>
            <w:pPr>
              <w:spacing w:after="20"/>
            </w:pPr>
            <w:r/>
            <w:r>
              <w:rPr>
                <w:sz w:val="15"/>
              </w:rPr>
              <w:t>n/a</w:t>
            </w:r>
          </w:p>
        </w:tc>
        <w:tc>
          <w:tcPr>
            <w:tcW w:type="dxa" w:w="2835"/>
            <w:shd w:val="clear" w:color="auto" w:fill="F1F3F8"/>
          </w:tcPr>
          <w:p>
            <w:pPr>
              <w:spacing w:after="20"/>
            </w:pPr>
            <w:r/>
            <w:r>
              <w:rPr>
                <w:sz w:val="15"/>
              </w:rPr>
              <w:t>Margin upside begins to show</w:t>
            </w:r>
          </w:p>
        </w:tc>
      </w:tr>
      <w:tr>
        <w:tc>
          <w:tcPr>
            <w:tcW w:type="dxa" w:w="1247"/>
          </w:tcPr>
          <w:p>
            <w:pPr>
              <w:spacing w:after="20"/>
            </w:pPr>
            <w:r/>
            <w:r>
              <w:rPr>
                <w:b/>
                <w:sz w:val="15"/>
              </w:rPr>
              <w:t>27 Feb 2026</w:t>
            </w:r>
          </w:p>
        </w:tc>
        <w:tc>
          <w:tcPr>
            <w:tcW w:type="dxa" w:w="3628"/>
          </w:tcPr>
          <w:p>
            <w:pPr>
              <w:spacing w:after="20"/>
            </w:pPr>
            <w:r/>
            <w:r>
              <w:rPr>
                <w:sz w:val="15"/>
              </w:rPr>
              <w:t>All-time high JPY 4,439 (after Q3 results with ordinary profit +33%, below consensus)</w:t>
            </w:r>
          </w:p>
        </w:tc>
        <w:tc>
          <w:tcPr>
            <w:tcW w:type="dxa" w:w="1928"/>
          </w:tcPr>
          <w:p>
            <w:pPr>
              <w:spacing w:after="20"/>
            </w:pPr>
            <w:r/>
            <w:r>
              <w:rPr>
                <w:sz w:val="15"/>
              </w:rPr>
              <w:t>Peak</w:t>
            </w:r>
          </w:p>
        </w:tc>
        <w:tc>
          <w:tcPr>
            <w:tcW w:type="dxa" w:w="2835"/>
          </w:tcPr>
          <w:p>
            <w:pPr>
              <w:spacing w:after="20"/>
            </w:pPr>
            <w:r/>
            <w:r>
              <w:rPr>
                <w:sz w:val="15"/>
              </w:rPr>
              <w:t>Peak optimism on margins and the capital-return story</w:t>
            </w:r>
          </w:p>
        </w:tc>
      </w:tr>
      <w:tr>
        <w:tc>
          <w:tcPr>
            <w:tcW w:type="dxa" w:w="1247"/>
            <w:shd w:val="clear" w:color="auto" w:fill="F1F3F8"/>
          </w:tcPr>
          <w:p>
            <w:pPr>
              <w:spacing w:after="20"/>
            </w:pPr>
            <w:r/>
            <w:r>
              <w:rPr>
                <w:b/>
                <w:sz w:val="15"/>
              </w:rPr>
              <w:t>13 May 2026</w:t>
            </w:r>
          </w:p>
        </w:tc>
        <w:tc>
          <w:tcPr>
            <w:tcW w:type="dxa" w:w="3628"/>
            <w:shd w:val="clear" w:color="auto" w:fill="F1F3F8"/>
          </w:tcPr>
          <w:p>
            <w:pPr>
              <w:spacing w:after="20"/>
            </w:pPr>
            <w:r/>
            <w:r>
              <w:rPr>
                <w:sz w:val="15"/>
              </w:rPr>
              <w:t>FY3/26 results beat forecast; FY3/27 NI guided -9.6%</w:t>
            </w:r>
          </w:p>
        </w:tc>
        <w:tc>
          <w:tcPr>
            <w:tcW w:type="dxa" w:w="1928"/>
            <w:shd w:val="clear" w:color="auto" w:fill="F1F3F8"/>
          </w:tcPr>
          <w:p>
            <w:pPr>
              <w:spacing w:after="20"/>
            </w:pPr>
            <w:r/>
            <w:r>
              <w:rPr>
                <w:sz w:val="15"/>
              </w:rPr>
              <w:t>-7.8% intraday (to JPY 3,612) after a large gain the day before</w:t>
            </w:r>
          </w:p>
        </w:tc>
        <w:tc>
          <w:tcPr>
            <w:tcW w:type="dxa" w:w="2835"/>
            <w:shd w:val="clear" w:color="auto" w:fill="F1F3F8"/>
          </w:tcPr>
          <w:p>
            <w:pPr>
              <w:spacing w:after="20"/>
            </w:pPr>
            <w:r/>
            <w:r>
              <w:rPr>
                <w:sz w:val="15"/>
              </w:rPr>
              <w:t>Market punishes the earnings-down guide despite pattern of beating</w:t>
            </w:r>
          </w:p>
        </w:tc>
      </w:tr>
      <w:tr>
        <w:tc>
          <w:tcPr>
            <w:tcW w:type="dxa" w:w="1247"/>
          </w:tcPr>
          <w:p>
            <w:pPr>
              <w:spacing w:after="20"/>
            </w:pPr>
            <w:r/>
            <w:r>
              <w:rPr>
                <w:b/>
                <w:sz w:val="15"/>
              </w:rPr>
              <w:t>7 Aug 2026</w:t>
            </w:r>
          </w:p>
        </w:tc>
        <w:tc>
          <w:tcPr>
            <w:tcW w:type="dxa" w:w="3628"/>
          </w:tcPr>
          <w:p>
            <w:pPr>
              <w:spacing w:after="20"/>
            </w:pPr>
            <w:r/>
            <w:r>
              <w:rPr>
                <w:sz w:val="15"/>
              </w:rPr>
              <w:t>Q1 FY3/27: OP +107%, orders -7.2%, guidance unchanged</w:t>
            </w:r>
          </w:p>
        </w:tc>
        <w:tc>
          <w:tcPr>
            <w:tcW w:type="dxa" w:w="1928"/>
          </w:tcPr>
          <w:p>
            <w:pPr>
              <w:spacing w:after="20"/>
            </w:pPr>
            <w:r/>
            <w:r>
              <w:rPr>
                <w:sz w:val="15"/>
              </w:rPr>
              <w:t>n/a (c.JPY 2,990 by 28 Aug)</w:t>
            </w:r>
          </w:p>
        </w:tc>
        <w:tc>
          <w:tcPr>
            <w:tcW w:type="dxa" w:w="2835"/>
          </w:tcPr>
          <w:p>
            <w:pPr>
              <w:spacing w:after="20"/>
            </w:pPr>
            <w:r/>
            <w:r>
              <w:rPr>
                <w:sz w:val="15"/>
              </w:rPr>
              <w:t>Strong profit, soft orders, no raise</w:t>
            </w:r>
          </w:p>
        </w:tc>
      </w:tr>
      <w:tr>
        <w:tc>
          <w:tcPr>
            <w:tcW w:type="dxa" w:w="1247"/>
            <w:shd w:val="clear" w:color="auto" w:fill="F1F3F8"/>
          </w:tcPr>
          <w:p>
            <w:pPr>
              <w:spacing w:after="20"/>
            </w:pPr>
            <w:r/>
            <w:r>
              <w:rPr>
                <w:b/>
                <w:sz w:val="15"/>
              </w:rPr>
              <w:t>19 Aug 2026</w:t>
            </w:r>
          </w:p>
        </w:tc>
        <w:tc>
          <w:tcPr>
            <w:tcW w:type="dxa" w:w="3628"/>
            <w:shd w:val="clear" w:color="auto" w:fill="F1F3F8"/>
          </w:tcPr>
          <w:p>
            <w:pPr>
              <w:spacing w:after="20"/>
            </w:pPr>
            <w:r/>
            <w:r>
              <w:rPr>
                <w:sz w:val="15"/>
              </w:rPr>
              <w:t>YTD low JPY 2,891</w:t>
            </w:r>
          </w:p>
        </w:tc>
        <w:tc>
          <w:tcPr>
            <w:tcW w:type="dxa" w:w="1928"/>
            <w:shd w:val="clear" w:color="auto" w:fill="F1F3F8"/>
          </w:tcPr>
          <w:p>
            <w:pPr>
              <w:spacing w:after="20"/>
            </w:pPr>
            <w:r/>
            <w:r>
              <w:rPr>
                <w:sz w:val="15"/>
              </w:rPr>
              <w:t>-35% from the February peak</w:t>
            </w:r>
          </w:p>
        </w:tc>
        <w:tc>
          <w:tcPr>
            <w:tcW w:type="dxa" w:w="2835"/>
            <w:shd w:val="clear" w:color="auto" w:fill="F1F3F8"/>
          </w:tcPr>
          <w:p>
            <w:pPr>
              <w:spacing w:after="20"/>
            </w:pPr>
            <w:r/>
            <w:r>
              <w:rPr>
                <w:sz w:val="15"/>
              </w:rPr>
              <w:t>Cause not identified in our sources; likely sector de-rating plus rate, cost and order worries (inference)</w:t>
            </w:r>
          </w:p>
        </w:tc>
      </w:tr>
    </w:tbl>
    <w:p>
      <w:pPr>
        <w:spacing w:after="40"/>
      </w:pPr>
    </w:p>
    <w:p>
      <w:r>
        <w:t>What the stock has been pricing: from 2023 to early 2026, margin recovery plus governance reform (cross-holding sales, DOE, buybacks) re-rated the shares from sub-1x book to c.2.3x. Since February, the market has begun to price margin peaking, flat orders and higher rates (the BOJ policy rate was reportedly raised to 1.25% on 18 September 2026†).</w:t>
      </w:r>
    </w:p>
    <w:p>
      <w:pPr>
        <w:pStyle w:val="Heading1"/>
      </w:pPr>
      <w:r>
        <w:t>4. Business model, drivers, customers, suppliers and competitors</w:t>
      </w:r>
    </w:p>
    <w:p>
      <w:pPr>
        <w:pStyle w:val="Heading2"/>
      </w:pPr>
      <w:r>
        <w:t>4.1 Key drivers</w:t>
      </w:r>
    </w:p>
    <w:tbl>
      <w:tblPr>
        <w:tblStyle w:val="TableGrid"/>
        <w:tblW w:type="auto" w:w="0"/>
        <w:jc w:val="center"/>
        <w:tblLayout w:type="fixed"/>
        <w:tblLook w:firstColumn="1" w:firstRow="1" w:lastColumn="0" w:lastRow="0" w:noHBand="0" w:noVBand="1" w:val="04A0"/>
      </w:tblPr>
      <w:tblGrid>
        <w:gridCol w:w="1814"/>
        <w:gridCol w:w="4082"/>
        <w:gridCol w:w="3742"/>
      </w:tblGrid>
      <w:tr>
        <w:trPr>
          <w:tblHeader w:val="true"/>
        </w:trPr>
        <w:tc>
          <w:tcPr>
            <w:tcW w:type="dxa" w:w="1814"/>
            <w:shd w:val="clear" w:color="auto" w:fill="14243F"/>
          </w:tcPr>
          <w:p>
            <w:r/>
            <w:r>
              <w:rPr>
                <w:b/>
                <w:color w:val="FFFFFF"/>
                <w:sz w:val="15"/>
              </w:rPr>
              <w:t>Driver</w:t>
            </w:r>
          </w:p>
        </w:tc>
        <w:tc>
          <w:tcPr>
            <w:tcW w:type="dxa" w:w="4082"/>
            <w:shd w:val="clear" w:color="auto" w:fill="14243F"/>
          </w:tcPr>
          <w:p>
            <w:r/>
            <w:r>
              <w:rPr>
                <w:b/>
                <w:color w:val="FFFFFF"/>
                <w:sz w:val="15"/>
              </w:rPr>
              <w:t>How it works at Obayashi</w:t>
            </w:r>
          </w:p>
        </w:tc>
        <w:tc>
          <w:tcPr>
            <w:tcW w:type="dxa" w:w="3742"/>
            <w:shd w:val="clear" w:color="auto" w:fill="14243F"/>
          </w:tcPr>
          <w:p>
            <w:r/>
            <w:r>
              <w:rPr>
                <w:b/>
                <w:color w:val="FFFFFF"/>
                <w:sz w:val="15"/>
              </w:rPr>
              <w:t>Recent trend</w:t>
            </w:r>
          </w:p>
        </w:tc>
      </w:tr>
      <w:tr>
        <w:tc>
          <w:tcPr>
            <w:tcW w:type="dxa" w:w="1814"/>
          </w:tcPr>
          <w:p>
            <w:pPr>
              <w:spacing w:after="20"/>
            </w:pPr>
            <w:r/>
            <w:r>
              <w:rPr>
                <w:b/>
                <w:sz w:val="15"/>
              </w:rPr>
              <w:t>Volume (orders, backlog)</w:t>
            </w:r>
          </w:p>
        </w:tc>
        <w:tc>
          <w:tcPr>
            <w:tcW w:type="dxa" w:w="4082"/>
          </w:tcPr>
          <w:p>
            <w:pPr>
              <w:spacing w:after="20"/>
            </w:pPr>
            <w:r/>
            <w:r>
              <w:rPr>
                <w:sz w:val="15"/>
              </w:rPr>
              <w:t>Orders convert to sales over 2-4 years; backlog gives visibility</w:t>
            </w:r>
          </w:p>
        </w:tc>
        <w:tc>
          <w:tcPr>
            <w:tcW w:type="dxa" w:w="3742"/>
          </w:tcPr>
          <w:p>
            <w:pPr>
              <w:spacing w:after="20"/>
            </w:pPr>
            <w:r/>
            <w:r>
              <w:rPr>
                <w:sz w:val="15"/>
              </w:rPr>
              <w:t>FY3/26 orders c.JPY 3.0tn†; FY3/27 target JPY 3.1tn; Q1 orders JPY 577.5bn (-7.2%)</w:t>
            </w:r>
          </w:p>
        </w:tc>
      </w:tr>
      <w:tr>
        <w:tc>
          <w:tcPr>
            <w:tcW w:type="dxa" w:w="1814"/>
            <w:shd w:val="clear" w:color="auto" w:fill="F1F3F8"/>
          </w:tcPr>
          <w:p>
            <w:pPr>
              <w:spacing w:after="20"/>
            </w:pPr>
            <w:r/>
            <w:r>
              <w:rPr>
                <w:b/>
                <w:sz w:val="15"/>
              </w:rPr>
              <w:t>Pricing / contract terms</w:t>
            </w:r>
          </w:p>
        </w:tc>
        <w:tc>
          <w:tcPr>
            <w:tcW w:type="dxa" w:w="4082"/>
            <w:shd w:val="clear" w:color="auto" w:fill="F1F3F8"/>
          </w:tcPr>
          <w:p>
            <w:pPr>
              <w:spacing w:after="20"/>
            </w:pPr>
            <w:r/>
            <w:r>
              <w:rPr>
                <w:sz w:val="15"/>
              </w:rPr>
              <w:t>Selective bidding, negotiated contracts, price-escalation clauses, change orders</w:t>
            </w:r>
          </w:p>
        </w:tc>
        <w:tc>
          <w:tcPr>
            <w:tcW w:type="dxa" w:w="3742"/>
            <w:shd w:val="clear" w:color="auto" w:fill="F1F3F8"/>
          </w:tcPr>
          <w:p>
            <w:pPr>
              <w:spacing w:after="20"/>
            </w:pPr>
            <w:r/>
            <w:r>
              <w:rPr>
                <w:sz w:val="15"/>
              </w:rPr>
              <w:t>Gross margin on completed works guided at 13.0% for FY3/27 and 'around 13%' beyond</w:t>
            </w:r>
          </w:p>
        </w:tc>
      </w:tr>
      <w:tr>
        <w:tc>
          <w:tcPr>
            <w:tcW w:type="dxa" w:w="1814"/>
          </w:tcPr>
          <w:p>
            <w:pPr>
              <w:spacing w:after="20"/>
            </w:pPr>
            <w:r/>
            <w:r>
              <w:rPr>
                <w:b/>
                <w:sz w:val="15"/>
              </w:rPr>
              <w:t>Mix</w:t>
            </w:r>
          </w:p>
        </w:tc>
        <w:tc>
          <w:tcPr>
            <w:tcW w:type="dxa" w:w="4082"/>
          </w:tcPr>
          <w:p>
            <w:pPr>
              <w:spacing w:after="20"/>
            </w:pPr>
            <w:r/>
            <w:r>
              <w:rPr>
                <w:sz w:val="15"/>
              </w:rPr>
              <w:t>Domestic building and civil earn 9-10%; overseas 2-4%; real estate gains are lumpy</w:t>
            </w:r>
          </w:p>
        </w:tc>
        <w:tc>
          <w:tcPr>
            <w:tcW w:type="dxa" w:w="3742"/>
          </w:tcPr>
          <w:p>
            <w:pPr>
              <w:spacing w:after="20"/>
            </w:pPr>
            <w:r/>
            <w:r>
              <w:rPr>
                <w:sz w:val="15"/>
              </w:rPr>
              <w:t>Overseas share c.33%; GCON, MWH and Multiplex raise it further</w:t>
            </w:r>
          </w:p>
        </w:tc>
      </w:tr>
      <w:tr>
        <w:tc>
          <w:tcPr>
            <w:tcW w:type="dxa" w:w="1814"/>
            <w:shd w:val="clear" w:color="auto" w:fill="F1F3F8"/>
          </w:tcPr>
          <w:p>
            <w:pPr>
              <w:spacing w:after="20"/>
            </w:pPr>
            <w:r/>
            <w:r>
              <w:rPr>
                <w:b/>
                <w:sz w:val="15"/>
              </w:rPr>
              <w:t>Cost inflation</w:t>
            </w:r>
          </w:p>
        </w:tc>
        <w:tc>
          <w:tcPr>
            <w:tcW w:type="dxa" w:w="4082"/>
            <w:shd w:val="clear" w:color="auto" w:fill="F1F3F8"/>
          </w:tcPr>
          <w:p>
            <w:pPr>
              <w:spacing w:after="20"/>
            </w:pPr>
            <w:r/>
            <w:r>
              <w:rPr>
                <w:sz w:val="15"/>
              </w:rPr>
              <w:t>Steel, cement, ready-mix, naphtha-based finishes, labour</w:t>
            </w:r>
          </w:p>
        </w:tc>
        <w:tc>
          <w:tcPr>
            <w:tcW w:type="dxa" w:w="3742"/>
            <w:shd w:val="clear" w:color="auto" w:fill="F1F3F8"/>
          </w:tcPr>
          <w:p>
            <w:pPr>
              <w:spacing w:after="20"/>
            </w:pPr>
            <w:r/>
            <w:r>
              <w:rPr>
                <w:sz w:val="15"/>
              </w:rPr>
              <w:t>Cement flat since June 2025; Middle East disruption to naphtha-derived materials†</w:t>
            </w:r>
          </w:p>
        </w:tc>
      </w:tr>
      <w:tr>
        <w:tc>
          <w:tcPr>
            <w:tcW w:type="dxa" w:w="1814"/>
          </w:tcPr>
          <w:p>
            <w:pPr>
              <w:spacing w:after="20"/>
            </w:pPr>
            <w:r/>
            <w:r>
              <w:rPr>
                <w:b/>
                <w:sz w:val="15"/>
              </w:rPr>
              <w:t>Labour / regulation</w:t>
            </w:r>
          </w:p>
        </w:tc>
        <w:tc>
          <w:tcPr>
            <w:tcW w:type="dxa" w:w="4082"/>
          </w:tcPr>
          <w:p>
            <w:pPr>
              <w:spacing w:after="20"/>
            </w:pPr>
            <w:r/>
            <w:r>
              <w:rPr>
                <w:sz w:val="15"/>
              </w:rPr>
              <w:t>2024 overtime cap, technician shortage, Construction Business Act revisions</w:t>
            </w:r>
          </w:p>
        </w:tc>
        <w:tc>
          <w:tcPr>
            <w:tcW w:type="dxa" w:w="3742"/>
          </w:tcPr>
          <w:p>
            <w:pPr>
              <w:spacing w:after="20"/>
            </w:pPr>
            <w:r/>
            <w:r>
              <w:rPr>
                <w:sz w:val="15"/>
              </w:rPr>
              <w:t>Pushes up unit labour cost; also restrains capacity industry-wide</w:t>
            </w:r>
          </w:p>
        </w:tc>
      </w:tr>
      <w:tr>
        <w:tc>
          <w:tcPr>
            <w:tcW w:type="dxa" w:w="1814"/>
            <w:shd w:val="clear" w:color="auto" w:fill="F1F3F8"/>
          </w:tcPr>
          <w:p>
            <w:pPr>
              <w:spacing w:after="20"/>
            </w:pPr>
            <w:r/>
            <w:r>
              <w:rPr>
                <w:b/>
                <w:sz w:val="15"/>
              </w:rPr>
              <w:t>Capex cycle of clients</w:t>
            </w:r>
          </w:p>
        </w:tc>
        <w:tc>
          <w:tcPr>
            <w:tcW w:type="dxa" w:w="4082"/>
            <w:shd w:val="clear" w:color="auto" w:fill="F1F3F8"/>
          </w:tcPr>
          <w:p>
            <w:pPr>
              <w:spacing w:after="20"/>
            </w:pPr>
            <w:r/>
            <w:r>
              <w:rPr>
                <w:sz w:val="15"/>
              </w:rPr>
              <w:t>Tokyo redevelopment, data centres, semiconductors, logistics, resilience plan</w:t>
            </w:r>
          </w:p>
        </w:tc>
        <w:tc>
          <w:tcPr>
            <w:tcW w:type="dxa" w:w="3742"/>
            <w:shd w:val="clear" w:color="auto" w:fill="F1F3F8"/>
          </w:tcPr>
          <w:p>
            <w:pPr>
              <w:spacing w:after="20"/>
            </w:pPr>
            <w:r/>
            <w:r>
              <w:rPr>
                <w:sz w:val="15"/>
              </w:rPr>
              <w:t>Resilience plan FY2026-30 'over JPY 20tn'†; Linear Shizuoka agreement signed 18 Jul 2026†</w:t>
            </w:r>
          </w:p>
        </w:tc>
      </w:tr>
      <w:tr>
        <w:tc>
          <w:tcPr>
            <w:tcW w:type="dxa" w:w="1814"/>
          </w:tcPr>
          <w:p>
            <w:pPr>
              <w:spacing w:after="20"/>
            </w:pPr>
            <w:r/>
            <w:r>
              <w:rPr>
                <w:b/>
                <w:sz w:val="15"/>
              </w:rPr>
              <w:t>Securities and property gains</w:t>
            </w:r>
          </w:p>
        </w:tc>
        <w:tc>
          <w:tcPr>
            <w:tcW w:type="dxa" w:w="4082"/>
          </w:tcPr>
          <w:p>
            <w:pPr>
              <w:spacing w:after="20"/>
            </w:pPr>
            <w:r/>
            <w:r>
              <w:rPr>
                <w:sz w:val="15"/>
              </w:rPr>
              <w:t>Cross-holding sales and property disposals flow into extraordinary income</w:t>
            </w:r>
          </w:p>
        </w:tc>
        <w:tc>
          <w:tcPr>
            <w:tcW w:type="dxa" w:w="3742"/>
          </w:tcPr>
          <w:p>
            <w:pPr>
              <w:spacing w:after="20"/>
            </w:pPr>
            <w:r/>
            <w:r>
              <w:rPr>
                <w:sz w:val="15"/>
              </w:rPr>
              <w:t>JPY 20bn gain in Q1 FY3/27; JPY 285bn sold over five years†</w:t>
            </w:r>
          </w:p>
        </w:tc>
      </w:tr>
    </w:tbl>
    <w:p>
      <w:pPr>
        <w:spacing w:after="40"/>
      </w:pPr>
    </w:p>
    <w:p>
      <w:pPr>
        <w:pStyle w:val="Heading2"/>
      </w:pPr>
      <w:r>
        <w:t>4.2 Customers, contracts and payment terms</w:t>
      </w:r>
    </w:p>
    <w:p>
      <w:pPr>
        <w:pStyle w:val="ListBullet"/>
        <w:spacing w:after="40"/>
        <w:ind w:left="340"/>
      </w:pPr>
      <w:r>
        <w:rPr>
          <w:b/>
          <w:sz w:val="17"/>
        </w:rPr>
        <w:t>Public sector:</w:t>
      </w:r>
      <w:r>
        <w:rPr>
          <w:sz w:val="17"/>
        </w:rPr>
        <w:t xml:space="preserve"> MLIT, NEXCO, JR Tokai (Linear), the Japan Railway Construction, Transport and Technology Agency, local governments. Awarded via competitive or comprehensive-evaluation tenders; public works commonly carry an advance payment (up to 40% of contract value is standard practice†, not confirmed in a filing).</w:t>
      </w:r>
    </w:p>
    <w:p>
      <w:pPr>
        <w:pStyle w:val="ListBullet"/>
        <w:spacing w:after="40"/>
        <w:ind w:left="340"/>
      </w:pPr>
      <w:r>
        <w:rPr>
          <w:b/>
          <w:sz w:val="17"/>
        </w:rPr>
        <w:t>Private sector:</w:t>
      </w:r>
      <w:r>
        <w:rPr>
          <w:sz w:val="17"/>
        </w:rPr>
        <w:t xml:space="preserve"> developers (Mitsui Fudosan, Mitsubishi Estate, Mori Building, Sumitomo Realty, Tokyu are the typical Tokyo clients†), manufacturers, logistics and data-centre operators. Many are repeat clients on negotiated or limited-competition terms. We could not confirm named Obayashi contracts for TSMC/JASM or others.</w:t>
      </w:r>
    </w:p>
    <w:p>
      <w:pPr>
        <w:pStyle w:val="ListBullet"/>
        <w:spacing w:after="40"/>
        <w:ind w:left="340"/>
      </w:pPr>
      <w:r>
        <w:rPr>
          <w:b/>
          <w:sz w:val="17"/>
        </w:rPr>
        <w:t>Payment terms:</w:t>
      </w:r>
      <w:r>
        <w:rPr>
          <w:sz w:val="17"/>
        </w:rPr>
        <w:t xml:space="preserve"> progress billings against milestones with retention; revenue recognised cost-to-cost; contract assets and receivables are large relative to cash flow (check the yuho for receivable days). Escalation ('slide') clauses exist on many public and some private jobs but typically lag cost moves; this lag is why the FY3/23 margin collapsed.</w:t>
      </w:r>
    </w:p>
    <w:p>
      <w:pPr>
        <w:pStyle w:val="ListBullet"/>
        <w:spacing w:after="40"/>
        <w:ind w:left="340"/>
      </w:pPr>
      <w:r>
        <w:rPr>
          <w:b/>
          <w:sz w:val="17"/>
        </w:rPr>
        <w:t>Supplier relationships:</w:t>
      </w:r>
      <w:r>
        <w:rPr>
          <w:sz w:val="17"/>
        </w:rPr>
        <w:t xml:space="preserve"> Obayashi buys materials and equipment on a per-project basis and relies on an association of partner subcontractors (the 'Rinyukai'†). Supplier names are in Section 7.</w:t>
      </w:r>
    </w:p>
    <w:p>
      <w:pPr>
        <w:pStyle w:val="Heading2"/>
      </w:pPr>
      <w:r>
        <w:t>4.3 Competitors and markets</w:t>
      </w:r>
    </w:p>
    <w:p>
      <w:r>
        <w:rPr>
          <w:sz w:val="18"/>
        </w:rPr>
        <w:t>Domestic: Kajima, Taisei, Shimizu and the unlisted Takenaka (the 'super general contractors'), with Daiwa House, Sekisui House, Toda, Haseko, Kumagai Gumi, Penta-Ocean, Okumura, Mitsui Sumitomo Construction (being acquired by Infroneer), Fujita and others in segments. FY3/25 sales: Kajima JPY 2,912bn, Obayashi 2,620bn†, Taisei 2,154bn, Shimizu 1,944bn. FY3/26 operating margins: Taisei c.9% (highest), Kajima c.7.7%, Obayashi 7.5%, Shimizu c.5.8%†. Overseas: Hochtief's Turner, Skanska USA, DPR, Gilbane in the US; Samsung C&amp;T and Hyundai E&amp;C in Asia; Webuild and local majors elsewhere†.</w:t>
      </w:r>
    </w:p>
    <w:p>
      <w:pPr>
        <w:pStyle w:val="Heading2"/>
      </w:pPr>
      <w:r>
        <w:t>4.4 Geography</w:t>
      </w:r>
    </w:p>
    <w:p>
      <w:r>
        <w:rPr>
          <w:sz w:val="18"/>
        </w:rPr>
        <w:t>Japan c.67% of sales (c.JPY 1.74tn), overseas c.33% (JPY 844bn†): mainly North America, with Asia sales c.JPY 271bn†. Overseas operating margin is c.3% versus c.9.6% in Japan (derived). The Multiplex acquisition (Australia, UK, Canada) adds a third overseas leg, though at a very low sales margin (EBITDA c.USD 62m on c.USD 3.8bn revenue).</w:t>
      </w:r>
    </w:p>
    <w:p>
      <w:pPr>
        <w:pStyle w:val="Heading1"/>
      </w:pPr>
      <w:r>
        <w:t>5. Macro and micro factors: tailwinds and headwinds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4243F"/>
          </w:tcPr>
          <w:p>
            <w:r/>
            <w:r>
              <w:rPr>
                <w:b/>
                <w:color w:val="FFFFFF"/>
                <w:sz w:val="15"/>
              </w:rPr>
              <w:t>Tailwinds</w:t>
            </w:r>
          </w:p>
        </w:tc>
        <w:tc>
          <w:tcPr>
            <w:tcW w:type="dxa" w:w="4819"/>
            <w:shd w:val="clear" w:color="auto" w:fill="14243F"/>
          </w:tcPr>
          <w:p>
            <w:r/>
            <w:r>
              <w:rPr>
                <w:b/>
                <w:color w:val="FFFFFF"/>
                <w:sz w:val="15"/>
              </w:rPr>
              <w:t>Headwinds</w:t>
            </w:r>
          </w:p>
        </w:tc>
      </w:tr>
      <w:tr>
        <w:tc>
          <w:tcPr>
            <w:tcW w:type="dxa" w:w="4819"/>
          </w:tcPr>
          <w:p>
            <w:pPr>
              <w:spacing w:after="20"/>
            </w:pPr>
            <w:r/>
            <w:r>
              <w:rPr>
                <w:sz w:val="15"/>
              </w:rPr>
              <w:t>Large backlog and strong private non-residential demand: Tokyo redevelopment, data centres, semiconductor and logistics facilities</w:t>
            </w:r>
          </w:p>
        </w:tc>
        <w:tc>
          <w:tcPr>
            <w:tcW w:type="dxa" w:w="4819"/>
          </w:tcPr>
          <w:p>
            <w:pPr>
              <w:spacing w:after="20"/>
            </w:pPr>
            <w:r/>
            <w:r>
              <w:rPr>
                <w:sz w:val="15"/>
              </w:rPr>
              <w:t>Cost inflation in a fixed-price book: Middle East-driven disruption in naphtha-derived finishes; one estimate cuts Japanese construction investment 2.3% by end-2027 and 3.8% by end-2028†</w:t>
            </w:r>
          </w:p>
        </w:tc>
      </w:tr>
      <w:tr>
        <w:tc>
          <w:tcPr>
            <w:tcW w:type="dxa" w:w="4819"/>
            <w:shd w:val="clear" w:color="auto" w:fill="F1F3F8"/>
          </w:tcPr>
          <w:p>
            <w:pPr>
              <w:spacing w:after="20"/>
            </w:pPr>
            <w:r/>
            <w:r>
              <w:rPr>
                <w:sz w:val="15"/>
              </w:rPr>
              <w:t>Industry pricing discipline: Big-4 selectively taking orders; Kajima, Taisei, Shimizu orders also guided below prior year</w:t>
            </w:r>
          </w:p>
        </w:tc>
        <w:tc>
          <w:tcPr>
            <w:tcW w:type="dxa" w:w="4819"/>
            <w:shd w:val="clear" w:color="auto" w:fill="F1F3F8"/>
          </w:tcPr>
          <w:p>
            <w:pPr>
              <w:spacing w:after="20"/>
            </w:pPr>
            <w:r/>
            <w:r>
              <w:rPr>
                <w:sz w:val="15"/>
              </w:rPr>
              <w:t>Order intake: Q1 orders -7.2%; management cautious on the order environment from FY3/28, citing the Middle East</w:t>
            </w:r>
          </w:p>
        </w:tc>
      </w:tr>
      <w:tr>
        <w:tc>
          <w:tcPr>
            <w:tcW w:type="dxa" w:w="4819"/>
          </w:tcPr>
          <w:p>
            <w:pPr>
              <w:spacing w:after="20"/>
            </w:pPr>
            <w:r/>
            <w:r>
              <w:rPr>
                <w:sz w:val="15"/>
              </w:rPr>
              <w:t>National Resilience plan FY2026-30 (over JPY 20tn†) and Linear Shizuoka section agreement (18 Jul 2026†)</w:t>
            </w:r>
          </w:p>
        </w:tc>
        <w:tc>
          <w:tcPr>
            <w:tcW w:type="dxa" w:w="4819"/>
          </w:tcPr>
          <w:p>
            <w:pPr>
              <w:spacing w:after="20"/>
            </w:pPr>
            <w:r/>
            <w:r>
              <w:rPr>
                <w:sz w:val="15"/>
              </w:rPr>
              <w:t>Rates: BOJ policy rate reportedly 1.25% after the 18 Sep 2026 hike†; higher hurdle rates can delay developer capex</w:t>
            </w:r>
          </w:p>
        </w:tc>
      </w:tr>
      <w:tr>
        <w:tc>
          <w:tcPr>
            <w:tcW w:type="dxa" w:w="4819"/>
            <w:shd w:val="clear" w:color="auto" w:fill="F1F3F8"/>
          </w:tcPr>
          <w:p>
            <w:pPr>
              <w:spacing w:after="20"/>
            </w:pPr>
            <w:r/>
            <w:r>
              <w:rPr>
                <w:sz w:val="15"/>
              </w:rPr>
              <w:t>Weak yen helps translated overseas profit and US data-centre scale-up (GCON, Webcor)</w:t>
            </w:r>
          </w:p>
        </w:tc>
        <w:tc>
          <w:tcPr>
            <w:tcW w:type="dxa" w:w="4819"/>
            <w:shd w:val="clear" w:color="auto" w:fill="F1F3F8"/>
          </w:tcPr>
          <w:p>
            <w:pPr>
              <w:spacing w:after="20"/>
            </w:pPr>
            <w:r/>
            <w:r>
              <w:rPr>
                <w:sz w:val="15"/>
              </w:rPr>
              <w:t>Labour shortage and the 2024 overtime cap lift unit costs and lengthen schedules</w:t>
            </w:r>
          </w:p>
        </w:tc>
      </w:tr>
      <w:tr>
        <w:tc>
          <w:tcPr>
            <w:tcW w:type="dxa" w:w="4819"/>
          </w:tcPr>
          <w:p>
            <w:pPr>
              <w:spacing w:after="20"/>
            </w:pPr>
            <w:r/>
            <w:r>
              <w:rPr>
                <w:sz w:val="15"/>
              </w:rPr>
              <w:t>Governance reform: cross-holding sales, buybacks, DOE 5%, rising foreign ownership (40%)</w:t>
            </w:r>
          </w:p>
        </w:tc>
        <w:tc>
          <w:tcPr>
            <w:tcW w:type="dxa" w:w="4819"/>
          </w:tcPr>
          <w:p>
            <w:pPr>
              <w:spacing w:after="20"/>
            </w:pPr>
            <w:r/>
            <w:r>
              <w:rPr>
                <w:sz w:val="15"/>
              </w:rPr>
              <w:t>Peak-margin risk: 7.5% OP margin vs 2-5% for most of the prior decade</w:t>
            </w:r>
          </w:p>
        </w:tc>
      </w:tr>
      <w:tr>
        <w:tc>
          <w:tcPr>
            <w:tcW w:type="dxa" w:w="4819"/>
            <w:shd w:val="clear" w:color="auto" w:fill="F1F3F8"/>
          </w:tcPr>
          <w:p>
            <w:pPr>
              <w:spacing w:after="20"/>
            </w:pPr>
            <w:r/>
            <w:r>
              <w:rPr>
                <w:sz w:val="15"/>
              </w:rPr>
              <w:t>Net cash of JPY 84bn funds M&amp;A (Multiplex USD 540m) without stretching the balance sheet</w:t>
            </w:r>
          </w:p>
        </w:tc>
        <w:tc>
          <w:tcPr>
            <w:tcW w:type="dxa" w:w="4819"/>
            <w:shd w:val="clear" w:color="auto" w:fill="F1F3F8"/>
          </w:tcPr>
          <w:p>
            <w:pPr>
              <w:spacing w:after="20"/>
            </w:pPr>
            <w:r/>
            <w:r>
              <w:rPr>
                <w:sz w:val="15"/>
              </w:rPr>
              <w:t>Legal/reputational overhang from the Linear bid-rigging cases (JFTC surcharge JPY 3.1bn, JPY 200m court fine, 4-month Tokyo suspension)</w:t>
            </w:r>
          </w:p>
        </w:tc>
      </w:tr>
    </w:tbl>
    <w:p>
      <w:pPr>
        <w:spacing w:after="40"/>
      </w:pPr>
    </w:p>
    <w:p>
      <w:pPr>
        <w:pStyle w:val="Heading1"/>
      </w:pPr>
      <w:r>
        <w:t>6. Product strength and economic moats</w:t>
      </w:r>
    </w:p>
    <w:p>
      <w:r>
        <w:t>Obayashi's product is execution on large, complex, safety-critical projects, sold on track record, technical capability (high-rise, tunnelling, seismic, timber, data centres) and relationships. It is not a consumer brand; its 'brand' lives with a few hundred repeat clients, and the Big-4 are close substitutes on most jobs. Obayashi's perceived strengths are tall buildings, tunnelling, wood construction and design-build; Kajima is stronger in civil and overseas scale, Taisei in margin and large infrastructure, Shimizu in housing-adjacent and energy (positioning from industry commentary, not survey data).</w:t>
      </w:r>
    </w:p>
    <w:tbl>
      <w:tblPr>
        <w:tblStyle w:val="TableGrid"/>
        <w:tblW w:type="auto" w:w="0"/>
        <w:jc w:val="center"/>
        <w:tblLayout w:type="fixed"/>
        <w:tblLook w:firstColumn="1" w:firstRow="1" w:lastColumn="0" w:lastRow="0" w:noHBand="0" w:noVBand="1" w:val="04A0"/>
      </w:tblPr>
      <w:tblGrid>
        <w:gridCol w:w="2041"/>
        <w:gridCol w:w="1247"/>
        <w:gridCol w:w="6350"/>
      </w:tblGrid>
      <w:tr>
        <w:trPr>
          <w:tblHeader w:val="true"/>
        </w:trPr>
        <w:tc>
          <w:tcPr>
            <w:tcW w:type="dxa" w:w="2041"/>
            <w:shd w:val="clear" w:color="auto" w:fill="14243F"/>
          </w:tcPr>
          <w:p>
            <w:r/>
            <w:r>
              <w:rPr>
                <w:b/>
                <w:color w:val="FFFFFF"/>
                <w:sz w:val="15"/>
              </w:rPr>
              <w:t>Moat category</w:t>
            </w:r>
          </w:p>
        </w:tc>
        <w:tc>
          <w:tcPr>
            <w:tcW w:type="dxa" w:w="1247"/>
            <w:shd w:val="clear" w:color="auto" w:fill="14243F"/>
          </w:tcPr>
          <w:p>
            <w:r/>
            <w:r>
              <w:rPr>
                <w:b/>
                <w:color w:val="FFFFFF"/>
                <w:sz w:val="15"/>
              </w:rPr>
              <w:t>Rating</w:t>
            </w:r>
          </w:p>
        </w:tc>
        <w:tc>
          <w:tcPr>
            <w:tcW w:type="dxa" w:w="6350"/>
            <w:shd w:val="clear" w:color="auto" w:fill="14243F"/>
          </w:tcPr>
          <w:p>
            <w:r/>
            <w:r>
              <w:rPr>
                <w:b/>
                <w:color w:val="FFFFFF"/>
                <w:sz w:val="15"/>
              </w:rPr>
              <w:t>Evidence and assessment</w:t>
            </w:r>
          </w:p>
        </w:tc>
      </w:tr>
      <w:tr>
        <w:tc>
          <w:tcPr>
            <w:tcW w:type="dxa" w:w="2041"/>
          </w:tcPr>
          <w:p>
            <w:pPr>
              <w:spacing w:after="20"/>
            </w:pPr>
            <w:r/>
            <w:r>
              <w:rPr>
                <w:b/>
                <w:sz w:val="15"/>
              </w:rPr>
              <w:t>Brand</w:t>
            </w:r>
          </w:p>
        </w:tc>
        <w:tc>
          <w:tcPr>
            <w:tcW w:type="dxa" w:w="1247"/>
          </w:tcPr>
          <w:p>
            <w:pPr>
              <w:spacing w:after="20"/>
            </w:pPr>
            <w:r/>
            <w:r>
              <w:rPr>
                <w:sz w:val="15"/>
              </w:rPr>
              <w:t>Moderate</w:t>
            </w:r>
          </w:p>
        </w:tc>
        <w:tc>
          <w:tcPr>
            <w:tcW w:type="dxa" w:w="6350"/>
          </w:tcPr>
          <w:p>
            <w:pPr>
              <w:spacing w:after="20"/>
            </w:pPr>
            <w:r/>
            <w:r>
              <w:rPr>
                <w:sz w:val="15"/>
              </w:rPr>
              <w:t>Strong with repeat clients and in tall buildings; marked by the Linear scandal in public works; no consumer pricing power</w:t>
            </w:r>
          </w:p>
        </w:tc>
      </w:tr>
      <w:tr>
        <w:tc>
          <w:tcPr>
            <w:tcW w:type="dxa" w:w="2041"/>
            <w:shd w:val="clear" w:color="auto" w:fill="F1F3F8"/>
          </w:tcPr>
          <w:p>
            <w:pPr>
              <w:spacing w:after="20"/>
            </w:pPr>
            <w:r/>
            <w:r>
              <w:rPr>
                <w:b/>
                <w:sz w:val="15"/>
              </w:rPr>
              <w:t>Hard assets</w:t>
            </w:r>
          </w:p>
        </w:tc>
        <w:tc>
          <w:tcPr>
            <w:tcW w:type="dxa" w:w="1247"/>
            <w:shd w:val="clear" w:color="auto" w:fill="F1F3F8"/>
          </w:tcPr>
          <w:p>
            <w:pPr>
              <w:spacing w:after="20"/>
            </w:pPr>
            <w:r/>
            <w:r>
              <w:rPr>
                <w:sz w:val="15"/>
              </w:rPr>
              <w:t>Weak</w:t>
            </w:r>
          </w:p>
        </w:tc>
        <w:tc>
          <w:tcPr>
            <w:tcW w:type="dxa" w:w="6350"/>
            <w:shd w:val="clear" w:color="auto" w:fill="F1F3F8"/>
          </w:tcPr>
          <w:p>
            <w:pPr>
              <w:spacing w:after="20"/>
            </w:pPr>
            <w:r/>
            <w:r>
              <w:rPr>
                <w:sz w:val="15"/>
              </w:rPr>
              <w:t>Asset-light contractor (plant, depreciation c.JPY 50bn est.); the assets that matter are people, systems and balance sheet</w:t>
            </w:r>
          </w:p>
        </w:tc>
      </w:tr>
      <w:tr>
        <w:tc>
          <w:tcPr>
            <w:tcW w:type="dxa" w:w="2041"/>
          </w:tcPr>
          <w:p>
            <w:pPr>
              <w:spacing w:after="20"/>
            </w:pPr>
            <w:r/>
            <w:r>
              <w:rPr>
                <w:b/>
                <w:sz w:val="15"/>
              </w:rPr>
              <w:t>Long-term contracts</w:t>
            </w:r>
          </w:p>
        </w:tc>
        <w:tc>
          <w:tcPr>
            <w:tcW w:type="dxa" w:w="1247"/>
          </w:tcPr>
          <w:p>
            <w:pPr>
              <w:spacing w:after="20"/>
            </w:pPr>
            <w:r/>
            <w:r>
              <w:rPr>
                <w:sz w:val="15"/>
              </w:rPr>
              <w:t>Moderate</w:t>
            </w:r>
          </w:p>
        </w:tc>
        <w:tc>
          <w:tcPr>
            <w:tcW w:type="dxa" w:w="6350"/>
          </w:tcPr>
          <w:p>
            <w:pPr>
              <w:spacing w:after="20"/>
            </w:pPr>
            <w:r/>
            <w:r>
              <w:rPr>
                <w:sz w:val="15"/>
              </w:rPr>
              <w:t>Backlog c.1.1x sales† gives 2-3 years of visibility, but contracts are one-off, not recurring, and cancellation/postponement risk exists</w:t>
            </w:r>
          </w:p>
        </w:tc>
      </w:tr>
      <w:tr>
        <w:tc>
          <w:tcPr>
            <w:tcW w:type="dxa" w:w="2041"/>
            <w:shd w:val="clear" w:color="auto" w:fill="F1F3F8"/>
          </w:tcPr>
          <w:p>
            <w:pPr>
              <w:spacing w:after="20"/>
            </w:pPr>
            <w:r/>
            <w:r>
              <w:rPr>
                <w:b/>
                <w:sz w:val="15"/>
              </w:rPr>
              <w:t>Network effect</w:t>
            </w:r>
          </w:p>
        </w:tc>
        <w:tc>
          <w:tcPr>
            <w:tcW w:type="dxa" w:w="1247"/>
            <w:shd w:val="clear" w:color="auto" w:fill="F1F3F8"/>
          </w:tcPr>
          <w:p>
            <w:pPr>
              <w:spacing w:after="20"/>
            </w:pPr>
            <w:r/>
            <w:r>
              <w:rPr>
                <w:sz w:val="15"/>
              </w:rPr>
              <w:t>None</w:t>
            </w:r>
          </w:p>
        </w:tc>
        <w:tc>
          <w:tcPr>
            <w:tcW w:type="dxa" w:w="6350"/>
            <w:shd w:val="clear" w:color="auto" w:fill="F1F3F8"/>
          </w:tcPr>
          <w:p>
            <w:pPr>
              <w:spacing w:after="20"/>
            </w:pPr>
            <w:r/>
            <w:r>
              <w:rPr>
                <w:sz w:val="15"/>
              </w:rPr>
              <w:t>None, other than JV and subcontractor-network depth</w:t>
            </w:r>
          </w:p>
        </w:tc>
      </w:tr>
      <w:tr>
        <w:tc>
          <w:tcPr>
            <w:tcW w:type="dxa" w:w="2041"/>
          </w:tcPr>
          <w:p>
            <w:pPr>
              <w:spacing w:after="20"/>
            </w:pPr>
            <w:r/>
            <w:r>
              <w:rPr>
                <w:b/>
                <w:sz w:val="15"/>
              </w:rPr>
              <w:t>Regulatory and switching costs</w:t>
            </w:r>
          </w:p>
        </w:tc>
        <w:tc>
          <w:tcPr>
            <w:tcW w:type="dxa" w:w="1247"/>
          </w:tcPr>
          <w:p>
            <w:pPr>
              <w:spacing w:after="20"/>
            </w:pPr>
            <w:r/>
            <w:r>
              <w:rPr>
                <w:sz w:val="15"/>
              </w:rPr>
              <w:t>Moderate</w:t>
            </w:r>
          </w:p>
        </w:tc>
        <w:tc>
          <w:tcPr>
            <w:tcW w:type="dxa" w:w="6350"/>
          </w:tcPr>
          <w:p>
            <w:pPr>
              <w:spacing w:after="20"/>
            </w:pPr>
            <w:r/>
            <w:r>
              <w:rPr>
                <w:sz w:val="15"/>
              </w:rPr>
              <w:t>Construction licences, public-works eligibility ratings, safety records and capacity limits; clients can switch bidder per project, but repeat negotiated work is sticky</w:t>
            </w:r>
          </w:p>
        </w:tc>
      </w:tr>
      <w:tr>
        <w:tc>
          <w:tcPr>
            <w:tcW w:type="dxa" w:w="2041"/>
            <w:shd w:val="clear" w:color="auto" w:fill="F1F3F8"/>
          </w:tcPr>
          <w:p>
            <w:pPr>
              <w:spacing w:after="20"/>
            </w:pPr>
            <w:r/>
            <w:r>
              <w:rPr>
                <w:b/>
                <w:sz w:val="15"/>
              </w:rPr>
              <w:t>Oligopolistic structure</w:t>
            </w:r>
          </w:p>
        </w:tc>
        <w:tc>
          <w:tcPr>
            <w:tcW w:type="dxa" w:w="1247"/>
            <w:shd w:val="clear" w:color="auto" w:fill="F1F3F8"/>
          </w:tcPr>
          <w:p>
            <w:pPr>
              <w:spacing w:after="20"/>
            </w:pPr>
            <w:r/>
            <w:r>
              <w:rPr>
                <w:sz w:val="15"/>
              </w:rPr>
              <w:t>Strong</w:t>
            </w:r>
          </w:p>
        </w:tc>
        <w:tc>
          <w:tcPr>
            <w:tcW w:type="dxa" w:w="6350"/>
            <w:shd w:val="clear" w:color="auto" w:fill="F1F3F8"/>
          </w:tcPr>
          <w:p>
            <w:pPr>
              <w:spacing w:after="20"/>
            </w:pPr>
            <w:r/>
            <w:r>
              <w:rPr>
                <w:sz w:val="15"/>
              </w:rPr>
              <w:t>Four super-GCs dominate large Japanese projects; rational pricing since 2023 and consolidation among mid-tier firms (Taisei-Toyo, Infroneer-SMCC, Shimizu-Nippon Road)</w:t>
            </w:r>
          </w:p>
        </w:tc>
      </w:tr>
      <w:tr>
        <w:tc>
          <w:tcPr>
            <w:tcW w:type="dxa" w:w="2041"/>
          </w:tcPr>
          <w:p>
            <w:pPr>
              <w:spacing w:after="20"/>
            </w:pPr>
            <w:r/>
            <w:r>
              <w:rPr>
                <w:b/>
                <w:sz w:val="15"/>
              </w:rPr>
              <w:t>Cash-flow predictability</w:t>
            </w:r>
          </w:p>
        </w:tc>
        <w:tc>
          <w:tcPr>
            <w:tcW w:type="dxa" w:w="1247"/>
          </w:tcPr>
          <w:p>
            <w:pPr>
              <w:spacing w:after="20"/>
            </w:pPr>
            <w:r/>
            <w:r>
              <w:rPr>
                <w:sz w:val="15"/>
              </w:rPr>
              <w:t>Moderate</w:t>
            </w:r>
          </w:p>
        </w:tc>
        <w:tc>
          <w:tcPr>
            <w:tcW w:type="dxa" w:w="6350"/>
          </w:tcPr>
          <w:p>
            <w:pPr>
              <w:spacing w:after="20"/>
            </w:pPr>
            <w:r/>
            <w:r>
              <w:rPr>
                <w:sz w:val="15"/>
              </w:rPr>
              <w:t>Operating CF swung JPY 50bn to JPY 253bn in five years† on working-capital timing; earnings volatile with cost shocks (FY3/23, FY3/24)</w:t>
            </w:r>
          </w:p>
        </w:tc>
      </w:tr>
      <w:tr>
        <w:tc>
          <w:tcPr>
            <w:tcW w:type="dxa" w:w="2041"/>
            <w:shd w:val="clear" w:color="auto" w:fill="F1F3F8"/>
          </w:tcPr>
          <w:p>
            <w:pPr>
              <w:spacing w:after="20"/>
            </w:pPr>
            <w:r/>
            <w:r>
              <w:rPr>
                <w:b/>
                <w:sz w:val="15"/>
              </w:rPr>
              <w:t>Scalability</w:t>
            </w:r>
          </w:p>
        </w:tc>
        <w:tc>
          <w:tcPr>
            <w:tcW w:type="dxa" w:w="1247"/>
            <w:shd w:val="clear" w:color="auto" w:fill="F1F3F8"/>
          </w:tcPr>
          <w:p>
            <w:pPr>
              <w:spacing w:after="20"/>
            </w:pPr>
            <w:r/>
            <w:r>
              <w:rPr>
                <w:sz w:val="15"/>
              </w:rPr>
              <w:t>Weak-moderate</w:t>
            </w:r>
          </w:p>
        </w:tc>
        <w:tc>
          <w:tcPr>
            <w:tcW w:type="dxa" w:w="6350"/>
            <w:shd w:val="clear" w:color="auto" w:fill="F1F3F8"/>
          </w:tcPr>
          <w:p>
            <w:pPr>
              <w:spacing w:after="20"/>
            </w:pPr>
            <w:r/>
            <w:r>
              <w:rPr>
                <w:sz w:val="15"/>
              </w:rPr>
              <w:t>Labour-constrained; growth requires technicians, not capital. Overseas growth by acquisition</w:t>
            </w:r>
          </w:p>
        </w:tc>
      </w:tr>
      <w:tr>
        <w:tc>
          <w:tcPr>
            <w:tcW w:type="dxa" w:w="2041"/>
          </w:tcPr>
          <w:p>
            <w:pPr>
              <w:spacing w:after="20"/>
            </w:pPr>
            <w:r/>
            <w:r>
              <w:rPr>
                <w:b/>
                <w:sz w:val="15"/>
              </w:rPr>
              <w:t>Government interference history</w:t>
            </w:r>
          </w:p>
        </w:tc>
        <w:tc>
          <w:tcPr>
            <w:tcW w:type="dxa" w:w="1247"/>
          </w:tcPr>
          <w:p>
            <w:pPr>
              <w:spacing w:after="20"/>
            </w:pPr>
            <w:r/>
            <w:r>
              <w:rPr>
                <w:sz w:val="15"/>
              </w:rPr>
              <w:t>Weak</w:t>
            </w:r>
          </w:p>
        </w:tc>
        <w:tc>
          <w:tcPr>
            <w:tcW w:type="dxa" w:w="6350"/>
          </w:tcPr>
          <w:p>
            <w:pPr>
              <w:spacing w:after="20"/>
            </w:pPr>
            <w:r/>
            <w:r>
              <w:rPr>
                <w:sz w:val="15"/>
              </w:rPr>
              <w:t>Bid-rigging convictions (Linear), JFTC orders, public-works suspensions; but also a beneficiary of resilience spending</w:t>
            </w:r>
          </w:p>
        </w:tc>
      </w:tr>
      <w:tr>
        <w:tc>
          <w:tcPr>
            <w:tcW w:type="dxa" w:w="2041"/>
            <w:shd w:val="clear" w:color="auto" w:fill="F1F3F8"/>
          </w:tcPr>
          <w:p>
            <w:pPr>
              <w:spacing w:after="20"/>
            </w:pPr>
            <w:r/>
            <w:r>
              <w:rPr>
                <w:b/>
                <w:sz w:val="15"/>
              </w:rPr>
              <w:t>Bargaining power vs stakeholders</w:t>
            </w:r>
          </w:p>
        </w:tc>
        <w:tc>
          <w:tcPr>
            <w:tcW w:type="dxa" w:w="1247"/>
            <w:shd w:val="clear" w:color="auto" w:fill="F1F3F8"/>
          </w:tcPr>
          <w:p>
            <w:pPr>
              <w:spacing w:after="20"/>
            </w:pPr>
            <w:r/>
            <w:r>
              <w:rPr>
                <w:sz w:val="15"/>
              </w:rPr>
              <w:t>Moderate-strong</w:t>
            </w:r>
          </w:p>
        </w:tc>
        <w:tc>
          <w:tcPr>
            <w:tcW w:type="dxa" w:w="6350"/>
            <w:shd w:val="clear" w:color="auto" w:fill="F1F3F8"/>
          </w:tcPr>
          <w:p>
            <w:pPr>
              <w:spacing w:after="20"/>
            </w:pPr>
            <w:r/>
            <w:r>
              <w:rPr>
                <w:sz w:val="15"/>
              </w:rPr>
              <w:t>Strong over subcontractors and suppliers (scale, payment); moderate vs developers and public clients; capacity constraints currently favour contractors</w:t>
            </w:r>
          </w:p>
        </w:tc>
      </w:tr>
    </w:tbl>
    <w:p>
      <w:pPr>
        <w:spacing w:after="40"/>
      </w:pPr>
    </w:p>
    <w:tbl>
      <w:tblPr>
        <w:tblW w:type="auto" w:w="0"/>
        <w:jc w:val="center"/>
        <w:tblLook w:firstColumn="1" w:firstRow="1" w:lastColumn="0" w:lastRow="0" w:noHBand="0" w:noVBand="1" w:val="04A0"/>
      </w:tblPr>
      <w:tblGrid>
        <w:gridCol w:w="9752"/>
      </w:tblGrid>
      <w:tr>
        <w:tc>
          <w:tcPr>
            <w:tcW w:type="dxa" w:w="9752"/>
            <w:shd w:val="clear" w:color="auto" w:fill="EEF2FA"/>
          </w:tcPr>
          <w:p>
            <w:r/>
            <w:r>
              <w:rPr>
                <w:b/>
                <w:sz w:val="18"/>
              </w:rPr>
              <w:t>Moat verdict:</w:t>
            </w:r>
            <w:r>
              <w:rPr>
                <w:sz w:val="18"/>
              </w:rPr>
              <w:t xml:space="preserve"> a narrow, cyclical moat built on oligopoly structure and capacity scarcity, not on product differentiation. It is strongest in the current up-cycle and weakest when order books thin and bidders discount to fill capacity.</w:t>
            </w:r>
          </w:p>
        </w:tc>
      </w:tr>
    </w:tbl>
    <w:p>
      <w:pPr>
        <w:spacing w:after="40"/>
      </w:pPr>
    </w:p>
    <w:p>
      <w:pPr>
        <w:pStyle w:val="Heading1"/>
      </w:pPr>
      <w:r>
        <w:t>7. Supply chain map</w:t>
      </w:r>
    </w:p>
    <w:p>
      <w:pPr>
        <w:jc w:val="center"/>
      </w:pPr>
      <w:r>
        <w:drawing>
          <wp:inline xmlns:a="http://schemas.openxmlformats.org/drawingml/2006/main" xmlns:pic="http://schemas.openxmlformats.org/drawingml/2006/picture">
            <wp:extent cx="6120000" cy="3565405"/>
            <wp:docPr id="2" name="Picture 2"/>
            <wp:cNvGraphicFramePr>
              <a:graphicFrameLocks noChangeAspect="1"/>
            </wp:cNvGraphicFramePr>
            <a:graphic>
              <a:graphicData uri="http://schemas.openxmlformats.org/drawingml/2006/picture">
                <pic:pic>
                  <pic:nvPicPr>
                    <pic:cNvPr id="0" name="supply_chain.png"/>
                    <pic:cNvPicPr/>
                  </pic:nvPicPr>
                  <pic:blipFill>
                    <a:blip r:embed="rId11"/>
                    <a:stretch>
                      <a:fillRect/>
                    </a:stretch>
                  </pic:blipFill>
                  <pic:spPr>
                    <a:xfrm>
                      <a:off x="0" y="0"/>
                      <a:ext cx="6120000" cy="3565405"/>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587"/>
        <w:gridCol w:w="4762"/>
        <w:gridCol w:w="3288"/>
      </w:tblGrid>
      <w:tr>
        <w:trPr>
          <w:tblHeader w:val="true"/>
        </w:trPr>
        <w:tc>
          <w:tcPr>
            <w:tcW w:type="dxa" w:w="1587"/>
            <w:shd w:val="clear" w:color="auto" w:fill="14243F"/>
          </w:tcPr>
          <w:p>
            <w:r/>
            <w:r>
              <w:rPr>
                <w:b/>
                <w:color w:val="FFFFFF"/>
                <w:sz w:val="15"/>
              </w:rPr>
              <w:t>Layer</w:t>
            </w:r>
          </w:p>
        </w:tc>
        <w:tc>
          <w:tcPr>
            <w:tcW w:type="dxa" w:w="4762"/>
            <w:shd w:val="clear" w:color="auto" w:fill="14243F"/>
          </w:tcPr>
          <w:p>
            <w:r/>
            <w:r>
              <w:rPr>
                <w:b/>
                <w:color w:val="FFFFFF"/>
                <w:sz w:val="15"/>
              </w:rPr>
              <w:t>Participants (companies)</w:t>
            </w:r>
          </w:p>
        </w:tc>
        <w:tc>
          <w:tcPr>
            <w:tcW w:type="dxa" w:w="3288"/>
            <w:shd w:val="clear" w:color="auto" w:fill="14243F"/>
          </w:tcPr>
          <w:p>
            <w:r/>
            <w:r>
              <w:rPr>
                <w:b/>
                <w:color w:val="FFFFFF"/>
                <w:sz w:val="15"/>
              </w:rPr>
              <w:t>Obayashi's position and leverage</w:t>
            </w:r>
          </w:p>
        </w:tc>
      </w:tr>
      <w:tr>
        <w:tc>
          <w:tcPr>
            <w:tcW w:type="dxa" w:w="1587"/>
          </w:tcPr>
          <w:p>
            <w:pPr>
              <w:spacing w:after="20"/>
            </w:pPr>
            <w:r/>
            <w:r>
              <w:rPr>
                <w:b/>
                <w:sz w:val="15"/>
              </w:rPr>
              <w:t>Raw materials</w:t>
            </w:r>
          </w:p>
        </w:tc>
        <w:tc>
          <w:tcPr>
            <w:tcW w:type="dxa" w:w="4762"/>
          </w:tcPr>
          <w:p>
            <w:pPr>
              <w:spacing w:after="20"/>
            </w:pPr>
            <w:r/>
            <w:r>
              <w:rPr>
                <w:sz w:val="15"/>
              </w:rPr>
              <w:t>Nippon Steel, JFE Steel, Tokyo Steel, Yamato Kogyo (steel/rebar); Taiheiyo Cement, UBE Mitsubishi Cement, Sumitomo Osaka Cement; AGC (glass); regional ready-mix co-ops; paint and waterproofing chemicals (naphtha-based)</w:t>
            </w:r>
          </w:p>
        </w:tc>
        <w:tc>
          <w:tcPr>
            <w:tcW w:type="dxa" w:w="3288"/>
          </w:tcPr>
          <w:p>
            <w:pPr>
              <w:spacing w:after="20"/>
            </w:pPr>
            <w:r/>
            <w:r>
              <w:rPr>
                <w:sz w:val="15"/>
              </w:rPr>
              <w:t>Price-taker on commodity prices; scale buyer; relies on escalation clauses and fast pass-through</w:t>
            </w:r>
          </w:p>
        </w:tc>
      </w:tr>
      <w:tr>
        <w:tc>
          <w:tcPr>
            <w:tcW w:type="dxa" w:w="1587"/>
            <w:shd w:val="clear" w:color="auto" w:fill="F1F3F8"/>
          </w:tcPr>
          <w:p>
            <w:pPr>
              <w:spacing w:after="20"/>
            </w:pPr>
            <w:r/>
            <w:r>
              <w:rPr>
                <w:b/>
                <w:sz w:val="15"/>
              </w:rPr>
              <w:t>Equipment and systems</w:t>
            </w:r>
          </w:p>
        </w:tc>
        <w:tc>
          <w:tcPr>
            <w:tcW w:type="dxa" w:w="4762"/>
            <w:shd w:val="clear" w:color="auto" w:fill="F1F3F8"/>
          </w:tcPr>
          <w:p>
            <w:pPr>
              <w:spacing w:after="20"/>
            </w:pPr>
            <w:r/>
            <w:r>
              <w:rPr>
                <w:sz w:val="15"/>
              </w:rPr>
              <w:t>Mitsubishi Electric, Hitachi, Toshiba Elevator; Daikin, Takasago Thermal, Taikisha, Kinden (HVAC/MEP); Komatsu, Hitachi Construction Machinery, Kobelco; Herrenknecht (TBM)</w:t>
            </w:r>
          </w:p>
        </w:tc>
        <w:tc>
          <w:tcPr>
            <w:tcW w:type="dxa" w:w="3288"/>
            <w:shd w:val="clear" w:color="auto" w:fill="F1F3F8"/>
          </w:tcPr>
          <w:p>
            <w:pPr>
              <w:spacing w:after="20"/>
            </w:pPr>
            <w:r/>
            <w:r>
              <w:rPr>
                <w:sz w:val="15"/>
              </w:rPr>
              <w:t>Specifier and integrator; competes on coordination; supplier capacity tight in data centres</w:t>
            </w:r>
          </w:p>
        </w:tc>
      </w:tr>
      <w:tr>
        <w:tc>
          <w:tcPr>
            <w:tcW w:type="dxa" w:w="1587"/>
          </w:tcPr>
          <w:p>
            <w:pPr>
              <w:spacing w:after="20"/>
            </w:pPr>
            <w:r/>
            <w:r>
              <w:rPr>
                <w:b/>
                <w:sz w:val="15"/>
              </w:rPr>
              <w:t>Trades and labour</w:t>
            </w:r>
          </w:p>
        </w:tc>
        <w:tc>
          <w:tcPr>
            <w:tcW w:type="dxa" w:w="4762"/>
          </w:tcPr>
          <w:p>
            <w:pPr>
              <w:spacing w:after="20"/>
            </w:pPr>
            <w:r/>
            <w:r>
              <w:rPr>
                <w:sz w:val="15"/>
              </w:rPr>
              <w:t>Specialist subcontractors (partner association†); technician and foreign trainee labour pool</w:t>
            </w:r>
          </w:p>
        </w:tc>
        <w:tc>
          <w:tcPr>
            <w:tcW w:type="dxa" w:w="3288"/>
          </w:tcPr>
          <w:p>
            <w:pPr>
              <w:spacing w:after="20"/>
            </w:pPr>
            <w:r/>
            <w:r>
              <w:rPr>
                <w:sz w:val="15"/>
              </w:rPr>
              <w:t>Dominant buyer but labour-short; unit costs rising; 2024 overtime cap</w:t>
            </w:r>
          </w:p>
        </w:tc>
      </w:tr>
      <w:tr>
        <w:tc>
          <w:tcPr>
            <w:tcW w:type="dxa" w:w="1587"/>
            <w:shd w:val="clear" w:color="auto" w:fill="F1F3F8"/>
          </w:tcPr>
          <w:p>
            <w:pPr>
              <w:spacing w:after="20"/>
            </w:pPr>
            <w:r/>
            <w:r>
              <w:rPr>
                <w:b/>
                <w:sz w:val="15"/>
              </w:rPr>
              <w:t>Design and JV partners</w:t>
            </w:r>
          </w:p>
        </w:tc>
        <w:tc>
          <w:tcPr>
            <w:tcW w:type="dxa" w:w="4762"/>
            <w:shd w:val="clear" w:color="auto" w:fill="F1F3F8"/>
          </w:tcPr>
          <w:p>
            <w:pPr>
              <w:spacing w:after="20"/>
            </w:pPr>
            <w:r/>
            <w:r>
              <w:rPr>
                <w:sz w:val="15"/>
              </w:rPr>
              <w:t>In-house design; Nikken Sekkei, Nihon Sekkei; JV partners Kajima, Taisei, Shimizu, Takenaka, Hazama Ando on mega-projects</w:t>
            </w:r>
          </w:p>
        </w:tc>
        <w:tc>
          <w:tcPr>
            <w:tcW w:type="dxa" w:w="3288"/>
            <w:shd w:val="clear" w:color="auto" w:fill="F1F3F8"/>
          </w:tcPr>
          <w:p>
            <w:pPr>
              <w:spacing w:after="20"/>
            </w:pPr>
            <w:r/>
            <w:r>
              <w:rPr>
                <w:sz w:val="15"/>
              </w:rPr>
              <w:t>Competitor-collaborators; JV risk-sharing on civil mega-projects</w:t>
            </w:r>
          </w:p>
        </w:tc>
      </w:tr>
      <w:tr>
        <w:tc>
          <w:tcPr>
            <w:tcW w:type="dxa" w:w="1587"/>
          </w:tcPr>
          <w:p>
            <w:pPr>
              <w:spacing w:after="20"/>
            </w:pPr>
            <w:r/>
            <w:r>
              <w:rPr>
                <w:b/>
                <w:sz w:val="15"/>
              </w:rPr>
              <w:t>Obayashi group</w:t>
            </w:r>
          </w:p>
        </w:tc>
        <w:tc>
          <w:tcPr>
            <w:tcW w:type="dxa" w:w="4762"/>
          </w:tcPr>
          <w:p>
            <w:pPr>
              <w:spacing w:after="20"/>
            </w:pPr>
            <w:r/>
            <w:r>
              <w:rPr>
                <w:sz w:val="15"/>
              </w:rPr>
              <w:t>Obayashi (parent); Webcor, Kraemer North America, E.W. Howell, James E. Roberts-Obayashi, MWH Constructors, GCON (US); Multiplex (AU/UK/CA, pending); Thai Obayashi, Obayashi Singapore, Taiwan and Indonesian units; Obayashi Shinseiwa Real Estate; Cypress Sunadaya</w:t>
            </w:r>
          </w:p>
        </w:tc>
        <w:tc>
          <w:tcPr>
            <w:tcW w:type="dxa" w:w="3288"/>
          </w:tcPr>
          <w:p>
            <w:pPr>
              <w:spacing w:after="20"/>
            </w:pPr>
            <w:r/>
            <w:r>
              <w:rPr>
                <w:sz w:val="15"/>
              </w:rPr>
              <w:t>Design-build integrator: where the margin is made and the risk sits</w:t>
            </w:r>
          </w:p>
        </w:tc>
      </w:tr>
      <w:tr>
        <w:tc>
          <w:tcPr>
            <w:tcW w:type="dxa" w:w="1587"/>
            <w:shd w:val="clear" w:color="auto" w:fill="F1F3F8"/>
          </w:tcPr>
          <w:p>
            <w:pPr>
              <w:spacing w:after="20"/>
            </w:pPr>
            <w:r/>
            <w:r>
              <w:rPr>
                <w:b/>
                <w:sz w:val="15"/>
              </w:rPr>
              <w:t>Customers</w:t>
            </w:r>
          </w:p>
        </w:tc>
        <w:tc>
          <w:tcPr>
            <w:tcW w:type="dxa" w:w="4762"/>
            <w:shd w:val="clear" w:color="auto" w:fill="F1F3F8"/>
          </w:tcPr>
          <w:p>
            <w:pPr>
              <w:spacing w:after="20"/>
            </w:pPr>
            <w:r/>
            <w:r>
              <w:rPr>
                <w:sz w:val="15"/>
              </w:rPr>
              <w:t>MLIT, NEXCO, JR Tokai, JRTT, local governments; developers (Mitsui Fudosan, Mitsubishi Estate, Mori Building, Sumitomo Realty, Tokyu†); manufacturers, fabs and data-centre operators; US technology, healthcare and water clients</w:t>
            </w:r>
          </w:p>
        </w:tc>
        <w:tc>
          <w:tcPr>
            <w:tcW w:type="dxa" w:w="3288"/>
            <w:shd w:val="clear" w:color="auto" w:fill="F1F3F8"/>
          </w:tcPr>
          <w:p>
            <w:pPr>
              <w:spacing w:after="20"/>
            </w:pPr>
            <w:r/>
            <w:r>
              <w:rPr>
                <w:sz w:val="15"/>
              </w:rPr>
              <w:t>Concentrated public clients with leverage on price; repeat private clients</w:t>
            </w:r>
          </w:p>
        </w:tc>
      </w:tr>
      <w:tr>
        <w:tc>
          <w:tcPr>
            <w:tcW w:type="dxa" w:w="1587"/>
          </w:tcPr>
          <w:p>
            <w:pPr>
              <w:spacing w:after="20"/>
            </w:pPr>
            <w:r/>
            <w:r>
              <w:rPr>
                <w:b/>
                <w:sz w:val="15"/>
              </w:rPr>
              <w:t>Enablers</w:t>
            </w:r>
          </w:p>
        </w:tc>
        <w:tc>
          <w:tcPr>
            <w:tcW w:type="dxa" w:w="4762"/>
          </w:tcPr>
          <w:p>
            <w:pPr>
              <w:spacing w:after="20"/>
            </w:pPr>
            <w:r/>
            <w:r>
              <w:rPr>
                <w:sz w:val="15"/>
              </w:rPr>
              <w:t>Banks (MUFG, SMBC, Mizuho typical†); insurers and surety; JCR/R&amp;I; regulators MLIT, JFTC, labour standards offices</w:t>
            </w:r>
          </w:p>
        </w:tc>
        <w:tc>
          <w:tcPr>
            <w:tcW w:type="dxa" w:w="3288"/>
          </w:tcPr>
          <w:p>
            <w:pPr>
              <w:spacing w:after="20"/>
            </w:pPr>
            <w:r/>
            <w:r>
              <w:rPr>
                <w:sz w:val="15"/>
              </w:rPr>
              <w:t>Net cash means low dependence on lenders</w:t>
            </w:r>
          </w:p>
        </w:tc>
      </w:tr>
    </w:tbl>
    <w:p>
      <w:pPr>
        <w:spacing w:after="40"/>
      </w:pPr>
    </w:p>
    <w:p>
      <w:r>
        <w:rPr>
          <w:i/>
          <w:color w:val="555F70"/>
          <w:sz w:val="15"/>
        </w:rPr>
        <w:t>Obayashi's own filings do not name its key suppliers or customers beyond the public sector and standard industry disclosure; named entities above are well-documented industry participants rather than disclosed Obayashi contracts†.</w:t>
      </w:r>
    </w:p>
    <w:p>
      <w:pPr>
        <w:pStyle w:val="Heading1"/>
      </w:pPr>
      <w:r>
        <w:t>8. Financial performance: five years, segments, geography and KPIs</w:t>
      </w:r>
    </w:p>
    <w:p>
      <w:pPr>
        <w:pStyle w:val="Heading2"/>
      </w:pPr>
      <w:r>
        <w:t>8.1 Consolidated (JPY bn, JGAAP, fiscal years ending March)</w:t>
      </w:r>
    </w:p>
    <w:tbl>
      <w:tblPr>
        <w:tblStyle w:val="TableGrid"/>
        <w:tblW w:type="auto" w:w="0"/>
        <w:jc w:val="center"/>
        <w:tblLayout w:type="fixed"/>
        <w:tblLook w:firstColumn="1" w:firstRow="1" w:lastColumn="0" w:lastRow="0" w:noHBand="0" w:noVBand="1" w:val="04A0"/>
      </w:tblPr>
      <w:tblGrid>
        <w:gridCol w:w="2268"/>
        <w:gridCol w:w="1191"/>
        <w:gridCol w:w="1191"/>
        <w:gridCol w:w="1191"/>
        <w:gridCol w:w="1191"/>
        <w:gridCol w:w="1191"/>
        <w:gridCol w:w="1417"/>
      </w:tblGrid>
      <w:tr>
        <w:trPr>
          <w:tblHeader w:val="true"/>
        </w:trPr>
        <w:tc>
          <w:tcPr>
            <w:tcW w:type="dxa" w:w="2268"/>
            <w:shd w:val="clear" w:color="auto" w:fill="14243F"/>
          </w:tcPr>
          <w:p>
            <w:r/>
          </w:p>
        </w:tc>
        <w:tc>
          <w:tcPr>
            <w:tcW w:type="dxa" w:w="1191"/>
            <w:shd w:val="clear" w:color="auto" w:fill="14243F"/>
          </w:tcPr>
          <w:p>
            <w:r/>
            <w:r>
              <w:rPr>
                <w:b/>
                <w:color w:val="FFFFFF"/>
                <w:sz w:val="16"/>
              </w:rPr>
              <w:t>FY3/22</w:t>
            </w:r>
          </w:p>
        </w:tc>
        <w:tc>
          <w:tcPr>
            <w:tcW w:type="dxa" w:w="1191"/>
            <w:shd w:val="clear" w:color="auto" w:fill="14243F"/>
          </w:tcPr>
          <w:p>
            <w:r/>
            <w:r>
              <w:rPr>
                <w:b/>
                <w:color w:val="FFFFFF"/>
                <w:sz w:val="16"/>
              </w:rPr>
              <w:t>FY3/23</w:t>
            </w:r>
          </w:p>
        </w:tc>
        <w:tc>
          <w:tcPr>
            <w:tcW w:type="dxa" w:w="1191"/>
            <w:shd w:val="clear" w:color="auto" w:fill="14243F"/>
          </w:tcPr>
          <w:p>
            <w:r/>
            <w:r>
              <w:rPr>
                <w:b/>
                <w:color w:val="FFFFFF"/>
                <w:sz w:val="16"/>
              </w:rPr>
              <w:t>FY3/24</w:t>
            </w:r>
          </w:p>
        </w:tc>
        <w:tc>
          <w:tcPr>
            <w:tcW w:type="dxa" w:w="1191"/>
            <w:shd w:val="clear" w:color="auto" w:fill="14243F"/>
          </w:tcPr>
          <w:p>
            <w:r/>
            <w:r>
              <w:rPr>
                <w:b/>
                <w:color w:val="FFFFFF"/>
                <w:sz w:val="16"/>
              </w:rPr>
              <w:t>FY3/25</w:t>
            </w:r>
          </w:p>
        </w:tc>
        <w:tc>
          <w:tcPr>
            <w:tcW w:type="dxa" w:w="1191"/>
            <w:shd w:val="clear" w:color="auto" w:fill="14243F"/>
          </w:tcPr>
          <w:p>
            <w:r/>
            <w:r>
              <w:rPr>
                <w:b/>
                <w:color w:val="FFFFFF"/>
                <w:sz w:val="16"/>
              </w:rPr>
              <w:t>FY3/26</w:t>
            </w:r>
          </w:p>
        </w:tc>
        <w:tc>
          <w:tcPr>
            <w:tcW w:type="dxa" w:w="1417"/>
            <w:shd w:val="clear" w:color="auto" w:fill="14243F"/>
          </w:tcPr>
          <w:p>
            <w:r/>
            <w:r>
              <w:rPr>
                <w:b/>
                <w:color w:val="FFFFFF"/>
                <w:sz w:val="16"/>
              </w:rPr>
              <w:t>FY3/27E guide</w:t>
            </w:r>
          </w:p>
        </w:tc>
      </w:tr>
      <w:tr>
        <w:tc>
          <w:tcPr>
            <w:tcW w:type="dxa" w:w="2268"/>
          </w:tcPr>
          <w:p>
            <w:pPr>
              <w:spacing w:after="20"/>
            </w:pPr>
            <w:r/>
            <w:r>
              <w:rPr>
                <w:b/>
                <w:sz w:val="16"/>
              </w:rPr>
              <w:t>Net sales</w:t>
            </w:r>
          </w:p>
        </w:tc>
        <w:tc>
          <w:tcPr>
            <w:tcW w:type="dxa" w:w="1191"/>
          </w:tcPr>
          <w:p>
            <w:pPr>
              <w:spacing w:after="20"/>
            </w:pPr>
            <w:r/>
            <w:r>
              <w:rPr>
                <w:sz w:val="16"/>
              </w:rPr>
              <w:t>1,922.9</w:t>
            </w:r>
          </w:p>
        </w:tc>
        <w:tc>
          <w:tcPr>
            <w:tcW w:type="dxa" w:w="1191"/>
          </w:tcPr>
          <w:p>
            <w:pPr>
              <w:spacing w:after="20"/>
            </w:pPr>
            <w:r/>
            <w:r>
              <w:rPr>
                <w:sz w:val="16"/>
              </w:rPr>
              <w:t>1,983.9</w:t>
            </w:r>
          </w:p>
        </w:tc>
        <w:tc>
          <w:tcPr>
            <w:tcW w:type="dxa" w:w="1191"/>
          </w:tcPr>
          <w:p>
            <w:pPr>
              <w:spacing w:after="20"/>
            </w:pPr>
            <w:r/>
            <w:r>
              <w:rPr>
                <w:sz w:val="16"/>
              </w:rPr>
              <w:t>2,325.2</w:t>
            </w:r>
          </w:p>
        </w:tc>
        <w:tc>
          <w:tcPr>
            <w:tcW w:type="dxa" w:w="1191"/>
          </w:tcPr>
          <w:p>
            <w:pPr>
              <w:spacing w:after="20"/>
            </w:pPr>
            <w:r/>
            <w:r>
              <w:rPr>
                <w:sz w:val="16"/>
              </w:rPr>
              <w:t>2,590.8</w:t>
            </w:r>
          </w:p>
        </w:tc>
        <w:tc>
          <w:tcPr>
            <w:tcW w:type="dxa" w:w="1191"/>
          </w:tcPr>
          <w:p>
            <w:pPr>
              <w:spacing w:after="20"/>
            </w:pPr>
            <w:r/>
            <w:r>
              <w:rPr>
                <w:sz w:val="16"/>
              </w:rPr>
              <w:t>2,586.3</w:t>
            </w:r>
          </w:p>
        </w:tc>
        <w:tc>
          <w:tcPr>
            <w:tcW w:type="dxa" w:w="1417"/>
          </w:tcPr>
          <w:p>
            <w:pPr>
              <w:spacing w:after="20"/>
            </w:pPr>
            <w:r/>
            <w:r>
              <w:rPr>
                <w:sz w:val="16"/>
              </w:rPr>
              <w:t>2,945.0</w:t>
            </w:r>
          </w:p>
        </w:tc>
      </w:tr>
      <w:tr>
        <w:tc>
          <w:tcPr>
            <w:tcW w:type="dxa" w:w="2268"/>
            <w:shd w:val="clear" w:color="auto" w:fill="F1F3F8"/>
          </w:tcPr>
          <w:p>
            <w:pPr>
              <w:spacing w:after="20"/>
            </w:pPr>
            <w:r/>
            <w:r>
              <w:rPr>
                <w:b/>
                <w:sz w:val="16"/>
              </w:rPr>
              <w:t>growth</w:t>
            </w:r>
          </w:p>
        </w:tc>
        <w:tc>
          <w:tcPr>
            <w:tcW w:type="dxa" w:w="1191"/>
            <w:shd w:val="clear" w:color="auto" w:fill="F1F3F8"/>
          </w:tcPr>
          <w:p>
            <w:pPr>
              <w:spacing w:after="20"/>
            </w:pPr>
            <w:r/>
            <w:r>
              <w:rPr>
                <w:sz w:val="16"/>
              </w:rPr>
              <w:t>n/a</w:t>
            </w:r>
          </w:p>
        </w:tc>
        <w:tc>
          <w:tcPr>
            <w:tcW w:type="dxa" w:w="1191"/>
            <w:shd w:val="clear" w:color="auto" w:fill="F1F3F8"/>
          </w:tcPr>
          <w:p>
            <w:pPr>
              <w:spacing w:after="20"/>
            </w:pPr>
            <w:r/>
            <w:r>
              <w:rPr>
                <w:sz w:val="16"/>
              </w:rPr>
              <w:t>+3.2%</w:t>
            </w:r>
          </w:p>
        </w:tc>
        <w:tc>
          <w:tcPr>
            <w:tcW w:type="dxa" w:w="1191"/>
            <w:shd w:val="clear" w:color="auto" w:fill="F1F3F8"/>
          </w:tcPr>
          <w:p>
            <w:pPr>
              <w:spacing w:after="20"/>
            </w:pPr>
            <w:r/>
            <w:r>
              <w:rPr>
                <w:sz w:val="16"/>
              </w:rPr>
              <w:t>+17.2%</w:t>
            </w:r>
          </w:p>
        </w:tc>
        <w:tc>
          <w:tcPr>
            <w:tcW w:type="dxa" w:w="1191"/>
            <w:shd w:val="clear" w:color="auto" w:fill="F1F3F8"/>
          </w:tcPr>
          <w:p>
            <w:pPr>
              <w:spacing w:after="20"/>
            </w:pPr>
            <w:r/>
            <w:r>
              <w:rPr>
                <w:sz w:val="16"/>
              </w:rPr>
              <w:t>+11.4%</w:t>
            </w:r>
          </w:p>
        </w:tc>
        <w:tc>
          <w:tcPr>
            <w:tcW w:type="dxa" w:w="1191"/>
            <w:shd w:val="clear" w:color="auto" w:fill="F1F3F8"/>
          </w:tcPr>
          <w:p>
            <w:pPr>
              <w:spacing w:after="20"/>
            </w:pPr>
            <w:r/>
            <w:r>
              <w:rPr>
                <w:sz w:val="16"/>
              </w:rPr>
              <w:t>-0.2%</w:t>
            </w:r>
          </w:p>
        </w:tc>
        <w:tc>
          <w:tcPr>
            <w:tcW w:type="dxa" w:w="1417"/>
            <w:shd w:val="clear" w:color="auto" w:fill="F1F3F8"/>
          </w:tcPr>
          <w:p>
            <w:pPr>
              <w:spacing w:after="20"/>
            </w:pPr>
            <w:r/>
            <w:r>
              <w:rPr>
                <w:sz w:val="16"/>
              </w:rPr>
              <w:t>+13.9%</w:t>
            </w:r>
          </w:p>
        </w:tc>
      </w:tr>
      <w:tr>
        <w:tc>
          <w:tcPr>
            <w:tcW w:type="dxa" w:w="2268"/>
            <w:shd w:val="clear" w:color="auto" w:fill="DCE7FA"/>
          </w:tcPr>
          <w:p>
            <w:pPr>
              <w:spacing w:after="20"/>
            </w:pPr>
            <w:r/>
            <w:r>
              <w:rPr>
                <w:b/>
                <w:sz w:val="16"/>
              </w:rPr>
              <w:t>Operating income (EBIT)</w:t>
            </w:r>
          </w:p>
        </w:tc>
        <w:tc>
          <w:tcPr>
            <w:tcW w:type="dxa" w:w="1191"/>
            <w:shd w:val="clear" w:color="auto" w:fill="DCE7FA"/>
          </w:tcPr>
          <w:p>
            <w:pPr>
              <w:spacing w:after="20"/>
            </w:pPr>
            <w:r/>
            <w:r>
              <w:rPr>
                <w:sz w:val="16"/>
              </w:rPr>
              <w:t>41.1</w:t>
            </w:r>
          </w:p>
        </w:tc>
        <w:tc>
          <w:tcPr>
            <w:tcW w:type="dxa" w:w="1191"/>
            <w:shd w:val="clear" w:color="auto" w:fill="DCE7FA"/>
          </w:tcPr>
          <w:p>
            <w:pPr>
              <w:spacing w:after="20"/>
            </w:pPr>
            <w:r/>
            <w:r>
              <w:rPr>
                <w:sz w:val="16"/>
              </w:rPr>
              <w:t>93.8</w:t>
            </w:r>
          </w:p>
        </w:tc>
        <w:tc>
          <w:tcPr>
            <w:tcW w:type="dxa" w:w="1191"/>
            <w:shd w:val="clear" w:color="auto" w:fill="DCE7FA"/>
          </w:tcPr>
          <w:p>
            <w:pPr>
              <w:spacing w:after="20"/>
            </w:pPr>
            <w:r/>
            <w:r>
              <w:rPr>
                <w:sz w:val="16"/>
              </w:rPr>
              <w:t>79.4</w:t>
            </w:r>
          </w:p>
        </w:tc>
        <w:tc>
          <w:tcPr>
            <w:tcW w:type="dxa" w:w="1191"/>
            <w:shd w:val="clear" w:color="auto" w:fill="DCE7FA"/>
          </w:tcPr>
          <w:p>
            <w:pPr>
              <w:spacing w:after="20"/>
            </w:pPr>
            <w:r/>
            <w:r>
              <w:rPr>
                <w:sz w:val="16"/>
              </w:rPr>
              <w:t>142.5</w:t>
            </w:r>
          </w:p>
        </w:tc>
        <w:tc>
          <w:tcPr>
            <w:tcW w:type="dxa" w:w="1191"/>
            <w:shd w:val="clear" w:color="auto" w:fill="DCE7FA"/>
          </w:tcPr>
          <w:p>
            <w:pPr>
              <w:spacing w:after="20"/>
            </w:pPr>
            <w:r/>
            <w:r>
              <w:rPr>
                <w:sz w:val="16"/>
              </w:rPr>
              <w:t>194.7</w:t>
            </w:r>
          </w:p>
        </w:tc>
        <w:tc>
          <w:tcPr>
            <w:tcW w:type="dxa" w:w="1417"/>
            <w:shd w:val="clear" w:color="auto" w:fill="DCE7FA"/>
          </w:tcPr>
          <w:p>
            <w:pPr>
              <w:spacing w:after="20"/>
            </w:pPr>
            <w:r/>
            <w:r>
              <w:rPr>
                <w:sz w:val="16"/>
              </w:rPr>
              <w:t>180.0</w:t>
            </w:r>
          </w:p>
        </w:tc>
      </w:tr>
      <w:tr>
        <w:tc>
          <w:tcPr>
            <w:tcW w:type="dxa" w:w="2268"/>
            <w:shd w:val="clear" w:color="auto" w:fill="F1F3F8"/>
            <w:shd w:val="clear" w:color="auto" w:fill="DCE7FA"/>
          </w:tcPr>
          <w:p>
            <w:pPr>
              <w:spacing w:after="20"/>
            </w:pPr>
            <w:r/>
            <w:r>
              <w:rPr>
                <w:b/>
                <w:sz w:val="16"/>
              </w:rPr>
              <w:t>EBIT margin</w:t>
            </w:r>
          </w:p>
        </w:tc>
        <w:tc>
          <w:tcPr>
            <w:tcW w:type="dxa" w:w="1191"/>
            <w:shd w:val="clear" w:color="auto" w:fill="F1F3F8"/>
            <w:shd w:val="clear" w:color="auto" w:fill="DCE7FA"/>
          </w:tcPr>
          <w:p>
            <w:pPr>
              <w:spacing w:after="20"/>
            </w:pPr>
            <w:r/>
            <w:r>
              <w:rPr>
                <w:sz w:val="16"/>
              </w:rPr>
              <w:t>2.1%</w:t>
            </w:r>
          </w:p>
        </w:tc>
        <w:tc>
          <w:tcPr>
            <w:tcW w:type="dxa" w:w="1191"/>
            <w:shd w:val="clear" w:color="auto" w:fill="F1F3F8"/>
            <w:shd w:val="clear" w:color="auto" w:fill="DCE7FA"/>
          </w:tcPr>
          <w:p>
            <w:pPr>
              <w:spacing w:after="20"/>
            </w:pPr>
            <w:r/>
            <w:r>
              <w:rPr>
                <w:sz w:val="16"/>
              </w:rPr>
              <w:t>4.7%</w:t>
            </w:r>
          </w:p>
        </w:tc>
        <w:tc>
          <w:tcPr>
            <w:tcW w:type="dxa" w:w="1191"/>
            <w:shd w:val="clear" w:color="auto" w:fill="F1F3F8"/>
            <w:shd w:val="clear" w:color="auto" w:fill="DCE7FA"/>
          </w:tcPr>
          <w:p>
            <w:pPr>
              <w:spacing w:after="20"/>
            </w:pPr>
            <w:r/>
            <w:r>
              <w:rPr>
                <w:sz w:val="16"/>
              </w:rPr>
              <w:t>3.4%</w:t>
            </w:r>
          </w:p>
        </w:tc>
        <w:tc>
          <w:tcPr>
            <w:tcW w:type="dxa" w:w="1191"/>
            <w:shd w:val="clear" w:color="auto" w:fill="F1F3F8"/>
            <w:shd w:val="clear" w:color="auto" w:fill="DCE7FA"/>
          </w:tcPr>
          <w:p>
            <w:pPr>
              <w:spacing w:after="20"/>
            </w:pPr>
            <w:r/>
            <w:r>
              <w:rPr>
                <w:sz w:val="16"/>
              </w:rPr>
              <w:t>5.5%</w:t>
            </w:r>
          </w:p>
        </w:tc>
        <w:tc>
          <w:tcPr>
            <w:tcW w:type="dxa" w:w="1191"/>
            <w:shd w:val="clear" w:color="auto" w:fill="F1F3F8"/>
            <w:shd w:val="clear" w:color="auto" w:fill="DCE7FA"/>
          </w:tcPr>
          <w:p>
            <w:pPr>
              <w:spacing w:after="20"/>
            </w:pPr>
            <w:r/>
            <w:r>
              <w:rPr>
                <w:sz w:val="16"/>
              </w:rPr>
              <w:t>7.5%</w:t>
            </w:r>
          </w:p>
        </w:tc>
        <w:tc>
          <w:tcPr>
            <w:tcW w:type="dxa" w:w="1417"/>
            <w:shd w:val="clear" w:color="auto" w:fill="F1F3F8"/>
            <w:shd w:val="clear" w:color="auto" w:fill="DCE7FA"/>
          </w:tcPr>
          <w:p>
            <w:pPr>
              <w:spacing w:after="20"/>
            </w:pPr>
            <w:r/>
            <w:r>
              <w:rPr>
                <w:sz w:val="16"/>
              </w:rPr>
              <w:t>6.1%</w:t>
            </w:r>
          </w:p>
        </w:tc>
      </w:tr>
      <w:tr>
        <w:tc>
          <w:tcPr>
            <w:tcW w:type="dxa" w:w="2268"/>
          </w:tcPr>
          <w:p>
            <w:pPr>
              <w:spacing w:after="20"/>
            </w:pPr>
            <w:r/>
            <w:r>
              <w:rPr>
                <w:b/>
                <w:sz w:val="16"/>
              </w:rPr>
              <w:t>EBITDA (est., D&amp;A c.50)</w:t>
            </w:r>
          </w:p>
        </w:tc>
        <w:tc>
          <w:tcPr>
            <w:tcW w:type="dxa" w:w="1191"/>
          </w:tcPr>
          <w:p>
            <w:pPr>
              <w:spacing w:after="20"/>
            </w:pPr>
            <w:r/>
            <w:r>
              <w:rPr>
                <w:sz w:val="16"/>
              </w:rPr>
              <w:t>c.90</w:t>
            </w:r>
          </w:p>
        </w:tc>
        <w:tc>
          <w:tcPr>
            <w:tcW w:type="dxa" w:w="1191"/>
          </w:tcPr>
          <w:p>
            <w:pPr>
              <w:spacing w:after="20"/>
            </w:pPr>
            <w:r/>
            <w:r>
              <w:rPr>
                <w:sz w:val="16"/>
              </w:rPr>
              <w:t>c.144</w:t>
            </w:r>
          </w:p>
        </w:tc>
        <w:tc>
          <w:tcPr>
            <w:tcW w:type="dxa" w:w="1191"/>
          </w:tcPr>
          <w:p>
            <w:pPr>
              <w:spacing w:after="20"/>
            </w:pPr>
            <w:r/>
            <w:r>
              <w:rPr>
                <w:sz w:val="16"/>
              </w:rPr>
              <w:t>c.129</w:t>
            </w:r>
          </w:p>
        </w:tc>
        <w:tc>
          <w:tcPr>
            <w:tcW w:type="dxa" w:w="1191"/>
          </w:tcPr>
          <w:p>
            <w:pPr>
              <w:spacing w:after="20"/>
            </w:pPr>
            <w:r/>
            <w:r>
              <w:rPr>
                <w:sz w:val="16"/>
              </w:rPr>
              <w:t>c.192</w:t>
            </w:r>
          </w:p>
        </w:tc>
        <w:tc>
          <w:tcPr>
            <w:tcW w:type="dxa" w:w="1191"/>
          </w:tcPr>
          <w:p>
            <w:pPr>
              <w:spacing w:after="20"/>
            </w:pPr>
            <w:r/>
            <w:r>
              <w:rPr>
                <w:sz w:val="16"/>
              </w:rPr>
              <w:t>c.245</w:t>
            </w:r>
          </w:p>
        </w:tc>
        <w:tc>
          <w:tcPr>
            <w:tcW w:type="dxa" w:w="1417"/>
          </w:tcPr>
          <w:p>
            <w:pPr>
              <w:spacing w:after="20"/>
            </w:pPr>
            <w:r/>
            <w:r>
              <w:rPr>
                <w:sz w:val="16"/>
              </w:rPr>
              <w:t>c.230</w:t>
            </w:r>
          </w:p>
        </w:tc>
      </w:tr>
      <w:tr>
        <w:tc>
          <w:tcPr>
            <w:tcW w:type="dxa" w:w="2268"/>
            <w:shd w:val="clear" w:color="auto" w:fill="F1F3F8"/>
          </w:tcPr>
          <w:p>
            <w:pPr>
              <w:spacing w:after="20"/>
            </w:pPr>
            <w:r/>
            <w:r>
              <w:rPr>
                <w:b/>
                <w:sz w:val="16"/>
              </w:rPr>
              <w:t>Ordinary income</w:t>
            </w:r>
          </w:p>
        </w:tc>
        <w:tc>
          <w:tcPr>
            <w:tcW w:type="dxa" w:w="1191"/>
            <w:shd w:val="clear" w:color="auto" w:fill="F1F3F8"/>
          </w:tcPr>
          <w:p>
            <w:pPr>
              <w:spacing w:after="20"/>
            </w:pPr>
            <w:r/>
            <w:r>
              <w:rPr>
                <w:sz w:val="16"/>
              </w:rPr>
              <w:t>49.8</w:t>
            </w:r>
          </w:p>
        </w:tc>
        <w:tc>
          <w:tcPr>
            <w:tcW w:type="dxa" w:w="1191"/>
            <w:shd w:val="clear" w:color="auto" w:fill="F1F3F8"/>
          </w:tcPr>
          <w:p>
            <w:pPr>
              <w:spacing w:after="20"/>
            </w:pPr>
            <w:r/>
            <w:r>
              <w:rPr>
                <w:sz w:val="16"/>
              </w:rPr>
              <w:t>100.8</w:t>
            </w:r>
          </w:p>
        </w:tc>
        <w:tc>
          <w:tcPr>
            <w:tcW w:type="dxa" w:w="1191"/>
            <w:shd w:val="clear" w:color="auto" w:fill="F1F3F8"/>
          </w:tcPr>
          <w:p>
            <w:pPr>
              <w:spacing w:after="20"/>
            </w:pPr>
            <w:r/>
            <w:r>
              <w:rPr>
                <w:sz w:val="16"/>
              </w:rPr>
              <w:t>91.5</w:t>
            </w:r>
          </w:p>
        </w:tc>
        <w:tc>
          <w:tcPr>
            <w:tcW w:type="dxa" w:w="1191"/>
            <w:shd w:val="clear" w:color="auto" w:fill="F1F3F8"/>
          </w:tcPr>
          <w:p>
            <w:pPr>
              <w:spacing w:after="20"/>
            </w:pPr>
            <w:r/>
            <w:r>
              <w:rPr>
                <w:sz w:val="16"/>
              </w:rPr>
              <w:t>152.2</w:t>
            </w:r>
          </w:p>
        </w:tc>
        <w:tc>
          <w:tcPr>
            <w:tcW w:type="dxa" w:w="1191"/>
            <w:shd w:val="clear" w:color="auto" w:fill="F1F3F8"/>
          </w:tcPr>
          <w:p>
            <w:pPr>
              <w:spacing w:after="20"/>
            </w:pPr>
            <w:r/>
            <w:r>
              <w:rPr>
                <w:sz w:val="16"/>
              </w:rPr>
              <w:t>204.1</w:t>
            </w:r>
          </w:p>
        </w:tc>
        <w:tc>
          <w:tcPr>
            <w:tcW w:type="dxa" w:w="1417"/>
            <w:shd w:val="clear" w:color="auto" w:fill="F1F3F8"/>
          </w:tcPr>
          <w:p>
            <w:pPr>
              <w:spacing w:after="20"/>
            </w:pPr>
            <w:r/>
            <w:r>
              <w:rPr>
                <w:sz w:val="16"/>
              </w:rPr>
              <w:t>183.0</w:t>
            </w:r>
          </w:p>
        </w:tc>
      </w:tr>
      <w:tr>
        <w:tc>
          <w:tcPr>
            <w:tcW w:type="dxa" w:w="2268"/>
          </w:tcPr>
          <w:p>
            <w:pPr>
              <w:spacing w:after="20"/>
            </w:pPr>
            <w:r/>
            <w:r>
              <w:rPr>
                <w:b/>
                <w:sz w:val="16"/>
              </w:rPr>
              <w:t>Net income (attributable)</w:t>
            </w:r>
          </w:p>
        </w:tc>
        <w:tc>
          <w:tcPr>
            <w:tcW w:type="dxa" w:w="1191"/>
          </w:tcPr>
          <w:p>
            <w:pPr>
              <w:spacing w:after="20"/>
            </w:pPr>
            <w:r/>
            <w:r>
              <w:rPr>
                <w:sz w:val="16"/>
              </w:rPr>
              <w:t>39.1</w:t>
            </w:r>
          </w:p>
        </w:tc>
        <w:tc>
          <w:tcPr>
            <w:tcW w:type="dxa" w:w="1191"/>
          </w:tcPr>
          <w:p>
            <w:pPr>
              <w:spacing w:after="20"/>
            </w:pPr>
            <w:r/>
            <w:r>
              <w:rPr>
                <w:sz w:val="16"/>
              </w:rPr>
              <w:t>77.7</w:t>
            </w:r>
          </w:p>
        </w:tc>
        <w:tc>
          <w:tcPr>
            <w:tcW w:type="dxa" w:w="1191"/>
          </w:tcPr>
          <w:p>
            <w:pPr>
              <w:spacing w:after="20"/>
            </w:pPr>
            <w:r/>
            <w:r>
              <w:rPr>
                <w:sz w:val="16"/>
              </w:rPr>
              <w:t>75.1</w:t>
            </w:r>
          </w:p>
        </w:tc>
        <w:tc>
          <w:tcPr>
            <w:tcW w:type="dxa" w:w="1191"/>
          </w:tcPr>
          <w:p>
            <w:pPr>
              <w:spacing w:after="20"/>
            </w:pPr>
            <w:r/>
            <w:r>
              <w:rPr>
                <w:sz w:val="16"/>
              </w:rPr>
              <w:t>145.4</w:t>
            </w:r>
          </w:p>
        </w:tc>
        <w:tc>
          <w:tcPr>
            <w:tcW w:type="dxa" w:w="1191"/>
          </w:tcPr>
          <w:p>
            <w:pPr>
              <w:spacing w:after="20"/>
            </w:pPr>
            <w:r/>
            <w:r>
              <w:rPr>
                <w:sz w:val="16"/>
              </w:rPr>
              <w:t>173.8</w:t>
            </w:r>
          </w:p>
        </w:tc>
        <w:tc>
          <w:tcPr>
            <w:tcW w:type="dxa" w:w="1417"/>
          </w:tcPr>
          <w:p>
            <w:pPr>
              <w:spacing w:after="20"/>
            </w:pPr>
            <w:r/>
            <w:r>
              <w:rPr>
                <w:sz w:val="16"/>
              </w:rPr>
              <w:t>157.0</w:t>
            </w:r>
          </w:p>
        </w:tc>
      </w:tr>
      <w:tr>
        <w:tc>
          <w:tcPr>
            <w:tcW w:type="dxa" w:w="2268"/>
            <w:shd w:val="clear" w:color="auto" w:fill="F1F3F8"/>
          </w:tcPr>
          <w:p>
            <w:pPr>
              <w:spacing w:after="20"/>
            </w:pPr>
            <w:r/>
            <w:r>
              <w:rPr>
                <w:b/>
                <w:sz w:val="16"/>
              </w:rPr>
              <w:t>Net margin</w:t>
            </w:r>
          </w:p>
        </w:tc>
        <w:tc>
          <w:tcPr>
            <w:tcW w:type="dxa" w:w="1191"/>
            <w:shd w:val="clear" w:color="auto" w:fill="F1F3F8"/>
          </w:tcPr>
          <w:p>
            <w:pPr>
              <w:spacing w:after="20"/>
            </w:pPr>
            <w:r/>
            <w:r>
              <w:rPr>
                <w:sz w:val="16"/>
              </w:rPr>
              <w:t>2.0%</w:t>
            </w:r>
          </w:p>
        </w:tc>
        <w:tc>
          <w:tcPr>
            <w:tcW w:type="dxa" w:w="1191"/>
            <w:shd w:val="clear" w:color="auto" w:fill="F1F3F8"/>
          </w:tcPr>
          <w:p>
            <w:pPr>
              <w:spacing w:after="20"/>
            </w:pPr>
            <w:r/>
            <w:r>
              <w:rPr>
                <w:sz w:val="16"/>
              </w:rPr>
              <w:t>3.9%</w:t>
            </w:r>
          </w:p>
        </w:tc>
        <w:tc>
          <w:tcPr>
            <w:tcW w:type="dxa" w:w="1191"/>
            <w:shd w:val="clear" w:color="auto" w:fill="F1F3F8"/>
          </w:tcPr>
          <w:p>
            <w:pPr>
              <w:spacing w:after="20"/>
            </w:pPr>
            <w:r/>
            <w:r>
              <w:rPr>
                <w:sz w:val="16"/>
              </w:rPr>
              <w:t>3.2%</w:t>
            </w:r>
          </w:p>
        </w:tc>
        <w:tc>
          <w:tcPr>
            <w:tcW w:type="dxa" w:w="1191"/>
            <w:shd w:val="clear" w:color="auto" w:fill="F1F3F8"/>
          </w:tcPr>
          <w:p>
            <w:pPr>
              <w:spacing w:after="20"/>
            </w:pPr>
            <w:r/>
            <w:r>
              <w:rPr>
                <w:sz w:val="16"/>
              </w:rPr>
              <w:t>5.6%</w:t>
            </w:r>
          </w:p>
        </w:tc>
        <w:tc>
          <w:tcPr>
            <w:tcW w:type="dxa" w:w="1191"/>
            <w:shd w:val="clear" w:color="auto" w:fill="F1F3F8"/>
          </w:tcPr>
          <w:p>
            <w:pPr>
              <w:spacing w:after="20"/>
            </w:pPr>
            <w:r/>
            <w:r>
              <w:rPr>
                <w:sz w:val="16"/>
              </w:rPr>
              <w:t>6.7%</w:t>
            </w:r>
          </w:p>
        </w:tc>
        <w:tc>
          <w:tcPr>
            <w:tcW w:type="dxa" w:w="1417"/>
            <w:shd w:val="clear" w:color="auto" w:fill="F1F3F8"/>
          </w:tcPr>
          <w:p>
            <w:pPr>
              <w:spacing w:after="20"/>
            </w:pPr>
            <w:r/>
            <w:r>
              <w:rPr>
                <w:sz w:val="16"/>
              </w:rPr>
              <w:t>5.3%</w:t>
            </w:r>
          </w:p>
        </w:tc>
      </w:tr>
      <w:tr>
        <w:tc>
          <w:tcPr>
            <w:tcW w:type="dxa" w:w="2268"/>
          </w:tcPr>
          <w:p>
            <w:pPr>
              <w:spacing w:after="20"/>
            </w:pPr>
            <w:r/>
            <w:r>
              <w:rPr>
                <w:b/>
                <w:sz w:val="16"/>
              </w:rPr>
              <w:t>EPS (JPY)</w:t>
            </w:r>
          </w:p>
        </w:tc>
        <w:tc>
          <w:tcPr>
            <w:tcW w:type="dxa" w:w="1191"/>
          </w:tcPr>
          <w:p>
            <w:pPr>
              <w:spacing w:after="20"/>
            </w:pPr>
            <w:r/>
            <w:r>
              <w:rPr>
                <w:sz w:val="16"/>
              </w:rPr>
              <w:t>54.6</w:t>
            </w:r>
          </w:p>
        </w:tc>
        <w:tc>
          <w:tcPr>
            <w:tcW w:type="dxa" w:w="1191"/>
          </w:tcPr>
          <w:p>
            <w:pPr>
              <w:spacing w:after="20"/>
            </w:pPr>
            <w:r/>
            <w:r>
              <w:rPr>
                <w:sz w:val="16"/>
              </w:rPr>
              <w:t>108.3</w:t>
            </w:r>
          </w:p>
        </w:tc>
        <w:tc>
          <w:tcPr>
            <w:tcW w:type="dxa" w:w="1191"/>
          </w:tcPr>
          <w:p>
            <w:pPr>
              <w:spacing w:after="20"/>
            </w:pPr>
            <w:r/>
            <w:r>
              <w:rPr>
                <w:sz w:val="16"/>
              </w:rPr>
              <w:t>104.7</w:t>
            </w:r>
          </w:p>
        </w:tc>
        <w:tc>
          <w:tcPr>
            <w:tcW w:type="dxa" w:w="1191"/>
          </w:tcPr>
          <w:p>
            <w:pPr>
              <w:spacing w:after="20"/>
            </w:pPr>
            <w:r/>
            <w:r>
              <w:rPr>
                <w:sz w:val="16"/>
              </w:rPr>
              <w:t>202.9</w:t>
            </w:r>
          </w:p>
        </w:tc>
        <w:tc>
          <w:tcPr>
            <w:tcW w:type="dxa" w:w="1191"/>
          </w:tcPr>
          <w:p>
            <w:pPr>
              <w:spacing w:after="20"/>
            </w:pPr>
            <w:r/>
            <w:r>
              <w:rPr>
                <w:sz w:val="16"/>
              </w:rPr>
              <w:t>249.4</w:t>
            </w:r>
          </w:p>
        </w:tc>
        <w:tc>
          <w:tcPr>
            <w:tcW w:type="dxa" w:w="1417"/>
          </w:tcPr>
          <w:p>
            <w:pPr>
              <w:spacing w:after="20"/>
            </w:pPr>
            <w:r/>
            <w:r>
              <w:rPr>
                <w:sz w:val="16"/>
              </w:rPr>
              <w:t>c.229</w:t>
            </w:r>
          </w:p>
        </w:tc>
      </w:tr>
      <w:tr>
        <w:tc>
          <w:tcPr>
            <w:tcW w:type="dxa" w:w="2268"/>
            <w:shd w:val="clear" w:color="auto" w:fill="F1F3F8"/>
          </w:tcPr>
          <w:p>
            <w:pPr>
              <w:spacing w:after="20"/>
            </w:pPr>
            <w:r/>
            <w:r>
              <w:rPr>
                <w:b/>
                <w:sz w:val="16"/>
              </w:rPr>
              <w:t>DPS (JPY)</w:t>
            </w:r>
          </w:p>
        </w:tc>
        <w:tc>
          <w:tcPr>
            <w:tcW w:type="dxa" w:w="1191"/>
            <w:shd w:val="clear" w:color="auto" w:fill="F1F3F8"/>
          </w:tcPr>
          <w:p>
            <w:pPr>
              <w:spacing w:after="20"/>
            </w:pPr>
            <w:r/>
            <w:r>
              <w:rPr>
                <w:sz w:val="16"/>
              </w:rPr>
              <w:t>32</w:t>
            </w:r>
          </w:p>
        </w:tc>
        <w:tc>
          <w:tcPr>
            <w:tcW w:type="dxa" w:w="1191"/>
            <w:shd w:val="clear" w:color="auto" w:fill="F1F3F8"/>
          </w:tcPr>
          <w:p>
            <w:pPr>
              <w:spacing w:after="20"/>
            </w:pPr>
            <w:r/>
            <w:r>
              <w:rPr>
                <w:sz w:val="16"/>
              </w:rPr>
              <w:t>42</w:t>
            </w:r>
          </w:p>
        </w:tc>
        <w:tc>
          <w:tcPr>
            <w:tcW w:type="dxa" w:w="1191"/>
            <w:shd w:val="clear" w:color="auto" w:fill="F1F3F8"/>
          </w:tcPr>
          <w:p>
            <w:pPr>
              <w:spacing w:after="20"/>
            </w:pPr>
            <w:r/>
            <w:r>
              <w:rPr>
                <w:sz w:val="16"/>
              </w:rPr>
              <w:t>75</w:t>
            </w:r>
          </w:p>
        </w:tc>
        <w:tc>
          <w:tcPr>
            <w:tcW w:type="dxa" w:w="1191"/>
            <w:shd w:val="clear" w:color="auto" w:fill="F1F3F8"/>
          </w:tcPr>
          <w:p>
            <w:pPr>
              <w:spacing w:after="20"/>
            </w:pPr>
            <w:r/>
            <w:r>
              <w:rPr>
                <w:sz w:val="16"/>
              </w:rPr>
              <w:t>81</w:t>
            </w:r>
          </w:p>
        </w:tc>
        <w:tc>
          <w:tcPr>
            <w:tcW w:type="dxa" w:w="1191"/>
            <w:shd w:val="clear" w:color="auto" w:fill="F1F3F8"/>
          </w:tcPr>
          <w:p>
            <w:pPr>
              <w:spacing w:after="20"/>
            </w:pPr>
            <w:r/>
            <w:r>
              <w:rPr>
                <w:sz w:val="16"/>
              </w:rPr>
              <w:t>88</w:t>
            </w:r>
          </w:p>
        </w:tc>
        <w:tc>
          <w:tcPr>
            <w:tcW w:type="dxa" w:w="1417"/>
            <w:shd w:val="clear" w:color="auto" w:fill="F1F3F8"/>
          </w:tcPr>
          <w:p>
            <w:pPr>
              <w:spacing w:after="20"/>
            </w:pPr>
            <w:r/>
            <w:r>
              <w:rPr>
                <w:sz w:val="16"/>
              </w:rPr>
              <w:t>94</w:t>
            </w:r>
          </w:p>
        </w:tc>
      </w:tr>
    </w:tbl>
    <w:p>
      <w:pPr>
        <w:spacing w:after="40"/>
      </w:pPr>
    </w:p>
    <w:p>
      <w:r>
        <w:rPr>
          <w:i/>
          <w:color w:val="555F70"/>
          <w:sz w:val="15"/>
        </w:rPr>
        <w:t>Source: search summaries of tanshin data (irbank/Kabutan-type tables for FY3/22-25; BUILT, Nikkei and japanir for FY3/26)†. FY3/27 EPS is guided NI over c.686m shares. EBITDA is an estimate (assumed constant D&amp;A). Conflicts: a summary quoted FY3/25 sales of JPY 2,620bn; the 2,590.8bn figure is consistent with FY3/26 growth of -0.2%.</w:t>
      </w:r>
    </w:p>
    <w:p>
      <w:pPr>
        <w:jc w:val="center"/>
      </w:pPr>
      <w:r>
        <w:drawing>
          <wp:inline xmlns:a="http://schemas.openxmlformats.org/drawingml/2006/main" xmlns:pic="http://schemas.openxmlformats.org/drawingml/2006/picture">
            <wp:extent cx="4860000" cy="2685789"/>
            <wp:docPr id="3" name="Picture 3"/>
            <wp:cNvGraphicFramePr>
              <a:graphicFrameLocks noChangeAspect="1"/>
            </wp:cNvGraphicFramePr>
            <a:graphic>
              <a:graphicData uri="http://schemas.openxmlformats.org/drawingml/2006/picture">
                <pic:pic>
                  <pic:nvPicPr>
                    <pic:cNvPr id="0" name="op_trend.png"/>
                    <pic:cNvPicPr/>
                  </pic:nvPicPr>
                  <pic:blipFill>
                    <a:blip r:embed="rId12"/>
                    <a:stretch>
                      <a:fillRect/>
                    </a:stretch>
                  </pic:blipFill>
                  <pic:spPr>
                    <a:xfrm>
                      <a:off x="0" y="0"/>
                      <a:ext cx="4860000" cy="2685789"/>
                    </a:xfrm>
                    <a:prstGeom prst="rect"/>
                  </pic:spPr>
                </pic:pic>
              </a:graphicData>
            </a:graphic>
          </wp:inline>
        </w:drawing>
      </w:r>
    </w:p>
    <w:p>
      <w:pPr>
        <w:pStyle w:val="Heading3"/>
      </w:pPr>
      <w:r>
        <w:t>Trend commentary</w:t>
      </w:r>
    </w:p>
    <w:p>
      <w:pPr>
        <w:pStyle w:val="ListBullet"/>
        <w:spacing w:after="40"/>
        <w:ind w:left="340"/>
      </w:pPr>
      <w:r>
        <w:rPr>
          <w:b/>
          <w:sz w:val="17"/>
        </w:rPr>
        <w:t>FY3/22-23 (recovery from trough):</w:t>
      </w:r>
      <w:r>
        <w:rPr>
          <w:sz w:val="17"/>
        </w:rPr>
        <w:t xml:space="preserve"> margin 2.1% to 4.7% as COVID disruption faded and legacy losses rolled off; November 2022 saw a forecast cut as materials inflation hit domestic building.</w:t>
      </w:r>
    </w:p>
    <w:p>
      <w:pPr>
        <w:pStyle w:val="ListBullet"/>
        <w:spacing w:after="40"/>
        <w:ind w:left="340"/>
      </w:pPr>
      <w:r>
        <w:rPr>
          <w:b/>
          <w:sz w:val="17"/>
        </w:rPr>
        <w:t>FY3/24 (inflation squeeze):</w:t>
      </w:r>
      <w:r>
        <w:rPr>
          <w:sz w:val="17"/>
        </w:rPr>
        <w:t xml:space="preserve"> sales +17% but OP -15% on material and labour inflation and a weaker gross margin in building (non-consolidated completed-works margin was guided to 6.9%, -1.4pt†); the capital-policy shift in March 2024 came while earnings were weak.</w:t>
      </w:r>
    </w:p>
    <w:p>
      <w:pPr>
        <w:pStyle w:val="ListBullet"/>
        <w:spacing w:after="40"/>
        <w:ind w:left="340"/>
      </w:pPr>
      <w:r>
        <w:rPr>
          <w:b/>
          <w:sz w:val="17"/>
        </w:rPr>
        <w:t>FY3/25-26 (margin step-up):</w:t>
      </w:r>
      <w:r>
        <w:rPr>
          <w:sz w:val="17"/>
        </w:rPr>
        <w:t xml:space="preserve"> OP +79% then +37%. Drivers named by the company: additional and change orders on large domestic building jobs, higher-margin projects, lower costs, real estate sales, and a fall in low-margin legacy backlog. FY3/26 sales were flat; all growth was margin.</w:t>
      </w:r>
    </w:p>
    <w:p>
      <w:pPr>
        <w:pStyle w:val="ListBullet"/>
        <w:spacing w:after="40"/>
        <w:ind w:left="340"/>
      </w:pPr>
      <w:r>
        <w:rPr>
          <w:b/>
          <w:sz w:val="17"/>
        </w:rPr>
        <w:t>FY3/27E:</w:t>
      </w:r>
      <w:r>
        <w:rPr>
          <w:sz w:val="17"/>
        </w:rPr>
        <w:t xml:space="preserve"> sales +13.9% (early-stage projects, GCON consolidation) but OP -7.5% as new, lower-margin work enters the mix; gross margin guided at 13.0%.</w:t>
      </w:r>
    </w:p>
    <w:p>
      <w:pPr>
        <w:pStyle w:val="Heading2"/>
      </w:pPr>
      <w:r>
        <w:t>8.2 Segments and geography</w:t>
      </w:r>
    </w:p>
    <w:p>
      <w:r>
        <w:t>Only FY3/26 segment data could be retrieved. Prior-year segment tables sit in the tanshin PDFs (links in the Appendix). Obayashi does not disclose net income by segment.</w:t>
      </w:r>
    </w:p>
    <w:tbl>
      <w:tblPr>
        <w:tblStyle w:val="TableGrid"/>
        <w:tblW w:type="auto" w:w="0"/>
        <w:jc w:val="center"/>
        <w:tblLayout w:type="fixed"/>
        <w:tblLook w:firstColumn="1" w:firstRow="1" w:lastColumn="0" w:lastRow="0" w:noHBand="0" w:noVBand="1" w:val="04A0"/>
      </w:tblPr>
      <w:tblGrid>
        <w:gridCol w:w="1984"/>
        <w:gridCol w:w="1020"/>
        <w:gridCol w:w="850"/>
        <w:gridCol w:w="907"/>
        <w:gridCol w:w="1134"/>
        <w:gridCol w:w="907"/>
        <w:gridCol w:w="2835"/>
      </w:tblGrid>
      <w:tr>
        <w:trPr>
          <w:tblHeader w:val="true"/>
        </w:trPr>
        <w:tc>
          <w:tcPr>
            <w:tcW w:type="dxa" w:w="1984"/>
            <w:shd w:val="clear" w:color="auto" w:fill="14243F"/>
          </w:tcPr>
          <w:p>
            <w:r/>
            <w:r>
              <w:rPr>
                <w:b/>
                <w:color w:val="FFFFFF"/>
                <w:sz w:val="15"/>
              </w:rPr>
              <w:t>FY3/26 (JPY bn)</w:t>
            </w:r>
          </w:p>
        </w:tc>
        <w:tc>
          <w:tcPr>
            <w:tcW w:type="dxa" w:w="1020"/>
            <w:shd w:val="clear" w:color="auto" w:fill="14243F"/>
          </w:tcPr>
          <w:p>
            <w:r/>
            <w:r>
              <w:rPr>
                <w:b/>
                <w:color w:val="FFFFFF"/>
                <w:sz w:val="15"/>
              </w:rPr>
              <w:t>Sales</w:t>
            </w:r>
          </w:p>
        </w:tc>
        <w:tc>
          <w:tcPr>
            <w:tcW w:type="dxa" w:w="850"/>
            <w:shd w:val="clear" w:color="auto" w:fill="14243F"/>
          </w:tcPr>
          <w:p>
            <w:r/>
            <w:r>
              <w:rPr>
                <w:b/>
                <w:color w:val="FFFFFF"/>
                <w:sz w:val="15"/>
              </w:rPr>
              <w:t>% sales</w:t>
            </w:r>
          </w:p>
        </w:tc>
        <w:tc>
          <w:tcPr>
            <w:tcW w:type="dxa" w:w="907"/>
            <w:shd w:val="clear" w:color="auto" w:fill="14243F"/>
          </w:tcPr>
          <w:p>
            <w:r/>
            <w:r>
              <w:rPr>
                <w:b/>
                <w:color w:val="FFFFFF"/>
                <w:sz w:val="15"/>
              </w:rPr>
              <w:t>EBIT</w:t>
            </w:r>
          </w:p>
        </w:tc>
        <w:tc>
          <w:tcPr>
            <w:tcW w:type="dxa" w:w="1134"/>
            <w:shd w:val="clear" w:color="auto" w:fill="14243F"/>
          </w:tcPr>
          <w:p>
            <w:r/>
            <w:r>
              <w:rPr>
                <w:b/>
                <w:color w:val="FFFFFF"/>
                <w:sz w:val="15"/>
              </w:rPr>
              <w:t>EBIT margin</w:t>
            </w:r>
          </w:p>
        </w:tc>
        <w:tc>
          <w:tcPr>
            <w:tcW w:type="dxa" w:w="907"/>
            <w:shd w:val="clear" w:color="auto" w:fill="14243F"/>
          </w:tcPr>
          <w:p>
            <w:r/>
            <w:r>
              <w:rPr>
                <w:b/>
                <w:color w:val="FFFFFF"/>
                <w:sz w:val="15"/>
              </w:rPr>
              <w:t>EBITDA</w:t>
            </w:r>
          </w:p>
        </w:tc>
        <w:tc>
          <w:tcPr>
            <w:tcW w:type="dxa" w:w="2835"/>
            <w:shd w:val="clear" w:color="auto" w:fill="14243F"/>
          </w:tcPr>
          <w:p>
            <w:r/>
            <w:r>
              <w:rPr>
                <w:b/>
                <w:color w:val="FFFFFF"/>
                <w:sz w:val="15"/>
              </w:rPr>
              <w:t>Comment</w:t>
            </w:r>
          </w:p>
        </w:tc>
      </w:tr>
      <w:tr>
        <w:tc>
          <w:tcPr>
            <w:tcW w:type="dxa" w:w="1984"/>
          </w:tcPr>
          <w:p>
            <w:pPr>
              <w:spacing w:after="20"/>
            </w:pPr>
            <w:r/>
            <w:r>
              <w:rPr>
                <w:b/>
                <w:sz w:val="15"/>
              </w:rPr>
              <w:t>Domestic building</w:t>
            </w:r>
          </w:p>
        </w:tc>
        <w:tc>
          <w:tcPr>
            <w:tcW w:type="dxa" w:w="1020"/>
          </w:tcPr>
          <w:p>
            <w:pPr>
              <w:spacing w:after="20"/>
            </w:pPr>
            <w:r/>
            <w:r>
              <w:rPr>
                <w:sz w:val="15"/>
              </w:rPr>
              <w:t>1,138.8</w:t>
            </w:r>
          </w:p>
        </w:tc>
        <w:tc>
          <w:tcPr>
            <w:tcW w:type="dxa" w:w="850"/>
          </w:tcPr>
          <w:p>
            <w:pPr>
              <w:spacing w:after="20"/>
            </w:pPr>
            <w:r/>
            <w:r>
              <w:rPr>
                <w:sz w:val="15"/>
              </w:rPr>
              <w:t>44%</w:t>
            </w:r>
          </w:p>
        </w:tc>
        <w:tc>
          <w:tcPr>
            <w:tcW w:type="dxa" w:w="907"/>
          </w:tcPr>
          <w:p>
            <w:pPr>
              <w:spacing w:after="20"/>
            </w:pPr>
            <w:r/>
            <w:r>
              <w:rPr>
                <w:sz w:val="15"/>
              </w:rPr>
              <w:t>104.0</w:t>
            </w:r>
          </w:p>
        </w:tc>
        <w:tc>
          <w:tcPr>
            <w:tcW w:type="dxa" w:w="1134"/>
          </w:tcPr>
          <w:p>
            <w:pPr>
              <w:spacing w:after="20"/>
            </w:pPr>
            <w:r/>
            <w:r>
              <w:rPr>
                <w:sz w:val="15"/>
              </w:rPr>
              <w:t>9.1%</w:t>
            </w:r>
          </w:p>
        </w:tc>
        <w:tc>
          <w:tcPr>
            <w:tcW w:type="dxa" w:w="907"/>
          </w:tcPr>
          <w:p>
            <w:pPr>
              <w:spacing w:after="20"/>
            </w:pPr>
            <w:r/>
            <w:r>
              <w:rPr>
                <w:sz w:val="15"/>
              </w:rPr>
              <w:t>n/a</w:t>
            </w:r>
          </w:p>
        </w:tc>
        <w:tc>
          <w:tcPr>
            <w:tcW w:type="dxa" w:w="2835"/>
          </w:tcPr>
          <w:p>
            <w:pPr>
              <w:spacing w:after="20"/>
            </w:pPr>
            <w:r/>
            <w:r>
              <w:rPr>
                <w:sz w:val="15"/>
              </w:rPr>
              <w:t>Profit engine; change orders and better-margin jobs</w:t>
            </w:r>
          </w:p>
        </w:tc>
      </w:tr>
      <w:tr>
        <w:tc>
          <w:tcPr>
            <w:tcW w:type="dxa" w:w="1984"/>
            <w:shd w:val="clear" w:color="auto" w:fill="F1F3F8"/>
          </w:tcPr>
          <w:p>
            <w:pPr>
              <w:spacing w:after="20"/>
            </w:pPr>
            <w:r/>
            <w:r>
              <w:rPr>
                <w:b/>
                <w:sz w:val="15"/>
              </w:rPr>
              <w:t>Domestic civil</w:t>
            </w:r>
          </w:p>
        </w:tc>
        <w:tc>
          <w:tcPr>
            <w:tcW w:type="dxa" w:w="1020"/>
            <w:shd w:val="clear" w:color="auto" w:fill="F1F3F8"/>
          </w:tcPr>
          <w:p>
            <w:pPr>
              <w:spacing w:after="20"/>
            </w:pPr>
            <w:r/>
            <w:r>
              <w:rPr>
                <w:sz w:val="15"/>
              </w:rPr>
              <w:t>426.6</w:t>
            </w:r>
          </w:p>
        </w:tc>
        <w:tc>
          <w:tcPr>
            <w:tcW w:type="dxa" w:w="850"/>
            <w:shd w:val="clear" w:color="auto" w:fill="F1F3F8"/>
          </w:tcPr>
          <w:p>
            <w:pPr>
              <w:spacing w:after="20"/>
            </w:pPr>
            <w:r/>
            <w:r>
              <w:rPr>
                <w:sz w:val="15"/>
              </w:rPr>
              <w:t>16%</w:t>
            </w:r>
          </w:p>
        </w:tc>
        <w:tc>
          <w:tcPr>
            <w:tcW w:type="dxa" w:w="907"/>
            <w:shd w:val="clear" w:color="auto" w:fill="F1F3F8"/>
          </w:tcPr>
          <w:p>
            <w:pPr>
              <w:spacing w:after="20"/>
            </w:pPr>
            <w:r/>
            <w:r>
              <w:rPr>
                <w:sz w:val="15"/>
              </w:rPr>
              <w:t>40.9</w:t>
            </w:r>
          </w:p>
        </w:tc>
        <w:tc>
          <w:tcPr>
            <w:tcW w:type="dxa" w:w="1134"/>
            <w:shd w:val="clear" w:color="auto" w:fill="F1F3F8"/>
          </w:tcPr>
          <w:p>
            <w:pPr>
              <w:spacing w:after="20"/>
            </w:pPr>
            <w:r/>
            <w:r>
              <w:rPr>
                <w:sz w:val="15"/>
              </w:rPr>
              <w:t>9.6%</w:t>
            </w:r>
          </w:p>
        </w:tc>
        <w:tc>
          <w:tcPr>
            <w:tcW w:type="dxa" w:w="907"/>
            <w:shd w:val="clear" w:color="auto" w:fill="F1F3F8"/>
          </w:tcPr>
          <w:p>
            <w:pPr>
              <w:spacing w:after="20"/>
            </w:pPr>
            <w:r/>
            <w:r>
              <w:rPr>
                <w:sz w:val="15"/>
              </w:rPr>
              <w:t>n/a</w:t>
            </w:r>
          </w:p>
        </w:tc>
        <w:tc>
          <w:tcPr>
            <w:tcW w:type="dxa" w:w="2835"/>
            <w:shd w:val="clear" w:color="auto" w:fill="F1F3F8"/>
          </w:tcPr>
          <w:p>
            <w:pPr>
              <w:spacing w:after="20"/>
            </w:pPr>
            <w:r/>
            <w:r>
              <w:rPr>
                <w:sz w:val="15"/>
              </w:rPr>
              <w:t>Public works; Linear and resilience-linked</w:t>
            </w:r>
          </w:p>
        </w:tc>
      </w:tr>
      <w:tr>
        <w:tc>
          <w:tcPr>
            <w:tcW w:type="dxa" w:w="1984"/>
          </w:tcPr>
          <w:p>
            <w:pPr>
              <w:spacing w:after="20"/>
            </w:pPr>
            <w:r/>
            <w:r>
              <w:rPr>
                <w:b/>
                <w:sz w:val="15"/>
              </w:rPr>
              <w:t>Overseas building</w:t>
            </w:r>
          </w:p>
        </w:tc>
        <w:tc>
          <w:tcPr>
            <w:tcW w:type="dxa" w:w="1020"/>
          </w:tcPr>
          <w:p>
            <w:pPr>
              <w:spacing w:after="20"/>
            </w:pPr>
            <w:r/>
            <w:r>
              <w:rPr>
                <w:sz w:val="15"/>
              </w:rPr>
              <w:t>508.0</w:t>
            </w:r>
          </w:p>
        </w:tc>
        <w:tc>
          <w:tcPr>
            <w:tcW w:type="dxa" w:w="850"/>
          </w:tcPr>
          <w:p>
            <w:pPr>
              <w:spacing w:after="20"/>
            </w:pPr>
            <w:r/>
            <w:r>
              <w:rPr>
                <w:sz w:val="15"/>
              </w:rPr>
              <w:t>20%</w:t>
            </w:r>
          </w:p>
        </w:tc>
        <w:tc>
          <w:tcPr>
            <w:tcW w:type="dxa" w:w="907"/>
          </w:tcPr>
          <w:p>
            <w:pPr>
              <w:spacing w:after="20"/>
            </w:pPr>
            <w:r/>
            <w:r>
              <w:rPr>
                <w:sz w:val="15"/>
              </w:rPr>
              <w:t>11.9</w:t>
            </w:r>
          </w:p>
        </w:tc>
        <w:tc>
          <w:tcPr>
            <w:tcW w:type="dxa" w:w="1134"/>
          </w:tcPr>
          <w:p>
            <w:pPr>
              <w:spacing w:after="20"/>
            </w:pPr>
            <w:r/>
            <w:r>
              <w:rPr>
                <w:sz w:val="15"/>
              </w:rPr>
              <w:t>2.3%</w:t>
            </w:r>
          </w:p>
        </w:tc>
        <w:tc>
          <w:tcPr>
            <w:tcW w:type="dxa" w:w="907"/>
          </w:tcPr>
          <w:p>
            <w:pPr>
              <w:spacing w:after="20"/>
            </w:pPr>
            <w:r/>
            <w:r>
              <w:rPr>
                <w:sz w:val="15"/>
              </w:rPr>
              <w:t>n/a</w:t>
            </w:r>
          </w:p>
        </w:tc>
        <w:tc>
          <w:tcPr>
            <w:tcW w:type="dxa" w:w="2835"/>
          </w:tcPr>
          <w:p>
            <w:pPr>
              <w:spacing w:after="20"/>
            </w:pPr>
            <w:r/>
            <w:r>
              <w:rPr>
                <w:sz w:val="15"/>
              </w:rPr>
              <w:t>US; GCON consolidated from Dec 2025</w:t>
            </w:r>
          </w:p>
        </w:tc>
      </w:tr>
      <w:tr>
        <w:tc>
          <w:tcPr>
            <w:tcW w:type="dxa" w:w="1984"/>
            <w:shd w:val="clear" w:color="auto" w:fill="F1F3F8"/>
          </w:tcPr>
          <w:p>
            <w:pPr>
              <w:spacing w:after="20"/>
            </w:pPr>
            <w:r/>
            <w:r>
              <w:rPr>
                <w:b/>
                <w:sz w:val="15"/>
              </w:rPr>
              <w:t>Overseas civil</w:t>
            </w:r>
          </w:p>
        </w:tc>
        <w:tc>
          <w:tcPr>
            <w:tcW w:type="dxa" w:w="1020"/>
            <w:shd w:val="clear" w:color="auto" w:fill="F1F3F8"/>
          </w:tcPr>
          <w:p>
            <w:pPr>
              <w:spacing w:after="20"/>
            </w:pPr>
            <w:r/>
            <w:r>
              <w:rPr>
                <w:sz w:val="15"/>
              </w:rPr>
              <w:t>336.0</w:t>
            </w:r>
          </w:p>
        </w:tc>
        <w:tc>
          <w:tcPr>
            <w:tcW w:type="dxa" w:w="850"/>
            <w:shd w:val="clear" w:color="auto" w:fill="F1F3F8"/>
          </w:tcPr>
          <w:p>
            <w:pPr>
              <w:spacing w:after="20"/>
            </w:pPr>
            <w:r/>
            <w:r>
              <w:rPr>
                <w:sz w:val="15"/>
              </w:rPr>
              <w:t>13%</w:t>
            </w:r>
          </w:p>
        </w:tc>
        <w:tc>
          <w:tcPr>
            <w:tcW w:type="dxa" w:w="907"/>
            <w:shd w:val="clear" w:color="auto" w:fill="F1F3F8"/>
          </w:tcPr>
          <w:p>
            <w:pPr>
              <w:spacing w:after="20"/>
            </w:pPr>
            <w:r/>
            <w:r>
              <w:rPr>
                <w:sz w:val="15"/>
              </w:rPr>
              <w:t>14.7†</w:t>
            </w:r>
          </w:p>
        </w:tc>
        <w:tc>
          <w:tcPr>
            <w:tcW w:type="dxa" w:w="1134"/>
            <w:shd w:val="clear" w:color="auto" w:fill="F1F3F8"/>
          </w:tcPr>
          <w:p>
            <w:pPr>
              <w:spacing w:after="20"/>
            </w:pPr>
            <w:r/>
            <w:r>
              <w:rPr>
                <w:sz w:val="15"/>
              </w:rPr>
              <w:t>4.4%</w:t>
            </w:r>
          </w:p>
        </w:tc>
        <w:tc>
          <w:tcPr>
            <w:tcW w:type="dxa" w:w="907"/>
            <w:shd w:val="clear" w:color="auto" w:fill="F1F3F8"/>
          </w:tcPr>
          <w:p>
            <w:pPr>
              <w:spacing w:after="20"/>
            </w:pPr>
            <w:r/>
            <w:r>
              <w:rPr>
                <w:sz w:val="15"/>
              </w:rPr>
              <w:t>n/a</w:t>
            </w:r>
          </w:p>
        </w:tc>
        <w:tc>
          <w:tcPr>
            <w:tcW w:type="dxa" w:w="2835"/>
            <w:shd w:val="clear" w:color="auto" w:fill="F1F3F8"/>
          </w:tcPr>
          <w:p>
            <w:pPr>
              <w:spacing w:after="20"/>
            </w:pPr>
            <w:r/>
            <w:r>
              <w:rPr>
                <w:sz w:val="15"/>
              </w:rPr>
              <w:t>Expanding; one source gives OP 8.3bn</w:t>
            </w:r>
          </w:p>
        </w:tc>
      </w:tr>
      <w:tr>
        <w:tc>
          <w:tcPr>
            <w:tcW w:type="dxa" w:w="1984"/>
          </w:tcPr>
          <w:p>
            <w:pPr>
              <w:spacing w:after="20"/>
            </w:pPr>
            <w:r/>
            <w:r>
              <w:rPr>
                <w:b/>
                <w:sz w:val="15"/>
              </w:rPr>
              <w:t>Real estate, other (derived)</w:t>
            </w:r>
          </w:p>
        </w:tc>
        <w:tc>
          <w:tcPr>
            <w:tcW w:type="dxa" w:w="1020"/>
          </w:tcPr>
          <w:p>
            <w:pPr>
              <w:spacing w:after="20"/>
            </w:pPr>
            <w:r/>
            <w:r>
              <w:rPr>
                <w:sz w:val="15"/>
              </w:rPr>
              <w:t>177.0</w:t>
            </w:r>
          </w:p>
        </w:tc>
        <w:tc>
          <w:tcPr>
            <w:tcW w:type="dxa" w:w="850"/>
          </w:tcPr>
          <w:p>
            <w:pPr>
              <w:spacing w:after="20"/>
            </w:pPr>
            <w:r/>
            <w:r>
              <w:rPr>
                <w:sz w:val="15"/>
              </w:rPr>
              <w:t>7%</w:t>
            </w:r>
          </w:p>
        </w:tc>
        <w:tc>
          <w:tcPr>
            <w:tcW w:type="dxa" w:w="907"/>
          </w:tcPr>
          <w:p>
            <w:pPr>
              <w:spacing w:after="20"/>
            </w:pPr>
            <w:r/>
            <w:r>
              <w:rPr>
                <w:sz w:val="15"/>
              </w:rPr>
              <w:t>23.0</w:t>
            </w:r>
          </w:p>
        </w:tc>
        <w:tc>
          <w:tcPr>
            <w:tcW w:type="dxa" w:w="1134"/>
          </w:tcPr>
          <w:p>
            <w:pPr>
              <w:spacing w:after="20"/>
            </w:pPr>
            <w:r/>
            <w:r>
              <w:rPr>
                <w:sz w:val="15"/>
              </w:rPr>
              <w:t>c.13%</w:t>
            </w:r>
          </w:p>
        </w:tc>
        <w:tc>
          <w:tcPr>
            <w:tcW w:type="dxa" w:w="907"/>
          </w:tcPr>
          <w:p>
            <w:pPr>
              <w:spacing w:after="20"/>
            </w:pPr>
            <w:r/>
            <w:r>
              <w:rPr>
                <w:sz w:val="15"/>
              </w:rPr>
              <w:t>n/a</w:t>
            </w:r>
          </w:p>
        </w:tc>
        <w:tc>
          <w:tcPr>
            <w:tcW w:type="dxa" w:w="2835"/>
          </w:tcPr>
          <w:p>
            <w:pPr>
              <w:spacing w:after="20"/>
            </w:pPr>
            <w:r/>
            <w:r>
              <w:rPr>
                <w:sz w:val="15"/>
              </w:rPr>
              <w:t>Includes property sales gains</w:t>
            </w:r>
          </w:p>
        </w:tc>
      </w:tr>
      <w:tr>
        <w:tc>
          <w:tcPr>
            <w:tcW w:type="dxa" w:w="1984"/>
            <w:shd w:val="clear" w:color="auto" w:fill="F1F3F8"/>
          </w:tcPr>
          <w:p>
            <w:pPr>
              <w:spacing w:after="20"/>
            </w:pPr>
            <w:r/>
            <w:r>
              <w:rPr>
                <w:b/>
                <w:sz w:val="15"/>
              </w:rPr>
              <w:t>Japan (derived)</w:t>
            </w:r>
          </w:p>
        </w:tc>
        <w:tc>
          <w:tcPr>
            <w:tcW w:type="dxa" w:w="1020"/>
            <w:shd w:val="clear" w:color="auto" w:fill="F1F3F8"/>
          </w:tcPr>
          <w:p>
            <w:pPr>
              <w:spacing w:after="20"/>
            </w:pPr>
            <w:r/>
            <w:r>
              <w:rPr>
                <w:sz w:val="15"/>
              </w:rPr>
              <w:t>c.1,742</w:t>
            </w:r>
          </w:p>
        </w:tc>
        <w:tc>
          <w:tcPr>
            <w:tcW w:type="dxa" w:w="850"/>
            <w:shd w:val="clear" w:color="auto" w:fill="F1F3F8"/>
          </w:tcPr>
          <w:p>
            <w:pPr>
              <w:spacing w:after="20"/>
            </w:pPr>
            <w:r/>
            <w:r>
              <w:rPr>
                <w:sz w:val="15"/>
              </w:rPr>
              <w:t>67%</w:t>
            </w:r>
          </w:p>
        </w:tc>
        <w:tc>
          <w:tcPr>
            <w:tcW w:type="dxa" w:w="907"/>
            <w:shd w:val="clear" w:color="auto" w:fill="F1F3F8"/>
          </w:tcPr>
          <w:p>
            <w:pPr>
              <w:spacing w:after="20"/>
            </w:pPr>
            <w:r/>
            <w:r>
              <w:rPr>
                <w:sz w:val="15"/>
              </w:rPr>
              <w:t>c.168</w:t>
            </w:r>
          </w:p>
        </w:tc>
        <w:tc>
          <w:tcPr>
            <w:tcW w:type="dxa" w:w="1134"/>
            <w:shd w:val="clear" w:color="auto" w:fill="F1F3F8"/>
          </w:tcPr>
          <w:p>
            <w:pPr>
              <w:spacing w:after="20"/>
            </w:pPr>
            <w:r/>
            <w:r>
              <w:rPr>
                <w:sz w:val="15"/>
              </w:rPr>
              <w:t>c.9.6%</w:t>
            </w:r>
          </w:p>
        </w:tc>
        <w:tc>
          <w:tcPr>
            <w:tcW w:type="dxa" w:w="907"/>
            <w:shd w:val="clear" w:color="auto" w:fill="F1F3F8"/>
          </w:tcPr>
          <w:p>
            <w:pPr>
              <w:spacing w:after="20"/>
            </w:pPr>
            <w:r/>
            <w:r>
              <w:rPr>
                <w:sz w:val="15"/>
              </w:rPr>
              <w:t>n/a</w:t>
            </w:r>
          </w:p>
        </w:tc>
        <w:tc>
          <w:tcPr>
            <w:tcW w:type="dxa" w:w="2835"/>
            <w:shd w:val="clear" w:color="auto" w:fill="F1F3F8"/>
          </w:tcPr>
          <w:p>
            <w:pPr>
              <w:spacing w:after="20"/>
            </w:pPr>
            <w:r/>
            <w:r>
              <w:rPr>
                <w:sz w:val="15"/>
              </w:rPr>
              <w:t>Domestic building + civil + real estate/other</w:t>
            </w:r>
          </w:p>
        </w:tc>
      </w:tr>
      <w:tr>
        <w:tc>
          <w:tcPr>
            <w:tcW w:type="dxa" w:w="1984"/>
          </w:tcPr>
          <w:p>
            <w:pPr>
              <w:spacing w:after="20"/>
            </w:pPr>
            <w:r/>
            <w:r>
              <w:rPr>
                <w:b/>
                <w:sz w:val="15"/>
              </w:rPr>
              <w:t>Overseas</w:t>
            </w:r>
          </w:p>
        </w:tc>
        <w:tc>
          <w:tcPr>
            <w:tcW w:type="dxa" w:w="1020"/>
          </w:tcPr>
          <w:p>
            <w:pPr>
              <w:spacing w:after="20"/>
            </w:pPr>
            <w:r/>
            <w:r>
              <w:rPr>
                <w:sz w:val="15"/>
              </w:rPr>
              <w:t>843.9</w:t>
            </w:r>
          </w:p>
        </w:tc>
        <w:tc>
          <w:tcPr>
            <w:tcW w:type="dxa" w:w="850"/>
          </w:tcPr>
          <w:p>
            <w:pPr>
              <w:spacing w:after="20"/>
            </w:pPr>
            <w:r/>
            <w:r>
              <w:rPr>
                <w:sz w:val="15"/>
              </w:rPr>
              <w:t>33%</w:t>
            </w:r>
          </w:p>
        </w:tc>
        <w:tc>
          <w:tcPr>
            <w:tcW w:type="dxa" w:w="907"/>
          </w:tcPr>
          <w:p>
            <w:pPr>
              <w:spacing w:after="20"/>
            </w:pPr>
            <w:r/>
            <w:r>
              <w:rPr>
                <w:sz w:val="15"/>
              </w:rPr>
              <w:t>26.6</w:t>
            </w:r>
          </w:p>
        </w:tc>
        <w:tc>
          <w:tcPr>
            <w:tcW w:type="dxa" w:w="1134"/>
          </w:tcPr>
          <w:p>
            <w:pPr>
              <w:spacing w:after="20"/>
            </w:pPr>
            <w:r/>
            <w:r>
              <w:rPr>
                <w:sz w:val="15"/>
              </w:rPr>
              <w:t>3.2%</w:t>
            </w:r>
          </w:p>
        </w:tc>
        <w:tc>
          <w:tcPr>
            <w:tcW w:type="dxa" w:w="907"/>
          </w:tcPr>
          <w:p>
            <w:pPr>
              <w:spacing w:after="20"/>
            </w:pPr>
            <w:r/>
            <w:r>
              <w:rPr>
                <w:sz w:val="15"/>
              </w:rPr>
              <w:t>n/a</w:t>
            </w:r>
          </w:p>
        </w:tc>
        <w:tc>
          <w:tcPr>
            <w:tcW w:type="dxa" w:w="2835"/>
          </w:tcPr>
          <w:p>
            <w:pPr>
              <w:spacing w:after="20"/>
            </w:pPr>
            <w:r/>
            <w:r>
              <w:rPr>
                <w:sz w:val="15"/>
              </w:rPr>
              <w:t>North America plus Asia (Asia sales c.JPY 271bn†)</w:t>
            </w:r>
          </w:p>
        </w:tc>
      </w:tr>
    </w:tbl>
    <w:p>
      <w:pPr>
        <w:spacing w:after="40"/>
      </w:pPr>
    </w:p>
    <w:p>
      <w:r>
        <w:rPr>
          <w:i/>
          <w:color w:val="555F70"/>
          <w:sz w:val="15"/>
        </w:rPr>
        <w:t>Segment EBITDA is not derivable from the data retrieved (segment depreciation is in the yuho notes). Segment net income is not disclosed.</w:t>
      </w:r>
    </w:p>
    <w:p>
      <w:pPr>
        <w:pStyle w:val="Heading2"/>
      </w:pPr>
      <w:r>
        <w:t>8.3 Operating KPIs</w:t>
      </w:r>
    </w:p>
    <w:tbl>
      <w:tblPr>
        <w:tblStyle w:val="TableGrid"/>
        <w:tblW w:type="auto" w:w="0"/>
        <w:jc w:val="center"/>
        <w:tblLayout w:type="fixed"/>
        <w:tblLook w:firstColumn="1" w:firstRow="1" w:lastColumn="0" w:lastRow="0" w:noHBand="0" w:noVBand="1" w:val="04A0"/>
      </w:tblPr>
      <w:tblGrid>
        <w:gridCol w:w="2608"/>
        <w:gridCol w:w="3061"/>
        <w:gridCol w:w="3969"/>
      </w:tblGrid>
      <w:tr>
        <w:trPr>
          <w:tblHeader w:val="true"/>
        </w:trPr>
        <w:tc>
          <w:tcPr>
            <w:tcW w:type="dxa" w:w="2608"/>
            <w:shd w:val="clear" w:color="auto" w:fill="14243F"/>
          </w:tcPr>
          <w:p>
            <w:r/>
            <w:r>
              <w:rPr>
                <w:b/>
                <w:color w:val="FFFFFF"/>
                <w:sz w:val="15"/>
              </w:rPr>
              <w:t>KPI</w:t>
            </w:r>
          </w:p>
        </w:tc>
        <w:tc>
          <w:tcPr>
            <w:tcW w:type="dxa" w:w="3061"/>
            <w:shd w:val="clear" w:color="auto" w:fill="14243F"/>
          </w:tcPr>
          <w:p>
            <w:r/>
            <w:r>
              <w:rPr>
                <w:b/>
                <w:color w:val="FFFFFF"/>
                <w:sz w:val="15"/>
              </w:rPr>
              <w:t>Latest</w:t>
            </w:r>
          </w:p>
        </w:tc>
        <w:tc>
          <w:tcPr>
            <w:tcW w:type="dxa" w:w="3969"/>
            <w:shd w:val="clear" w:color="auto" w:fill="14243F"/>
          </w:tcPr>
          <w:p>
            <w:r/>
            <w:r>
              <w:rPr>
                <w:b/>
                <w:color w:val="FFFFFF"/>
                <w:sz w:val="15"/>
              </w:rPr>
              <w:t>Trend / comment</w:t>
            </w:r>
          </w:p>
        </w:tc>
      </w:tr>
      <w:tr>
        <w:tc>
          <w:tcPr>
            <w:tcW w:type="dxa" w:w="2608"/>
          </w:tcPr>
          <w:p>
            <w:pPr>
              <w:spacing w:after="20"/>
            </w:pPr>
            <w:r/>
            <w:r>
              <w:rPr>
                <w:b/>
                <w:sz w:val="15"/>
              </w:rPr>
              <w:t>Orders received (consolidated)</w:t>
            </w:r>
          </w:p>
        </w:tc>
        <w:tc>
          <w:tcPr>
            <w:tcW w:type="dxa" w:w="3061"/>
          </w:tcPr>
          <w:p>
            <w:pPr>
              <w:spacing w:after="20"/>
            </w:pPr>
            <w:r/>
            <w:r>
              <w:rPr>
                <w:sz w:val="15"/>
              </w:rPr>
              <w:t>FY3/26 c.JPY 3,009bn†; Q1 FY3/27 JPY 577.5bn</w:t>
            </w:r>
          </w:p>
        </w:tc>
        <w:tc>
          <w:tcPr>
            <w:tcW w:type="dxa" w:w="3969"/>
          </w:tcPr>
          <w:p>
            <w:pPr>
              <w:spacing w:after="20"/>
            </w:pPr>
            <w:r/>
            <w:r>
              <w:rPr>
                <w:sz w:val="15"/>
              </w:rPr>
              <w:t>Q1 -7.2% y/y; FY3/27 target JPY 3,100bn</w:t>
            </w:r>
          </w:p>
        </w:tc>
      </w:tr>
      <w:tr>
        <w:tc>
          <w:tcPr>
            <w:tcW w:type="dxa" w:w="2608"/>
            <w:shd w:val="clear" w:color="auto" w:fill="F1F3F8"/>
          </w:tcPr>
          <w:p>
            <w:pPr>
              <w:spacing w:after="20"/>
            </w:pPr>
            <w:r/>
            <w:r>
              <w:rPr>
                <w:b/>
                <w:sz w:val="15"/>
              </w:rPr>
              <w:t>Order backlog</w:t>
            </w:r>
          </w:p>
        </w:tc>
        <w:tc>
          <w:tcPr>
            <w:tcW w:type="dxa" w:w="3061"/>
            <w:shd w:val="clear" w:color="auto" w:fill="F1F3F8"/>
          </w:tcPr>
          <w:p>
            <w:pPr>
              <w:spacing w:after="20"/>
            </w:pPr>
            <w:r/>
            <w:r>
              <w:rPr>
                <w:sz w:val="15"/>
              </w:rPr>
              <w:t>c.JPY 2,911bn at 31 Mar 2026†</w:t>
            </w:r>
          </w:p>
        </w:tc>
        <w:tc>
          <w:tcPr>
            <w:tcW w:type="dxa" w:w="3969"/>
            <w:shd w:val="clear" w:color="auto" w:fill="F1F3F8"/>
          </w:tcPr>
          <w:p>
            <w:pPr>
              <w:spacing w:after="20"/>
            </w:pPr>
            <w:r/>
            <w:r>
              <w:rPr>
                <w:sz w:val="15"/>
              </w:rPr>
              <w:t>c.1.1x sales; one summary shows a conflicting JPY 788bn (likely garbled)</w:t>
            </w:r>
          </w:p>
        </w:tc>
      </w:tr>
      <w:tr>
        <w:tc>
          <w:tcPr>
            <w:tcW w:type="dxa" w:w="2608"/>
          </w:tcPr>
          <w:p>
            <w:pPr>
              <w:spacing w:after="20"/>
            </w:pPr>
            <w:r/>
            <w:r>
              <w:rPr>
                <w:b/>
                <w:sz w:val="15"/>
              </w:rPr>
              <w:t>Gross margin on completed works</w:t>
            </w:r>
          </w:p>
        </w:tc>
        <w:tc>
          <w:tcPr>
            <w:tcW w:type="dxa" w:w="3061"/>
          </w:tcPr>
          <w:p>
            <w:pPr>
              <w:spacing w:after="20"/>
            </w:pPr>
            <w:r/>
            <w:r>
              <w:rPr>
                <w:sz w:val="15"/>
              </w:rPr>
              <w:t>Guided 13.0% FY3/27</w:t>
            </w:r>
          </w:p>
        </w:tc>
        <w:tc>
          <w:tcPr>
            <w:tcW w:type="dxa" w:w="3969"/>
          </w:tcPr>
          <w:p>
            <w:pPr>
              <w:spacing w:after="20"/>
            </w:pPr>
            <w:r/>
            <w:r>
              <w:rPr>
                <w:sz w:val="15"/>
              </w:rPr>
              <w:t>Company aims to hold c.13%; up from c.7% on one non-consolidated measure in FY3/24†</w:t>
            </w:r>
          </w:p>
        </w:tc>
      </w:tr>
      <w:tr>
        <w:tc>
          <w:tcPr>
            <w:tcW w:type="dxa" w:w="2608"/>
            <w:shd w:val="clear" w:color="auto" w:fill="F1F3F8"/>
          </w:tcPr>
          <w:p>
            <w:pPr>
              <w:spacing w:after="20"/>
            </w:pPr>
            <w:r/>
            <w:r>
              <w:rPr>
                <w:b/>
                <w:sz w:val="15"/>
              </w:rPr>
              <w:t>Operating margin</w:t>
            </w:r>
          </w:p>
        </w:tc>
        <w:tc>
          <w:tcPr>
            <w:tcW w:type="dxa" w:w="3061"/>
            <w:shd w:val="clear" w:color="auto" w:fill="F1F3F8"/>
          </w:tcPr>
          <w:p>
            <w:pPr>
              <w:spacing w:after="20"/>
            </w:pPr>
            <w:r/>
            <w:r>
              <w:rPr>
                <w:sz w:val="15"/>
              </w:rPr>
              <w:t>7.5% FY3/26; 5.2% Q1 FY3/27 (3.0% a year earlier)</w:t>
            </w:r>
          </w:p>
        </w:tc>
        <w:tc>
          <w:tcPr>
            <w:tcW w:type="dxa" w:w="3969"/>
            <w:shd w:val="clear" w:color="auto" w:fill="F1F3F8"/>
          </w:tcPr>
          <w:p>
            <w:pPr>
              <w:spacing w:after="20"/>
            </w:pPr>
            <w:r/>
            <w:r>
              <w:rPr>
                <w:sz w:val="15"/>
              </w:rPr>
              <w:t>Seasonally weakest in Q1; Q1 progress vs full-year ordinary guidance 19.9% vs 16.2% five-year average</w:t>
            </w:r>
          </w:p>
        </w:tc>
      </w:tr>
      <w:tr>
        <w:tc>
          <w:tcPr>
            <w:tcW w:type="dxa" w:w="2608"/>
          </w:tcPr>
          <w:p>
            <w:pPr>
              <w:spacing w:after="20"/>
            </w:pPr>
            <w:r/>
            <w:r>
              <w:rPr>
                <w:b/>
                <w:sz w:val="15"/>
              </w:rPr>
              <w:t>Overseas share of sales</w:t>
            </w:r>
          </w:p>
        </w:tc>
        <w:tc>
          <w:tcPr>
            <w:tcW w:type="dxa" w:w="3061"/>
          </w:tcPr>
          <w:p>
            <w:pPr>
              <w:spacing w:after="20"/>
            </w:pPr>
            <w:r/>
            <w:r>
              <w:rPr>
                <w:sz w:val="15"/>
              </w:rPr>
              <w:t>c.33%</w:t>
            </w:r>
          </w:p>
        </w:tc>
        <w:tc>
          <w:tcPr>
            <w:tcW w:type="dxa" w:w="3969"/>
          </w:tcPr>
          <w:p>
            <w:pPr>
              <w:spacing w:after="20"/>
            </w:pPr>
            <w:r/>
            <w:r>
              <w:rPr>
                <w:sz w:val="15"/>
              </w:rPr>
              <w:t>Rising with GCON and Multiplex</w:t>
            </w:r>
          </w:p>
        </w:tc>
      </w:tr>
      <w:tr>
        <w:tc>
          <w:tcPr>
            <w:tcW w:type="dxa" w:w="2608"/>
            <w:shd w:val="clear" w:color="auto" w:fill="F1F3F8"/>
          </w:tcPr>
          <w:p>
            <w:pPr>
              <w:spacing w:after="20"/>
            </w:pPr>
            <w:r/>
            <w:r>
              <w:rPr>
                <w:b/>
                <w:sz w:val="15"/>
              </w:rPr>
              <w:t>ROE / ROIC</w:t>
            </w:r>
          </w:p>
        </w:tc>
        <w:tc>
          <w:tcPr>
            <w:tcW w:type="dxa" w:w="3061"/>
            <w:shd w:val="clear" w:color="auto" w:fill="F1F3F8"/>
          </w:tcPr>
          <w:p>
            <w:pPr>
              <w:spacing w:after="20"/>
            </w:pPr>
            <w:r/>
            <w:r>
              <w:rPr>
                <w:sz w:val="15"/>
              </w:rPr>
              <w:t>14.4% / 8.4% (company, FY3/26†); guided 12.3% / 7.4% FY3/27</w:t>
            </w:r>
          </w:p>
        </w:tc>
        <w:tc>
          <w:tcPr>
            <w:tcW w:type="dxa" w:w="3969"/>
            <w:shd w:val="clear" w:color="auto" w:fill="F1F3F8"/>
          </w:tcPr>
          <w:p>
            <w:pPr>
              <w:spacing w:after="20"/>
            </w:pPr>
            <w:r/>
            <w:r>
              <w:rPr>
                <w:sz w:val="15"/>
              </w:rPr>
              <w:t>Above plan targets of 10% / 5%; our calc of ROE is c.13.5%</w:t>
            </w:r>
          </w:p>
        </w:tc>
      </w:tr>
      <w:tr>
        <w:tc>
          <w:tcPr>
            <w:tcW w:type="dxa" w:w="2608"/>
          </w:tcPr>
          <w:p>
            <w:pPr>
              <w:spacing w:after="20"/>
            </w:pPr>
            <w:r/>
            <w:r>
              <w:rPr>
                <w:b/>
                <w:sz w:val="15"/>
              </w:rPr>
              <w:t>Equity ratio</w:t>
            </w:r>
          </w:p>
        </w:tc>
        <w:tc>
          <w:tcPr>
            <w:tcW w:type="dxa" w:w="3061"/>
          </w:tcPr>
          <w:p>
            <w:pPr>
              <w:spacing w:after="20"/>
            </w:pPr>
            <w:r/>
            <w:r>
              <w:rPr>
                <w:sz w:val="15"/>
              </w:rPr>
              <w:t>40.0%</w:t>
            </w:r>
          </w:p>
        </w:tc>
        <w:tc>
          <w:tcPr>
            <w:tcW w:type="dxa" w:w="3969"/>
          </w:tcPr>
          <w:p>
            <w:pPr>
              <w:spacing w:after="20"/>
            </w:pPr>
            <w:r/>
            <w:r>
              <w:rPr>
                <w:sz w:val="15"/>
              </w:rPr>
              <w:t>Equity JPY 1,316bn (plan target JPY 1tn exceeded)</w:t>
            </w:r>
          </w:p>
        </w:tc>
      </w:tr>
      <w:tr>
        <w:tc>
          <w:tcPr>
            <w:tcW w:type="dxa" w:w="2608"/>
            <w:shd w:val="clear" w:color="auto" w:fill="F1F3F8"/>
          </w:tcPr>
          <w:p>
            <w:pPr>
              <w:spacing w:after="20"/>
            </w:pPr>
            <w:r/>
            <w:r>
              <w:rPr>
                <w:b/>
                <w:sz w:val="15"/>
              </w:rPr>
              <w:t>Operating cash flow / investing CF / financing CF</w:t>
            </w:r>
          </w:p>
        </w:tc>
        <w:tc>
          <w:tcPr>
            <w:tcW w:type="dxa" w:w="3061"/>
            <w:shd w:val="clear" w:color="auto" w:fill="F1F3F8"/>
          </w:tcPr>
          <w:p>
            <w:pPr>
              <w:spacing w:after="20"/>
            </w:pPr>
            <w:r/>
            <w:r>
              <w:rPr>
                <w:sz w:val="15"/>
              </w:rPr>
              <w:t>JPY 252.9bn / -84.4bn / -141.4bn†</w:t>
            </w:r>
          </w:p>
        </w:tc>
        <w:tc>
          <w:tcPr>
            <w:tcW w:type="dxa" w:w="3969"/>
            <w:shd w:val="clear" w:color="auto" w:fill="F1F3F8"/>
          </w:tcPr>
          <w:p>
            <w:pPr>
              <w:spacing w:after="20"/>
            </w:pPr>
            <w:r/>
            <w:r>
              <w:rPr>
                <w:sz w:val="15"/>
              </w:rPr>
              <w:t>Financing outflow reflects dividends and buybacks</w:t>
            </w:r>
          </w:p>
        </w:tc>
      </w:tr>
      <w:tr>
        <w:tc>
          <w:tcPr>
            <w:tcW w:type="dxa" w:w="2608"/>
          </w:tcPr>
          <w:p>
            <w:pPr>
              <w:spacing w:after="20"/>
            </w:pPr>
            <w:r/>
            <w:r>
              <w:rPr>
                <w:b/>
                <w:sz w:val="15"/>
              </w:rPr>
              <w:t>Capex, D&amp;A, headcount</w:t>
            </w:r>
          </w:p>
        </w:tc>
        <w:tc>
          <w:tcPr>
            <w:tcW w:type="dxa" w:w="3061"/>
          </w:tcPr>
          <w:p>
            <w:pPr>
              <w:spacing w:after="20"/>
            </w:pPr>
            <w:r/>
            <w:r>
              <w:rPr>
                <w:sz w:val="15"/>
              </w:rPr>
              <w:t>n/a</w:t>
            </w:r>
          </w:p>
        </w:tc>
        <w:tc>
          <w:tcPr>
            <w:tcW w:type="dxa" w:w="3969"/>
          </w:tcPr>
          <w:p>
            <w:pPr>
              <w:spacing w:after="20"/>
            </w:pPr>
            <w:r/>
            <w:r>
              <w:rPr>
                <w:sz w:val="15"/>
              </w:rPr>
              <w:t>Not retrieved; see yuho</w:t>
            </w:r>
          </w:p>
        </w:tc>
      </w:tr>
      <w:tr>
        <w:tc>
          <w:tcPr>
            <w:tcW w:type="dxa" w:w="2608"/>
            <w:shd w:val="clear" w:color="auto" w:fill="F1F3F8"/>
          </w:tcPr>
          <w:p>
            <w:pPr>
              <w:spacing w:after="20"/>
            </w:pPr>
            <w:r/>
            <w:r>
              <w:rPr>
                <w:b/>
                <w:sz w:val="15"/>
              </w:rPr>
              <w:t>Cross-holdings (market value)</w:t>
            </w:r>
          </w:p>
        </w:tc>
        <w:tc>
          <w:tcPr>
            <w:tcW w:type="dxa" w:w="3061"/>
            <w:shd w:val="clear" w:color="auto" w:fill="F1F3F8"/>
          </w:tcPr>
          <w:p>
            <w:pPr>
              <w:spacing w:after="20"/>
            </w:pPr>
            <w:r/>
            <w:r>
              <w:rPr>
                <w:sz w:val="15"/>
              </w:rPr>
              <w:t>JPY 288.8bn = 21.9% of net assets†</w:t>
            </w:r>
          </w:p>
        </w:tc>
        <w:tc>
          <w:tcPr>
            <w:tcW w:type="dxa" w:w="3969"/>
            <w:shd w:val="clear" w:color="auto" w:fill="F1F3F8"/>
          </w:tcPr>
          <w:p>
            <w:pPr>
              <w:spacing w:after="20"/>
            </w:pPr>
            <w:r/>
            <w:r>
              <w:rPr>
                <w:sz w:val="15"/>
              </w:rPr>
              <w:t>Target 20% by March 2027; 17.5% including agreed sales</w:t>
            </w:r>
          </w:p>
        </w:tc>
      </w:tr>
    </w:tbl>
    <w:p>
      <w:pPr>
        <w:spacing w:after="40"/>
      </w:pPr>
    </w:p>
    <w:p>
      <w:pPr>
        <w:pStyle w:val="Heading1"/>
      </w:pPr>
      <w:r>
        <w:t>9. Earnings calls, sentiment and the latest result</w:t>
      </w:r>
    </w:p>
    <w:p>
      <w:r>
        <w:rPr>
          <w:b/>
          <w:sz w:val="18"/>
        </w:rPr>
        <w:t>Caveat:</w:t>
      </w:r>
      <w:r>
        <w:rPr>
          <w:sz w:val="18"/>
        </w:rPr>
        <w:t xml:space="preserve"> Obayashi's briefing Q&amp;A transcripts (JP PDFs on its IR site) could not be opened. The summary below is reconstructed from results headlines, company releases and press summaries, so the sentiment read is qualitative.</w:t>
      </w:r>
    </w:p>
    <w:p>
      <w:pPr>
        <w:pStyle w:val="Heading2"/>
      </w:pPr>
      <w:r>
        <w:t>9.1 What management is focused on</w:t>
      </w:r>
    </w:p>
    <w:p>
      <w:pPr>
        <w:pStyle w:val="ListBullet"/>
        <w:spacing w:after="40"/>
        <w:ind w:left="340"/>
      </w:pPr>
      <w:r>
        <w:rPr>
          <w:b/>
          <w:sz w:val="17"/>
        </w:rPr>
        <w:t>Profit over volume:</w:t>
      </w:r>
      <w:r>
        <w:rPr>
          <w:sz w:val="17"/>
        </w:rPr>
        <w:t xml:space="preserve"> 'selective' order-taking and holding completed-works gross margin around 13%.</w:t>
      </w:r>
    </w:p>
    <w:p>
      <w:pPr>
        <w:pStyle w:val="ListBullet"/>
        <w:spacing w:after="40"/>
        <w:ind w:left="340"/>
      </w:pPr>
      <w:r>
        <w:rPr>
          <w:b/>
          <w:sz w:val="17"/>
        </w:rPr>
        <w:t>Capital efficiency:</w:t>
      </w:r>
      <w:r>
        <w:rPr>
          <w:sz w:val="17"/>
        </w:rPr>
        <w:t xml:space="preserve"> ROE 10%+, DOE c.5%, JPY 100bn buyback programme, cross-holding reduction to 20% of net assets by March 2027.</w:t>
      </w:r>
    </w:p>
    <w:p>
      <w:pPr>
        <w:pStyle w:val="ListBullet"/>
        <w:spacing w:after="40"/>
        <w:ind w:left="340"/>
      </w:pPr>
      <w:r>
        <w:rPr>
          <w:b/>
          <w:sz w:val="17"/>
        </w:rPr>
        <w:t>Overseas and tech platform build-out:</w:t>
      </w:r>
      <w:r>
        <w:rPr>
          <w:sz w:val="17"/>
        </w:rPr>
        <w:t xml:space="preserve"> MWH (water), GCON (data centres/semiconductors), Multiplex; real estate and data-centre development; wood and renewables.</w:t>
      </w:r>
    </w:p>
    <w:p>
      <w:pPr>
        <w:pStyle w:val="ListBullet"/>
        <w:spacing w:after="40"/>
        <w:ind w:left="340"/>
      </w:pPr>
      <w:r>
        <w:rPr>
          <w:b/>
          <w:sz w:val="17"/>
        </w:rPr>
        <w:t>Caution on the order environment from FY3/28</w:t>
      </w:r>
      <w:r>
        <w:rPr>
          <w:sz w:val="17"/>
        </w:rPr>
        <w:t xml:space="preserve"> citing the Middle East situation and cost trends (FY3/26 Q4 Q&amp;A†).</w:t>
      </w:r>
    </w:p>
    <w:p>
      <w:pPr>
        <w:pStyle w:val="Heading2"/>
      </w:pPr>
      <w:r>
        <w:t>9.2 Sentiment trajectory (qualitative, headline-based)</w:t>
      </w:r>
    </w:p>
    <w:tbl>
      <w:tblPr>
        <w:tblStyle w:val="TableGrid"/>
        <w:tblW w:type="auto" w:w="0"/>
        <w:jc w:val="center"/>
        <w:tblLayout w:type="fixed"/>
        <w:tblLook w:firstColumn="1" w:firstRow="1" w:lastColumn="0" w:lastRow="0" w:noHBand="0" w:noVBand="1" w:val="04A0"/>
      </w:tblPr>
      <w:tblGrid>
        <w:gridCol w:w="2041"/>
        <w:gridCol w:w="1928"/>
        <w:gridCol w:w="5669"/>
      </w:tblGrid>
      <w:tr>
        <w:trPr>
          <w:tblHeader w:val="true"/>
        </w:trPr>
        <w:tc>
          <w:tcPr>
            <w:tcW w:type="dxa" w:w="2041"/>
            <w:shd w:val="clear" w:color="auto" w:fill="14243F"/>
          </w:tcPr>
          <w:p>
            <w:r/>
            <w:r>
              <w:rPr>
                <w:b/>
                <w:color w:val="FFFFFF"/>
                <w:sz w:val="15"/>
              </w:rPr>
              <w:t>Period</w:t>
            </w:r>
          </w:p>
        </w:tc>
        <w:tc>
          <w:tcPr>
            <w:tcW w:type="dxa" w:w="1928"/>
            <w:shd w:val="clear" w:color="auto" w:fill="14243F"/>
          </w:tcPr>
          <w:p>
            <w:r/>
            <w:r>
              <w:rPr>
                <w:b/>
                <w:color w:val="FFFFFF"/>
                <w:sz w:val="15"/>
              </w:rPr>
              <w:t>Tone</w:t>
            </w:r>
          </w:p>
        </w:tc>
        <w:tc>
          <w:tcPr>
            <w:tcW w:type="dxa" w:w="5669"/>
            <w:shd w:val="clear" w:color="auto" w:fill="14243F"/>
          </w:tcPr>
          <w:p>
            <w:r/>
            <w:r>
              <w:rPr>
                <w:b/>
                <w:color w:val="FFFFFF"/>
                <w:sz w:val="15"/>
              </w:rPr>
              <w:t>Evidence</w:t>
            </w:r>
          </w:p>
        </w:tc>
      </w:tr>
      <w:tr>
        <w:tc>
          <w:tcPr>
            <w:tcW w:type="dxa" w:w="2041"/>
          </w:tcPr>
          <w:p>
            <w:pPr>
              <w:spacing w:after="20"/>
            </w:pPr>
            <w:r/>
            <w:r>
              <w:rPr>
                <w:b/>
                <w:sz w:val="15"/>
              </w:rPr>
              <w:t>FY3/23 (Nov 2022)</w:t>
            </w:r>
          </w:p>
        </w:tc>
        <w:tc>
          <w:tcPr>
            <w:tcW w:type="dxa" w:w="1928"/>
          </w:tcPr>
          <w:p>
            <w:pPr>
              <w:spacing w:after="20"/>
            </w:pPr>
            <w:r/>
            <w:r>
              <w:rPr>
                <w:sz w:val="15"/>
              </w:rPr>
              <w:t>Defensive</w:t>
            </w:r>
          </w:p>
        </w:tc>
        <w:tc>
          <w:tcPr>
            <w:tcW w:type="dxa" w:w="5669"/>
          </w:tcPr>
          <w:p>
            <w:pPr>
              <w:spacing w:after="20"/>
            </w:pPr>
            <w:r/>
            <w:r>
              <w:rPr>
                <w:sz w:val="15"/>
              </w:rPr>
              <w:t>Forecast cut as materials inflation and delivery delays hit building margins</w:t>
            </w:r>
          </w:p>
        </w:tc>
      </w:tr>
      <w:tr>
        <w:tc>
          <w:tcPr>
            <w:tcW w:type="dxa" w:w="2041"/>
            <w:shd w:val="clear" w:color="auto" w:fill="F1F3F8"/>
          </w:tcPr>
          <w:p>
            <w:pPr>
              <w:spacing w:after="20"/>
            </w:pPr>
            <w:r/>
            <w:r>
              <w:rPr>
                <w:b/>
                <w:sz w:val="15"/>
              </w:rPr>
              <w:t>FY3/24</w:t>
            </w:r>
          </w:p>
        </w:tc>
        <w:tc>
          <w:tcPr>
            <w:tcW w:type="dxa" w:w="1928"/>
            <w:shd w:val="clear" w:color="auto" w:fill="F1F3F8"/>
          </w:tcPr>
          <w:p>
            <w:pPr>
              <w:spacing w:after="20"/>
            </w:pPr>
            <w:r/>
            <w:r>
              <w:rPr>
                <w:sz w:val="15"/>
              </w:rPr>
              <w:t>Cautious, then reform-minded</w:t>
            </w:r>
          </w:p>
        </w:tc>
        <w:tc>
          <w:tcPr>
            <w:tcW w:type="dxa" w:w="5669"/>
            <w:shd w:val="clear" w:color="auto" w:fill="F1F3F8"/>
          </w:tcPr>
          <w:p>
            <w:pPr>
              <w:spacing w:after="20"/>
            </w:pPr>
            <w:r/>
            <w:r>
              <w:rPr>
                <w:sz w:val="15"/>
              </w:rPr>
              <w:t>Profit down 15%; March 2024 capital-policy pivot lifts sentiment</w:t>
            </w:r>
          </w:p>
        </w:tc>
      </w:tr>
      <w:tr>
        <w:tc>
          <w:tcPr>
            <w:tcW w:type="dxa" w:w="2041"/>
          </w:tcPr>
          <w:p>
            <w:pPr>
              <w:spacing w:after="20"/>
            </w:pPr>
            <w:r/>
            <w:r>
              <w:rPr>
                <w:b/>
                <w:sz w:val="15"/>
              </w:rPr>
              <w:t>FY3/25</w:t>
            </w:r>
          </w:p>
        </w:tc>
        <w:tc>
          <w:tcPr>
            <w:tcW w:type="dxa" w:w="1928"/>
          </w:tcPr>
          <w:p>
            <w:pPr>
              <w:spacing w:after="20"/>
            </w:pPr>
            <w:r/>
            <w:r>
              <w:rPr>
                <w:sz w:val="15"/>
              </w:rPr>
              <w:t>Confident</w:t>
            </w:r>
          </w:p>
        </w:tc>
        <w:tc>
          <w:tcPr>
            <w:tcW w:type="dxa" w:w="5669"/>
          </w:tcPr>
          <w:p>
            <w:pPr>
              <w:spacing w:after="20"/>
            </w:pPr>
            <w:r/>
            <w:r>
              <w:rPr>
                <w:sz w:val="15"/>
              </w:rPr>
              <w:t>Record profits; first buyback tranche; plan targets reached early</w:t>
            </w:r>
          </w:p>
        </w:tc>
      </w:tr>
      <w:tr>
        <w:tc>
          <w:tcPr>
            <w:tcW w:type="dxa" w:w="2041"/>
            <w:shd w:val="clear" w:color="auto" w:fill="F1F3F8"/>
          </w:tcPr>
          <w:p>
            <w:pPr>
              <w:spacing w:after="20"/>
            </w:pPr>
            <w:r/>
            <w:r>
              <w:rPr>
                <w:b/>
                <w:sz w:val="15"/>
              </w:rPr>
              <w:t>Q3 FY3/26 (Feb 2026)</w:t>
            </w:r>
          </w:p>
        </w:tc>
        <w:tc>
          <w:tcPr>
            <w:tcW w:type="dxa" w:w="1928"/>
            <w:shd w:val="clear" w:color="auto" w:fill="F1F3F8"/>
          </w:tcPr>
          <w:p>
            <w:pPr>
              <w:spacing w:after="20"/>
            </w:pPr>
            <w:r/>
            <w:r>
              <w:rPr>
                <w:sz w:val="15"/>
              </w:rPr>
              <w:t>Positive but not beating</w:t>
            </w:r>
          </w:p>
        </w:tc>
        <w:tc>
          <w:tcPr>
            <w:tcW w:type="dxa" w:w="5669"/>
            <w:shd w:val="clear" w:color="auto" w:fill="F1F3F8"/>
          </w:tcPr>
          <w:p>
            <w:pPr>
              <w:spacing w:after="20"/>
            </w:pPr>
            <w:r/>
            <w:r>
              <w:rPr>
                <w:sz w:val="15"/>
              </w:rPr>
              <w:t>Ordinary +33% but below analyst consensus; stock hit ATH 27 Feb</w:t>
            </w:r>
          </w:p>
        </w:tc>
      </w:tr>
      <w:tr>
        <w:tc>
          <w:tcPr>
            <w:tcW w:type="dxa" w:w="2041"/>
          </w:tcPr>
          <w:p>
            <w:pPr>
              <w:spacing w:after="20"/>
            </w:pPr>
            <w:r/>
            <w:r>
              <w:rPr>
                <w:b/>
                <w:sz w:val="15"/>
              </w:rPr>
              <w:t>FY3/26 (13 May 2026)</w:t>
            </w:r>
          </w:p>
        </w:tc>
        <w:tc>
          <w:tcPr>
            <w:tcW w:type="dxa" w:w="1928"/>
          </w:tcPr>
          <w:p>
            <w:pPr>
              <w:spacing w:after="20"/>
            </w:pPr>
            <w:r/>
            <w:r>
              <w:rPr>
                <w:sz w:val="15"/>
              </w:rPr>
              <w:t>Prudent</w:t>
            </w:r>
          </w:p>
        </w:tc>
        <w:tc>
          <w:tcPr>
            <w:tcW w:type="dxa" w:w="5669"/>
          </w:tcPr>
          <w:p>
            <w:pPr>
              <w:spacing w:after="20"/>
            </w:pPr>
            <w:r/>
            <w:r>
              <w:rPr>
                <w:sz w:val="15"/>
              </w:rPr>
              <w:t>Beat forecasts but FY3/27 guided down; shares -7.8% intraday</w:t>
            </w:r>
          </w:p>
        </w:tc>
      </w:tr>
      <w:tr>
        <w:tc>
          <w:tcPr>
            <w:tcW w:type="dxa" w:w="2041"/>
            <w:shd w:val="clear" w:color="auto" w:fill="F1F3F8"/>
          </w:tcPr>
          <w:p>
            <w:pPr>
              <w:spacing w:after="20"/>
            </w:pPr>
            <w:r/>
            <w:r>
              <w:rPr>
                <w:b/>
                <w:sz w:val="15"/>
              </w:rPr>
              <w:t>Q1 FY3/27 (7 Aug 2026)</w:t>
            </w:r>
          </w:p>
        </w:tc>
        <w:tc>
          <w:tcPr>
            <w:tcW w:type="dxa" w:w="1928"/>
            <w:shd w:val="clear" w:color="auto" w:fill="F1F3F8"/>
          </w:tcPr>
          <w:p>
            <w:pPr>
              <w:spacing w:after="20"/>
            </w:pPr>
            <w:r/>
            <w:r>
              <w:rPr>
                <w:sz w:val="15"/>
              </w:rPr>
              <w:t>Measured</w:t>
            </w:r>
          </w:p>
        </w:tc>
        <w:tc>
          <w:tcPr>
            <w:tcW w:type="dxa" w:w="5669"/>
            <w:shd w:val="clear" w:color="auto" w:fill="F1F3F8"/>
          </w:tcPr>
          <w:p>
            <w:pPr>
              <w:spacing w:after="20"/>
            </w:pPr>
            <w:r/>
            <w:r>
              <w:rPr>
                <w:sz w:val="15"/>
              </w:rPr>
              <w:t>OP +107%, guidance unchanged, orders -7.2%; progress 19.9% of ordinary guide</w:t>
            </w:r>
          </w:p>
        </w:tc>
      </w:tr>
    </w:tbl>
    <w:p>
      <w:pPr>
        <w:spacing w:after="40"/>
      </w:pPr>
    </w:p>
    <w:p>
      <w:r>
        <w:rPr>
          <w:sz w:val="17"/>
        </w:rPr>
        <w:t>Shift: from defensive (2022) to confident (2024-25) to deliberately conservative (2026). The tone is consistent with a management that has learned to guide low and beat.</w:t>
      </w:r>
    </w:p>
    <w:p>
      <w:pPr>
        <w:pStyle w:val="Heading2"/>
      </w:pPr>
      <w:r>
        <w:t>9.3 Latest result: Q1 FY3/27 (April-June 2026, reported 7 August 2026)</w:t>
      </w:r>
    </w:p>
    <w:tbl>
      <w:tblPr>
        <w:tblStyle w:val="TableGrid"/>
        <w:tblW w:type="auto" w:w="0"/>
        <w:jc w:val="center"/>
        <w:tblLayout w:type="fixed"/>
        <w:tblLook w:firstColumn="1" w:firstRow="1" w:lastColumn="0" w:lastRow="0" w:noHBand="0" w:noVBand="1" w:val="04A0"/>
      </w:tblPr>
      <w:tblGrid>
        <w:gridCol w:w="1814"/>
        <w:gridCol w:w="1247"/>
        <w:gridCol w:w="1247"/>
        <w:gridCol w:w="1134"/>
        <w:gridCol w:w="4195"/>
      </w:tblGrid>
      <w:tr>
        <w:trPr>
          <w:tblHeader w:val="true"/>
        </w:trPr>
        <w:tc>
          <w:tcPr>
            <w:tcW w:type="dxa" w:w="1814"/>
            <w:shd w:val="clear" w:color="auto" w:fill="14243F"/>
          </w:tcPr>
          <w:p>
            <w:r/>
            <w:r>
              <w:rPr>
                <w:b/>
                <w:color w:val="FFFFFF"/>
                <w:sz w:val="15"/>
              </w:rPr>
              <w:t>JPY bn</w:t>
            </w:r>
          </w:p>
        </w:tc>
        <w:tc>
          <w:tcPr>
            <w:tcW w:type="dxa" w:w="1247"/>
            <w:shd w:val="clear" w:color="auto" w:fill="14243F"/>
          </w:tcPr>
          <w:p>
            <w:r/>
            <w:r>
              <w:rPr>
                <w:b/>
                <w:color w:val="FFFFFF"/>
                <w:sz w:val="15"/>
              </w:rPr>
              <w:t>Q1 FY3/27</w:t>
            </w:r>
          </w:p>
        </w:tc>
        <w:tc>
          <w:tcPr>
            <w:tcW w:type="dxa" w:w="1247"/>
            <w:shd w:val="clear" w:color="auto" w:fill="14243F"/>
          </w:tcPr>
          <w:p>
            <w:r/>
            <w:r>
              <w:rPr>
                <w:b/>
                <w:color w:val="FFFFFF"/>
                <w:sz w:val="15"/>
              </w:rPr>
              <w:t>Q1 FY3/26</w:t>
            </w:r>
          </w:p>
        </w:tc>
        <w:tc>
          <w:tcPr>
            <w:tcW w:type="dxa" w:w="1134"/>
            <w:shd w:val="clear" w:color="auto" w:fill="14243F"/>
          </w:tcPr>
          <w:p>
            <w:r/>
            <w:r>
              <w:rPr>
                <w:b/>
                <w:color w:val="FFFFFF"/>
                <w:sz w:val="15"/>
              </w:rPr>
              <w:t>Change</w:t>
            </w:r>
          </w:p>
        </w:tc>
        <w:tc>
          <w:tcPr>
            <w:tcW w:type="dxa" w:w="4195"/>
            <w:shd w:val="clear" w:color="auto" w:fill="14243F"/>
          </w:tcPr>
          <w:p>
            <w:r/>
            <w:r>
              <w:rPr>
                <w:b/>
                <w:color w:val="FFFFFF"/>
                <w:sz w:val="15"/>
              </w:rPr>
              <w:t>Comment</w:t>
            </w:r>
          </w:p>
        </w:tc>
      </w:tr>
      <w:tr>
        <w:tc>
          <w:tcPr>
            <w:tcW w:type="dxa" w:w="1814"/>
          </w:tcPr>
          <w:p>
            <w:pPr>
              <w:spacing w:after="20"/>
            </w:pPr>
            <w:r/>
            <w:r>
              <w:rPr>
                <w:b/>
                <w:sz w:val="15"/>
              </w:rPr>
              <w:t>Net sales</w:t>
            </w:r>
          </w:p>
        </w:tc>
        <w:tc>
          <w:tcPr>
            <w:tcW w:type="dxa" w:w="1247"/>
          </w:tcPr>
          <w:p>
            <w:pPr>
              <w:spacing w:after="20"/>
            </w:pPr>
            <w:r/>
            <w:r>
              <w:rPr>
                <w:sz w:val="15"/>
              </w:rPr>
              <w:t>623.4</w:t>
            </w:r>
          </w:p>
        </w:tc>
        <w:tc>
          <w:tcPr>
            <w:tcW w:type="dxa" w:w="1247"/>
          </w:tcPr>
          <w:p>
            <w:pPr>
              <w:spacing w:after="20"/>
            </w:pPr>
            <w:r/>
            <w:r>
              <w:rPr>
                <w:sz w:val="15"/>
              </w:rPr>
              <w:t>c.523.8</w:t>
            </w:r>
          </w:p>
        </w:tc>
        <w:tc>
          <w:tcPr>
            <w:tcW w:type="dxa" w:w="1134"/>
          </w:tcPr>
          <w:p>
            <w:pPr>
              <w:spacing w:after="20"/>
            </w:pPr>
            <w:r/>
            <w:r>
              <w:rPr>
                <w:sz w:val="15"/>
              </w:rPr>
              <w:t>+19.0%</w:t>
            </w:r>
          </w:p>
        </w:tc>
        <w:tc>
          <w:tcPr>
            <w:tcW w:type="dxa" w:w="4195"/>
          </w:tcPr>
          <w:p>
            <w:pPr>
              <w:spacing w:after="20"/>
            </w:pPr>
            <w:r/>
            <w:r>
              <w:rPr>
                <w:sz w:val="15"/>
              </w:rPr>
              <w:t>Domestic building and civil progress on large backlog; GCON consolidated</w:t>
            </w:r>
          </w:p>
        </w:tc>
      </w:tr>
      <w:tr>
        <w:tc>
          <w:tcPr>
            <w:tcW w:type="dxa" w:w="1814"/>
            <w:shd w:val="clear" w:color="auto" w:fill="F1F3F8"/>
          </w:tcPr>
          <w:p>
            <w:pPr>
              <w:spacing w:after="20"/>
            </w:pPr>
            <w:r/>
            <w:r>
              <w:rPr>
                <w:b/>
                <w:sz w:val="15"/>
              </w:rPr>
              <w:t>Operating income</w:t>
            </w:r>
          </w:p>
        </w:tc>
        <w:tc>
          <w:tcPr>
            <w:tcW w:type="dxa" w:w="1247"/>
            <w:shd w:val="clear" w:color="auto" w:fill="F1F3F8"/>
          </w:tcPr>
          <w:p>
            <w:pPr>
              <w:spacing w:after="20"/>
            </w:pPr>
            <w:r/>
            <w:r>
              <w:rPr>
                <w:sz w:val="15"/>
              </w:rPr>
              <w:t>32.7</w:t>
            </w:r>
          </w:p>
        </w:tc>
        <w:tc>
          <w:tcPr>
            <w:tcW w:type="dxa" w:w="1247"/>
            <w:shd w:val="clear" w:color="auto" w:fill="F1F3F8"/>
          </w:tcPr>
          <w:p>
            <w:pPr>
              <w:spacing w:after="20"/>
            </w:pPr>
            <w:r/>
            <w:r>
              <w:rPr>
                <w:sz w:val="15"/>
              </w:rPr>
              <w:t>c.15.8</w:t>
            </w:r>
          </w:p>
        </w:tc>
        <w:tc>
          <w:tcPr>
            <w:tcW w:type="dxa" w:w="1134"/>
            <w:shd w:val="clear" w:color="auto" w:fill="F1F3F8"/>
          </w:tcPr>
          <w:p>
            <w:pPr>
              <w:spacing w:after="20"/>
            </w:pPr>
            <w:r/>
            <w:r>
              <w:rPr>
                <w:sz w:val="15"/>
              </w:rPr>
              <w:t>+107%</w:t>
            </w:r>
          </w:p>
        </w:tc>
        <w:tc>
          <w:tcPr>
            <w:tcW w:type="dxa" w:w="4195"/>
            <w:shd w:val="clear" w:color="auto" w:fill="F1F3F8"/>
          </w:tcPr>
          <w:p>
            <w:pPr>
              <w:spacing w:after="20"/>
            </w:pPr>
            <w:r/>
            <w:r>
              <w:rPr>
                <w:sz w:val="15"/>
              </w:rPr>
              <w:t>OP margin 5.2% vs 3.0%; also property sales</w:t>
            </w:r>
          </w:p>
        </w:tc>
      </w:tr>
      <w:tr>
        <w:tc>
          <w:tcPr>
            <w:tcW w:type="dxa" w:w="1814"/>
          </w:tcPr>
          <w:p>
            <w:pPr>
              <w:spacing w:after="20"/>
            </w:pPr>
            <w:r/>
            <w:r>
              <w:rPr>
                <w:b/>
                <w:sz w:val="15"/>
              </w:rPr>
              <w:t>Ordinary income</w:t>
            </w:r>
          </w:p>
        </w:tc>
        <w:tc>
          <w:tcPr>
            <w:tcW w:type="dxa" w:w="1247"/>
          </w:tcPr>
          <w:p>
            <w:pPr>
              <w:spacing w:after="20"/>
            </w:pPr>
            <w:r/>
            <w:r>
              <w:rPr>
                <w:sz w:val="15"/>
              </w:rPr>
              <w:t>36.4</w:t>
            </w:r>
          </w:p>
        </w:tc>
        <w:tc>
          <w:tcPr>
            <w:tcW w:type="dxa" w:w="1247"/>
          </w:tcPr>
          <w:p>
            <w:pPr>
              <w:spacing w:after="20"/>
            </w:pPr>
            <w:r/>
            <w:r>
              <w:rPr>
                <w:sz w:val="15"/>
              </w:rPr>
              <w:t>c.18.4</w:t>
            </w:r>
          </w:p>
        </w:tc>
        <w:tc>
          <w:tcPr>
            <w:tcW w:type="dxa" w:w="1134"/>
          </w:tcPr>
          <w:p>
            <w:pPr>
              <w:spacing w:after="20"/>
            </w:pPr>
            <w:r/>
            <w:r>
              <w:rPr>
                <w:sz w:val="15"/>
              </w:rPr>
              <w:t>+98.2%</w:t>
            </w:r>
          </w:p>
        </w:tc>
        <w:tc>
          <w:tcPr>
            <w:tcW w:type="dxa" w:w="4195"/>
          </w:tcPr>
          <w:p>
            <w:pPr>
              <w:spacing w:after="20"/>
            </w:pPr>
            <w:r/>
            <w:r>
              <w:rPr>
                <w:sz w:val="15"/>
              </w:rPr>
              <w:t>19.9% of FY guide (JPY 183bn) vs 16.2% five-year average</w:t>
            </w:r>
          </w:p>
        </w:tc>
      </w:tr>
      <w:tr>
        <w:tc>
          <w:tcPr>
            <w:tcW w:type="dxa" w:w="1814"/>
            <w:shd w:val="clear" w:color="auto" w:fill="F1F3F8"/>
          </w:tcPr>
          <w:p>
            <w:pPr>
              <w:spacing w:after="20"/>
            </w:pPr>
            <w:r/>
            <w:r>
              <w:rPr>
                <w:b/>
                <w:sz w:val="15"/>
              </w:rPr>
              <w:t>Net income</w:t>
            </w:r>
          </w:p>
        </w:tc>
        <w:tc>
          <w:tcPr>
            <w:tcW w:type="dxa" w:w="1247"/>
            <w:shd w:val="clear" w:color="auto" w:fill="F1F3F8"/>
          </w:tcPr>
          <w:p>
            <w:pPr>
              <w:spacing w:after="20"/>
            </w:pPr>
            <w:r/>
            <w:r>
              <w:rPr>
                <w:sz w:val="15"/>
              </w:rPr>
              <w:t>39.0</w:t>
            </w:r>
          </w:p>
        </w:tc>
        <w:tc>
          <w:tcPr>
            <w:tcW w:type="dxa" w:w="1247"/>
            <w:shd w:val="clear" w:color="auto" w:fill="F1F3F8"/>
          </w:tcPr>
          <w:p>
            <w:pPr>
              <w:spacing w:after="20"/>
            </w:pPr>
            <w:r/>
            <w:r>
              <w:rPr>
                <w:sz w:val="15"/>
              </w:rPr>
              <w:t>c.18.1</w:t>
            </w:r>
          </w:p>
        </w:tc>
        <w:tc>
          <w:tcPr>
            <w:tcW w:type="dxa" w:w="1134"/>
            <w:shd w:val="clear" w:color="auto" w:fill="F1F3F8"/>
          </w:tcPr>
          <w:p>
            <w:pPr>
              <w:spacing w:after="20"/>
            </w:pPr>
            <w:r/>
            <w:r>
              <w:rPr>
                <w:sz w:val="15"/>
              </w:rPr>
              <w:t>+116%</w:t>
            </w:r>
          </w:p>
        </w:tc>
        <w:tc>
          <w:tcPr>
            <w:tcW w:type="dxa" w:w="4195"/>
            <w:shd w:val="clear" w:color="auto" w:fill="F1F3F8"/>
          </w:tcPr>
          <w:p>
            <w:pPr>
              <w:spacing w:after="20"/>
            </w:pPr>
            <w:r/>
            <w:r>
              <w:rPr>
                <w:sz w:val="15"/>
              </w:rPr>
              <w:t>Exceeds OP: c.JPY 20bn securities gain; not a clean read</w:t>
            </w:r>
          </w:p>
        </w:tc>
      </w:tr>
      <w:tr>
        <w:tc>
          <w:tcPr>
            <w:tcW w:type="dxa" w:w="1814"/>
          </w:tcPr>
          <w:p>
            <w:pPr>
              <w:spacing w:after="20"/>
            </w:pPr>
            <w:r/>
            <w:r>
              <w:rPr>
                <w:b/>
                <w:sz w:val="15"/>
              </w:rPr>
              <w:t>Orders</w:t>
            </w:r>
          </w:p>
        </w:tc>
        <w:tc>
          <w:tcPr>
            <w:tcW w:type="dxa" w:w="1247"/>
          </w:tcPr>
          <w:p>
            <w:pPr>
              <w:spacing w:after="20"/>
            </w:pPr>
            <w:r/>
            <w:r>
              <w:rPr>
                <w:sz w:val="15"/>
              </w:rPr>
              <w:t>577.5</w:t>
            </w:r>
          </w:p>
        </w:tc>
        <w:tc>
          <w:tcPr>
            <w:tcW w:type="dxa" w:w="1247"/>
          </w:tcPr>
          <w:p>
            <w:pPr>
              <w:spacing w:after="20"/>
            </w:pPr>
            <w:r/>
            <w:r>
              <w:rPr>
                <w:sz w:val="15"/>
              </w:rPr>
              <w:t>c.622</w:t>
            </w:r>
          </w:p>
        </w:tc>
        <w:tc>
          <w:tcPr>
            <w:tcW w:type="dxa" w:w="1134"/>
          </w:tcPr>
          <w:p>
            <w:pPr>
              <w:spacing w:after="20"/>
            </w:pPr>
            <w:r/>
            <w:r>
              <w:rPr>
                <w:sz w:val="15"/>
              </w:rPr>
              <w:t>-7.2%</w:t>
            </w:r>
          </w:p>
        </w:tc>
        <w:tc>
          <w:tcPr>
            <w:tcW w:type="dxa" w:w="4195"/>
          </w:tcPr>
          <w:p>
            <w:pPr>
              <w:spacing w:after="20"/>
            </w:pPr>
            <w:r/>
            <w:r>
              <w:rPr>
                <w:sz w:val="15"/>
              </w:rPr>
              <w:t>Down despite higher sales; target FY JPY 3,100bn</w:t>
            </w:r>
          </w:p>
        </w:tc>
      </w:tr>
    </w:tbl>
    <w:p>
      <w:pPr>
        <w:spacing w:after="40"/>
      </w:pPr>
    </w:p>
    <w:p>
      <w:pPr>
        <w:pStyle w:val="ListBullet"/>
        <w:spacing w:after="40"/>
        <w:ind w:left="340"/>
      </w:pPr>
      <w:r>
        <w:rPr>
          <w:b/>
          <w:sz w:val="17"/>
        </w:rPr>
        <w:t>Versus expectations:</w:t>
      </w:r>
      <w:r>
        <w:rPr>
          <w:sz w:val="17"/>
        </w:rPr>
        <w:t xml:space="preserve"> consensus full-year ordinary profit stood at JPY 193.2bn vs company guidance JPY 183bn (kabuyoho†), i.e. the Street was already above guidance. A Q1-specific consensus and surprise percentage could not be found; the Q1 print itself was well ahead of the year-ago base, and guidance was left unchanged.</w:t>
      </w:r>
    </w:p>
    <w:p>
      <w:pPr>
        <w:pStyle w:val="ListBullet"/>
        <w:spacing w:after="40"/>
        <w:ind w:left="340"/>
      </w:pPr>
      <w:r>
        <w:rPr>
          <w:b/>
          <w:sz w:val="17"/>
        </w:rPr>
        <w:t>Segment drivers:</w:t>
      </w:r>
      <w:r>
        <w:rPr>
          <w:sz w:val="17"/>
        </w:rPr>
        <w:t xml:space="preserve"> domestic building (profitable large jobs), domestic civil and overseas civil volumes, GCON in overseas building, and property sales in real estate.</w:t>
      </w:r>
    </w:p>
    <w:p>
      <w:pPr>
        <w:pStyle w:val="ListBullet"/>
        <w:spacing w:after="40"/>
        <w:ind w:left="340"/>
      </w:pPr>
      <w:r>
        <w:rPr>
          <w:b/>
          <w:sz w:val="17"/>
        </w:rPr>
        <w:t>Margins:</w:t>
      </w:r>
      <w:r>
        <w:rPr>
          <w:sz w:val="17"/>
        </w:rPr>
        <w:t xml:space="preserve"> operating margin 5.2% vs 3.0%; full-year guide implies 6.1%, which looks beatable if Q1 is representative, though Q1 is seasonally light.</w:t>
      </w:r>
    </w:p>
    <w:p>
      <w:pPr>
        <w:pStyle w:val="ListBullet"/>
        <w:spacing w:after="40"/>
        <w:ind w:left="340"/>
      </w:pPr>
      <w:r>
        <w:rPr>
          <w:b/>
          <w:sz w:val="17"/>
        </w:rPr>
        <w:t>Guidance and tone:</w:t>
      </w:r>
      <w:r>
        <w:rPr>
          <w:sz w:val="17"/>
        </w:rPr>
        <w:t xml:space="preserve"> unchanged guidance (sales JPY 2,945bn, OP JPY 180bn, NI JPY 157bn); DPS JPY 94 (47 interim). Tone cautious on orders.</w:t>
      </w:r>
    </w:p>
    <w:p>
      <w:pPr>
        <w:pStyle w:val="ListBullet"/>
        <w:spacing w:after="40"/>
        <w:ind w:left="340"/>
      </w:pPr>
      <w:r>
        <w:rPr>
          <w:b/>
          <w:sz w:val="17"/>
        </w:rPr>
        <w:t>Balance sheet flags:</w:t>
      </w:r>
      <w:r>
        <w:rPr>
          <w:sz w:val="17"/>
        </w:rPr>
        <w:t xml:space="preserve"> FY3/26 operating cash flow JPY 253bn vs investing outflow JPY 84bn; net cash JPY 84bn†. Watch contract assets and receivables, the Multiplex purchase (about JPY 86bn cash) and goodwill build.</w:t>
      </w:r>
    </w:p>
    <w:p>
      <w:pPr>
        <w:pStyle w:val="ListBullet"/>
        <w:spacing w:after="40"/>
        <w:ind w:left="340"/>
      </w:pPr>
      <w:r>
        <w:rPr>
          <w:b/>
          <w:sz w:val="17"/>
        </w:rPr>
        <w:t>Market reaction:</w:t>
      </w:r>
      <w:r>
        <w:rPr>
          <w:sz w:val="17"/>
        </w:rPr>
        <w:t xml:space="preserve"> the shares were around JPY 2,990 by 28 August and hit the YTD low of JPY 2,891 on 19 August, i.e. the market sold a strong print: it is discounting margin peaking and order weakness, not Q1 earnings.</w:t>
      </w:r>
    </w:p>
    <w:p>
      <w:pPr>
        <w:pStyle w:val="ListBullet"/>
        <w:spacing w:after="40"/>
        <w:ind w:left="340"/>
      </w:pPr>
      <w:r>
        <w:rPr>
          <w:b/>
          <w:sz w:val="17"/>
        </w:rPr>
        <w:t>Unusual versus history:</w:t>
      </w:r>
      <w:r>
        <w:rPr>
          <w:sz w:val="17"/>
        </w:rPr>
        <w:t xml:space="preserve"> net income above operating income for two consecutive periods (gain-driven); sales +19% with orders -7%; consensus above guidance.</w:t>
      </w:r>
    </w:p>
    <w:p>
      <w:pPr>
        <w:pStyle w:val="Heading1"/>
      </w:pPr>
      <w:r>
        <w:t>10. EPS estimates, FY3/27 to FY3/29</w:t>
      </w:r>
    </w:p>
    <w:p>
      <w:r>
        <w:t>Method: build ordinary income from operating income plus modest non-operating income, add an extraordinary-gain line for securities sales (the main swing factor), apply a 30% tax rate, and divide by a share count reduced by buybacks. Industry growth is modelled as low-single-digit nominal sales growth; no share gains assumed; price/mix held at a c.13% completed-works gross margin; operating leverage limited by labour and SG&amp;A inflation; financing costs are immaterial given net cash.</w:t>
      </w:r>
    </w:p>
    <w:tbl>
      <w:tblPr>
        <w:tblStyle w:val="TableGrid"/>
        <w:tblW w:type="auto" w:w="0"/>
        <w:jc w:val="center"/>
        <w:tblLayout w:type="fixed"/>
        <w:tblLook w:firstColumn="1" w:firstRow="1" w:lastColumn="0" w:lastRow="0" w:noHBand="0" w:noVBand="1" w:val="04A0"/>
      </w:tblPr>
      <w:tblGrid>
        <w:gridCol w:w="1701"/>
        <w:gridCol w:w="1247"/>
        <w:gridCol w:w="1474"/>
        <w:gridCol w:w="1077"/>
        <w:gridCol w:w="850"/>
        <w:gridCol w:w="850"/>
        <w:gridCol w:w="1304"/>
        <w:gridCol w:w="1134"/>
      </w:tblGrid>
      <w:tr>
        <w:trPr>
          <w:tblHeader w:val="true"/>
        </w:trPr>
        <w:tc>
          <w:tcPr>
            <w:tcW w:type="dxa" w:w="1701"/>
            <w:shd w:val="clear" w:color="auto" w:fill="14243F"/>
          </w:tcPr>
          <w:p>
            <w:r/>
            <w:r>
              <w:rPr>
                <w:b/>
                <w:color w:val="FFFFFF"/>
                <w:sz w:val="15"/>
              </w:rPr>
              <w:t>Scenario / year</w:t>
            </w:r>
          </w:p>
        </w:tc>
        <w:tc>
          <w:tcPr>
            <w:tcW w:type="dxa" w:w="1247"/>
            <w:shd w:val="clear" w:color="auto" w:fill="14243F"/>
          </w:tcPr>
          <w:p>
            <w:r/>
            <w:r>
              <w:rPr>
                <w:b/>
                <w:color w:val="FFFFFF"/>
                <w:sz w:val="15"/>
              </w:rPr>
              <w:t>Sales (JPY bn)</w:t>
            </w:r>
          </w:p>
        </w:tc>
        <w:tc>
          <w:tcPr>
            <w:tcW w:type="dxa" w:w="1474"/>
            <w:shd w:val="clear" w:color="auto" w:fill="14243F"/>
          </w:tcPr>
          <w:p>
            <w:r/>
            <w:r>
              <w:rPr>
                <w:b/>
                <w:color w:val="FFFFFF"/>
                <w:sz w:val="15"/>
              </w:rPr>
              <w:t>OP (margin)</w:t>
            </w:r>
          </w:p>
        </w:tc>
        <w:tc>
          <w:tcPr>
            <w:tcW w:type="dxa" w:w="1077"/>
            <w:shd w:val="clear" w:color="auto" w:fill="14243F"/>
          </w:tcPr>
          <w:p>
            <w:r/>
            <w:r>
              <w:rPr>
                <w:b/>
                <w:color w:val="FFFFFF"/>
                <w:sz w:val="15"/>
              </w:rPr>
              <w:t>Ordinary</w:t>
            </w:r>
          </w:p>
        </w:tc>
        <w:tc>
          <w:tcPr>
            <w:tcW w:type="dxa" w:w="850"/>
            <w:shd w:val="clear" w:color="auto" w:fill="14243F"/>
          </w:tcPr>
          <w:p>
            <w:r/>
            <w:r>
              <w:rPr>
                <w:b/>
                <w:color w:val="FFFFFF"/>
                <w:sz w:val="15"/>
              </w:rPr>
              <w:t>Gains</w:t>
            </w:r>
          </w:p>
        </w:tc>
        <w:tc>
          <w:tcPr>
            <w:tcW w:type="dxa" w:w="850"/>
            <w:shd w:val="clear" w:color="auto" w:fill="14243F"/>
          </w:tcPr>
          <w:p>
            <w:r/>
            <w:r>
              <w:rPr>
                <w:b/>
                <w:color w:val="FFFFFF"/>
                <w:sz w:val="15"/>
              </w:rPr>
              <w:t>NI</w:t>
            </w:r>
          </w:p>
        </w:tc>
        <w:tc>
          <w:tcPr>
            <w:tcW w:type="dxa" w:w="1304"/>
            <w:shd w:val="clear" w:color="auto" w:fill="14243F"/>
          </w:tcPr>
          <w:p>
            <w:r/>
            <w:r>
              <w:rPr>
                <w:b/>
                <w:color w:val="FFFFFF"/>
                <w:sz w:val="15"/>
              </w:rPr>
              <w:t>Avg shares (m)</w:t>
            </w:r>
          </w:p>
        </w:tc>
        <w:tc>
          <w:tcPr>
            <w:tcW w:type="dxa" w:w="1134"/>
            <w:shd w:val="clear" w:color="auto" w:fill="14243F"/>
          </w:tcPr>
          <w:p>
            <w:r/>
            <w:r>
              <w:rPr>
                <w:b/>
                <w:color w:val="FFFFFF"/>
                <w:sz w:val="15"/>
              </w:rPr>
              <w:t>EPS (JPY)</w:t>
            </w:r>
          </w:p>
        </w:tc>
      </w:tr>
      <w:tr>
        <w:tc>
          <w:tcPr>
            <w:tcW w:type="dxa" w:w="1701"/>
          </w:tcPr>
          <w:p>
            <w:pPr>
              <w:spacing w:after="20"/>
            </w:pPr>
            <w:r/>
            <w:r>
              <w:rPr>
                <w:b/>
                <w:sz w:val="15"/>
              </w:rPr>
              <w:t>Bear FY3/27E</w:t>
            </w:r>
          </w:p>
        </w:tc>
        <w:tc>
          <w:tcPr>
            <w:tcW w:type="dxa" w:w="1247"/>
          </w:tcPr>
          <w:p>
            <w:pPr>
              <w:spacing w:after="20"/>
            </w:pPr>
            <w:r/>
            <w:r>
              <w:rPr>
                <w:sz w:val="15"/>
              </w:rPr>
              <w:t>2,900</w:t>
            </w:r>
          </w:p>
        </w:tc>
        <w:tc>
          <w:tcPr>
            <w:tcW w:type="dxa" w:w="1474"/>
          </w:tcPr>
          <w:p>
            <w:pPr>
              <w:spacing w:after="20"/>
            </w:pPr>
            <w:r/>
            <w:r>
              <w:rPr>
                <w:sz w:val="15"/>
              </w:rPr>
              <w:t>170 (5.9%)</w:t>
            </w:r>
          </w:p>
        </w:tc>
        <w:tc>
          <w:tcPr>
            <w:tcW w:type="dxa" w:w="1077"/>
          </w:tcPr>
          <w:p>
            <w:pPr>
              <w:spacing w:after="20"/>
            </w:pPr>
            <w:r/>
            <w:r>
              <w:rPr>
                <w:sz w:val="15"/>
              </w:rPr>
              <w:t>174</w:t>
            </w:r>
          </w:p>
        </w:tc>
        <w:tc>
          <w:tcPr>
            <w:tcW w:type="dxa" w:w="850"/>
          </w:tcPr>
          <w:p>
            <w:pPr>
              <w:spacing w:after="20"/>
            </w:pPr>
            <w:r/>
            <w:r>
              <w:rPr>
                <w:sz w:val="15"/>
              </w:rPr>
              <w:t>35</w:t>
            </w:r>
          </w:p>
        </w:tc>
        <w:tc>
          <w:tcPr>
            <w:tcW w:type="dxa" w:w="850"/>
          </w:tcPr>
          <w:p>
            <w:pPr>
              <w:spacing w:after="20"/>
            </w:pPr>
            <w:r/>
            <w:r>
              <w:rPr>
                <w:sz w:val="15"/>
              </w:rPr>
              <w:t>146</w:t>
            </w:r>
          </w:p>
        </w:tc>
        <w:tc>
          <w:tcPr>
            <w:tcW w:type="dxa" w:w="1304"/>
          </w:tcPr>
          <w:p>
            <w:pPr>
              <w:spacing w:after="20"/>
            </w:pPr>
            <w:r/>
            <w:r>
              <w:rPr>
                <w:sz w:val="15"/>
              </w:rPr>
              <w:t>688</w:t>
            </w:r>
          </w:p>
        </w:tc>
        <w:tc>
          <w:tcPr>
            <w:tcW w:type="dxa" w:w="1134"/>
          </w:tcPr>
          <w:p>
            <w:pPr>
              <w:spacing w:after="20"/>
            </w:pPr>
            <w:r/>
            <w:r>
              <w:rPr>
                <w:sz w:val="15"/>
              </w:rPr>
              <w:t>213</w:t>
            </w:r>
          </w:p>
        </w:tc>
      </w:tr>
      <w:tr>
        <w:tc>
          <w:tcPr>
            <w:tcW w:type="dxa" w:w="1701"/>
            <w:shd w:val="clear" w:color="auto" w:fill="F1F3F8"/>
          </w:tcPr>
          <w:p>
            <w:pPr>
              <w:spacing w:after="20"/>
            </w:pPr>
            <w:r/>
            <w:r>
              <w:rPr>
                <w:b/>
                <w:sz w:val="15"/>
              </w:rPr>
              <w:t>Bear FY3/28E</w:t>
            </w:r>
          </w:p>
        </w:tc>
        <w:tc>
          <w:tcPr>
            <w:tcW w:type="dxa" w:w="1247"/>
            <w:shd w:val="clear" w:color="auto" w:fill="F1F3F8"/>
          </w:tcPr>
          <w:p>
            <w:pPr>
              <w:spacing w:after="20"/>
            </w:pPr>
            <w:r/>
            <w:r>
              <w:rPr>
                <w:sz w:val="15"/>
              </w:rPr>
              <w:t>2,900</w:t>
            </w:r>
          </w:p>
        </w:tc>
        <w:tc>
          <w:tcPr>
            <w:tcW w:type="dxa" w:w="1474"/>
            <w:shd w:val="clear" w:color="auto" w:fill="F1F3F8"/>
          </w:tcPr>
          <w:p>
            <w:pPr>
              <w:spacing w:after="20"/>
            </w:pPr>
            <w:r/>
            <w:r>
              <w:rPr>
                <w:sz w:val="15"/>
              </w:rPr>
              <w:t>150 (5.2%)</w:t>
            </w:r>
          </w:p>
        </w:tc>
        <w:tc>
          <w:tcPr>
            <w:tcW w:type="dxa" w:w="1077"/>
            <w:shd w:val="clear" w:color="auto" w:fill="F1F3F8"/>
          </w:tcPr>
          <w:p>
            <w:pPr>
              <w:spacing w:after="20"/>
            </w:pPr>
            <w:r/>
            <w:r>
              <w:rPr>
                <w:sz w:val="15"/>
              </w:rPr>
              <w:t>153</w:t>
            </w:r>
          </w:p>
        </w:tc>
        <w:tc>
          <w:tcPr>
            <w:tcW w:type="dxa" w:w="850"/>
            <w:shd w:val="clear" w:color="auto" w:fill="F1F3F8"/>
          </w:tcPr>
          <w:p>
            <w:pPr>
              <w:spacing w:after="20"/>
            </w:pPr>
            <w:r/>
            <w:r>
              <w:rPr>
                <w:sz w:val="15"/>
              </w:rPr>
              <w:t>10</w:t>
            </w:r>
          </w:p>
        </w:tc>
        <w:tc>
          <w:tcPr>
            <w:tcW w:type="dxa" w:w="850"/>
            <w:shd w:val="clear" w:color="auto" w:fill="F1F3F8"/>
          </w:tcPr>
          <w:p>
            <w:pPr>
              <w:spacing w:after="20"/>
            </w:pPr>
            <w:r/>
            <w:r>
              <w:rPr>
                <w:sz w:val="15"/>
              </w:rPr>
              <w:t>114</w:t>
            </w:r>
          </w:p>
        </w:tc>
        <w:tc>
          <w:tcPr>
            <w:tcW w:type="dxa" w:w="1304"/>
            <w:shd w:val="clear" w:color="auto" w:fill="F1F3F8"/>
          </w:tcPr>
          <w:p>
            <w:pPr>
              <w:spacing w:after="20"/>
            </w:pPr>
            <w:r/>
            <w:r>
              <w:rPr>
                <w:sz w:val="15"/>
              </w:rPr>
              <w:t>684</w:t>
            </w:r>
          </w:p>
        </w:tc>
        <w:tc>
          <w:tcPr>
            <w:tcW w:type="dxa" w:w="1134"/>
            <w:shd w:val="clear" w:color="auto" w:fill="F1F3F8"/>
          </w:tcPr>
          <w:p>
            <w:pPr>
              <w:spacing w:after="20"/>
            </w:pPr>
            <w:r/>
            <w:r>
              <w:rPr>
                <w:sz w:val="15"/>
              </w:rPr>
              <w:t>167</w:t>
            </w:r>
          </w:p>
        </w:tc>
      </w:tr>
      <w:tr>
        <w:tc>
          <w:tcPr>
            <w:tcW w:type="dxa" w:w="1701"/>
          </w:tcPr>
          <w:p>
            <w:pPr>
              <w:spacing w:after="20"/>
            </w:pPr>
            <w:r/>
            <w:r>
              <w:rPr>
                <w:b/>
                <w:sz w:val="15"/>
              </w:rPr>
              <w:t>Bear FY3/29E</w:t>
            </w:r>
          </w:p>
        </w:tc>
        <w:tc>
          <w:tcPr>
            <w:tcW w:type="dxa" w:w="1247"/>
          </w:tcPr>
          <w:p>
            <w:pPr>
              <w:spacing w:after="20"/>
            </w:pPr>
            <w:r/>
            <w:r>
              <w:rPr>
                <w:sz w:val="15"/>
              </w:rPr>
              <w:t>2,900</w:t>
            </w:r>
          </w:p>
        </w:tc>
        <w:tc>
          <w:tcPr>
            <w:tcW w:type="dxa" w:w="1474"/>
          </w:tcPr>
          <w:p>
            <w:pPr>
              <w:spacing w:after="20"/>
            </w:pPr>
            <w:r/>
            <w:r>
              <w:rPr>
                <w:sz w:val="15"/>
              </w:rPr>
              <w:t>140 (4.8%)</w:t>
            </w:r>
          </w:p>
        </w:tc>
        <w:tc>
          <w:tcPr>
            <w:tcW w:type="dxa" w:w="1077"/>
          </w:tcPr>
          <w:p>
            <w:pPr>
              <w:spacing w:after="20"/>
            </w:pPr>
            <w:r/>
            <w:r>
              <w:rPr>
                <w:sz w:val="15"/>
              </w:rPr>
              <w:t>143</w:t>
            </w:r>
          </w:p>
        </w:tc>
        <w:tc>
          <w:tcPr>
            <w:tcW w:type="dxa" w:w="850"/>
          </w:tcPr>
          <w:p>
            <w:pPr>
              <w:spacing w:after="20"/>
            </w:pPr>
            <w:r/>
            <w:r>
              <w:rPr>
                <w:sz w:val="15"/>
              </w:rPr>
              <w:t>5</w:t>
            </w:r>
          </w:p>
        </w:tc>
        <w:tc>
          <w:tcPr>
            <w:tcW w:type="dxa" w:w="850"/>
          </w:tcPr>
          <w:p>
            <w:pPr>
              <w:spacing w:after="20"/>
            </w:pPr>
            <w:r/>
            <w:r>
              <w:rPr>
                <w:sz w:val="15"/>
              </w:rPr>
              <w:t>104</w:t>
            </w:r>
          </w:p>
        </w:tc>
        <w:tc>
          <w:tcPr>
            <w:tcW w:type="dxa" w:w="1304"/>
          </w:tcPr>
          <w:p>
            <w:pPr>
              <w:spacing w:after="20"/>
            </w:pPr>
            <w:r/>
            <w:r>
              <w:rPr>
                <w:sz w:val="15"/>
              </w:rPr>
              <w:t>680</w:t>
            </w:r>
          </w:p>
        </w:tc>
        <w:tc>
          <w:tcPr>
            <w:tcW w:type="dxa" w:w="1134"/>
          </w:tcPr>
          <w:p>
            <w:pPr>
              <w:spacing w:after="20"/>
            </w:pPr>
            <w:r/>
            <w:r>
              <w:rPr>
                <w:sz w:val="15"/>
              </w:rPr>
              <w:t>152</w:t>
            </w:r>
          </w:p>
        </w:tc>
      </w:tr>
      <w:tr>
        <w:tc>
          <w:tcPr>
            <w:tcW w:type="dxa" w:w="1701"/>
            <w:shd w:val="clear" w:color="auto" w:fill="F1F3F8"/>
            <w:shd w:val="clear" w:color="auto" w:fill="DCE7FA"/>
          </w:tcPr>
          <w:p>
            <w:pPr>
              <w:spacing w:after="20"/>
            </w:pPr>
            <w:r/>
            <w:r>
              <w:rPr>
                <w:b/>
                <w:sz w:val="15"/>
              </w:rPr>
              <w:t>Base FY3/27E</w:t>
            </w:r>
          </w:p>
        </w:tc>
        <w:tc>
          <w:tcPr>
            <w:tcW w:type="dxa" w:w="1247"/>
            <w:shd w:val="clear" w:color="auto" w:fill="F1F3F8"/>
            <w:shd w:val="clear" w:color="auto" w:fill="DCE7FA"/>
          </w:tcPr>
          <w:p>
            <w:pPr>
              <w:spacing w:after="20"/>
            </w:pPr>
            <w:r/>
            <w:r>
              <w:rPr>
                <w:sz w:val="15"/>
              </w:rPr>
              <w:t>2,945</w:t>
            </w:r>
          </w:p>
        </w:tc>
        <w:tc>
          <w:tcPr>
            <w:tcW w:type="dxa" w:w="1474"/>
            <w:shd w:val="clear" w:color="auto" w:fill="F1F3F8"/>
            <w:shd w:val="clear" w:color="auto" w:fill="DCE7FA"/>
          </w:tcPr>
          <w:p>
            <w:pPr>
              <w:spacing w:after="20"/>
            </w:pPr>
            <w:r/>
            <w:r>
              <w:rPr>
                <w:sz w:val="15"/>
              </w:rPr>
              <w:t>192 (6.5%)</w:t>
            </w:r>
          </w:p>
        </w:tc>
        <w:tc>
          <w:tcPr>
            <w:tcW w:type="dxa" w:w="1077"/>
            <w:shd w:val="clear" w:color="auto" w:fill="F1F3F8"/>
            <w:shd w:val="clear" w:color="auto" w:fill="DCE7FA"/>
          </w:tcPr>
          <w:p>
            <w:pPr>
              <w:spacing w:after="20"/>
            </w:pPr>
            <w:r/>
            <w:r>
              <w:rPr>
                <w:sz w:val="15"/>
              </w:rPr>
              <w:t>197</w:t>
            </w:r>
          </w:p>
        </w:tc>
        <w:tc>
          <w:tcPr>
            <w:tcW w:type="dxa" w:w="850"/>
            <w:shd w:val="clear" w:color="auto" w:fill="F1F3F8"/>
            <w:shd w:val="clear" w:color="auto" w:fill="DCE7FA"/>
          </w:tcPr>
          <w:p>
            <w:pPr>
              <w:spacing w:after="20"/>
            </w:pPr>
            <w:r/>
            <w:r>
              <w:rPr>
                <w:sz w:val="15"/>
              </w:rPr>
              <w:t>40</w:t>
            </w:r>
          </w:p>
        </w:tc>
        <w:tc>
          <w:tcPr>
            <w:tcW w:type="dxa" w:w="850"/>
            <w:shd w:val="clear" w:color="auto" w:fill="F1F3F8"/>
            <w:shd w:val="clear" w:color="auto" w:fill="DCE7FA"/>
          </w:tcPr>
          <w:p>
            <w:pPr>
              <w:spacing w:after="20"/>
            </w:pPr>
            <w:r/>
            <w:r>
              <w:rPr>
                <w:sz w:val="15"/>
              </w:rPr>
              <w:t>166</w:t>
            </w:r>
          </w:p>
        </w:tc>
        <w:tc>
          <w:tcPr>
            <w:tcW w:type="dxa" w:w="1304"/>
            <w:shd w:val="clear" w:color="auto" w:fill="F1F3F8"/>
            <w:shd w:val="clear" w:color="auto" w:fill="DCE7FA"/>
          </w:tcPr>
          <w:p>
            <w:pPr>
              <w:spacing w:after="20"/>
            </w:pPr>
            <w:r/>
            <w:r>
              <w:rPr>
                <w:sz w:val="15"/>
              </w:rPr>
              <w:t>686</w:t>
            </w:r>
          </w:p>
        </w:tc>
        <w:tc>
          <w:tcPr>
            <w:tcW w:type="dxa" w:w="1134"/>
            <w:shd w:val="clear" w:color="auto" w:fill="F1F3F8"/>
            <w:shd w:val="clear" w:color="auto" w:fill="DCE7FA"/>
          </w:tcPr>
          <w:p>
            <w:pPr>
              <w:spacing w:after="20"/>
            </w:pPr>
            <w:r/>
            <w:r>
              <w:rPr>
                <w:sz w:val="15"/>
              </w:rPr>
              <w:t>242</w:t>
            </w:r>
          </w:p>
        </w:tc>
      </w:tr>
      <w:tr>
        <w:tc>
          <w:tcPr>
            <w:tcW w:type="dxa" w:w="1701"/>
            <w:shd w:val="clear" w:color="auto" w:fill="DCE7FA"/>
          </w:tcPr>
          <w:p>
            <w:pPr>
              <w:spacing w:after="20"/>
            </w:pPr>
            <w:r/>
            <w:r>
              <w:rPr>
                <w:b/>
                <w:sz w:val="15"/>
              </w:rPr>
              <w:t>Base FY3/28E</w:t>
            </w:r>
          </w:p>
        </w:tc>
        <w:tc>
          <w:tcPr>
            <w:tcW w:type="dxa" w:w="1247"/>
            <w:shd w:val="clear" w:color="auto" w:fill="DCE7FA"/>
          </w:tcPr>
          <w:p>
            <w:pPr>
              <w:spacing w:after="20"/>
            </w:pPr>
            <w:r/>
            <w:r>
              <w:rPr>
                <w:sz w:val="15"/>
              </w:rPr>
              <w:t>3,030</w:t>
            </w:r>
          </w:p>
        </w:tc>
        <w:tc>
          <w:tcPr>
            <w:tcW w:type="dxa" w:w="1474"/>
            <w:shd w:val="clear" w:color="auto" w:fill="DCE7FA"/>
          </w:tcPr>
          <w:p>
            <w:pPr>
              <w:spacing w:after="20"/>
            </w:pPr>
            <w:r/>
            <w:r>
              <w:rPr>
                <w:sz w:val="15"/>
              </w:rPr>
              <w:t>197 (6.5%)</w:t>
            </w:r>
          </w:p>
        </w:tc>
        <w:tc>
          <w:tcPr>
            <w:tcW w:type="dxa" w:w="1077"/>
            <w:shd w:val="clear" w:color="auto" w:fill="DCE7FA"/>
          </w:tcPr>
          <w:p>
            <w:pPr>
              <w:spacing w:after="20"/>
            </w:pPr>
            <w:r/>
            <w:r>
              <w:rPr>
                <w:sz w:val="15"/>
              </w:rPr>
              <w:t>202</w:t>
            </w:r>
          </w:p>
        </w:tc>
        <w:tc>
          <w:tcPr>
            <w:tcW w:type="dxa" w:w="850"/>
            <w:shd w:val="clear" w:color="auto" w:fill="DCE7FA"/>
          </w:tcPr>
          <w:p>
            <w:pPr>
              <w:spacing w:after="20"/>
            </w:pPr>
            <w:r/>
            <w:r>
              <w:rPr>
                <w:sz w:val="15"/>
              </w:rPr>
              <w:t>20</w:t>
            </w:r>
          </w:p>
        </w:tc>
        <w:tc>
          <w:tcPr>
            <w:tcW w:type="dxa" w:w="850"/>
            <w:shd w:val="clear" w:color="auto" w:fill="DCE7FA"/>
          </w:tcPr>
          <w:p>
            <w:pPr>
              <w:spacing w:after="20"/>
            </w:pPr>
            <w:r/>
            <w:r>
              <w:rPr>
                <w:sz w:val="15"/>
              </w:rPr>
              <w:t>155</w:t>
            </w:r>
          </w:p>
        </w:tc>
        <w:tc>
          <w:tcPr>
            <w:tcW w:type="dxa" w:w="1304"/>
            <w:shd w:val="clear" w:color="auto" w:fill="DCE7FA"/>
          </w:tcPr>
          <w:p>
            <w:pPr>
              <w:spacing w:after="20"/>
            </w:pPr>
            <w:r/>
            <w:r>
              <w:rPr>
                <w:sz w:val="15"/>
              </w:rPr>
              <w:t>680</w:t>
            </w:r>
          </w:p>
        </w:tc>
        <w:tc>
          <w:tcPr>
            <w:tcW w:type="dxa" w:w="1134"/>
            <w:shd w:val="clear" w:color="auto" w:fill="DCE7FA"/>
          </w:tcPr>
          <w:p>
            <w:pPr>
              <w:spacing w:after="20"/>
            </w:pPr>
            <w:r/>
            <w:r>
              <w:rPr>
                <w:sz w:val="15"/>
              </w:rPr>
              <w:t>229</w:t>
            </w:r>
          </w:p>
        </w:tc>
      </w:tr>
      <w:tr>
        <w:tc>
          <w:tcPr>
            <w:tcW w:type="dxa" w:w="1701"/>
            <w:shd w:val="clear" w:color="auto" w:fill="F1F3F8"/>
            <w:shd w:val="clear" w:color="auto" w:fill="DCE7FA"/>
          </w:tcPr>
          <w:p>
            <w:pPr>
              <w:spacing w:after="20"/>
            </w:pPr>
            <w:r/>
            <w:r>
              <w:rPr>
                <w:b/>
                <w:sz w:val="15"/>
              </w:rPr>
              <w:t>Base FY3/29E</w:t>
            </w:r>
          </w:p>
        </w:tc>
        <w:tc>
          <w:tcPr>
            <w:tcW w:type="dxa" w:w="1247"/>
            <w:shd w:val="clear" w:color="auto" w:fill="F1F3F8"/>
            <w:shd w:val="clear" w:color="auto" w:fill="DCE7FA"/>
          </w:tcPr>
          <w:p>
            <w:pPr>
              <w:spacing w:after="20"/>
            </w:pPr>
            <w:r/>
            <w:r>
              <w:rPr>
                <w:sz w:val="15"/>
              </w:rPr>
              <w:t>3,120</w:t>
            </w:r>
          </w:p>
        </w:tc>
        <w:tc>
          <w:tcPr>
            <w:tcW w:type="dxa" w:w="1474"/>
            <w:shd w:val="clear" w:color="auto" w:fill="F1F3F8"/>
            <w:shd w:val="clear" w:color="auto" w:fill="DCE7FA"/>
          </w:tcPr>
          <w:p>
            <w:pPr>
              <w:spacing w:after="20"/>
            </w:pPr>
            <w:r/>
            <w:r>
              <w:rPr>
                <w:sz w:val="15"/>
              </w:rPr>
              <w:t>206 (6.6%)</w:t>
            </w:r>
          </w:p>
        </w:tc>
        <w:tc>
          <w:tcPr>
            <w:tcW w:type="dxa" w:w="1077"/>
            <w:shd w:val="clear" w:color="auto" w:fill="F1F3F8"/>
            <w:shd w:val="clear" w:color="auto" w:fill="DCE7FA"/>
          </w:tcPr>
          <w:p>
            <w:pPr>
              <w:spacing w:after="20"/>
            </w:pPr>
            <w:r/>
            <w:r>
              <w:rPr>
                <w:sz w:val="15"/>
              </w:rPr>
              <w:t>211</w:t>
            </w:r>
          </w:p>
        </w:tc>
        <w:tc>
          <w:tcPr>
            <w:tcW w:type="dxa" w:w="850"/>
            <w:shd w:val="clear" w:color="auto" w:fill="F1F3F8"/>
            <w:shd w:val="clear" w:color="auto" w:fill="DCE7FA"/>
          </w:tcPr>
          <w:p>
            <w:pPr>
              <w:spacing w:after="20"/>
            </w:pPr>
            <w:r/>
            <w:r>
              <w:rPr>
                <w:sz w:val="15"/>
              </w:rPr>
              <w:t>15</w:t>
            </w:r>
          </w:p>
        </w:tc>
        <w:tc>
          <w:tcPr>
            <w:tcW w:type="dxa" w:w="850"/>
            <w:shd w:val="clear" w:color="auto" w:fill="F1F3F8"/>
            <w:shd w:val="clear" w:color="auto" w:fill="DCE7FA"/>
          </w:tcPr>
          <w:p>
            <w:pPr>
              <w:spacing w:after="20"/>
            </w:pPr>
            <w:r/>
            <w:r>
              <w:rPr>
                <w:sz w:val="15"/>
              </w:rPr>
              <w:t>158</w:t>
            </w:r>
          </w:p>
        </w:tc>
        <w:tc>
          <w:tcPr>
            <w:tcW w:type="dxa" w:w="1304"/>
            <w:shd w:val="clear" w:color="auto" w:fill="F1F3F8"/>
            <w:shd w:val="clear" w:color="auto" w:fill="DCE7FA"/>
          </w:tcPr>
          <w:p>
            <w:pPr>
              <w:spacing w:after="20"/>
            </w:pPr>
            <w:r/>
            <w:r>
              <w:rPr>
                <w:sz w:val="15"/>
              </w:rPr>
              <w:t>672</w:t>
            </w:r>
          </w:p>
        </w:tc>
        <w:tc>
          <w:tcPr>
            <w:tcW w:type="dxa" w:w="1134"/>
            <w:shd w:val="clear" w:color="auto" w:fill="F1F3F8"/>
            <w:shd w:val="clear" w:color="auto" w:fill="DCE7FA"/>
          </w:tcPr>
          <w:p>
            <w:pPr>
              <w:spacing w:after="20"/>
            </w:pPr>
            <w:r/>
            <w:r>
              <w:rPr>
                <w:sz w:val="15"/>
              </w:rPr>
              <w:t>235</w:t>
            </w:r>
          </w:p>
        </w:tc>
      </w:tr>
      <w:tr>
        <w:tc>
          <w:tcPr>
            <w:tcW w:type="dxa" w:w="1701"/>
          </w:tcPr>
          <w:p>
            <w:pPr>
              <w:spacing w:after="20"/>
            </w:pPr>
            <w:r/>
            <w:r>
              <w:rPr>
                <w:b/>
                <w:sz w:val="15"/>
              </w:rPr>
              <w:t>Bull FY3/27E</w:t>
            </w:r>
          </w:p>
        </w:tc>
        <w:tc>
          <w:tcPr>
            <w:tcW w:type="dxa" w:w="1247"/>
          </w:tcPr>
          <w:p>
            <w:pPr>
              <w:spacing w:after="20"/>
            </w:pPr>
            <w:r/>
            <w:r>
              <w:rPr>
                <w:sz w:val="15"/>
              </w:rPr>
              <w:t>2,990</w:t>
            </w:r>
          </w:p>
        </w:tc>
        <w:tc>
          <w:tcPr>
            <w:tcW w:type="dxa" w:w="1474"/>
          </w:tcPr>
          <w:p>
            <w:pPr>
              <w:spacing w:after="20"/>
            </w:pPr>
            <w:r/>
            <w:r>
              <w:rPr>
                <w:sz w:val="15"/>
              </w:rPr>
              <w:t>205 (6.9%)</w:t>
            </w:r>
          </w:p>
        </w:tc>
        <w:tc>
          <w:tcPr>
            <w:tcW w:type="dxa" w:w="1077"/>
          </w:tcPr>
          <w:p>
            <w:pPr>
              <w:spacing w:after="20"/>
            </w:pPr>
            <w:r/>
            <w:r>
              <w:rPr>
                <w:sz w:val="15"/>
              </w:rPr>
              <w:t>211</w:t>
            </w:r>
          </w:p>
        </w:tc>
        <w:tc>
          <w:tcPr>
            <w:tcW w:type="dxa" w:w="850"/>
          </w:tcPr>
          <w:p>
            <w:pPr>
              <w:spacing w:after="20"/>
            </w:pPr>
            <w:r/>
            <w:r>
              <w:rPr>
                <w:sz w:val="15"/>
              </w:rPr>
              <w:t>40</w:t>
            </w:r>
          </w:p>
        </w:tc>
        <w:tc>
          <w:tcPr>
            <w:tcW w:type="dxa" w:w="850"/>
          </w:tcPr>
          <w:p>
            <w:pPr>
              <w:spacing w:after="20"/>
            </w:pPr>
            <w:r/>
            <w:r>
              <w:rPr>
                <w:sz w:val="15"/>
              </w:rPr>
              <w:t>176</w:t>
            </w:r>
          </w:p>
        </w:tc>
        <w:tc>
          <w:tcPr>
            <w:tcW w:type="dxa" w:w="1304"/>
          </w:tcPr>
          <w:p>
            <w:pPr>
              <w:spacing w:after="20"/>
            </w:pPr>
            <w:r/>
            <w:r>
              <w:rPr>
                <w:sz w:val="15"/>
              </w:rPr>
              <w:t>686</w:t>
            </w:r>
          </w:p>
        </w:tc>
        <w:tc>
          <w:tcPr>
            <w:tcW w:type="dxa" w:w="1134"/>
          </w:tcPr>
          <w:p>
            <w:pPr>
              <w:spacing w:after="20"/>
            </w:pPr>
            <w:r/>
            <w:r>
              <w:rPr>
                <w:sz w:val="15"/>
              </w:rPr>
              <w:t>256</w:t>
            </w:r>
          </w:p>
        </w:tc>
      </w:tr>
      <w:tr>
        <w:tc>
          <w:tcPr>
            <w:tcW w:type="dxa" w:w="1701"/>
            <w:shd w:val="clear" w:color="auto" w:fill="F1F3F8"/>
          </w:tcPr>
          <w:p>
            <w:pPr>
              <w:spacing w:after="20"/>
            </w:pPr>
            <w:r/>
            <w:r>
              <w:rPr>
                <w:b/>
                <w:sz w:val="15"/>
              </w:rPr>
              <w:t>Bull FY3/28E</w:t>
            </w:r>
          </w:p>
        </w:tc>
        <w:tc>
          <w:tcPr>
            <w:tcW w:type="dxa" w:w="1247"/>
            <w:shd w:val="clear" w:color="auto" w:fill="F1F3F8"/>
          </w:tcPr>
          <w:p>
            <w:pPr>
              <w:spacing w:after="20"/>
            </w:pPr>
            <w:r/>
            <w:r>
              <w:rPr>
                <w:sz w:val="15"/>
              </w:rPr>
              <w:t>3,150</w:t>
            </w:r>
          </w:p>
        </w:tc>
        <w:tc>
          <w:tcPr>
            <w:tcW w:type="dxa" w:w="1474"/>
            <w:shd w:val="clear" w:color="auto" w:fill="F1F3F8"/>
          </w:tcPr>
          <w:p>
            <w:pPr>
              <w:spacing w:after="20"/>
            </w:pPr>
            <w:r/>
            <w:r>
              <w:rPr>
                <w:sz w:val="15"/>
              </w:rPr>
              <w:t>225 (7.1%)</w:t>
            </w:r>
          </w:p>
        </w:tc>
        <w:tc>
          <w:tcPr>
            <w:tcW w:type="dxa" w:w="1077"/>
            <w:shd w:val="clear" w:color="auto" w:fill="F1F3F8"/>
          </w:tcPr>
          <w:p>
            <w:pPr>
              <w:spacing w:after="20"/>
            </w:pPr>
            <w:r/>
            <w:r>
              <w:rPr>
                <w:sz w:val="15"/>
              </w:rPr>
              <w:t>231</w:t>
            </w:r>
          </w:p>
        </w:tc>
        <w:tc>
          <w:tcPr>
            <w:tcW w:type="dxa" w:w="850"/>
            <w:shd w:val="clear" w:color="auto" w:fill="F1F3F8"/>
          </w:tcPr>
          <w:p>
            <w:pPr>
              <w:spacing w:after="20"/>
            </w:pPr>
            <w:r/>
            <w:r>
              <w:rPr>
                <w:sz w:val="15"/>
              </w:rPr>
              <w:t>20</w:t>
            </w:r>
          </w:p>
        </w:tc>
        <w:tc>
          <w:tcPr>
            <w:tcW w:type="dxa" w:w="850"/>
            <w:shd w:val="clear" w:color="auto" w:fill="F1F3F8"/>
          </w:tcPr>
          <w:p>
            <w:pPr>
              <w:spacing w:after="20"/>
            </w:pPr>
            <w:r/>
            <w:r>
              <w:rPr>
                <w:sz w:val="15"/>
              </w:rPr>
              <w:t>176</w:t>
            </w:r>
          </w:p>
        </w:tc>
        <w:tc>
          <w:tcPr>
            <w:tcW w:type="dxa" w:w="1304"/>
            <w:shd w:val="clear" w:color="auto" w:fill="F1F3F8"/>
          </w:tcPr>
          <w:p>
            <w:pPr>
              <w:spacing w:after="20"/>
            </w:pPr>
            <w:r/>
            <w:r>
              <w:rPr>
                <w:sz w:val="15"/>
              </w:rPr>
              <w:t>678</w:t>
            </w:r>
          </w:p>
        </w:tc>
        <w:tc>
          <w:tcPr>
            <w:tcW w:type="dxa" w:w="1134"/>
            <w:shd w:val="clear" w:color="auto" w:fill="F1F3F8"/>
          </w:tcPr>
          <w:p>
            <w:pPr>
              <w:spacing w:after="20"/>
            </w:pPr>
            <w:r/>
            <w:r>
              <w:rPr>
                <w:sz w:val="15"/>
              </w:rPr>
              <w:t>259</w:t>
            </w:r>
          </w:p>
        </w:tc>
      </w:tr>
      <w:tr>
        <w:tc>
          <w:tcPr>
            <w:tcW w:type="dxa" w:w="1701"/>
          </w:tcPr>
          <w:p>
            <w:pPr>
              <w:spacing w:after="20"/>
            </w:pPr>
            <w:r/>
            <w:r>
              <w:rPr>
                <w:b/>
                <w:sz w:val="15"/>
              </w:rPr>
              <w:t>Bull FY3/29E</w:t>
            </w:r>
          </w:p>
        </w:tc>
        <w:tc>
          <w:tcPr>
            <w:tcW w:type="dxa" w:w="1247"/>
          </w:tcPr>
          <w:p>
            <w:pPr>
              <w:spacing w:after="20"/>
            </w:pPr>
            <w:r/>
            <w:r>
              <w:rPr>
                <w:sz w:val="15"/>
              </w:rPr>
              <w:t>3,320</w:t>
            </w:r>
          </w:p>
        </w:tc>
        <w:tc>
          <w:tcPr>
            <w:tcW w:type="dxa" w:w="1474"/>
          </w:tcPr>
          <w:p>
            <w:pPr>
              <w:spacing w:after="20"/>
            </w:pPr>
            <w:r/>
            <w:r>
              <w:rPr>
                <w:sz w:val="15"/>
              </w:rPr>
              <w:t>245 (7.4%)</w:t>
            </w:r>
          </w:p>
        </w:tc>
        <w:tc>
          <w:tcPr>
            <w:tcW w:type="dxa" w:w="1077"/>
          </w:tcPr>
          <w:p>
            <w:pPr>
              <w:spacing w:after="20"/>
            </w:pPr>
            <w:r/>
            <w:r>
              <w:rPr>
                <w:sz w:val="15"/>
              </w:rPr>
              <w:t>251</w:t>
            </w:r>
          </w:p>
        </w:tc>
        <w:tc>
          <w:tcPr>
            <w:tcW w:type="dxa" w:w="850"/>
          </w:tcPr>
          <w:p>
            <w:pPr>
              <w:spacing w:after="20"/>
            </w:pPr>
            <w:r/>
            <w:r>
              <w:rPr>
                <w:sz w:val="15"/>
              </w:rPr>
              <w:t>15</w:t>
            </w:r>
          </w:p>
        </w:tc>
        <w:tc>
          <w:tcPr>
            <w:tcW w:type="dxa" w:w="850"/>
          </w:tcPr>
          <w:p>
            <w:pPr>
              <w:spacing w:after="20"/>
            </w:pPr>
            <w:r/>
            <w:r>
              <w:rPr>
                <w:sz w:val="15"/>
              </w:rPr>
              <w:t>186</w:t>
            </w:r>
          </w:p>
        </w:tc>
        <w:tc>
          <w:tcPr>
            <w:tcW w:type="dxa" w:w="1304"/>
          </w:tcPr>
          <w:p>
            <w:pPr>
              <w:spacing w:after="20"/>
            </w:pPr>
            <w:r/>
            <w:r>
              <w:rPr>
                <w:sz w:val="15"/>
              </w:rPr>
              <w:t>668</w:t>
            </w:r>
          </w:p>
        </w:tc>
        <w:tc>
          <w:tcPr>
            <w:tcW w:type="dxa" w:w="1134"/>
          </w:tcPr>
          <w:p>
            <w:pPr>
              <w:spacing w:after="20"/>
            </w:pPr>
            <w:r/>
            <w:r>
              <w:rPr>
                <w:sz w:val="15"/>
              </w:rPr>
              <w:t>279</w:t>
            </w:r>
          </w:p>
        </w:tc>
      </w:tr>
    </w:tbl>
    <w:p>
      <w:pPr>
        <w:spacing w:after="40"/>
      </w:pPr>
    </w:p>
    <w:p>
      <w:pPr>
        <w:pStyle w:val="ListBullet"/>
        <w:spacing w:after="40"/>
        <w:ind w:left="340"/>
      </w:pPr>
      <w:r>
        <w:rPr>
          <w:b/>
          <w:sz w:val="17"/>
        </w:rPr>
        <w:t>Base case:</w:t>
      </w:r>
      <w:r>
        <w:rPr>
          <w:sz w:val="17"/>
        </w:rPr>
        <w:t xml:space="preserve"> EPS JPY 242 / 229 / 235. FY3/27E OP of JPY 192bn is 7% above guidance (consensus c.JPY 193bn ordinary) with JPY 40bn of gains (Q1 JPY 20bn already booked). Gains fade and margin eases to c.6.5% as new, lower-margin work flows through, so EPS dips in FY3/28.</w:t>
      </w:r>
    </w:p>
    <w:p>
      <w:pPr>
        <w:pStyle w:val="ListBullet"/>
        <w:spacing w:after="40"/>
        <w:ind w:left="340"/>
      </w:pPr>
      <w:r>
        <w:rPr>
          <w:b/>
          <w:sz w:val="17"/>
        </w:rPr>
        <w:t>Underlying EPS (ex-gains)</w:t>
      </w:r>
      <w:r>
        <w:rPr>
          <w:sz w:val="17"/>
        </w:rPr>
        <w:t xml:space="preserve"> is c.JPY 201 / 208 / 220, which is the right base for multiple-setting; FY3/26's JPY 249 included an estimated JPY 30-35bn of net one-off gains.</w:t>
      </w:r>
    </w:p>
    <w:p>
      <w:pPr>
        <w:pStyle w:val="ListBullet"/>
        <w:spacing w:after="40"/>
        <w:ind w:left="340"/>
      </w:pPr>
      <w:r>
        <w:rPr>
          <w:b/>
          <w:sz w:val="17"/>
        </w:rPr>
        <w:t>Share count:</w:t>
      </w:r>
      <w:r>
        <w:rPr>
          <w:sz w:val="17"/>
        </w:rPr>
        <w:t xml:space="preserve"> c.692m today (market cap / price), falling c.1% a year if the JPY 100bn programme and a successor policy continue; no dilution from options (executive stock awards are small).</w:t>
      </w:r>
    </w:p>
    <w:p>
      <w:pPr>
        <w:pStyle w:val="ListBullet"/>
        <w:spacing w:after="40"/>
        <w:ind w:left="340"/>
      </w:pPr>
      <w:r>
        <w:rPr>
          <w:b/>
          <w:sz w:val="17"/>
        </w:rPr>
        <w:t>Dividend:</w:t>
      </w:r>
      <w:r>
        <w:rPr>
          <w:sz w:val="17"/>
        </w:rPr>
        <w:t xml:space="preserve"> DOE c.5% on equity of c.JPY 1.3tn implies c.JPY 94-100 per share; base DPS 94 / 98 / 102.</w:t>
      </w:r>
    </w:p>
    <w:p>
      <w:pPr>
        <w:pStyle w:val="ListBullet"/>
        <w:spacing w:after="40"/>
        <w:ind w:left="340"/>
      </w:pPr>
      <w:r>
        <w:rPr>
          <w:b/>
          <w:sz w:val="17"/>
        </w:rPr>
        <w:t>Where we differ from the company:</w:t>
      </w:r>
      <w:r>
        <w:rPr>
          <w:sz w:val="17"/>
        </w:rPr>
        <w:t xml:space="preserve"> FY3/27 OP JPY 192bn vs guidance JPY 180bn; where we may be wrong: a Middle East-driven cost shock hitting the backlog.</w:t>
      </w:r>
    </w:p>
    <w:p>
      <w:pPr>
        <w:pStyle w:val="Heading1"/>
      </w:pPr>
      <w:r>
        <w:t>11. Capital structure</w:t>
      </w:r>
    </w:p>
    <w:tbl>
      <w:tblPr>
        <w:tblStyle w:val="TableGrid"/>
        <w:tblW w:type="auto" w:w="0"/>
        <w:jc w:val="center"/>
        <w:tblLayout w:type="fixed"/>
        <w:tblLook w:firstColumn="1" w:firstRow="1" w:lastColumn="0" w:lastRow="0" w:noHBand="0" w:noVBand="1" w:val="04A0"/>
      </w:tblPr>
      <w:tblGrid>
        <w:gridCol w:w="3061"/>
        <w:gridCol w:w="2381"/>
        <w:gridCol w:w="4195"/>
      </w:tblGrid>
      <w:tr>
        <w:trPr>
          <w:tblHeader w:val="true"/>
        </w:trPr>
        <w:tc>
          <w:tcPr>
            <w:tcW w:type="dxa" w:w="3061"/>
            <w:shd w:val="clear" w:color="auto" w:fill="14243F"/>
          </w:tcPr>
          <w:p>
            <w:r/>
            <w:r>
              <w:rPr>
                <w:b/>
                <w:color w:val="FFFFFF"/>
                <w:sz w:val="15"/>
              </w:rPr>
              <w:t>31 March 2026 (JPY bn)</w:t>
            </w:r>
          </w:p>
        </w:tc>
        <w:tc>
          <w:tcPr>
            <w:tcW w:type="dxa" w:w="2381"/>
            <w:shd w:val="clear" w:color="auto" w:fill="14243F"/>
          </w:tcPr>
          <w:p>
            <w:r/>
            <w:r>
              <w:rPr>
                <w:b/>
                <w:color w:val="FFFFFF"/>
                <w:sz w:val="15"/>
              </w:rPr>
              <w:t>Amount</w:t>
            </w:r>
          </w:p>
        </w:tc>
        <w:tc>
          <w:tcPr>
            <w:tcW w:type="dxa" w:w="4195"/>
            <w:shd w:val="clear" w:color="auto" w:fill="14243F"/>
          </w:tcPr>
          <w:p>
            <w:r/>
            <w:r>
              <w:rPr>
                <w:b/>
                <w:color w:val="FFFFFF"/>
                <w:sz w:val="15"/>
              </w:rPr>
              <w:t>Comment</w:t>
            </w:r>
          </w:p>
        </w:tc>
      </w:tr>
      <w:tr>
        <w:tc>
          <w:tcPr>
            <w:tcW w:type="dxa" w:w="3061"/>
          </w:tcPr>
          <w:p>
            <w:pPr>
              <w:spacing w:after="20"/>
            </w:pPr>
            <w:r/>
            <w:r>
              <w:rPr>
                <w:b/>
                <w:sz w:val="15"/>
              </w:rPr>
              <w:t>Cash and equivalents</w:t>
            </w:r>
          </w:p>
        </w:tc>
        <w:tc>
          <w:tcPr>
            <w:tcW w:type="dxa" w:w="2381"/>
          </w:tcPr>
          <w:p>
            <w:pPr>
              <w:spacing w:after="20"/>
            </w:pPr>
            <w:r/>
            <w:r>
              <w:rPr>
                <w:sz w:val="15"/>
              </w:rPr>
              <w:t>430.9†</w:t>
            </w:r>
          </w:p>
        </w:tc>
        <w:tc>
          <w:tcPr>
            <w:tcW w:type="dxa" w:w="4195"/>
          </w:tcPr>
          <w:p>
            <w:pPr>
              <w:spacing w:after="20"/>
            </w:pPr>
            <w:r/>
            <w:r>
              <w:rPr>
                <w:sz w:val="15"/>
              </w:rPr>
              <w:t>Plus short-term investments JPY 9.8bn</w:t>
            </w:r>
          </w:p>
        </w:tc>
      </w:tr>
      <w:tr>
        <w:tc>
          <w:tcPr>
            <w:tcW w:type="dxa" w:w="3061"/>
            <w:shd w:val="clear" w:color="auto" w:fill="F1F3F8"/>
          </w:tcPr>
          <w:p>
            <w:pPr>
              <w:spacing w:after="20"/>
            </w:pPr>
            <w:r/>
            <w:r>
              <w:rPr>
                <w:b/>
                <w:sz w:val="15"/>
              </w:rPr>
              <w:t>Total interest-bearing debt</w:t>
            </w:r>
          </w:p>
        </w:tc>
        <w:tc>
          <w:tcPr>
            <w:tcW w:type="dxa" w:w="2381"/>
            <w:shd w:val="clear" w:color="auto" w:fill="F1F3F8"/>
          </w:tcPr>
          <w:p>
            <w:pPr>
              <w:spacing w:after="20"/>
            </w:pPr>
            <w:r/>
            <w:r>
              <w:rPr>
                <w:sz w:val="15"/>
              </w:rPr>
              <w:t>356.5† (another summary: 344.0)</w:t>
            </w:r>
          </w:p>
        </w:tc>
        <w:tc>
          <w:tcPr>
            <w:tcW w:type="dxa" w:w="4195"/>
            <w:shd w:val="clear" w:color="auto" w:fill="F1F3F8"/>
          </w:tcPr>
          <w:p>
            <w:pPr>
              <w:spacing w:after="20"/>
            </w:pPr>
            <w:r/>
            <w:r>
              <w:rPr>
                <w:sz w:val="15"/>
              </w:rPr>
              <w:t>Mix of bonds, loans and commercial paper not retrieved</w:t>
            </w:r>
          </w:p>
        </w:tc>
      </w:tr>
      <w:tr>
        <w:tc>
          <w:tcPr>
            <w:tcW w:type="dxa" w:w="3061"/>
          </w:tcPr>
          <w:p>
            <w:pPr>
              <w:spacing w:after="20"/>
            </w:pPr>
            <w:r/>
            <w:r>
              <w:rPr>
                <w:b/>
                <w:sz w:val="15"/>
              </w:rPr>
              <w:t>Net cash</w:t>
            </w:r>
          </w:p>
        </w:tc>
        <w:tc>
          <w:tcPr>
            <w:tcW w:type="dxa" w:w="2381"/>
          </w:tcPr>
          <w:p>
            <w:pPr>
              <w:spacing w:after="20"/>
            </w:pPr>
            <w:r/>
            <w:r>
              <w:rPr>
                <w:sz w:val="15"/>
              </w:rPr>
              <w:t>84.2†</w:t>
            </w:r>
          </w:p>
        </w:tc>
        <w:tc>
          <w:tcPr>
            <w:tcW w:type="dxa" w:w="4195"/>
          </w:tcPr>
          <w:p>
            <w:pPr>
              <w:spacing w:after="20"/>
            </w:pPr>
            <w:r/>
            <w:r>
              <w:rPr>
                <w:sz w:val="15"/>
              </w:rPr>
              <w:t>Net cash position; net debt/EBITDA c.-0.3x (EBITDA est. JPY 245bn)</w:t>
            </w:r>
          </w:p>
        </w:tc>
      </w:tr>
      <w:tr>
        <w:tc>
          <w:tcPr>
            <w:tcW w:type="dxa" w:w="3061"/>
            <w:shd w:val="clear" w:color="auto" w:fill="F1F3F8"/>
          </w:tcPr>
          <w:p>
            <w:pPr>
              <w:spacing w:after="20"/>
            </w:pPr>
            <w:r/>
            <w:r>
              <w:rPr>
                <w:b/>
                <w:sz w:val="15"/>
              </w:rPr>
              <w:t>Total assets / equity</w:t>
            </w:r>
          </w:p>
        </w:tc>
        <w:tc>
          <w:tcPr>
            <w:tcW w:type="dxa" w:w="2381"/>
            <w:shd w:val="clear" w:color="auto" w:fill="F1F3F8"/>
          </w:tcPr>
          <w:p>
            <w:pPr>
              <w:spacing w:after="20"/>
            </w:pPr>
            <w:r/>
            <w:r>
              <w:rPr>
                <w:sz w:val="15"/>
              </w:rPr>
              <w:t>3,143.4 / 1,316.5</w:t>
            </w:r>
          </w:p>
        </w:tc>
        <w:tc>
          <w:tcPr>
            <w:tcW w:type="dxa" w:w="4195"/>
            <w:shd w:val="clear" w:color="auto" w:fill="F1F3F8"/>
          </w:tcPr>
          <w:p>
            <w:pPr>
              <w:spacing w:after="20"/>
            </w:pPr>
            <w:r/>
            <w:r>
              <w:rPr>
                <w:sz w:val="15"/>
              </w:rPr>
              <w:t>Equity ratio 40.0%; equity target of JPY 1tn exceeded</w:t>
            </w:r>
          </w:p>
        </w:tc>
      </w:tr>
      <w:tr>
        <w:tc>
          <w:tcPr>
            <w:tcW w:type="dxa" w:w="3061"/>
          </w:tcPr>
          <w:p>
            <w:pPr>
              <w:spacing w:after="20"/>
            </w:pPr>
            <w:r/>
            <w:r>
              <w:rPr>
                <w:b/>
                <w:sz w:val="15"/>
              </w:rPr>
              <w:t>Investment securities (cross-holdings, market value)</w:t>
            </w:r>
          </w:p>
        </w:tc>
        <w:tc>
          <w:tcPr>
            <w:tcW w:type="dxa" w:w="2381"/>
          </w:tcPr>
          <w:p>
            <w:pPr>
              <w:spacing w:after="20"/>
            </w:pPr>
            <w:r/>
            <w:r>
              <w:rPr>
                <w:sz w:val="15"/>
              </w:rPr>
              <w:t>288.8</w:t>
            </w:r>
          </w:p>
        </w:tc>
        <w:tc>
          <w:tcPr>
            <w:tcW w:type="dxa" w:w="4195"/>
          </w:tcPr>
          <w:p>
            <w:pPr>
              <w:spacing w:after="20"/>
            </w:pPr>
            <w:r/>
            <w:r>
              <w:rPr>
                <w:sz w:val="15"/>
              </w:rPr>
              <w:t>21.9% of net assets; target 20% by Mar 2027; JPY 58.3bn agreed but not executed</w:t>
            </w:r>
          </w:p>
        </w:tc>
      </w:tr>
      <w:tr>
        <w:tc>
          <w:tcPr>
            <w:tcW w:type="dxa" w:w="3061"/>
            <w:shd w:val="clear" w:color="auto" w:fill="F1F3F8"/>
          </w:tcPr>
          <w:p>
            <w:pPr>
              <w:spacing w:after="20"/>
            </w:pPr>
            <w:r/>
            <w:r>
              <w:rPr>
                <w:b/>
                <w:sz w:val="15"/>
              </w:rPr>
              <w:t>Operating / investing / financing cash flow</w:t>
            </w:r>
          </w:p>
        </w:tc>
        <w:tc>
          <w:tcPr>
            <w:tcW w:type="dxa" w:w="2381"/>
            <w:shd w:val="clear" w:color="auto" w:fill="F1F3F8"/>
          </w:tcPr>
          <w:p>
            <w:pPr>
              <w:spacing w:after="20"/>
            </w:pPr>
            <w:r/>
            <w:r>
              <w:rPr>
                <w:sz w:val="15"/>
              </w:rPr>
              <w:t>252.9 / -84.4 / -141.4</w:t>
            </w:r>
          </w:p>
        </w:tc>
        <w:tc>
          <w:tcPr>
            <w:tcW w:type="dxa" w:w="4195"/>
            <w:shd w:val="clear" w:color="auto" w:fill="F1F3F8"/>
          </w:tcPr>
          <w:p>
            <w:pPr>
              <w:spacing w:after="20"/>
            </w:pPr>
            <w:r/>
            <w:r>
              <w:rPr>
                <w:sz w:val="15"/>
              </w:rPr>
              <w:t>Financing outflow = dividends + buybacks net of debt</w:t>
            </w:r>
          </w:p>
        </w:tc>
      </w:tr>
    </w:tbl>
    <w:p>
      <w:pPr>
        <w:spacing w:after="40"/>
      </w:pPr>
    </w:p>
    <w:p>
      <w:pPr>
        <w:pStyle w:val="ListBullet"/>
        <w:spacing w:after="40"/>
        <w:ind w:left="340"/>
      </w:pPr>
      <w:r>
        <w:rPr>
          <w:b/>
          <w:sz w:val="17"/>
        </w:rPr>
        <w:t>Debt maturities, covenants, interest cost:</w:t>
      </w:r>
      <w:r>
        <w:rPr>
          <w:sz w:val="17"/>
        </w:rPr>
        <w:t xml:space="preserve"> not retrievable from search summaries. Japanese corporate bonds of this issuer type typically carry a negative-pledge clause rather than financial maintenance covenants (general market practice†, not confirmed for Obayashi's bonds). Obayashi's net interest burden is small given net cash; we recommend checking the yuho debt schedule.</w:t>
      </w:r>
    </w:p>
    <w:p>
      <w:pPr>
        <w:pStyle w:val="ListBullet"/>
        <w:spacing w:after="40"/>
        <w:ind w:left="340"/>
      </w:pPr>
      <w:r>
        <w:rPr>
          <w:b/>
          <w:sz w:val="17"/>
        </w:rPr>
        <w:t>Ratings:</w:t>
      </w:r>
      <w:r>
        <w:rPr>
          <w:sz w:val="17"/>
        </w:rPr>
        <w:t xml:space="preserve"> a JCR long-term issuer rating of AA- (stable) appeared in one search summary but could not be tied definitively to Obayashi†. R&amp;I and international ratings were not found.</w:t>
      </w:r>
    </w:p>
    <w:p>
      <w:pPr>
        <w:pStyle w:val="ListBullet"/>
        <w:spacing w:after="40"/>
        <w:ind w:left="340"/>
      </w:pPr>
      <w:r>
        <w:rPr>
          <w:b/>
          <w:sz w:val="17"/>
        </w:rPr>
        <w:t>Liquidity:</w:t>
      </w:r>
      <w:r>
        <w:rPr>
          <w:sz w:val="17"/>
        </w:rPr>
        <w:t xml:space="preserve"> cash of JPY 431bn covers 1.2x gross debt. The Multiplex purchase (USD 540m, c.JPY 86bn) and a JPY 30bn remaining buyback are comfortably fundable; liquidity is not a concern.</w:t>
      </w:r>
    </w:p>
    <w:p>
      <w:pPr>
        <w:pStyle w:val="ListBullet"/>
        <w:spacing w:after="40"/>
        <w:ind w:left="340"/>
      </w:pPr>
      <w:r>
        <w:rPr>
          <w:b/>
          <w:sz w:val="17"/>
        </w:rPr>
        <w:t>What would change this:</w:t>
      </w:r>
      <w:r>
        <w:rPr>
          <w:sz w:val="17"/>
        </w:rPr>
        <w:t xml:space="preserve"> a large fixed-price project loss, a working-capital reversal after the order-book expansion (operating CF has ranged from JPY 50bn to JPY 253bn in five years†), or a larger overseas acquisition.</w:t>
      </w:r>
    </w:p>
    <w:p>
      <w:pPr>
        <w:pStyle w:val="Heading1"/>
      </w:pPr>
      <w:r>
        <w:t>12. Valuation versus peers and history</w:t>
      </w:r>
    </w:p>
    <w:p>
      <w:r>
        <w:t>At JPY 3,008, market cap is JPY 2,081bn and EV (market cap less net cash) is JPY 1,997bn. Deducting the full JPY 289bn of cross-held shares gives an adjusted EV of JPY 1,708bn. Obayashi reports under JGAAP, which keeps operating leases off balance sheet; European peers report under IFRS 16, which lifts their EBITDA and EV. EV/EBITDA comparisons across the two are therefore biased in Obayashi's favour (looks cheaper), and EV/EBIT and P/E are cleaner.</w:t>
      </w:r>
    </w:p>
    <w:tbl>
      <w:tblPr>
        <w:tblStyle w:val="TableGrid"/>
        <w:tblW w:type="auto" w:w="0"/>
        <w:jc w:val="center"/>
        <w:tblLayout w:type="fixed"/>
        <w:tblLook w:firstColumn="1" w:firstRow="1" w:lastColumn="0" w:lastRow="0" w:noHBand="0" w:noVBand="1" w:val="04A0"/>
      </w:tblPr>
      <w:tblGrid>
        <w:gridCol w:w="2041"/>
        <w:gridCol w:w="680"/>
        <w:gridCol w:w="850"/>
        <w:gridCol w:w="1587"/>
        <w:gridCol w:w="1304"/>
        <w:gridCol w:w="1304"/>
        <w:gridCol w:w="964"/>
        <w:gridCol w:w="907"/>
      </w:tblGrid>
      <w:tr>
        <w:trPr>
          <w:tblHeader w:val="true"/>
        </w:trPr>
        <w:tc>
          <w:tcPr>
            <w:tcW w:type="dxa" w:w="2041"/>
            <w:shd w:val="clear" w:color="auto" w:fill="14243F"/>
          </w:tcPr>
          <w:p>
            <w:r/>
            <w:r>
              <w:rPr>
                <w:b/>
                <w:color w:val="FFFFFF"/>
                <w:sz w:val="14"/>
              </w:rPr>
              <w:t>Company (ticker)</w:t>
            </w:r>
          </w:p>
        </w:tc>
        <w:tc>
          <w:tcPr>
            <w:tcW w:type="dxa" w:w="680"/>
            <w:shd w:val="clear" w:color="auto" w:fill="14243F"/>
          </w:tcPr>
          <w:p>
            <w:r/>
            <w:r>
              <w:rPr>
                <w:b/>
                <w:color w:val="FFFFFF"/>
                <w:sz w:val="14"/>
              </w:rPr>
              <w:t>Listed</w:t>
            </w:r>
          </w:p>
        </w:tc>
        <w:tc>
          <w:tcPr>
            <w:tcW w:type="dxa" w:w="850"/>
            <w:shd w:val="clear" w:color="auto" w:fill="14243F"/>
          </w:tcPr>
          <w:p>
            <w:r/>
            <w:r>
              <w:rPr>
                <w:b/>
                <w:color w:val="FFFFFF"/>
                <w:sz w:val="14"/>
              </w:rPr>
              <w:t>EV/Sales</w:t>
            </w:r>
          </w:p>
        </w:tc>
        <w:tc>
          <w:tcPr>
            <w:tcW w:type="dxa" w:w="1587"/>
            <w:shd w:val="clear" w:color="auto" w:fill="14243F"/>
          </w:tcPr>
          <w:p>
            <w:r/>
            <w:r>
              <w:rPr>
                <w:b/>
                <w:color w:val="FFFFFF"/>
                <w:sz w:val="14"/>
              </w:rPr>
              <w:t>EV/EBITDA</w:t>
            </w:r>
          </w:p>
        </w:tc>
        <w:tc>
          <w:tcPr>
            <w:tcW w:type="dxa" w:w="1304"/>
            <w:shd w:val="clear" w:color="auto" w:fill="14243F"/>
          </w:tcPr>
          <w:p>
            <w:r/>
            <w:r>
              <w:rPr>
                <w:b/>
                <w:color w:val="FFFFFF"/>
                <w:sz w:val="14"/>
              </w:rPr>
              <w:t>EV/EBIT</w:t>
            </w:r>
          </w:p>
        </w:tc>
        <w:tc>
          <w:tcPr>
            <w:tcW w:type="dxa" w:w="1304"/>
            <w:shd w:val="clear" w:color="auto" w:fill="14243F"/>
          </w:tcPr>
          <w:p>
            <w:r/>
            <w:r>
              <w:rPr>
                <w:b/>
                <w:color w:val="FFFFFF"/>
                <w:sz w:val="14"/>
              </w:rPr>
              <w:t>P/E</w:t>
            </w:r>
          </w:p>
        </w:tc>
        <w:tc>
          <w:tcPr>
            <w:tcW w:type="dxa" w:w="964"/>
            <w:shd w:val="clear" w:color="auto" w:fill="14243F"/>
          </w:tcPr>
          <w:p>
            <w:r/>
            <w:r>
              <w:rPr>
                <w:b/>
                <w:color w:val="FFFFFF"/>
                <w:sz w:val="14"/>
              </w:rPr>
              <w:t>EBIT margin</w:t>
            </w:r>
          </w:p>
        </w:tc>
        <w:tc>
          <w:tcPr>
            <w:tcW w:type="dxa" w:w="907"/>
            <w:shd w:val="clear" w:color="auto" w:fill="14243F"/>
          </w:tcPr>
          <w:p>
            <w:r/>
            <w:r>
              <w:rPr>
                <w:b/>
                <w:color w:val="FFFFFF"/>
                <w:sz w:val="14"/>
              </w:rPr>
              <w:t>Net debt/EBITDA</w:t>
            </w:r>
          </w:p>
        </w:tc>
      </w:tr>
      <w:tr>
        <w:tc>
          <w:tcPr>
            <w:tcW w:type="dxa" w:w="2041"/>
            <w:shd w:val="clear" w:color="auto" w:fill="DCE7FA"/>
          </w:tcPr>
          <w:p>
            <w:pPr>
              <w:spacing w:after="20"/>
            </w:pPr>
            <w:r/>
            <w:r>
              <w:rPr>
                <w:b/>
                <w:sz w:val="14"/>
              </w:rPr>
              <w:t>Obayashi (1802 JT)</w:t>
            </w:r>
          </w:p>
        </w:tc>
        <w:tc>
          <w:tcPr>
            <w:tcW w:type="dxa" w:w="680"/>
            <w:shd w:val="clear" w:color="auto" w:fill="DCE7FA"/>
          </w:tcPr>
          <w:p>
            <w:pPr>
              <w:spacing w:after="20"/>
            </w:pPr>
            <w:r/>
            <w:r>
              <w:rPr>
                <w:sz w:val="14"/>
              </w:rPr>
              <w:t>Yes</w:t>
            </w:r>
          </w:p>
        </w:tc>
        <w:tc>
          <w:tcPr>
            <w:tcW w:type="dxa" w:w="850"/>
            <w:shd w:val="clear" w:color="auto" w:fill="DCE7FA"/>
          </w:tcPr>
          <w:p>
            <w:pPr>
              <w:spacing w:after="20"/>
            </w:pPr>
            <w:r/>
            <w:r>
              <w:rPr>
                <w:sz w:val="14"/>
              </w:rPr>
              <w:t>0.77x</w:t>
            </w:r>
          </w:p>
        </w:tc>
        <w:tc>
          <w:tcPr>
            <w:tcW w:type="dxa" w:w="1587"/>
            <w:shd w:val="clear" w:color="auto" w:fill="DCE7FA"/>
          </w:tcPr>
          <w:p>
            <w:pPr>
              <w:spacing w:after="20"/>
            </w:pPr>
            <w:r/>
            <w:r>
              <w:rPr>
                <w:sz w:val="14"/>
              </w:rPr>
              <w:t>8.2x (7.0x adj)</w:t>
            </w:r>
          </w:p>
        </w:tc>
        <w:tc>
          <w:tcPr>
            <w:tcW w:type="dxa" w:w="1304"/>
            <w:shd w:val="clear" w:color="auto" w:fill="DCE7FA"/>
          </w:tcPr>
          <w:p>
            <w:pPr>
              <w:spacing w:after="20"/>
            </w:pPr>
            <w:r/>
            <w:r>
              <w:rPr>
                <w:sz w:val="14"/>
              </w:rPr>
              <w:t>10.3x (8.8x adj)</w:t>
            </w:r>
          </w:p>
        </w:tc>
        <w:tc>
          <w:tcPr>
            <w:tcW w:type="dxa" w:w="1304"/>
            <w:shd w:val="clear" w:color="auto" w:fill="DCE7FA"/>
          </w:tcPr>
          <w:p>
            <w:pPr>
              <w:spacing w:after="20"/>
            </w:pPr>
            <w:r/>
            <w:r>
              <w:rPr>
                <w:sz w:val="14"/>
              </w:rPr>
              <w:t>12.0x / 13.3x fwd</w:t>
            </w:r>
          </w:p>
        </w:tc>
        <w:tc>
          <w:tcPr>
            <w:tcW w:type="dxa" w:w="964"/>
            <w:shd w:val="clear" w:color="auto" w:fill="DCE7FA"/>
          </w:tcPr>
          <w:p>
            <w:pPr>
              <w:spacing w:after="20"/>
            </w:pPr>
            <w:r/>
            <w:r>
              <w:rPr>
                <w:sz w:val="14"/>
              </w:rPr>
              <w:t>7.5%</w:t>
            </w:r>
          </w:p>
        </w:tc>
        <w:tc>
          <w:tcPr>
            <w:tcW w:type="dxa" w:w="907"/>
            <w:shd w:val="clear" w:color="auto" w:fill="DCE7FA"/>
          </w:tcPr>
          <w:p>
            <w:pPr>
              <w:spacing w:after="20"/>
            </w:pPr>
            <w:r/>
            <w:r>
              <w:rPr>
                <w:sz w:val="14"/>
              </w:rPr>
              <w:t>-0.3x</w:t>
            </w:r>
          </w:p>
        </w:tc>
      </w:tr>
      <w:tr>
        <w:tc>
          <w:tcPr>
            <w:tcW w:type="dxa" w:w="2041"/>
            <w:shd w:val="clear" w:color="auto" w:fill="F1F3F8"/>
          </w:tcPr>
          <w:p>
            <w:pPr>
              <w:spacing w:after="20"/>
            </w:pPr>
            <w:r/>
            <w:r>
              <w:rPr>
                <w:b/>
                <w:sz w:val="14"/>
              </w:rPr>
              <w:t>Kajima (1812 JT)</w:t>
            </w:r>
          </w:p>
        </w:tc>
        <w:tc>
          <w:tcPr>
            <w:tcW w:type="dxa" w:w="680"/>
            <w:shd w:val="clear" w:color="auto" w:fill="F1F3F8"/>
          </w:tcPr>
          <w:p>
            <w:pPr>
              <w:spacing w:after="20"/>
            </w:pPr>
            <w:r/>
            <w:r>
              <w:rPr>
                <w:sz w:val="14"/>
              </w:rPr>
              <w:t>Yes</w:t>
            </w:r>
          </w:p>
        </w:tc>
        <w:tc>
          <w:tcPr>
            <w:tcW w:type="dxa" w:w="850"/>
            <w:shd w:val="clear" w:color="auto" w:fill="F1F3F8"/>
          </w:tcPr>
          <w:p>
            <w:pPr>
              <w:spacing w:after="20"/>
            </w:pPr>
            <w:r/>
            <w:r>
              <w:rPr>
                <w:sz w:val="14"/>
              </w:rPr>
              <w:t>1.03x</w:t>
            </w:r>
          </w:p>
        </w:tc>
        <w:tc>
          <w:tcPr>
            <w:tcW w:type="dxa" w:w="1587"/>
            <w:shd w:val="clear" w:color="auto" w:fill="F1F3F8"/>
          </w:tcPr>
          <w:p>
            <w:pPr>
              <w:spacing w:after="20"/>
            </w:pPr>
            <w:r/>
            <w:r>
              <w:rPr>
                <w:sz w:val="14"/>
              </w:rPr>
              <w:t>10.8-12.3x</w:t>
            </w:r>
          </w:p>
        </w:tc>
        <w:tc>
          <w:tcPr>
            <w:tcW w:type="dxa" w:w="1304"/>
            <w:shd w:val="clear" w:color="auto" w:fill="F1F3F8"/>
          </w:tcPr>
          <w:p>
            <w:pPr>
              <w:spacing w:after="20"/>
            </w:pPr>
            <w:r/>
            <w:r>
              <w:rPr>
                <w:sz w:val="14"/>
              </w:rPr>
              <w:t>n/a</w:t>
            </w:r>
          </w:p>
        </w:tc>
        <w:tc>
          <w:tcPr>
            <w:tcW w:type="dxa" w:w="1304"/>
            <w:shd w:val="clear" w:color="auto" w:fill="F1F3F8"/>
          </w:tcPr>
          <w:p>
            <w:pPr>
              <w:spacing w:after="20"/>
            </w:pPr>
            <w:r/>
            <w:r>
              <w:rPr>
                <w:sz w:val="14"/>
              </w:rPr>
              <w:t>15.3x fwd</w:t>
            </w:r>
          </w:p>
        </w:tc>
        <w:tc>
          <w:tcPr>
            <w:tcW w:type="dxa" w:w="964"/>
            <w:shd w:val="clear" w:color="auto" w:fill="F1F3F8"/>
          </w:tcPr>
          <w:p>
            <w:pPr>
              <w:spacing w:after="20"/>
            </w:pPr>
            <w:r/>
            <w:r>
              <w:rPr>
                <w:sz w:val="14"/>
              </w:rPr>
              <w:t>7.7%</w:t>
            </w:r>
          </w:p>
        </w:tc>
        <w:tc>
          <w:tcPr>
            <w:tcW w:type="dxa" w:w="907"/>
            <w:shd w:val="clear" w:color="auto" w:fill="F1F3F8"/>
          </w:tcPr>
          <w:p>
            <w:pPr>
              <w:spacing w:after="20"/>
            </w:pPr>
            <w:r/>
            <w:r>
              <w:rPr>
                <w:sz w:val="14"/>
              </w:rPr>
              <w:t>n/a</w:t>
            </w:r>
          </w:p>
        </w:tc>
      </w:tr>
      <w:tr>
        <w:tc>
          <w:tcPr>
            <w:tcW w:type="dxa" w:w="2041"/>
          </w:tcPr>
          <w:p>
            <w:pPr>
              <w:spacing w:after="20"/>
            </w:pPr>
            <w:r/>
            <w:r>
              <w:rPr>
                <w:b/>
                <w:sz w:val="14"/>
              </w:rPr>
              <w:t>Taisei (1801 JT)</w:t>
            </w:r>
          </w:p>
        </w:tc>
        <w:tc>
          <w:tcPr>
            <w:tcW w:type="dxa" w:w="680"/>
          </w:tcPr>
          <w:p>
            <w:pPr>
              <w:spacing w:after="20"/>
            </w:pPr>
            <w:r/>
            <w:r>
              <w:rPr>
                <w:sz w:val="14"/>
              </w:rPr>
              <w:t>Yes</w:t>
            </w:r>
          </w:p>
        </w:tc>
        <w:tc>
          <w:tcPr>
            <w:tcW w:type="dxa" w:w="850"/>
          </w:tcPr>
          <w:p>
            <w:pPr>
              <w:spacing w:after="20"/>
            </w:pPr>
            <w:r/>
            <w:r>
              <w:rPr>
                <w:sz w:val="14"/>
              </w:rPr>
              <w:t>1.34x</w:t>
            </w:r>
          </w:p>
        </w:tc>
        <w:tc>
          <w:tcPr>
            <w:tcW w:type="dxa" w:w="1587"/>
          </w:tcPr>
          <w:p>
            <w:pPr>
              <w:spacing w:after="20"/>
            </w:pPr>
            <w:r/>
            <w:r>
              <w:rPr>
                <w:sz w:val="14"/>
              </w:rPr>
              <w:t>10.3x</w:t>
            </w:r>
          </w:p>
        </w:tc>
        <w:tc>
          <w:tcPr>
            <w:tcW w:type="dxa" w:w="1304"/>
          </w:tcPr>
          <w:p>
            <w:pPr>
              <w:spacing w:after="20"/>
            </w:pPr>
            <w:r/>
            <w:r>
              <w:rPr>
                <w:sz w:val="14"/>
              </w:rPr>
              <w:t>n/a</w:t>
            </w:r>
          </w:p>
        </w:tc>
        <w:tc>
          <w:tcPr>
            <w:tcW w:type="dxa" w:w="1304"/>
          </w:tcPr>
          <w:p>
            <w:pPr>
              <w:spacing w:after="20"/>
            </w:pPr>
            <w:r/>
            <w:r>
              <w:rPr>
                <w:sz w:val="14"/>
              </w:rPr>
              <w:t>n/a (P/B 2.3x)</w:t>
            </w:r>
          </w:p>
        </w:tc>
        <w:tc>
          <w:tcPr>
            <w:tcW w:type="dxa" w:w="964"/>
          </w:tcPr>
          <w:p>
            <w:pPr>
              <w:spacing w:after="20"/>
            </w:pPr>
            <w:r/>
            <w:r>
              <w:rPr>
                <w:sz w:val="14"/>
              </w:rPr>
              <w:t>9.0%</w:t>
            </w:r>
          </w:p>
        </w:tc>
        <w:tc>
          <w:tcPr>
            <w:tcW w:type="dxa" w:w="907"/>
          </w:tcPr>
          <w:p>
            <w:pPr>
              <w:spacing w:after="20"/>
            </w:pPr>
            <w:r/>
            <w:r>
              <w:rPr>
                <w:sz w:val="14"/>
              </w:rPr>
              <w:t>n/a</w:t>
            </w:r>
          </w:p>
        </w:tc>
      </w:tr>
      <w:tr>
        <w:tc>
          <w:tcPr>
            <w:tcW w:type="dxa" w:w="2041"/>
            <w:shd w:val="clear" w:color="auto" w:fill="F1F3F8"/>
          </w:tcPr>
          <w:p>
            <w:pPr>
              <w:spacing w:after="20"/>
            </w:pPr>
            <w:r/>
            <w:r>
              <w:rPr>
                <w:b/>
                <w:sz w:val="14"/>
              </w:rPr>
              <w:t>Shimizu (1803 JT)</w:t>
            </w:r>
          </w:p>
        </w:tc>
        <w:tc>
          <w:tcPr>
            <w:tcW w:type="dxa" w:w="680"/>
            <w:shd w:val="clear" w:color="auto" w:fill="F1F3F8"/>
          </w:tcPr>
          <w:p>
            <w:pPr>
              <w:spacing w:after="20"/>
            </w:pPr>
            <w:r/>
            <w:r>
              <w:rPr>
                <w:sz w:val="14"/>
              </w:rPr>
              <w:t>Yes</w:t>
            </w:r>
          </w:p>
        </w:tc>
        <w:tc>
          <w:tcPr>
            <w:tcW w:type="dxa" w:w="850"/>
            <w:shd w:val="clear" w:color="auto" w:fill="F1F3F8"/>
          </w:tcPr>
          <w:p>
            <w:pPr>
              <w:spacing w:after="20"/>
            </w:pPr>
            <w:r/>
            <w:r>
              <w:rPr>
                <w:sz w:val="14"/>
              </w:rPr>
              <w:t>0.63x</w:t>
            </w:r>
          </w:p>
        </w:tc>
        <w:tc>
          <w:tcPr>
            <w:tcW w:type="dxa" w:w="1587"/>
            <w:shd w:val="clear" w:color="auto" w:fill="F1F3F8"/>
          </w:tcPr>
          <w:p>
            <w:pPr>
              <w:spacing w:after="20"/>
            </w:pPr>
            <w:r/>
            <w:r>
              <w:rPr>
                <w:sz w:val="14"/>
              </w:rPr>
              <w:t>8.2-8.4x</w:t>
            </w:r>
          </w:p>
        </w:tc>
        <w:tc>
          <w:tcPr>
            <w:tcW w:type="dxa" w:w="1304"/>
            <w:shd w:val="clear" w:color="auto" w:fill="F1F3F8"/>
          </w:tcPr>
          <w:p>
            <w:pPr>
              <w:spacing w:after="20"/>
            </w:pPr>
            <w:r/>
            <w:r>
              <w:rPr>
                <w:sz w:val="14"/>
              </w:rPr>
              <w:t>n/a</w:t>
            </w:r>
          </w:p>
        </w:tc>
        <w:tc>
          <w:tcPr>
            <w:tcW w:type="dxa" w:w="1304"/>
            <w:shd w:val="clear" w:color="auto" w:fill="F1F3F8"/>
          </w:tcPr>
          <w:p>
            <w:pPr>
              <w:spacing w:after="20"/>
            </w:pPr>
            <w:r/>
            <w:r>
              <w:rPr>
                <w:sz w:val="14"/>
              </w:rPr>
              <w:t>12.9x fwd</w:t>
            </w:r>
          </w:p>
        </w:tc>
        <w:tc>
          <w:tcPr>
            <w:tcW w:type="dxa" w:w="964"/>
            <w:shd w:val="clear" w:color="auto" w:fill="F1F3F8"/>
          </w:tcPr>
          <w:p>
            <w:pPr>
              <w:spacing w:after="20"/>
            </w:pPr>
            <w:r/>
            <w:r>
              <w:rPr>
                <w:sz w:val="14"/>
              </w:rPr>
              <w:t>5.8%</w:t>
            </w:r>
          </w:p>
        </w:tc>
        <w:tc>
          <w:tcPr>
            <w:tcW w:type="dxa" w:w="907"/>
            <w:shd w:val="clear" w:color="auto" w:fill="F1F3F8"/>
          </w:tcPr>
          <w:p>
            <w:pPr>
              <w:spacing w:after="20"/>
            </w:pPr>
            <w:r/>
            <w:r>
              <w:rPr>
                <w:sz w:val="14"/>
              </w:rPr>
              <w:t>n/a</w:t>
            </w:r>
          </w:p>
        </w:tc>
      </w:tr>
      <w:tr>
        <w:tc>
          <w:tcPr>
            <w:tcW w:type="dxa" w:w="2041"/>
          </w:tcPr>
          <w:p>
            <w:pPr>
              <w:spacing w:after="20"/>
            </w:pPr>
            <w:r/>
            <w:r>
              <w:rPr>
                <w:b/>
                <w:sz w:val="14"/>
              </w:rPr>
              <w:t>Vinci (DG FP)</w:t>
            </w:r>
          </w:p>
        </w:tc>
        <w:tc>
          <w:tcPr>
            <w:tcW w:type="dxa" w:w="680"/>
          </w:tcPr>
          <w:p>
            <w:pPr>
              <w:spacing w:after="20"/>
            </w:pPr>
            <w:r/>
            <w:r>
              <w:rPr>
                <w:sz w:val="14"/>
              </w:rPr>
              <w:t>Yes</w:t>
            </w:r>
          </w:p>
        </w:tc>
        <w:tc>
          <w:tcPr>
            <w:tcW w:type="dxa" w:w="850"/>
          </w:tcPr>
          <w:p>
            <w:pPr>
              <w:spacing w:after="20"/>
            </w:pPr>
            <w:r/>
            <w:r>
              <w:rPr>
                <w:sz w:val="14"/>
              </w:rPr>
              <w:t>1.25x</w:t>
            </w:r>
          </w:p>
        </w:tc>
        <w:tc>
          <w:tcPr>
            <w:tcW w:type="dxa" w:w="1587"/>
          </w:tcPr>
          <w:p>
            <w:pPr>
              <w:spacing w:after="20"/>
            </w:pPr>
            <w:r/>
            <w:r>
              <w:rPr>
                <w:sz w:val="14"/>
              </w:rPr>
              <w:t>7.7x TTM / 6.9x fwd</w:t>
            </w:r>
          </w:p>
        </w:tc>
        <w:tc>
          <w:tcPr>
            <w:tcW w:type="dxa" w:w="1304"/>
          </w:tcPr>
          <w:p>
            <w:pPr>
              <w:spacing w:after="20"/>
            </w:pPr>
            <w:r/>
            <w:r>
              <w:rPr>
                <w:sz w:val="14"/>
              </w:rPr>
              <w:t>10.5x</w:t>
            </w:r>
          </w:p>
        </w:tc>
        <w:tc>
          <w:tcPr>
            <w:tcW w:type="dxa" w:w="1304"/>
          </w:tcPr>
          <w:p>
            <w:pPr>
              <w:spacing w:after="20"/>
            </w:pPr>
            <w:r/>
            <w:r>
              <w:rPr>
                <w:sz w:val="14"/>
              </w:rPr>
              <w:t>14x</w:t>
            </w:r>
          </w:p>
        </w:tc>
        <w:tc>
          <w:tcPr>
            <w:tcW w:type="dxa" w:w="964"/>
          </w:tcPr>
          <w:p>
            <w:pPr>
              <w:spacing w:after="20"/>
            </w:pPr>
            <w:r/>
            <w:r>
              <w:rPr>
                <w:sz w:val="14"/>
              </w:rPr>
              <w:t>11.9%</w:t>
            </w:r>
          </w:p>
        </w:tc>
        <w:tc>
          <w:tcPr>
            <w:tcW w:type="dxa" w:w="907"/>
          </w:tcPr>
          <w:p>
            <w:pPr>
              <w:spacing w:after="20"/>
            </w:pPr>
            <w:r/>
            <w:r>
              <w:rPr>
                <w:sz w:val="14"/>
              </w:rPr>
              <w:t>n/a</w:t>
            </w:r>
          </w:p>
        </w:tc>
      </w:tr>
      <w:tr>
        <w:tc>
          <w:tcPr>
            <w:tcW w:type="dxa" w:w="2041"/>
            <w:shd w:val="clear" w:color="auto" w:fill="F1F3F8"/>
          </w:tcPr>
          <w:p>
            <w:pPr>
              <w:spacing w:after="20"/>
            </w:pPr>
            <w:r/>
            <w:r>
              <w:rPr>
                <w:b/>
                <w:sz w:val="14"/>
              </w:rPr>
              <w:t>Skanska (SKA-B SS)</w:t>
            </w:r>
          </w:p>
        </w:tc>
        <w:tc>
          <w:tcPr>
            <w:tcW w:type="dxa" w:w="680"/>
            <w:shd w:val="clear" w:color="auto" w:fill="F1F3F8"/>
          </w:tcPr>
          <w:p>
            <w:pPr>
              <w:spacing w:after="20"/>
            </w:pPr>
            <w:r/>
            <w:r>
              <w:rPr>
                <w:sz w:val="14"/>
              </w:rPr>
              <w:t>Yes</w:t>
            </w:r>
          </w:p>
        </w:tc>
        <w:tc>
          <w:tcPr>
            <w:tcW w:type="dxa" w:w="850"/>
            <w:shd w:val="clear" w:color="auto" w:fill="F1F3F8"/>
          </w:tcPr>
          <w:p>
            <w:pPr>
              <w:spacing w:after="20"/>
            </w:pPr>
            <w:r/>
            <w:r>
              <w:rPr>
                <w:sz w:val="14"/>
              </w:rPr>
              <w:t>0.52x</w:t>
            </w:r>
          </w:p>
        </w:tc>
        <w:tc>
          <w:tcPr>
            <w:tcW w:type="dxa" w:w="1587"/>
            <w:shd w:val="clear" w:color="auto" w:fill="F1F3F8"/>
          </w:tcPr>
          <w:p>
            <w:pPr>
              <w:spacing w:after="20"/>
            </w:pPr>
            <w:r/>
            <w:r>
              <w:rPr>
                <w:sz w:val="14"/>
              </w:rPr>
              <w:t>15.4x</w:t>
            </w:r>
          </w:p>
        </w:tc>
        <w:tc>
          <w:tcPr>
            <w:tcW w:type="dxa" w:w="1304"/>
            <w:shd w:val="clear" w:color="auto" w:fill="F1F3F8"/>
          </w:tcPr>
          <w:p>
            <w:pPr>
              <w:spacing w:after="20"/>
            </w:pPr>
            <w:r/>
            <w:r>
              <w:rPr>
                <w:sz w:val="14"/>
              </w:rPr>
              <w:t>14.7x</w:t>
            </w:r>
          </w:p>
        </w:tc>
        <w:tc>
          <w:tcPr>
            <w:tcW w:type="dxa" w:w="1304"/>
            <w:shd w:val="clear" w:color="auto" w:fill="F1F3F8"/>
          </w:tcPr>
          <w:p>
            <w:pPr>
              <w:spacing w:after="20"/>
            </w:pPr>
            <w:r/>
            <w:r>
              <w:rPr>
                <w:sz w:val="14"/>
              </w:rPr>
              <w:t>20x</w:t>
            </w:r>
          </w:p>
        </w:tc>
        <w:tc>
          <w:tcPr>
            <w:tcW w:type="dxa" w:w="964"/>
            <w:shd w:val="clear" w:color="auto" w:fill="F1F3F8"/>
          </w:tcPr>
          <w:p>
            <w:pPr>
              <w:spacing w:after="20"/>
            </w:pPr>
            <w:r/>
            <w:r>
              <w:rPr>
                <w:sz w:val="14"/>
              </w:rPr>
              <w:t>3.5%</w:t>
            </w:r>
          </w:p>
        </w:tc>
        <w:tc>
          <w:tcPr>
            <w:tcW w:type="dxa" w:w="907"/>
            <w:shd w:val="clear" w:color="auto" w:fill="F1F3F8"/>
          </w:tcPr>
          <w:p>
            <w:pPr>
              <w:spacing w:after="20"/>
            </w:pPr>
            <w:r/>
            <w:r>
              <w:rPr>
                <w:sz w:val="14"/>
              </w:rPr>
              <w:t>n/a</w:t>
            </w:r>
          </w:p>
        </w:tc>
      </w:tr>
      <w:tr>
        <w:tc>
          <w:tcPr>
            <w:tcW w:type="dxa" w:w="2041"/>
          </w:tcPr>
          <w:p>
            <w:pPr>
              <w:spacing w:after="20"/>
            </w:pPr>
            <w:r/>
            <w:r>
              <w:rPr>
                <w:b/>
                <w:sz w:val="14"/>
              </w:rPr>
              <w:t>Balfour Beatty (BBY LN)</w:t>
            </w:r>
          </w:p>
        </w:tc>
        <w:tc>
          <w:tcPr>
            <w:tcW w:type="dxa" w:w="680"/>
          </w:tcPr>
          <w:p>
            <w:pPr>
              <w:spacing w:after="20"/>
            </w:pPr>
            <w:r/>
            <w:r>
              <w:rPr>
                <w:sz w:val="14"/>
              </w:rPr>
              <w:t>Yes</w:t>
            </w:r>
          </w:p>
        </w:tc>
        <w:tc>
          <w:tcPr>
            <w:tcW w:type="dxa" w:w="850"/>
          </w:tcPr>
          <w:p>
            <w:pPr>
              <w:spacing w:after="20"/>
            </w:pPr>
            <w:r/>
            <w:r>
              <w:rPr>
                <w:sz w:val="14"/>
              </w:rPr>
              <w:t>0.27x</w:t>
            </w:r>
          </w:p>
        </w:tc>
        <w:tc>
          <w:tcPr>
            <w:tcW w:type="dxa" w:w="1587"/>
          </w:tcPr>
          <w:p>
            <w:pPr>
              <w:spacing w:after="20"/>
            </w:pPr>
            <w:r/>
            <w:r>
              <w:rPr>
                <w:sz w:val="14"/>
              </w:rPr>
              <w:t>6.8x</w:t>
            </w:r>
          </w:p>
        </w:tc>
        <w:tc>
          <w:tcPr>
            <w:tcW w:type="dxa" w:w="1304"/>
          </w:tcPr>
          <w:p>
            <w:pPr>
              <w:spacing w:after="20"/>
            </w:pPr>
            <w:r/>
            <w:r>
              <w:rPr>
                <w:sz w:val="14"/>
              </w:rPr>
              <w:t>n/a</w:t>
            </w:r>
          </w:p>
        </w:tc>
        <w:tc>
          <w:tcPr>
            <w:tcW w:type="dxa" w:w="1304"/>
          </w:tcPr>
          <w:p>
            <w:pPr>
              <w:spacing w:after="20"/>
            </w:pPr>
            <w:r/>
            <w:r>
              <w:rPr>
                <w:sz w:val="14"/>
              </w:rPr>
              <w:t>12.9x</w:t>
            </w:r>
          </w:p>
        </w:tc>
        <w:tc>
          <w:tcPr>
            <w:tcW w:type="dxa" w:w="964"/>
          </w:tcPr>
          <w:p>
            <w:pPr>
              <w:spacing w:after="20"/>
            </w:pPr>
            <w:r/>
            <w:r>
              <w:rPr>
                <w:sz w:val="14"/>
              </w:rPr>
              <w:t>2.1%</w:t>
            </w:r>
          </w:p>
        </w:tc>
        <w:tc>
          <w:tcPr>
            <w:tcW w:type="dxa" w:w="907"/>
          </w:tcPr>
          <w:p>
            <w:pPr>
              <w:spacing w:after="20"/>
            </w:pPr>
            <w:r/>
            <w:r>
              <w:rPr>
                <w:sz w:val="14"/>
              </w:rPr>
              <w:t>n/a</w:t>
            </w:r>
          </w:p>
        </w:tc>
      </w:tr>
      <w:tr>
        <w:tc>
          <w:tcPr>
            <w:tcW w:type="dxa" w:w="2041"/>
            <w:shd w:val="clear" w:color="auto" w:fill="F1F3F8"/>
          </w:tcPr>
          <w:p>
            <w:pPr>
              <w:spacing w:after="20"/>
            </w:pPr>
            <w:r/>
            <w:r>
              <w:rPr>
                <w:b/>
                <w:sz w:val="14"/>
              </w:rPr>
              <w:t>Hochtief (HOT GR)</w:t>
            </w:r>
          </w:p>
        </w:tc>
        <w:tc>
          <w:tcPr>
            <w:tcW w:type="dxa" w:w="680"/>
            <w:shd w:val="clear" w:color="auto" w:fill="F1F3F8"/>
          </w:tcPr>
          <w:p>
            <w:pPr>
              <w:spacing w:after="20"/>
            </w:pPr>
            <w:r/>
            <w:r>
              <w:rPr>
                <w:sz w:val="14"/>
              </w:rPr>
              <w:t>Yes</w:t>
            </w:r>
          </w:p>
        </w:tc>
        <w:tc>
          <w:tcPr>
            <w:tcW w:type="dxa" w:w="850"/>
            <w:shd w:val="clear" w:color="auto" w:fill="F1F3F8"/>
          </w:tcPr>
          <w:p>
            <w:pPr>
              <w:spacing w:after="20"/>
            </w:pPr>
            <w:r/>
            <w:r>
              <w:rPr>
                <w:sz w:val="14"/>
              </w:rPr>
              <w:t>0.59x</w:t>
            </w:r>
          </w:p>
        </w:tc>
        <w:tc>
          <w:tcPr>
            <w:tcW w:type="dxa" w:w="1587"/>
            <w:shd w:val="clear" w:color="auto" w:fill="F1F3F8"/>
          </w:tcPr>
          <w:p>
            <w:pPr>
              <w:spacing w:after="20"/>
            </w:pPr>
            <w:r/>
            <w:r>
              <w:rPr>
                <w:sz w:val="14"/>
              </w:rPr>
              <w:t>n/a</w:t>
            </w:r>
          </w:p>
        </w:tc>
        <w:tc>
          <w:tcPr>
            <w:tcW w:type="dxa" w:w="1304"/>
            <w:shd w:val="clear" w:color="auto" w:fill="F1F3F8"/>
          </w:tcPr>
          <w:p>
            <w:pPr>
              <w:spacing w:after="20"/>
            </w:pPr>
            <w:r/>
            <w:r>
              <w:rPr>
                <w:sz w:val="14"/>
              </w:rPr>
              <w:t>22.9x</w:t>
            </w:r>
          </w:p>
        </w:tc>
        <w:tc>
          <w:tcPr>
            <w:tcW w:type="dxa" w:w="1304"/>
            <w:shd w:val="clear" w:color="auto" w:fill="F1F3F8"/>
          </w:tcPr>
          <w:p>
            <w:pPr>
              <w:spacing w:after="20"/>
            </w:pPr>
            <w:r/>
            <w:r>
              <w:rPr>
                <w:sz w:val="14"/>
              </w:rPr>
              <w:t>n/a</w:t>
            </w:r>
          </w:p>
        </w:tc>
        <w:tc>
          <w:tcPr>
            <w:tcW w:type="dxa" w:w="964"/>
            <w:shd w:val="clear" w:color="auto" w:fill="F1F3F8"/>
          </w:tcPr>
          <w:p>
            <w:pPr>
              <w:spacing w:after="20"/>
            </w:pPr>
            <w:r/>
            <w:r>
              <w:rPr>
                <w:sz w:val="14"/>
              </w:rPr>
              <w:t>2.6%</w:t>
            </w:r>
          </w:p>
        </w:tc>
        <w:tc>
          <w:tcPr>
            <w:tcW w:type="dxa" w:w="907"/>
            <w:shd w:val="clear" w:color="auto" w:fill="F1F3F8"/>
          </w:tcPr>
          <w:p>
            <w:pPr>
              <w:spacing w:after="20"/>
            </w:pPr>
            <w:r/>
            <w:r>
              <w:rPr>
                <w:sz w:val="14"/>
              </w:rPr>
              <w:t>n/a</w:t>
            </w:r>
          </w:p>
        </w:tc>
      </w:tr>
      <w:tr>
        <w:tc>
          <w:tcPr>
            <w:tcW w:type="dxa" w:w="2041"/>
          </w:tcPr>
          <w:p>
            <w:pPr>
              <w:spacing w:after="20"/>
            </w:pPr>
            <w:r/>
            <w:r>
              <w:rPr>
                <w:b/>
                <w:sz w:val="14"/>
              </w:rPr>
              <w:t>Bouygues (EN FP)</w:t>
            </w:r>
          </w:p>
        </w:tc>
        <w:tc>
          <w:tcPr>
            <w:tcW w:type="dxa" w:w="680"/>
          </w:tcPr>
          <w:p>
            <w:pPr>
              <w:spacing w:after="20"/>
            </w:pPr>
            <w:r/>
            <w:r>
              <w:rPr>
                <w:sz w:val="14"/>
              </w:rPr>
              <w:t>Yes</w:t>
            </w:r>
          </w:p>
        </w:tc>
        <w:tc>
          <w:tcPr>
            <w:tcW w:type="dxa" w:w="850"/>
          </w:tcPr>
          <w:p>
            <w:pPr>
              <w:spacing w:after="20"/>
            </w:pPr>
            <w:r/>
            <w:r>
              <w:rPr>
                <w:sz w:val="14"/>
              </w:rPr>
              <w:t>0.48x</w:t>
            </w:r>
          </w:p>
        </w:tc>
        <w:tc>
          <w:tcPr>
            <w:tcW w:type="dxa" w:w="1587"/>
          </w:tcPr>
          <w:p>
            <w:pPr>
              <w:spacing w:after="20"/>
            </w:pPr>
            <w:r/>
            <w:r>
              <w:rPr>
                <w:sz w:val="14"/>
              </w:rPr>
              <w:t>4.9-9.9x</w:t>
            </w:r>
          </w:p>
        </w:tc>
        <w:tc>
          <w:tcPr>
            <w:tcW w:type="dxa" w:w="1304"/>
          </w:tcPr>
          <w:p>
            <w:pPr>
              <w:spacing w:after="20"/>
            </w:pPr>
            <w:r/>
            <w:r>
              <w:rPr>
                <w:sz w:val="14"/>
              </w:rPr>
              <w:t>9.6x</w:t>
            </w:r>
          </w:p>
        </w:tc>
        <w:tc>
          <w:tcPr>
            <w:tcW w:type="dxa" w:w="1304"/>
          </w:tcPr>
          <w:p>
            <w:pPr>
              <w:spacing w:after="20"/>
            </w:pPr>
            <w:r/>
            <w:r>
              <w:rPr>
                <w:sz w:val="14"/>
              </w:rPr>
              <w:t>16.8x</w:t>
            </w:r>
          </w:p>
        </w:tc>
        <w:tc>
          <w:tcPr>
            <w:tcW w:type="dxa" w:w="964"/>
          </w:tcPr>
          <w:p>
            <w:pPr>
              <w:spacing w:after="20"/>
            </w:pPr>
            <w:r/>
            <w:r>
              <w:rPr>
                <w:sz w:val="14"/>
              </w:rPr>
              <w:t>3.3-5.0%</w:t>
            </w:r>
          </w:p>
        </w:tc>
        <w:tc>
          <w:tcPr>
            <w:tcW w:type="dxa" w:w="907"/>
          </w:tcPr>
          <w:p>
            <w:pPr>
              <w:spacing w:after="20"/>
            </w:pPr>
            <w:r/>
            <w:r>
              <w:rPr>
                <w:sz w:val="14"/>
              </w:rPr>
              <w:t>n/a (conglomerate; excluded)</w:t>
            </w:r>
          </w:p>
        </w:tc>
      </w:tr>
    </w:tbl>
    <w:p>
      <w:pPr>
        <w:spacing w:after="40"/>
      </w:pPr>
    </w:p>
    <w:p>
      <w:r>
        <w:rPr>
          <w:i/>
          <w:color w:val="555F70"/>
          <w:sz w:val="15"/>
        </w:rPr>
        <w:t>Peer multiples are from aggregator search snippets (Marketscreener, TipRanks, Stockanalysis, Pitchbook), vary by date and source (e.g. Shimizu EV/EBITDA 8.2-13.5x in different sources, Kajima P/E 15.3x vs 17.4x), and EV figures are mixed-date. Treat them as indicative; a same-basis Bloomberg pull is needed before relying on them. Sales growth and FCF yield for peers were not retrieved; for Obayashi, FY3/26 sales growth -0.2%, FY3/27E +13.9%, and an FCF yield proxy of 8.1% (CFO JPY 253bn + investing CF -JPY 84bn = JPY 169bn, before financing).</w:t>
      </w:r>
    </w:p>
    <w:p>
      <w:pPr>
        <w:pStyle w:val="Heading2"/>
      </w:pPr>
      <w:r>
        <w:t>12.1 Versus peers and history</w:t>
      </w:r>
    </w:p>
    <w:p>
      <w:pPr>
        <w:pStyle w:val="ListBullet"/>
        <w:spacing w:after="40"/>
        <w:ind w:left="340"/>
      </w:pPr>
      <w:r>
        <w:rPr>
          <w:b/>
          <w:sz w:val="17"/>
        </w:rPr>
        <w:t>Versus Japanese Big-3:</w:t>
      </w:r>
      <w:r>
        <w:rPr>
          <w:sz w:val="17"/>
        </w:rPr>
        <w:t xml:space="preserve"> EV/Sales of 0.77x compares with 0.63-1.34x; EV/EBITDA of 8.2x compares with c.8-12x; P/E of c.12-13x compares with 13-15x forward. Obayashi trades in the middle-to-lower half: cheaper than Taisei and Kajima, in line with Shimizu, despite a margin above Shimizu and in line with Kajima.</w:t>
      </w:r>
    </w:p>
    <w:p>
      <w:pPr>
        <w:pStyle w:val="ListBullet"/>
        <w:spacing w:after="40"/>
        <w:ind w:left="340"/>
      </w:pPr>
      <w:r>
        <w:rPr>
          <w:b/>
          <w:sz w:val="17"/>
        </w:rPr>
        <w:t>Versus global contractors:</w:t>
      </w:r>
      <w:r>
        <w:rPr>
          <w:sz w:val="17"/>
        </w:rPr>
        <w:t xml:space="preserve"> at 8-10x EV/EBIT and 12-13x P/E, Obayashi is in line with Vinci/Balfour Beatty on P/E and cheaper than Skanska and Hochtief, but it has a much higher margin than Skanska/Balfour/Hochtief (2-4%), which argues for a premium.</w:t>
      </w:r>
    </w:p>
    <w:p>
      <w:pPr>
        <w:pStyle w:val="ListBullet"/>
        <w:spacing w:after="40"/>
        <w:ind w:left="340"/>
      </w:pPr>
      <w:r>
        <w:rPr>
          <w:b/>
          <w:sz w:val="17"/>
        </w:rPr>
        <w:t>Versus own history:</w:t>
      </w:r>
      <w:r>
        <w:rPr>
          <w:sz w:val="17"/>
        </w:rPr>
        <w:t xml:space="preserve"> a historical series for P/E, P/B and EV/EBITDA could not be retrieved. From general knowledge, Obayashi traded at roughly 0.6-1.0x book and 8-12x earnings for much of 2015-2022† (approximate, unverified); at 1.6x book today the shares trade well above their own 10-year range on P/B, but below their February 2026 peak (c.2.3x book). </w:t>
      </w:r>
      <w:r>
        <w:rPr>
          <w:b/>
          <w:sz w:val="17"/>
        </w:rPr>
        <w:t>On earnings multiples (P/E c.12x) the stock sits within its historical range; on book multiple it is elevated.</w:t>
      </w:r>
    </w:p>
    <w:p>
      <w:pPr>
        <w:pStyle w:val="ListBullet"/>
        <w:spacing w:after="40"/>
        <w:ind w:left="340"/>
      </w:pPr>
      <w:r>
        <w:rPr>
          <w:b/>
          <w:sz w:val="17"/>
        </w:rPr>
        <w:t>Conclusion: fair-to-modestly cheap.</w:t>
      </w:r>
      <w:r>
        <w:rPr>
          <w:sz w:val="17"/>
        </w:rPr>
        <w:t xml:space="preserve"> Cheap on the regression and on a cross-holding-adjusted EV/EBITDA of c.7x; fair on P/E; not cheap on book. The discount is better explained by margin-sustainability doubts than by mispricing.</w:t>
      </w:r>
    </w:p>
    <w:p>
      <w:pPr>
        <w:pStyle w:val="Heading2"/>
      </w:pPr>
      <w:r>
        <w:t>12.2 Regression: TEV/Sales versus EBIT margin</w:t>
      </w:r>
    </w:p>
    <w:p>
      <w:pPr>
        <w:jc w:val="center"/>
      </w:pPr>
      <w:r>
        <w:drawing>
          <wp:inline xmlns:a="http://schemas.openxmlformats.org/drawingml/2006/main" xmlns:pic="http://schemas.openxmlformats.org/drawingml/2006/picture">
            <wp:extent cx="5400000" cy="3410526"/>
            <wp:docPr id="4" name="Picture 4"/>
            <wp:cNvGraphicFramePr>
              <a:graphicFrameLocks noChangeAspect="1"/>
            </wp:cNvGraphicFramePr>
            <a:graphic>
              <a:graphicData uri="http://schemas.openxmlformats.org/drawingml/2006/picture">
                <pic:pic>
                  <pic:nvPicPr>
                    <pic:cNvPr id="0" name="regression.png"/>
                    <pic:cNvPicPr/>
                  </pic:nvPicPr>
                  <pic:blipFill>
                    <a:blip r:embed="rId13"/>
                    <a:stretch>
                      <a:fillRect/>
                    </a:stretch>
                  </pic:blipFill>
                  <pic:spPr>
                    <a:xfrm>
                      <a:off x="0" y="0"/>
                      <a:ext cx="5400000" cy="3410526"/>
                    </a:xfrm>
                    <a:prstGeom prst="rect"/>
                  </pic:spPr>
                </pic:pic>
              </a:graphicData>
            </a:graphic>
          </wp:inline>
        </w:drawing>
      </w:r>
    </w:p>
    <w:p>
      <w:r>
        <w:rPr>
          <w:sz w:val="16"/>
        </w:rPr>
        <w:t>OLS across seven listed peers (Vinci, Skanska, Balfour Beatty, Hochtief, Kajima, Taisei, Shimizu): EV/Sales = 0.18 + 0.103 x EBIT margin (%), R² = 0.86, t-statistic 5.5, n = 7. At Obayashi's 7.5% margin the regression implies 0.95x EV/Sales versus 0.77x actual, a c.23% gap. Implied EV is JPY 2,455bn; adding net cash of JPY 84bn gives equity value of JPY 2,539bn, or c.JPY 3,670 per share (+22%). Caveats: n is small; the peer set mixes Japanese and global names, IFRS and JGAAP, and two points (Vinci, Taisei) carry much of the slope; margins are last-year and EVs are mixed-date aggregator figures. The earlier reference deck's regression (6 peers, EBITDA margin vs EV/Sales, implying a c.70% gap) reflects a different set that includes ultra-luxury and apparel names, and is not comparable.</w:t>
      </w:r>
    </w:p>
    <w:p>
      <w:pPr>
        <w:pStyle w:val="Heading2"/>
      </w:pPr>
      <w:r>
        <w:t>12.3 Competitor universe: listed and unlisted</w:t>
      </w:r>
    </w:p>
    <w:tbl>
      <w:tblPr>
        <w:tblStyle w:val="TableGrid"/>
        <w:tblW w:type="auto" w:w="0"/>
        <w:jc w:val="center"/>
        <w:tblLayout w:type="fixed"/>
        <w:tblLook w:firstColumn="1" w:firstRow="1" w:lastColumn="0" w:lastRow="0" w:noHBand="0" w:noVBand="1" w:val="04A0"/>
      </w:tblPr>
      <w:tblGrid>
        <w:gridCol w:w="2608"/>
        <w:gridCol w:w="1928"/>
        <w:gridCol w:w="2381"/>
        <w:gridCol w:w="2721"/>
      </w:tblGrid>
      <w:tr>
        <w:trPr>
          <w:tblHeader w:val="true"/>
        </w:trPr>
        <w:tc>
          <w:tcPr>
            <w:tcW w:type="dxa" w:w="2608"/>
            <w:shd w:val="clear" w:color="auto" w:fill="14243F"/>
          </w:tcPr>
          <w:p>
            <w:r/>
            <w:r>
              <w:rPr>
                <w:b/>
                <w:color w:val="FFFFFF"/>
                <w:sz w:val="15"/>
              </w:rPr>
              <w:t>Competitor</w:t>
            </w:r>
          </w:p>
        </w:tc>
        <w:tc>
          <w:tcPr>
            <w:tcW w:type="dxa" w:w="1928"/>
            <w:shd w:val="clear" w:color="auto" w:fill="14243F"/>
          </w:tcPr>
          <w:p>
            <w:r/>
            <w:r>
              <w:rPr>
                <w:b/>
                <w:color w:val="FFFFFF"/>
                <w:sz w:val="15"/>
              </w:rPr>
              <w:t>Ticker</w:t>
            </w:r>
          </w:p>
        </w:tc>
        <w:tc>
          <w:tcPr>
            <w:tcW w:type="dxa" w:w="2381"/>
            <w:shd w:val="clear" w:color="auto" w:fill="14243F"/>
          </w:tcPr>
          <w:p>
            <w:r/>
            <w:r>
              <w:rPr>
                <w:b/>
                <w:color w:val="FFFFFF"/>
                <w:sz w:val="15"/>
              </w:rPr>
              <w:t>Status</w:t>
            </w:r>
          </w:p>
        </w:tc>
        <w:tc>
          <w:tcPr>
            <w:tcW w:type="dxa" w:w="2721"/>
            <w:shd w:val="clear" w:color="auto" w:fill="14243F"/>
          </w:tcPr>
          <w:p>
            <w:r/>
            <w:r>
              <w:rPr>
                <w:b/>
                <w:color w:val="FFFFFF"/>
                <w:sz w:val="15"/>
              </w:rPr>
              <w:t>Relevance</w:t>
            </w:r>
          </w:p>
        </w:tc>
      </w:tr>
      <w:tr>
        <w:tc>
          <w:tcPr>
            <w:tcW w:type="dxa" w:w="2608"/>
          </w:tcPr>
          <w:p>
            <w:pPr>
              <w:spacing w:after="20"/>
            </w:pPr>
            <w:r/>
            <w:r>
              <w:rPr>
                <w:b/>
                <w:sz w:val="15"/>
              </w:rPr>
              <w:t>Kajima Corporation</w:t>
            </w:r>
          </w:p>
        </w:tc>
        <w:tc>
          <w:tcPr>
            <w:tcW w:type="dxa" w:w="1928"/>
          </w:tcPr>
          <w:p>
            <w:pPr>
              <w:spacing w:after="20"/>
            </w:pPr>
            <w:r/>
            <w:r>
              <w:rPr>
                <w:sz w:val="15"/>
              </w:rPr>
              <w:t>1812 JT</w:t>
            </w:r>
          </w:p>
        </w:tc>
        <w:tc>
          <w:tcPr>
            <w:tcW w:type="dxa" w:w="2381"/>
          </w:tcPr>
          <w:p>
            <w:pPr>
              <w:spacing w:after="20"/>
            </w:pPr>
            <w:r/>
            <w:r>
              <w:rPr>
                <w:sz w:val="15"/>
              </w:rPr>
              <w:t>Listed (TSE)</w:t>
            </w:r>
          </w:p>
        </w:tc>
        <w:tc>
          <w:tcPr>
            <w:tcW w:type="dxa" w:w="2721"/>
          </w:tcPr>
          <w:p>
            <w:pPr>
              <w:spacing w:after="20"/>
            </w:pPr>
            <w:r/>
            <w:r>
              <w:rPr>
                <w:sz w:val="15"/>
              </w:rPr>
              <w:t>Super-GC; largest by sales; civil and overseas strength</w:t>
            </w:r>
          </w:p>
        </w:tc>
      </w:tr>
      <w:tr>
        <w:tc>
          <w:tcPr>
            <w:tcW w:type="dxa" w:w="2608"/>
            <w:shd w:val="clear" w:color="auto" w:fill="F1F3F8"/>
          </w:tcPr>
          <w:p>
            <w:pPr>
              <w:spacing w:after="20"/>
            </w:pPr>
            <w:r/>
            <w:r>
              <w:rPr>
                <w:b/>
                <w:sz w:val="15"/>
              </w:rPr>
              <w:t>Taisei Corporation</w:t>
            </w:r>
          </w:p>
        </w:tc>
        <w:tc>
          <w:tcPr>
            <w:tcW w:type="dxa" w:w="1928"/>
            <w:shd w:val="clear" w:color="auto" w:fill="F1F3F8"/>
          </w:tcPr>
          <w:p>
            <w:pPr>
              <w:spacing w:after="20"/>
            </w:pPr>
            <w:r/>
            <w:r>
              <w:rPr>
                <w:sz w:val="15"/>
              </w:rPr>
              <w:t>1801 JT</w:t>
            </w:r>
          </w:p>
        </w:tc>
        <w:tc>
          <w:tcPr>
            <w:tcW w:type="dxa" w:w="2381"/>
            <w:shd w:val="clear" w:color="auto" w:fill="F1F3F8"/>
          </w:tcPr>
          <w:p>
            <w:pPr>
              <w:spacing w:after="20"/>
            </w:pPr>
            <w:r/>
            <w:r>
              <w:rPr>
                <w:sz w:val="15"/>
              </w:rPr>
              <w:t>Listed (TSE)</w:t>
            </w:r>
          </w:p>
        </w:tc>
        <w:tc>
          <w:tcPr>
            <w:tcW w:type="dxa" w:w="2721"/>
            <w:shd w:val="clear" w:color="auto" w:fill="F1F3F8"/>
          </w:tcPr>
          <w:p>
            <w:pPr>
              <w:spacing w:after="20"/>
            </w:pPr>
            <w:r/>
            <w:r>
              <w:rPr>
                <w:sz w:val="15"/>
              </w:rPr>
              <w:t>Super-GC; highest margin; acquiring Toyo Construction</w:t>
            </w:r>
          </w:p>
        </w:tc>
      </w:tr>
      <w:tr>
        <w:tc>
          <w:tcPr>
            <w:tcW w:type="dxa" w:w="2608"/>
          </w:tcPr>
          <w:p>
            <w:pPr>
              <w:spacing w:after="20"/>
            </w:pPr>
            <w:r/>
            <w:r>
              <w:rPr>
                <w:b/>
                <w:sz w:val="15"/>
              </w:rPr>
              <w:t>Shimizu Corporation</w:t>
            </w:r>
          </w:p>
        </w:tc>
        <w:tc>
          <w:tcPr>
            <w:tcW w:type="dxa" w:w="1928"/>
          </w:tcPr>
          <w:p>
            <w:pPr>
              <w:spacing w:after="20"/>
            </w:pPr>
            <w:r/>
            <w:r>
              <w:rPr>
                <w:sz w:val="15"/>
              </w:rPr>
              <w:t>1803 JT</w:t>
            </w:r>
          </w:p>
        </w:tc>
        <w:tc>
          <w:tcPr>
            <w:tcW w:type="dxa" w:w="2381"/>
          </w:tcPr>
          <w:p>
            <w:pPr>
              <w:spacing w:after="20"/>
            </w:pPr>
            <w:r/>
            <w:r>
              <w:rPr>
                <w:sz w:val="15"/>
              </w:rPr>
              <w:t>Listed (TSE)</w:t>
            </w:r>
          </w:p>
        </w:tc>
        <w:tc>
          <w:tcPr>
            <w:tcW w:type="dxa" w:w="2721"/>
          </w:tcPr>
          <w:p>
            <w:pPr>
              <w:spacing w:after="20"/>
            </w:pPr>
            <w:r/>
            <w:r>
              <w:rPr>
                <w:sz w:val="15"/>
              </w:rPr>
              <w:t>Super-GC; acquiring Nippon Road stake</w:t>
            </w:r>
          </w:p>
        </w:tc>
      </w:tr>
      <w:tr>
        <w:tc>
          <w:tcPr>
            <w:tcW w:type="dxa" w:w="2608"/>
            <w:shd w:val="clear" w:color="auto" w:fill="F1F3F8"/>
          </w:tcPr>
          <w:p>
            <w:pPr>
              <w:spacing w:after="20"/>
            </w:pPr>
            <w:r/>
            <w:r>
              <w:rPr>
                <w:b/>
                <w:sz w:val="15"/>
              </w:rPr>
              <w:t>Takenaka Corporation</w:t>
            </w:r>
          </w:p>
        </w:tc>
        <w:tc>
          <w:tcPr>
            <w:tcW w:type="dxa" w:w="1928"/>
            <w:shd w:val="clear" w:color="auto" w:fill="F1F3F8"/>
          </w:tcPr>
          <w:p>
            <w:pPr>
              <w:spacing w:after="20"/>
            </w:pPr>
            <w:r/>
            <w:r>
              <w:rPr>
                <w:sz w:val="15"/>
              </w:rPr>
              <w:t>none</w:t>
            </w:r>
          </w:p>
        </w:tc>
        <w:tc>
          <w:tcPr>
            <w:tcW w:type="dxa" w:w="2381"/>
            <w:shd w:val="clear" w:color="auto" w:fill="F1F3F8"/>
          </w:tcPr>
          <w:p>
            <w:pPr>
              <w:spacing w:after="20"/>
            </w:pPr>
            <w:r/>
            <w:r>
              <w:rPr>
                <w:sz w:val="15"/>
              </w:rPr>
              <w:t>Unlisted (private)</w:t>
            </w:r>
          </w:p>
        </w:tc>
        <w:tc>
          <w:tcPr>
            <w:tcW w:type="dxa" w:w="2721"/>
            <w:shd w:val="clear" w:color="auto" w:fill="F1F3F8"/>
          </w:tcPr>
          <w:p>
            <w:pPr>
              <w:spacing w:after="20"/>
            </w:pPr>
            <w:r/>
            <w:r>
              <w:rPr>
                <w:sz w:val="15"/>
              </w:rPr>
              <w:t>Fourth super-GC; design-build; no public valuation</w:t>
            </w:r>
          </w:p>
        </w:tc>
      </w:tr>
      <w:tr>
        <w:tc>
          <w:tcPr>
            <w:tcW w:type="dxa" w:w="2608"/>
          </w:tcPr>
          <w:p>
            <w:pPr>
              <w:spacing w:after="20"/>
            </w:pPr>
            <w:r/>
            <w:r>
              <w:rPr>
                <w:b/>
                <w:sz w:val="15"/>
              </w:rPr>
              <w:t>Daiwa House / Sekisui House</w:t>
            </w:r>
          </w:p>
        </w:tc>
        <w:tc>
          <w:tcPr>
            <w:tcW w:type="dxa" w:w="1928"/>
          </w:tcPr>
          <w:p>
            <w:pPr>
              <w:spacing w:after="20"/>
            </w:pPr>
            <w:r/>
            <w:r>
              <w:rPr>
                <w:sz w:val="15"/>
              </w:rPr>
              <w:t>1925 JT / 1928 JT</w:t>
            </w:r>
          </w:p>
        </w:tc>
        <w:tc>
          <w:tcPr>
            <w:tcW w:type="dxa" w:w="2381"/>
          </w:tcPr>
          <w:p>
            <w:pPr>
              <w:spacing w:after="20"/>
            </w:pPr>
            <w:r/>
            <w:r>
              <w:rPr>
                <w:sz w:val="15"/>
              </w:rPr>
              <w:t>Listed (TSE)</w:t>
            </w:r>
          </w:p>
        </w:tc>
        <w:tc>
          <w:tcPr>
            <w:tcW w:type="dxa" w:w="2721"/>
          </w:tcPr>
          <w:p>
            <w:pPr>
              <w:spacing w:after="20"/>
            </w:pPr>
            <w:r/>
            <w:r>
              <w:rPr>
                <w:sz w:val="15"/>
              </w:rPr>
              <w:t>Housing and light commercial; overlap in logistics and some commercial</w:t>
            </w:r>
          </w:p>
        </w:tc>
      </w:tr>
      <w:tr>
        <w:tc>
          <w:tcPr>
            <w:tcW w:type="dxa" w:w="2608"/>
            <w:shd w:val="clear" w:color="auto" w:fill="F1F3F8"/>
          </w:tcPr>
          <w:p>
            <w:pPr>
              <w:spacing w:after="20"/>
            </w:pPr>
            <w:r/>
            <w:r>
              <w:rPr>
                <w:b/>
                <w:sz w:val="15"/>
              </w:rPr>
              <w:t>Toda / Haseko / Kumagai Gumi</w:t>
            </w:r>
          </w:p>
        </w:tc>
        <w:tc>
          <w:tcPr>
            <w:tcW w:type="dxa" w:w="1928"/>
            <w:shd w:val="clear" w:color="auto" w:fill="F1F3F8"/>
          </w:tcPr>
          <w:p>
            <w:pPr>
              <w:spacing w:after="20"/>
            </w:pPr>
            <w:r/>
            <w:r>
              <w:rPr>
                <w:sz w:val="15"/>
              </w:rPr>
              <w:t>1860 / 1808 / 1861 JT</w:t>
            </w:r>
          </w:p>
        </w:tc>
        <w:tc>
          <w:tcPr>
            <w:tcW w:type="dxa" w:w="2381"/>
            <w:shd w:val="clear" w:color="auto" w:fill="F1F3F8"/>
          </w:tcPr>
          <w:p>
            <w:pPr>
              <w:spacing w:after="20"/>
            </w:pPr>
            <w:r/>
            <w:r>
              <w:rPr>
                <w:sz w:val="15"/>
              </w:rPr>
              <w:t>Listed (TSE)</w:t>
            </w:r>
          </w:p>
        </w:tc>
        <w:tc>
          <w:tcPr>
            <w:tcW w:type="dxa" w:w="2721"/>
            <w:shd w:val="clear" w:color="auto" w:fill="F1F3F8"/>
          </w:tcPr>
          <w:p>
            <w:pPr>
              <w:spacing w:after="20"/>
            </w:pPr>
            <w:r/>
            <w:r>
              <w:rPr>
                <w:sz w:val="15"/>
              </w:rPr>
              <w:t>Mid-tier general contractors</w:t>
            </w:r>
          </w:p>
        </w:tc>
      </w:tr>
      <w:tr>
        <w:tc>
          <w:tcPr>
            <w:tcW w:type="dxa" w:w="2608"/>
          </w:tcPr>
          <w:p>
            <w:pPr>
              <w:spacing w:after="20"/>
            </w:pPr>
            <w:r/>
            <w:r>
              <w:rPr>
                <w:b/>
                <w:sz w:val="15"/>
              </w:rPr>
              <w:t>Penta-Ocean / Okumura / Hazama Ando</w:t>
            </w:r>
          </w:p>
        </w:tc>
        <w:tc>
          <w:tcPr>
            <w:tcW w:type="dxa" w:w="1928"/>
          </w:tcPr>
          <w:p>
            <w:pPr>
              <w:spacing w:after="20"/>
            </w:pPr>
            <w:r/>
            <w:r>
              <w:rPr>
                <w:sz w:val="15"/>
              </w:rPr>
              <w:t>1893 / 1833 / 1719 JT</w:t>
            </w:r>
          </w:p>
        </w:tc>
        <w:tc>
          <w:tcPr>
            <w:tcW w:type="dxa" w:w="2381"/>
          </w:tcPr>
          <w:p>
            <w:pPr>
              <w:spacing w:after="20"/>
            </w:pPr>
            <w:r/>
            <w:r>
              <w:rPr>
                <w:sz w:val="15"/>
              </w:rPr>
              <w:t>Listed (TSE)</w:t>
            </w:r>
          </w:p>
        </w:tc>
        <w:tc>
          <w:tcPr>
            <w:tcW w:type="dxa" w:w="2721"/>
          </w:tcPr>
          <w:p>
            <w:pPr>
              <w:spacing w:after="20"/>
            </w:pPr>
            <w:r/>
            <w:r>
              <w:rPr>
                <w:sz w:val="15"/>
              </w:rPr>
              <w:t>Marine, building and civil mid-tier</w:t>
            </w:r>
          </w:p>
        </w:tc>
      </w:tr>
      <w:tr>
        <w:tc>
          <w:tcPr>
            <w:tcW w:type="dxa" w:w="2608"/>
            <w:shd w:val="clear" w:color="auto" w:fill="F1F3F8"/>
          </w:tcPr>
          <w:p>
            <w:pPr>
              <w:spacing w:after="20"/>
            </w:pPr>
            <w:r/>
            <w:r>
              <w:rPr>
                <w:b/>
                <w:sz w:val="15"/>
              </w:rPr>
              <w:t>Mitsui Sumitomo Construction</w:t>
            </w:r>
          </w:p>
        </w:tc>
        <w:tc>
          <w:tcPr>
            <w:tcW w:type="dxa" w:w="1928"/>
            <w:shd w:val="clear" w:color="auto" w:fill="F1F3F8"/>
          </w:tcPr>
          <w:p>
            <w:pPr>
              <w:spacing w:after="20"/>
            </w:pPr>
            <w:r/>
            <w:r>
              <w:rPr>
                <w:sz w:val="15"/>
              </w:rPr>
              <w:t>1821 JT</w:t>
            </w:r>
          </w:p>
        </w:tc>
        <w:tc>
          <w:tcPr>
            <w:tcW w:type="dxa" w:w="2381"/>
            <w:shd w:val="clear" w:color="auto" w:fill="F1F3F8"/>
          </w:tcPr>
          <w:p>
            <w:pPr>
              <w:spacing w:after="20"/>
            </w:pPr>
            <w:r/>
            <w:r>
              <w:rPr>
                <w:sz w:val="15"/>
              </w:rPr>
              <w:t>Listed; being acquired by Infroneer (5076 JT)</w:t>
            </w:r>
          </w:p>
        </w:tc>
        <w:tc>
          <w:tcPr>
            <w:tcW w:type="dxa" w:w="2721"/>
            <w:shd w:val="clear" w:color="auto" w:fill="F1F3F8"/>
          </w:tcPr>
          <w:p>
            <w:pPr>
              <w:spacing w:after="20"/>
            </w:pPr>
            <w:r/>
            <w:r>
              <w:rPr>
                <w:sz w:val="15"/>
              </w:rPr>
              <w:t>Mid-tier; consolidation example</w:t>
            </w:r>
          </w:p>
        </w:tc>
      </w:tr>
      <w:tr>
        <w:tc>
          <w:tcPr>
            <w:tcW w:type="dxa" w:w="2608"/>
          </w:tcPr>
          <w:p>
            <w:pPr>
              <w:spacing w:after="20"/>
            </w:pPr>
            <w:r/>
            <w:r>
              <w:rPr>
                <w:b/>
                <w:sz w:val="15"/>
              </w:rPr>
              <w:t>Hochtief / Turner</w:t>
            </w:r>
          </w:p>
        </w:tc>
        <w:tc>
          <w:tcPr>
            <w:tcW w:type="dxa" w:w="1928"/>
          </w:tcPr>
          <w:p>
            <w:pPr>
              <w:spacing w:after="20"/>
            </w:pPr>
            <w:r/>
            <w:r>
              <w:rPr>
                <w:sz w:val="15"/>
              </w:rPr>
              <w:t>HOT GR (ACS)</w:t>
            </w:r>
          </w:p>
        </w:tc>
        <w:tc>
          <w:tcPr>
            <w:tcW w:type="dxa" w:w="2381"/>
          </w:tcPr>
          <w:p>
            <w:pPr>
              <w:spacing w:after="20"/>
            </w:pPr>
            <w:r/>
            <w:r>
              <w:rPr>
                <w:sz w:val="15"/>
              </w:rPr>
              <w:t>Hochtief listed; Turner is its subsidiary</w:t>
            </w:r>
          </w:p>
        </w:tc>
        <w:tc>
          <w:tcPr>
            <w:tcW w:type="dxa" w:w="2721"/>
          </w:tcPr>
          <w:p>
            <w:pPr>
              <w:spacing w:after="20"/>
            </w:pPr>
            <w:r/>
            <w:r>
              <w:rPr>
                <w:sz w:val="15"/>
              </w:rPr>
              <w:t>US building competitor</w:t>
            </w:r>
          </w:p>
        </w:tc>
      </w:tr>
      <w:tr>
        <w:tc>
          <w:tcPr>
            <w:tcW w:type="dxa" w:w="2608"/>
            <w:shd w:val="clear" w:color="auto" w:fill="F1F3F8"/>
          </w:tcPr>
          <w:p>
            <w:pPr>
              <w:spacing w:after="20"/>
            </w:pPr>
            <w:r/>
            <w:r>
              <w:rPr>
                <w:b/>
                <w:sz w:val="15"/>
              </w:rPr>
              <w:t>Skanska / Vinci / Balfour Beatty</w:t>
            </w:r>
          </w:p>
        </w:tc>
        <w:tc>
          <w:tcPr>
            <w:tcW w:type="dxa" w:w="1928"/>
            <w:shd w:val="clear" w:color="auto" w:fill="F1F3F8"/>
          </w:tcPr>
          <w:p>
            <w:pPr>
              <w:spacing w:after="20"/>
            </w:pPr>
            <w:r/>
            <w:r>
              <w:rPr>
                <w:sz w:val="15"/>
              </w:rPr>
              <w:t>SKA-B SS / DG FP / BBY LN</w:t>
            </w:r>
          </w:p>
        </w:tc>
        <w:tc>
          <w:tcPr>
            <w:tcW w:type="dxa" w:w="2381"/>
            <w:shd w:val="clear" w:color="auto" w:fill="F1F3F8"/>
          </w:tcPr>
          <w:p>
            <w:pPr>
              <w:spacing w:after="20"/>
            </w:pPr>
            <w:r/>
            <w:r>
              <w:rPr>
                <w:sz w:val="15"/>
              </w:rPr>
              <w:t>Listed</w:t>
            </w:r>
          </w:p>
        </w:tc>
        <w:tc>
          <w:tcPr>
            <w:tcW w:type="dxa" w:w="2721"/>
            <w:shd w:val="clear" w:color="auto" w:fill="F1F3F8"/>
          </w:tcPr>
          <w:p>
            <w:pPr>
              <w:spacing w:after="20"/>
            </w:pPr>
            <w:r/>
            <w:r>
              <w:rPr>
                <w:sz w:val="15"/>
              </w:rPr>
              <w:t>US/European competitors and valuation comps</w:t>
            </w:r>
          </w:p>
        </w:tc>
      </w:tr>
      <w:tr>
        <w:tc>
          <w:tcPr>
            <w:tcW w:type="dxa" w:w="2608"/>
          </w:tcPr>
          <w:p>
            <w:pPr>
              <w:spacing w:after="20"/>
            </w:pPr>
            <w:r/>
            <w:r>
              <w:rPr>
                <w:b/>
                <w:sz w:val="15"/>
              </w:rPr>
              <w:t>Samsung C&amp;T / Hyundai E&amp;C</w:t>
            </w:r>
          </w:p>
        </w:tc>
        <w:tc>
          <w:tcPr>
            <w:tcW w:type="dxa" w:w="1928"/>
          </w:tcPr>
          <w:p>
            <w:pPr>
              <w:spacing w:after="20"/>
            </w:pPr>
            <w:r/>
            <w:r>
              <w:rPr>
                <w:sz w:val="15"/>
              </w:rPr>
              <w:t>028260 / 000720 KS</w:t>
            </w:r>
          </w:p>
        </w:tc>
        <w:tc>
          <w:tcPr>
            <w:tcW w:type="dxa" w:w="2381"/>
          </w:tcPr>
          <w:p>
            <w:pPr>
              <w:spacing w:after="20"/>
            </w:pPr>
            <w:r/>
            <w:r>
              <w:rPr>
                <w:sz w:val="15"/>
              </w:rPr>
              <w:t>Listed (KRX)</w:t>
            </w:r>
          </w:p>
        </w:tc>
        <w:tc>
          <w:tcPr>
            <w:tcW w:type="dxa" w:w="2721"/>
          </w:tcPr>
          <w:p>
            <w:pPr>
              <w:spacing w:after="20"/>
            </w:pPr>
            <w:r/>
            <w:r>
              <w:rPr>
                <w:sz w:val="15"/>
              </w:rPr>
              <w:t>Asia overseas competitors</w:t>
            </w:r>
          </w:p>
        </w:tc>
      </w:tr>
      <w:tr>
        <w:tc>
          <w:tcPr>
            <w:tcW w:type="dxa" w:w="2608"/>
            <w:shd w:val="clear" w:color="auto" w:fill="F1F3F8"/>
          </w:tcPr>
          <w:p>
            <w:pPr>
              <w:spacing w:after="20"/>
            </w:pPr>
            <w:r/>
            <w:r>
              <w:rPr>
                <w:b/>
                <w:sz w:val="15"/>
              </w:rPr>
              <w:t>DPR / Gilbane / Kiewit / Bechtel</w:t>
            </w:r>
          </w:p>
        </w:tc>
        <w:tc>
          <w:tcPr>
            <w:tcW w:type="dxa" w:w="1928"/>
            <w:shd w:val="clear" w:color="auto" w:fill="F1F3F8"/>
          </w:tcPr>
          <w:p>
            <w:pPr>
              <w:spacing w:after="20"/>
            </w:pPr>
            <w:r/>
            <w:r>
              <w:rPr>
                <w:sz w:val="15"/>
              </w:rPr>
              <w:t>none</w:t>
            </w:r>
          </w:p>
        </w:tc>
        <w:tc>
          <w:tcPr>
            <w:tcW w:type="dxa" w:w="2381"/>
            <w:shd w:val="clear" w:color="auto" w:fill="F1F3F8"/>
          </w:tcPr>
          <w:p>
            <w:pPr>
              <w:spacing w:after="20"/>
            </w:pPr>
            <w:r/>
            <w:r>
              <w:rPr>
                <w:sz w:val="15"/>
              </w:rPr>
              <w:t>Private</w:t>
            </w:r>
          </w:p>
        </w:tc>
        <w:tc>
          <w:tcPr>
            <w:tcW w:type="dxa" w:w="2721"/>
            <w:shd w:val="clear" w:color="auto" w:fill="F1F3F8"/>
          </w:tcPr>
          <w:p>
            <w:pPr>
              <w:spacing w:after="20"/>
            </w:pPr>
            <w:r/>
            <w:r>
              <w:rPr>
                <w:sz w:val="15"/>
              </w:rPr>
              <w:t>US data-centre, civil and industrial competitors</w:t>
            </w:r>
          </w:p>
        </w:tc>
      </w:tr>
      <w:tr>
        <w:tc>
          <w:tcPr>
            <w:tcW w:type="dxa" w:w="2608"/>
          </w:tcPr>
          <w:p>
            <w:pPr>
              <w:spacing w:after="20"/>
            </w:pPr>
            <w:r/>
            <w:r>
              <w:rPr>
                <w:b/>
                <w:sz w:val="15"/>
              </w:rPr>
              <w:t>Multiplex</w:t>
            </w:r>
          </w:p>
        </w:tc>
        <w:tc>
          <w:tcPr>
            <w:tcW w:type="dxa" w:w="1928"/>
          </w:tcPr>
          <w:p>
            <w:pPr>
              <w:spacing w:after="20"/>
            </w:pPr>
            <w:r/>
            <w:r>
              <w:rPr>
                <w:sz w:val="15"/>
              </w:rPr>
              <w:t>none</w:t>
            </w:r>
          </w:p>
        </w:tc>
        <w:tc>
          <w:tcPr>
            <w:tcW w:type="dxa" w:w="2381"/>
          </w:tcPr>
          <w:p>
            <w:pPr>
              <w:spacing w:after="20"/>
            </w:pPr>
            <w:r/>
            <w:r>
              <w:rPr>
                <w:sz w:val="15"/>
              </w:rPr>
              <w:t>Private (Brookfield-owned; being acquired by Obayashi)</w:t>
            </w:r>
          </w:p>
        </w:tc>
        <w:tc>
          <w:tcPr>
            <w:tcW w:type="dxa" w:w="2721"/>
          </w:tcPr>
          <w:p>
            <w:pPr>
              <w:spacing w:after="20"/>
            </w:pPr>
            <w:r/>
            <w:r>
              <w:rPr>
                <w:sz w:val="15"/>
              </w:rPr>
              <w:t>Australia/UK/Canada building</w:t>
            </w:r>
          </w:p>
        </w:tc>
      </w:tr>
    </w:tbl>
    <w:p>
      <w:pPr>
        <w:spacing w:after="40"/>
      </w:pPr>
    </w:p>
    <w:p>
      <w:pPr>
        <w:pStyle w:val="Heading1"/>
      </w:pPr>
      <w:r>
        <w:t>13. M&amp;A: industry transactions, takeover appeal, and Obayashi's own deals</w:t>
      </w:r>
    </w:p>
    <w:p>
      <w:pPr>
        <w:pStyle w:val="Heading2"/>
      </w:pPr>
      <w:r>
        <w:t>13.1 Industry context</w:t>
      </w:r>
    </w:p>
    <w:p>
      <w:r>
        <w:rPr>
          <w:sz w:val="18"/>
        </w:rPr>
        <w:t>Japanese contracting is consolidating at the mid-tier (Taisei-Toyo Construction, Infroneer-Mitsui Sumitomo Construction, Shimizu-Nippon Road, SMCC-road subsidiary) while the Big-4 buy overseas capability (Obayashi: MWH, GCON, Multiplex; Shimizu: Cross Management). In the US, specialty electrical and mechanical contractors are being bought at 7-11x EBITDA to capture data-centre demand. Japanese homebuilders (Sekisui House-MDC, Sumitomo Forestry-Tri Pointe, Daiwa House) are buying US housing. No priced 2024-26 deals for Kajima, Hochtief, Ferrovial or Skanska were found (not confirmed absent).</w:t>
      </w:r>
    </w:p>
    <w:p>
      <w:pPr>
        <w:pStyle w:val="Heading2"/>
      </w:pPr>
      <w:r>
        <w:t>13.2 Comparable transactions, October 2021 to October 2026</w:t>
      </w:r>
    </w:p>
    <w:tbl>
      <w:tblPr>
        <w:tblStyle w:val="TableGrid"/>
        <w:tblW w:type="auto" w:w="0"/>
        <w:jc w:val="center"/>
        <w:tblLayout w:type="fixed"/>
        <w:tblLook w:firstColumn="1" w:firstRow="1" w:lastColumn="0" w:lastRow="0" w:noHBand="0" w:noVBand="1" w:val="04A0"/>
      </w:tblPr>
      <w:tblGrid>
        <w:gridCol w:w="1804"/>
        <w:gridCol w:w="1353"/>
        <w:gridCol w:w="1015"/>
        <w:gridCol w:w="1409"/>
        <w:gridCol w:w="958"/>
        <w:gridCol w:w="845"/>
        <w:gridCol w:w="2254"/>
      </w:tblGrid>
      <w:tr>
        <w:trPr>
          <w:tblHeader w:val="true"/>
        </w:trPr>
        <w:tc>
          <w:tcPr>
            <w:tcW w:type="dxa" w:w="1804"/>
            <w:shd w:val="clear" w:color="auto" w:fill="14243F"/>
          </w:tcPr>
          <w:p>
            <w:r/>
            <w:r>
              <w:rPr>
                <w:b/>
                <w:color w:val="FFFFFF"/>
                <w:sz w:val="14"/>
              </w:rPr>
              <w:t>Target</w:t>
            </w:r>
          </w:p>
        </w:tc>
        <w:tc>
          <w:tcPr>
            <w:tcW w:type="dxa" w:w="1353"/>
            <w:shd w:val="clear" w:color="auto" w:fill="14243F"/>
          </w:tcPr>
          <w:p>
            <w:r/>
            <w:r>
              <w:rPr>
                <w:b/>
                <w:color w:val="FFFFFF"/>
                <w:sz w:val="14"/>
              </w:rPr>
              <w:t>Acquirer</w:t>
            </w:r>
          </w:p>
        </w:tc>
        <w:tc>
          <w:tcPr>
            <w:tcW w:type="dxa" w:w="1015"/>
            <w:shd w:val="clear" w:color="auto" w:fill="14243F"/>
          </w:tcPr>
          <w:p>
            <w:r/>
            <w:r>
              <w:rPr>
                <w:b/>
                <w:color w:val="FFFFFF"/>
                <w:sz w:val="14"/>
              </w:rPr>
              <w:t>Announced</w:t>
            </w:r>
          </w:p>
        </w:tc>
        <w:tc>
          <w:tcPr>
            <w:tcW w:type="dxa" w:w="1409"/>
            <w:shd w:val="clear" w:color="auto" w:fill="14243F"/>
          </w:tcPr>
          <w:p>
            <w:r/>
            <w:r>
              <w:rPr>
                <w:b/>
                <w:color w:val="FFFFFF"/>
                <w:sz w:val="14"/>
              </w:rPr>
              <w:t>Size</w:t>
            </w:r>
          </w:p>
        </w:tc>
        <w:tc>
          <w:tcPr>
            <w:tcW w:type="dxa" w:w="958"/>
            <w:shd w:val="clear" w:color="auto" w:fill="14243F"/>
          </w:tcPr>
          <w:p>
            <w:r/>
            <w:r>
              <w:rPr>
                <w:b/>
                <w:color w:val="FFFFFF"/>
                <w:sz w:val="14"/>
              </w:rPr>
              <w:t>EV/EBITDA</w:t>
            </w:r>
          </w:p>
        </w:tc>
        <w:tc>
          <w:tcPr>
            <w:tcW w:type="dxa" w:w="845"/>
            <w:shd w:val="clear" w:color="auto" w:fill="14243F"/>
          </w:tcPr>
          <w:p>
            <w:r/>
            <w:r>
              <w:rPr>
                <w:b/>
                <w:color w:val="FFFFFF"/>
                <w:sz w:val="14"/>
              </w:rPr>
              <w:t>EV/Sales</w:t>
            </w:r>
          </w:p>
        </w:tc>
        <w:tc>
          <w:tcPr>
            <w:tcW w:type="dxa" w:w="2254"/>
            <w:shd w:val="clear" w:color="auto" w:fill="14243F"/>
          </w:tcPr>
          <w:p>
            <w:r/>
            <w:r>
              <w:rPr>
                <w:b/>
                <w:color w:val="FFFFFF"/>
                <w:sz w:val="14"/>
              </w:rPr>
              <w:t>Note</w:t>
            </w:r>
          </w:p>
        </w:tc>
      </w:tr>
      <w:tr>
        <w:tc>
          <w:tcPr>
            <w:tcW w:type="dxa" w:w="1804"/>
          </w:tcPr>
          <w:p>
            <w:pPr>
              <w:spacing w:after="20"/>
            </w:pPr>
            <w:r/>
            <w:r>
              <w:rPr>
                <w:b/>
                <w:sz w:val="14"/>
              </w:rPr>
              <w:t>Equans</w:t>
            </w:r>
          </w:p>
        </w:tc>
        <w:tc>
          <w:tcPr>
            <w:tcW w:type="dxa" w:w="1353"/>
          </w:tcPr>
          <w:p>
            <w:pPr>
              <w:spacing w:after="20"/>
            </w:pPr>
            <w:r/>
            <w:r>
              <w:rPr>
                <w:sz w:val="14"/>
              </w:rPr>
              <w:t>Bouygues</w:t>
            </w:r>
          </w:p>
        </w:tc>
        <w:tc>
          <w:tcPr>
            <w:tcW w:type="dxa" w:w="1015"/>
          </w:tcPr>
          <w:p>
            <w:pPr>
              <w:spacing w:after="20"/>
            </w:pPr>
            <w:r/>
            <w:r>
              <w:rPr>
                <w:sz w:val="14"/>
              </w:rPr>
              <w:t>Nov 2021</w:t>
            </w:r>
          </w:p>
        </w:tc>
        <w:tc>
          <w:tcPr>
            <w:tcW w:type="dxa" w:w="1409"/>
          </w:tcPr>
          <w:p>
            <w:pPr>
              <w:spacing w:after="20"/>
            </w:pPr>
            <w:r/>
            <w:r>
              <w:rPr>
                <w:sz w:val="14"/>
              </w:rPr>
              <w:t>EUR 7.1bn EV</w:t>
            </w:r>
          </w:p>
        </w:tc>
        <w:tc>
          <w:tcPr>
            <w:tcW w:type="dxa" w:w="958"/>
          </w:tcPr>
          <w:p>
            <w:pPr>
              <w:spacing w:after="20"/>
            </w:pPr>
            <w:r/>
            <w:r>
              <w:rPr>
                <w:sz w:val="14"/>
              </w:rPr>
              <w:t>n/a</w:t>
            </w:r>
          </w:p>
        </w:tc>
        <w:tc>
          <w:tcPr>
            <w:tcW w:type="dxa" w:w="845"/>
          </w:tcPr>
          <w:p>
            <w:pPr>
              <w:spacing w:after="20"/>
            </w:pPr>
            <w:r/>
            <w:r>
              <w:rPr>
                <w:sz w:val="14"/>
              </w:rPr>
              <w:t>c.0.59x</w:t>
            </w:r>
          </w:p>
        </w:tc>
        <w:tc>
          <w:tcPr>
            <w:tcW w:type="dxa" w:w="2254"/>
          </w:tcPr>
          <w:p>
            <w:pPr>
              <w:spacing w:after="20"/>
            </w:pPr>
            <w:r/>
            <w:r>
              <w:rPr>
                <w:sz w:val="14"/>
              </w:rPr>
              <w:t>11.4x 2026E operating profit (company)</w:t>
            </w:r>
          </w:p>
        </w:tc>
      </w:tr>
      <w:tr>
        <w:tc>
          <w:tcPr>
            <w:tcW w:type="dxa" w:w="1804"/>
            <w:shd w:val="clear" w:color="auto" w:fill="F1F3F8"/>
          </w:tcPr>
          <w:p>
            <w:pPr>
              <w:spacing w:after="20"/>
            </w:pPr>
            <w:r/>
            <w:r>
              <w:rPr>
                <w:b/>
                <w:sz w:val="14"/>
              </w:rPr>
              <w:t>Cupertino Electric</w:t>
            </w:r>
          </w:p>
        </w:tc>
        <w:tc>
          <w:tcPr>
            <w:tcW w:type="dxa" w:w="1353"/>
            <w:shd w:val="clear" w:color="auto" w:fill="F1F3F8"/>
          </w:tcPr>
          <w:p>
            <w:pPr>
              <w:spacing w:after="20"/>
            </w:pPr>
            <w:r/>
            <w:r>
              <w:rPr>
                <w:sz w:val="14"/>
              </w:rPr>
              <w:t>Quanta Services</w:t>
            </w:r>
          </w:p>
        </w:tc>
        <w:tc>
          <w:tcPr>
            <w:tcW w:type="dxa" w:w="1015"/>
            <w:shd w:val="clear" w:color="auto" w:fill="F1F3F8"/>
          </w:tcPr>
          <w:p>
            <w:pPr>
              <w:spacing w:after="20"/>
            </w:pPr>
            <w:r/>
            <w:r>
              <w:rPr>
                <w:sz w:val="14"/>
              </w:rPr>
              <w:t>Jul 2024</w:t>
            </w:r>
          </w:p>
        </w:tc>
        <w:tc>
          <w:tcPr>
            <w:tcW w:type="dxa" w:w="1409"/>
            <w:shd w:val="clear" w:color="auto" w:fill="F1F3F8"/>
          </w:tcPr>
          <w:p>
            <w:pPr>
              <w:spacing w:after="20"/>
            </w:pPr>
            <w:r/>
            <w:r>
              <w:rPr>
                <w:sz w:val="14"/>
              </w:rPr>
              <w:t>USD 1.5bn</w:t>
            </w:r>
          </w:p>
        </w:tc>
        <w:tc>
          <w:tcPr>
            <w:tcW w:type="dxa" w:w="958"/>
            <w:shd w:val="clear" w:color="auto" w:fill="F1F3F8"/>
          </w:tcPr>
          <w:p>
            <w:pPr>
              <w:spacing w:after="20"/>
            </w:pPr>
            <w:r/>
            <w:r>
              <w:rPr>
                <w:sz w:val="14"/>
              </w:rPr>
              <w:t>c.9.1x</w:t>
            </w:r>
          </w:p>
        </w:tc>
        <w:tc>
          <w:tcPr>
            <w:tcW w:type="dxa" w:w="845"/>
            <w:shd w:val="clear" w:color="auto" w:fill="F1F3F8"/>
          </w:tcPr>
          <w:p>
            <w:pPr>
              <w:spacing w:after="20"/>
            </w:pPr>
            <w:r/>
            <w:r>
              <w:rPr>
                <w:sz w:val="14"/>
              </w:rPr>
              <w:t>c.0.70x</w:t>
            </w:r>
          </w:p>
        </w:tc>
        <w:tc>
          <w:tcPr>
            <w:tcW w:type="dxa" w:w="2254"/>
            <w:shd w:val="clear" w:color="auto" w:fill="F1F3F8"/>
          </w:tcPr>
          <w:p>
            <w:pPr>
              <w:spacing w:after="20"/>
            </w:pPr>
            <w:r/>
            <w:r>
              <w:rPr>
                <w:sz w:val="14"/>
              </w:rPr>
              <w:t>Calc from guided EBITDA</w:t>
            </w:r>
          </w:p>
        </w:tc>
      </w:tr>
      <w:tr>
        <w:tc>
          <w:tcPr>
            <w:tcW w:type="dxa" w:w="1804"/>
          </w:tcPr>
          <w:p>
            <w:pPr>
              <w:spacing w:after="20"/>
            </w:pPr>
            <w:r/>
            <w:r>
              <w:rPr>
                <w:b/>
                <w:sz w:val="14"/>
              </w:rPr>
              <w:t>Miller Electric</w:t>
            </w:r>
          </w:p>
        </w:tc>
        <w:tc>
          <w:tcPr>
            <w:tcW w:type="dxa" w:w="1353"/>
          </w:tcPr>
          <w:p>
            <w:pPr>
              <w:spacing w:after="20"/>
            </w:pPr>
            <w:r/>
            <w:r>
              <w:rPr>
                <w:sz w:val="14"/>
              </w:rPr>
              <w:t>EMCOR</w:t>
            </w:r>
          </w:p>
        </w:tc>
        <w:tc>
          <w:tcPr>
            <w:tcW w:type="dxa" w:w="1015"/>
          </w:tcPr>
          <w:p>
            <w:pPr>
              <w:spacing w:after="20"/>
            </w:pPr>
            <w:r/>
            <w:r>
              <w:rPr>
                <w:sz w:val="14"/>
              </w:rPr>
              <w:t>Jan 2025</w:t>
            </w:r>
          </w:p>
        </w:tc>
        <w:tc>
          <w:tcPr>
            <w:tcW w:type="dxa" w:w="1409"/>
          </w:tcPr>
          <w:p>
            <w:pPr>
              <w:spacing w:after="20"/>
            </w:pPr>
            <w:r/>
            <w:r>
              <w:rPr>
                <w:sz w:val="14"/>
              </w:rPr>
              <w:t>USD 865m</w:t>
            </w:r>
          </w:p>
        </w:tc>
        <w:tc>
          <w:tcPr>
            <w:tcW w:type="dxa" w:w="958"/>
          </w:tcPr>
          <w:p>
            <w:pPr>
              <w:spacing w:after="20"/>
            </w:pPr>
            <w:r/>
            <w:r>
              <w:rPr>
                <w:sz w:val="14"/>
              </w:rPr>
              <w:t>10.8x</w:t>
            </w:r>
          </w:p>
        </w:tc>
        <w:tc>
          <w:tcPr>
            <w:tcW w:type="dxa" w:w="845"/>
          </w:tcPr>
          <w:p>
            <w:pPr>
              <w:spacing w:after="20"/>
            </w:pPr>
            <w:r/>
            <w:r>
              <w:rPr>
                <w:sz w:val="14"/>
              </w:rPr>
              <w:t>1.07x</w:t>
            </w:r>
          </w:p>
        </w:tc>
        <w:tc>
          <w:tcPr>
            <w:tcW w:type="dxa" w:w="2254"/>
          </w:tcPr>
          <w:p>
            <w:pPr>
              <w:spacing w:after="20"/>
            </w:pPr>
            <w:r/>
            <w:r>
              <w:rPr>
                <w:sz w:val="14"/>
              </w:rPr>
              <w:t>Calc</w:t>
            </w:r>
          </w:p>
        </w:tc>
      </w:tr>
      <w:tr>
        <w:tc>
          <w:tcPr>
            <w:tcW w:type="dxa" w:w="1804"/>
            <w:shd w:val="clear" w:color="auto" w:fill="F1F3F8"/>
          </w:tcPr>
          <w:p>
            <w:pPr>
              <w:spacing w:after="20"/>
            </w:pPr>
            <w:r/>
            <w:r>
              <w:rPr>
                <w:b/>
                <w:sz w:val="14"/>
              </w:rPr>
              <w:t>CEC Facilities</w:t>
            </w:r>
          </w:p>
        </w:tc>
        <w:tc>
          <w:tcPr>
            <w:tcW w:type="dxa" w:w="1353"/>
            <w:shd w:val="clear" w:color="auto" w:fill="F1F3F8"/>
          </w:tcPr>
          <w:p>
            <w:pPr>
              <w:spacing w:after="20"/>
            </w:pPr>
            <w:r/>
            <w:r>
              <w:rPr>
                <w:sz w:val="14"/>
              </w:rPr>
              <w:t>Sterling Infrastructure</w:t>
            </w:r>
          </w:p>
        </w:tc>
        <w:tc>
          <w:tcPr>
            <w:tcW w:type="dxa" w:w="1015"/>
            <w:shd w:val="clear" w:color="auto" w:fill="F1F3F8"/>
          </w:tcPr>
          <w:p>
            <w:pPr>
              <w:spacing w:after="20"/>
            </w:pPr>
            <w:r/>
            <w:r>
              <w:rPr>
                <w:sz w:val="14"/>
              </w:rPr>
              <w:t>Jul 2025</w:t>
            </w:r>
          </w:p>
        </w:tc>
        <w:tc>
          <w:tcPr>
            <w:tcW w:type="dxa" w:w="1409"/>
            <w:shd w:val="clear" w:color="auto" w:fill="F1F3F8"/>
          </w:tcPr>
          <w:p>
            <w:pPr>
              <w:spacing w:after="20"/>
            </w:pPr>
            <w:r/>
            <w:r>
              <w:rPr>
                <w:sz w:val="14"/>
              </w:rPr>
              <w:t>USD 505m</w:t>
            </w:r>
          </w:p>
        </w:tc>
        <w:tc>
          <w:tcPr>
            <w:tcW w:type="dxa" w:w="958"/>
            <w:shd w:val="clear" w:color="auto" w:fill="F1F3F8"/>
          </w:tcPr>
          <w:p>
            <w:pPr>
              <w:spacing w:after="20"/>
            </w:pPr>
            <w:r/>
            <w:r>
              <w:rPr>
                <w:sz w:val="14"/>
              </w:rPr>
              <w:t>9.6x</w:t>
            </w:r>
          </w:p>
        </w:tc>
        <w:tc>
          <w:tcPr>
            <w:tcW w:type="dxa" w:w="845"/>
            <w:shd w:val="clear" w:color="auto" w:fill="F1F3F8"/>
          </w:tcPr>
          <w:p>
            <w:pPr>
              <w:spacing w:after="20"/>
            </w:pPr>
            <w:r/>
            <w:r>
              <w:rPr>
                <w:sz w:val="14"/>
              </w:rPr>
              <w:t>c.1.25x</w:t>
            </w:r>
          </w:p>
        </w:tc>
        <w:tc>
          <w:tcPr>
            <w:tcW w:type="dxa" w:w="2254"/>
            <w:shd w:val="clear" w:color="auto" w:fill="F1F3F8"/>
          </w:tcPr>
          <w:p>
            <w:pPr>
              <w:spacing w:after="20"/>
            </w:pPr>
            <w:r/>
            <w:r>
              <w:rPr>
                <w:sz w:val="14"/>
              </w:rPr>
              <w:t>Company multiple</w:t>
            </w:r>
          </w:p>
        </w:tc>
      </w:tr>
      <w:tr>
        <w:tc>
          <w:tcPr>
            <w:tcW w:type="dxa" w:w="1804"/>
          </w:tcPr>
          <w:p>
            <w:pPr>
              <w:spacing w:after="20"/>
            </w:pPr>
            <w:r/>
            <w:r>
              <w:rPr>
                <w:b/>
                <w:sz w:val="14"/>
              </w:rPr>
              <w:t>Dynamic Systems</w:t>
            </w:r>
          </w:p>
        </w:tc>
        <w:tc>
          <w:tcPr>
            <w:tcW w:type="dxa" w:w="1353"/>
          </w:tcPr>
          <w:p>
            <w:pPr>
              <w:spacing w:after="20"/>
            </w:pPr>
            <w:r/>
            <w:r>
              <w:rPr>
                <w:sz w:val="14"/>
              </w:rPr>
              <w:t>Quanta Services</w:t>
            </w:r>
          </w:p>
        </w:tc>
        <w:tc>
          <w:tcPr>
            <w:tcW w:type="dxa" w:w="1015"/>
          </w:tcPr>
          <w:p>
            <w:pPr>
              <w:spacing w:after="20"/>
            </w:pPr>
            <w:r/>
            <w:r>
              <w:rPr>
                <w:sz w:val="14"/>
              </w:rPr>
              <w:t>Jul 2025</w:t>
            </w:r>
          </w:p>
        </w:tc>
        <w:tc>
          <w:tcPr>
            <w:tcW w:type="dxa" w:w="1409"/>
          </w:tcPr>
          <w:p>
            <w:pPr>
              <w:spacing w:after="20"/>
            </w:pPr>
            <w:r/>
            <w:r>
              <w:rPr>
                <w:sz w:val="14"/>
              </w:rPr>
              <w:t>USD 1.35bn</w:t>
            </w:r>
          </w:p>
        </w:tc>
        <w:tc>
          <w:tcPr>
            <w:tcW w:type="dxa" w:w="958"/>
          </w:tcPr>
          <w:p>
            <w:pPr>
              <w:spacing w:after="20"/>
            </w:pPr>
            <w:r/>
            <w:r>
              <w:rPr>
                <w:sz w:val="14"/>
              </w:rPr>
              <w:t>c.8.4x</w:t>
            </w:r>
          </w:p>
        </w:tc>
        <w:tc>
          <w:tcPr>
            <w:tcW w:type="dxa" w:w="845"/>
          </w:tcPr>
          <w:p>
            <w:pPr>
              <w:spacing w:after="20"/>
            </w:pPr>
            <w:r/>
            <w:r>
              <w:rPr>
                <w:sz w:val="14"/>
              </w:rPr>
              <w:t>c.1.3x</w:t>
            </w:r>
          </w:p>
        </w:tc>
        <w:tc>
          <w:tcPr>
            <w:tcW w:type="dxa" w:w="2254"/>
          </w:tcPr>
          <w:p>
            <w:pPr>
              <w:spacing w:after="20"/>
            </w:pPr>
            <w:r/>
            <w:r>
              <w:rPr>
                <w:sz w:val="14"/>
              </w:rPr>
              <w:t>Mechanical/process</w:t>
            </w:r>
          </w:p>
        </w:tc>
      </w:tr>
      <w:tr>
        <w:tc>
          <w:tcPr>
            <w:tcW w:type="dxa" w:w="1804"/>
            <w:shd w:val="clear" w:color="auto" w:fill="F1F3F8"/>
          </w:tcPr>
          <w:p>
            <w:pPr>
              <w:spacing w:after="20"/>
            </w:pPr>
            <w:r/>
            <w:r>
              <w:rPr>
                <w:b/>
                <w:sz w:val="14"/>
              </w:rPr>
              <w:t>Feyen Zylstra + Meisner</w:t>
            </w:r>
          </w:p>
        </w:tc>
        <w:tc>
          <w:tcPr>
            <w:tcW w:type="dxa" w:w="1353"/>
            <w:shd w:val="clear" w:color="auto" w:fill="F1F3F8"/>
          </w:tcPr>
          <w:p>
            <w:pPr>
              <w:spacing w:after="20"/>
            </w:pPr>
            <w:r/>
            <w:r>
              <w:rPr>
                <w:sz w:val="14"/>
              </w:rPr>
              <w:t>Comfort Systems</w:t>
            </w:r>
          </w:p>
        </w:tc>
        <w:tc>
          <w:tcPr>
            <w:tcW w:type="dxa" w:w="1015"/>
            <w:shd w:val="clear" w:color="auto" w:fill="F1F3F8"/>
          </w:tcPr>
          <w:p>
            <w:pPr>
              <w:spacing w:after="20"/>
            </w:pPr>
            <w:r/>
            <w:r>
              <w:rPr>
                <w:sz w:val="14"/>
              </w:rPr>
              <w:t>Oct 2025</w:t>
            </w:r>
          </w:p>
        </w:tc>
        <w:tc>
          <w:tcPr>
            <w:tcW w:type="dxa" w:w="1409"/>
            <w:shd w:val="clear" w:color="auto" w:fill="F1F3F8"/>
          </w:tcPr>
          <w:p>
            <w:pPr>
              <w:spacing w:after="20"/>
            </w:pPr>
            <w:r/>
            <w:r>
              <w:rPr>
                <w:sz w:val="14"/>
              </w:rPr>
              <w:t>c.USD 170m</w:t>
            </w:r>
          </w:p>
        </w:tc>
        <w:tc>
          <w:tcPr>
            <w:tcW w:type="dxa" w:w="958"/>
            <w:shd w:val="clear" w:color="auto" w:fill="F1F3F8"/>
          </w:tcPr>
          <w:p>
            <w:pPr>
              <w:spacing w:after="20"/>
            </w:pPr>
            <w:r/>
            <w:r>
              <w:rPr>
                <w:sz w:val="14"/>
              </w:rPr>
              <w:t>c.9.7x</w:t>
            </w:r>
          </w:p>
        </w:tc>
        <w:tc>
          <w:tcPr>
            <w:tcW w:type="dxa" w:w="845"/>
            <w:shd w:val="clear" w:color="auto" w:fill="F1F3F8"/>
          </w:tcPr>
          <w:p>
            <w:pPr>
              <w:spacing w:after="20"/>
            </w:pPr>
            <w:r/>
            <w:r>
              <w:rPr>
                <w:sz w:val="14"/>
              </w:rPr>
              <w:t>c.0.85x</w:t>
            </w:r>
          </w:p>
        </w:tc>
        <w:tc>
          <w:tcPr>
            <w:tcW w:type="dxa" w:w="2254"/>
            <w:shd w:val="clear" w:color="auto" w:fill="F1F3F8"/>
          </w:tcPr>
          <w:p>
            <w:pPr>
              <w:spacing w:after="20"/>
            </w:pPr>
            <w:r/>
            <w:r>
              <w:rPr>
                <w:sz w:val="14"/>
              </w:rPr>
              <w:t>Calc</w:t>
            </w:r>
          </w:p>
        </w:tc>
      </w:tr>
      <w:tr>
        <w:tc>
          <w:tcPr>
            <w:tcW w:type="dxa" w:w="1804"/>
          </w:tcPr>
          <w:p>
            <w:pPr>
              <w:spacing w:after="20"/>
            </w:pPr>
            <w:r/>
            <w:r>
              <w:rPr>
                <w:b/>
                <w:sz w:val="14"/>
              </w:rPr>
              <w:t>PayneCrest Electric</w:t>
            </w:r>
          </w:p>
        </w:tc>
        <w:tc>
          <w:tcPr>
            <w:tcW w:type="dxa" w:w="1353"/>
          </w:tcPr>
          <w:p>
            <w:pPr>
              <w:spacing w:after="20"/>
            </w:pPr>
            <w:r/>
            <w:r>
              <w:rPr>
                <w:sz w:val="14"/>
              </w:rPr>
              <w:t>Primoris</w:t>
            </w:r>
          </w:p>
        </w:tc>
        <w:tc>
          <w:tcPr>
            <w:tcW w:type="dxa" w:w="1015"/>
          </w:tcPr>
          <w:p>
            <w:pPr>
              <w:spacing w:after="20"/>
            </w:pPr>
            <w:r/>
            <w:r>
              <w:rPr>
                <w:sz w:val="14"/>
              </w:rPr>
              <w:t>Mar 2026</w:t>
            </w:r>
          </w:p>
        </w:tc>
        <w:tc>
          <w:tcPr>
            <w:tcW w:type="dxa" w:w="1409"/>
          </w:tcPr>
          <w:p>
            <w:pPr>
              <w:spacing w:after="20"/>
            </w:pPr>
            <w:r/>
            <w:r>
              <w:rPr>
                <w:sz w:val="14"/>
              </w:rPr>
              <w:t>USD 422m</w:t>
            </w:r>
          </w:p>
        </w:tc>
        <w:tc>
          <w:tcPr>
            <w:tcW w:type="dxa" w:w="958"/>
          </w:tcPr>
          <w:p>
            <w:pPr>
              <w:spacing w:after="20"/>
            </w:pPr>
            <w:r/>
            <w:r>
              <w:rPr>
                <w:sz w:val="14"/>
              </w:rPr>
              <w:t>c.10.5x</w:t>
            </w:r>
          </w:p>
        </w:tc>
        <w:tc>
          <w:tcPr>
            <w:tcW w:type="dxa" w:w="845"/>
          </w:tcPr>
          <w:p>
            <w:pPr>
              <w:spacing w:after="20"/>
            </w:pPr>
            <w:r/>
            <w:r>
              <w:rPr>
                <w:sz w:val="14"/>
              </w:rPr>
              <w:t>c.1.17x</w:t>
            </w:r>
          </w:p>
        </w:tc>
        <w:tc>
          <w:tcPr>
            <w:tcW w:type="dxa" w:w="2254"/>
          </w:tcPr>
          <w:p>
            <w:pPr>
              <w:spacing w:after="20"/>
            </w:pPr>
            <w:r/>
            <w:r>
              <w:rPr>
                <w:sz w:val="14"/>
              </w:rPr>
              <w:t>Data-centre electrical</w:t>
            </w:r>
          </w:p>
        </w:tc>
      </w:tr>
      <w:tr>
        <w:tc>
          <w:tcPr>
            <w:tcW w:type="dxa" w:w="1804"/>
            <w:shd w:val="clear" w:color="auto" w:fill="F1F3F8"/>
          </w:tcPr>
          <w:p>
            <w:pPr>
              <w:spacing w:after="20"/>
            </w:pPr>
            <w:r/>
            <w:r>
              <w:rPr>
                <w:b/>
                <w:sz w:val="14"/>
              </w:rPr>
              <w:t>The Superior Group (electrical)</w:t>
            </w:r>
          </w:p>
        </w:tc>
        <w:tc>
          <w:tcPr>
            <w:tcW w:type="dxa" w:w="1353"/>
            <w:shd w:val="clear" w:color="auto" w:fill="F1F3F8"/>
          </w:tcPr>
          <w:p>
            <w:pPr>
              <w:spacing w:after="20"/>
            </w:pPr>
            <w:r/>
            <w:r>
              <w:rPr>
                <w:sz w:val="14"/>
              </w:rPr>
              <w:t>MasTec</w:t>
            </w:r>
          </w:p>
        </w:tc>
        <w:tc>
          <w:tcPr>
            <w:tcW w:type="dxa" w:w="1015"/>
            <w:shd w:val="clear" w:color="auto" w:fill="F1F3F8"/>
          </w:tcPr>
          <w:p>
            <w:pPr>
              <w:spacing w:after="20"/>
            </w:pPr>
            <w:r/>
            <w:r>
              <w:rPr>
                <w:sz w:val="14"/>
              </w:rPr>
              <w:t>Jul 2026</w:t>
            </w:r>
          </w:p>
        </w:tc>
        <w:tc>
          <w:tcPr>
            <w:tcW w:type="dxa" w:w="1409"/>
            <w:shd w:val="clear" w:color="auto" w:fill="F1F3F8"/>
          </w:tcPr>
          <w:p>
            <w:pPr>
              <w:spacing w:after="20"/>
            </w:pPr>
            <w:r/>
            <w:r>
              <w:rPr>
                <w:sz w:val="14"/>
              </w:rPr>
              <w:t>USD 1.65bn</w:t>
            </w:r>
          </w:p>
        </w:tc>
        <w:tc>
          <w:tcPr>
            <w:tcW w:type="dxa" w:w="958"/>
            <w:shd w:val="clear" w:color="auto" w:fill="F1F3F8"/>
          </w:tcPr>
          <w:p>
            <w:pPr>
              <w:spacing w:after="20"/>
            </w:pPr>
            <w:r/>
            <w:r>
              <w:rPr>
                <w:sz w:val="14"/>
              </w:rPr>
              <w:t>c.7.0x</w:t>
            </w:r>
          </w:p>
        </w:tc>
        <w:tc>
          <w:tcPr>
            <w:tcW w:type="dxa" w:w="845"/>
            <w:shd w:val="clear" w:color="auto" w:fill="F1F3F8"/>
          </w:tcPr>
          <w:p>
            <w:pPr>
              <w:spacing w:after="20"/>
            </w:pPr>
            <w:r/>
            <w:r>
              <w:rPr>
                <w:sz w:val="14"/>
              </w:rPr>
              <w:t>c.1.0x</w:t>
            </w:r>
          </w:p>
        </w:tc>
        <w:tc>
          <w:tcPr>
            <w:tcW w:type="dxa" w:w="2254"/>
            <w:shd w:val="clear" w:color="auto" w:fill="F1F3F8"/>
          </w:tcPr>
          <w:p>
            <w:pPr>
              <w:spacing w:after="20"/>
            </w:pPr>
            <w:r/>
            <w:r>
              <w:rPr>
                <w:sz w:val="14"/>
              </w:rPr>
              <w:t>Cash plus stock</w:t>
            </w:r>
          </w:p>
        </w:tc>
      </w:tr>
      <w:tr>
        <w:tc>
          <w:tcPr>
            <w:tcW w:type="dxa" w:w="1804"/>
            <w:shd w:val="clear" w:color="auto" w:fill="DCE7FA"/>
          </w:tcPr>
          <w:p>
            <w:pPr>
              <w:spacing w:after="20"/>
            </w:pPr>
            <w:r/>
            <w:r>
              <w:rPr>
                <w:b/>
                <w:sz w:val="14"/>
              </w:rPr>
              <w:t>Multiplex Global</w:t>
            </w:r>
          </w:p>
        </w:tc>
        <w:tc>
          <w:tcPr>
            <w:tcW w:type="dxa" w:w="1353"/>
            <w:shd w:val="clear" w:color="auto" w:fill="DCE7FA"/>
          </w:tcPr>
          <w:p>
            <w:pPr>
              <w:spacing w:after="20"/>
            </w:pPr>
            <w:r/>
            <w:r>
              <w:rPr>
                <w:sz w:val="14"/>
              </w:rPr>
              <w:t>Obayashi</w:t>
            </w:r>
          </w:p>
        </w:tc>
        <w:tc>
          <w:tcPr>
            <w:tcW w:type="dxa" w:w="1015"/>
            <w:shd w:val="clear" w:color="auto" w:fill="DCE7FA"/>
          </w:tcPr>
          <w:p>
            <w:pPr>
              <w:spacing w:after="20"/>
            </w:pPr>
            <w:r/>
            <w:r>
              <w:rPr>
                <w:sz w:val="14"/>
              </w:rPr>
              <w:t>18 Jun 2026</w:t>
            </w:r>
          </w:p>
        </w:tc>
        <w:tc>
          <w:tcPr>
            <w:tcW w:type="dxa" w:w="1409"/>
            <w:shd w:val="clear" w:color="auto" w:fill="DCE7FA"/>
          </w:tcPr>
          <w:p>
            <w:pPr>
              <w:spacing w:after="20"/>
            </w:pPr>
            <w:r/>
            <w:r>
              <w:rPr>
                <w:sz w:val="14"/>
              </w:rPr>
              <w:t>USD 540m (headline USD 650m)</w:t>
            </w:r>
          </w:p>
        </w:tc>
        <w:tc>
          <w:tcPr>
            <w:tcW w:type="dxa" w:w="958"/>
            <w:shd w:val="clear" w:color="auto" w:fill="DCE7FA"/>
          </w:tcPr>
          <w:p>
            <w:pPr>
              <w:spacing w:after="20"/>
            </w:pPr>
            <w:r/>
            <w:r>
              <w:rPr>
                <w:sz w:val="14"/>
              </w:rPr>
              <w:t>8.7-10.5x</w:t>
            </w:r>
          </w:p>
        </w:tc>
        <w:tc>
          <w:tcPr>
            <w:tcW w:type="dxa" w:w="845"/>
            <w:shd w:val="clear" w:color="auto" w:fill="DCE7FA"/>
          </w:tcPr>
          <w:p>
            <w:pPr>
              <w:spacing w:after="20"/>
            </w:pPr>
            <w:r/>
            <w:r>
              <w:rPr>
                <w:sz w:val="14"/>
              </w:rPr>
              <w:t>0.14-0.17x</w:t>
            </w:r>
          </w:p>
        </w:tc>
        <w:tc>
          <w:tcPr>
            <w:tcW w:type="dxa" w:w="2254"/>
            <w:shd w:val="clear" w:color="auto" w:fill="DCE7FA"/>
          </w:tcPr>
          <w:p>
            <w:pPr>
              <w:spacing w:after="20"/>
            </w:pPr>
            <w:r/>
            <w:r>
              <w:rPr>
                <w:sz w:val="14"/>
              </w:rPr>
              <w:t>Closest analogue: thin-margin building contractor; FY25 EBITDA c.USD 62m, revenue USD 3.8bn</w:t>
            </w:r>
          </w:p>
        </w:tc>
      </w:tr>
      <w:tr>
        <w:tc>
          <w:tcPr>
            <w:tcW w:type="dxa" w:w="1804"/>
            <w:shd w:val="clear" w:color="auto" w:fill="F1F3F8"/>
          </w:tcPr>
          <w:p>
            <w:pPr>
              <w:spacing w:after="20"/>
            </w:pPr>
            <w:r/>
            <w:r>
              <w:rPr>
                <w:b/>
                <w:sz w:val="14"/>
              </w:rPr>
              <w:t>TRC Companies</w:t>
            </w:r>
          </w:p>
        </w:tc>
        <w:tc>
          <w:tcPr>
            <w:tcW w:type="dxa" w:w="1353"/>
            <w:shd w:val="clear" w:color="auto" w:fill="F1F3F8"/>
          </w:tcPr>
          <w:p>
            <w:pPr>
              <w:spacing w:after="20"/>
            </w:pPr>
            <w:r/>
            <w:r>
              <w:rPr>
                <w:sz w:val="14"/>
              </w:rPr>
              <w:t>WSP</w:t>
            </w:r>
          </w:p>
        </w:tc>
        <w:tc>
          <w:tcPr>
            <w:tcW w:type="dxa" w:w="1015"/>
            <w:shd w:val="clear" w:color="auto" w:fill="F1F3F8"/>
          </w:tcPr>
          <w:p>
            <w:pPr>
              <w:spacing w:after="20"/>
            </w:pPr>
            <w:r/>
            <w:r>
              <w:rPr>
                <w:sz w:val="14"/>
              </w:rPr>
              <w:t>Dec 2025</w:t>
            </w:r>
          </w:p>
        </w:tc>
        <w:tc>
          <w:tcPr>
            <w:tcW w:type="dxa" w:w="1409"/>
            <w:shd w:val="clear" w:color="auto" w:fill="F1F3F8"/>
          </w:tcPr>
          <w:p>
            <w:pPr>
              <w:spacing w:after="20"/>
            </w:pPr>
            <w:r/>
            <w:r>
              <w:rPr>
                <w:sz w:val="14"/>
              </w:rPr>
              <w:t>USD 3.3bn</w:t>
            </w:r>
          </w:p>
        </w:tc>
        <w:tc>
          <w:tcPr>
            <w:tcW w:type="dxa" w:w="958"/>
            <w:shd w:val="clear" w:color="auto" w:fill="F1F3F8"/>
          </w:tcPr>
          <w:p>
            <w:pPr>
              <w:spacing w:after="20"/>
            </w:pPr>
            <w:r/>
            <w:r>
              <w:rPr>
                <w:sz w:val="14"/>
              </w:rPr>
              <w:t>14.5x fwd</w:t>
            </w:r>
          </w:p>
        </w:tc>
        <w:tc>
          <w:tcPr>
            <w:tcW w:type="dxa" w:w="845"/>
            <w:shd w:val="clear" w:color="auto" w:fill="F1F3F8"/>
          </w:tcPr>
          <w:p>
            <w:pPr>
              <w:spacing w:after="20"/>
            </w:pPr>
            <w:r/>
            <w:r>
              <w:rPr>
                <w:sz w:val="14"/>
              </w:rPr>
              <w:t>c.2.8x</w:t>
            </w:r>
          </w:p>
        </w:tc>
        <w:tc>
          <w:tcPr>
            <w:tcW w:type="dxa" w:w="2254"/>
            <w:shd w:val="clear" w:color="auto" w:fill="F1F3F8"/>
          </w:tcPr>
          <w:p>
            <w:pPr>
              <w:spacing w:after="20"/>
            </w:pPr>
            <w:r/>
            <w:r>
              <w:rPr>
                <w:sz w:val="14"/>
              </w:rPr>
              <w:t>Engineering consulting</w:t>
            </w:r>
          </w:p>
        </w:tc>
      </w:tr>
      <w:tr>
        <w:tc>
          <w:tcPr>
            <w:tcW w:type="dxa" w:w="1804"/>
          </w:tcPr>
          <w:p>
            <w:pPr>
              <w:spacing w:after="20"/>
            </w:pPr>
            <w:r/>
            <w:r>
              <w:rPr>
                <w:b/>
                <w:sz w:val="14"/>
              </w:rPr>
              <w:t>IBI Group</w:t>
            </w:r>
          </w:p>
        </w:tc>
        <w:tc>
          <w:tcPr>
            <w:tcW w:type="dxa" w:w="1353"/>
          </w:tcPr>
          <w:p>
            <w:pPr>
              <w:spacing w:after="20"/>
            </w:pPr>
            <w:r/>
            <w:r>
              <w:rPr>
                <w:sz w:val="14"/>
              </w:rPr>
              <w:t>Arcadis</w:t>
            </w:r>
          </w:p>
        </w:tc>
        <w:tc>
          <w:tcPr>
            <w:tcW w:type="dxa" w:w="1015"/>
          </w:tcPr>
          <w:p>
            <w:pPr>
              <w:spacing w:after="20"/>
            </w:pPr>
            <w:r/>
            <w:r>
              <w:rPr>
                <w:sz w:val="14"/>
              </w:rPr>
              <w:t>Oct 2022</w:t>
            </w:r>
          </w:p>
        </w:tc>
        <w:tc>
          <w:tcPr>
            <w:tcW w:type="dxa" w:w="1409"/>
          </w:tcPr>
          <w:p>
            <w:pPr>
              <w:spacing w:after="20"/>
            </w:pPr>
            <w:r/>
            <w:r>
              <w:rPr>
                <w:sz w:val="14"/>
              </w:rPr>
              <w:t>CAD 873m</w:t>
            </w:r>
          </w:p>
        </w:tc>
        <w:tc>
          <w:tcPr>
            <w:tcW w:type="dxa" w:w="958"/>
          </w:tcPr>
          <w:p>
            <w:pPr>
              <w:spacing w:after="20"/>
            </w:pPr>
            <w:r/>
            <w:r>
              <w:rPr>
                <w:sz w:val="14"/>
              </w:rPr>
              <w:t>11.5x</w:t>
            </w:r>
          </w:p>
        </w:tc>
        <w:tc>
          <w:tcPr>
            <w:tcW w:type="dxa" w:w="845"/>
          </w:tcPr>
          <w:p>
            <w:pPr>
              <w:spacing w:after="20"/>
            </w:pPr>
            <w:r/>
            <w:r>
              <w:rPr>
                <w:sz w:val="14"/>
              </w:rPr>
              <w:t>n/a</w:t>
            </w:r>
          </w:p>
        </w:tc>
        <w:tc>
          <w:tcPr>
            <w:tcW w:type="dxa" w:w="2254"/>
          </w:tcPr>
          <w:p>
            <w:pPr>
              <w:spacing w:after="20"/>
            </w:pPr>
            <w:r/>
            <w:r>
              <w:rPr>
                <w:sz w:val="14"/>
              </w:rPr>
              <w:t>Design/engineering</w:t>
            </w:r>
          </w:p>
        </w:tc>
      </w:tr>
      <w:tr>
        <w:tc>
          <w:tcPr>
            <w:tcW w:type="dxa" w:w="1804"/>
            <w:shd w:val="clear" w:color="auto" w:fill="F1F3F8"/>
          </w:tcPr>
          <w:p>
            <w:pPr>
              <w:spacing w:after="20"/>
            </w:pPr>
            <w:r/>
            <w:r>
              <w:rPr>
                <w:b/>
                <w:sz w:val="14"/>
              </w:rPr>
              <w:t>Toyo Construction</w:t>
            </w:r>
          </w:p>
        </w:tc>
        <w:tc>
          <w:tcPr>
            <w:tcW w:type="dxa" w:w="1353"/>
            <w:shd w:val="clear" w:color="auto" w:fill="F1F3F8"/>
          </w:tcPr>
          <w:p>
            <w:pPr>
              <w:spacing w:after="20"/>
            </w:pPr>
            <w:r/>
            <w:r>
              <w:rPr>
                <w:sz w:val="14"/>
              </w:rPr>
              <w:t>Taisei</w:t>
            </w:r>
          </w:p>
        </w:tc>
        <w:tc>
          <w:tcPr>
            <w:tcW w:type="dxa" w:w="1015"/>
            <w:shd w:val="clear" w:color="auto" w:fill="F1F3F8"/>
          </w:tcPr>
          <w:p>
            <w:pPr>
              <w:spacing w:after="20"/>
            </w:pPr>
            <w:r/>
            <w:r>
              <w:rPr>
                <w:sz w:val="14"/>
              </w:rPr>
              <w:t>Aug 2025</w:t>
            </w:r>
          </w:p>
        </w:tc>
        <w:tc>
          <w:tcPr>
            <w:tcW w:type="dxa" w:w="1409"/>
            <w:shd w:val="clear" w:color="auto" w:fill="F1F3F8"/>
          </w:tcPr>
          <w:p>
            <w:pPr>
              <w:spacing w:after="20"/>
            </w:pPr>
            <w:r/>
            <w:r>
              <w:rPr>
                <w:sz w:val="14"/>
              </w:rPr>
              <w:t>c.JPY 130-160bn</w:t>
            </w:r>
          </w:p>
        </w:tc>
        <w:tc>
          <w:tcPr>
            <w:tcW w:type="dxa" w:w="958"/>
            <w:shd w:val="clear" w:color="auto" w:fill="F1F3F8"/>
          </w:tcPr>
          <w:p>
            <w:pPr>
              <w:spacing w:after="20"/>
            </w:pPr>
            <w:r/>
            <w:r>
              <w:rPr>
                <w:sz w:val="14"/>
              </w:rPr>
              <w:t>n/a</w:t>
            </w:r>
          </w:p>
        </w:tc>
        <w:tc>
          <w:tcPr>
            <w:tcW w:type="dxa" w:w="845"/>
            <w:shd w:val="clear" w:color="auto" w:fill="F1F3F8"/>
          </w:tcPr>
          <w:p>
            <w:pPr>
              <w:spacing w:after="20"/>
            </w:pPr>
            <w:r/>
            <w:r>
              <w:rPr>
                <w:sz w:val="14"/>
              </w:rPr>
              <w:t>n/a</w:t>
            </w:r>
          </w:p>
        </w:tc>
        <w:tc>
          <w:tcPr>
            <w:tcW w:type="dxa" w:w="2254"/>
            <w:shd w:val="clear" w:color="auto" w:fill="F1F3F8"/>
          </w:tcPr>
          <w:p>
            <w:pPr>
              <w:spacing w:after="20"/>
            </w:pPr>
            <w:r/>
            <w:r>
              <w:rPr>
                <w:sz w:val="14"/>
              </w:rPr>
              <w:t>Premium 2.9% (6.4% to last close); P/B c.1.7-2.1x</w:t>
            </w:r>
          </w:p>
        </w:tc>
      </w:tr>
      <w:tr>
        <w:tc>
          <w:tcPr>
            <w:tcW w:type="dxa" w:w="1804"/>
          </w:tcPr>
          <w:p>
            <w:pPr>
              <w:spacing w:after="20"/>
            </w:pPr>
            <w:r/>
            <w:r>
              <w:rPr>
                <w:b/>
                <w:sz w:val="14"/>
              </w:rPr>
              <w:t>Mitsui Sumitomo Construction</w:t>
            </w:r>
          </w:p>
        </w:tc>
        <w:tc>
          <w:tcPr>
            <w:tcW w:type="dxa" w:w="1353"/>
          </w:tcPr>
          <w:p>
            <w:pPr>
              <w:spacing w:after="20"/>
            </w:pPr>
            <w:r/>
            <w:r>
              <w:rPr>
                <w:sz w:val="14"/>
              </w:rPr>
              <w:t>Infroneer</w:t>
            </w:r>
          </w:p>
        </w:tc>
        <w:tc>
          <w:tcPr>
            <w:tcW w:type="dxa" w:w="1015"/>
          </w:tcPr>
          <w:p>
            <w:pPr>
              <w:spacing w:after="20"/>
            </w:pPr>
            <w:r/>
            <w:r>
              <w:rPr>
                <w:sz w:val="14"/>
              </w:rPr>
              <w:t>2025</w:t>
            </w:r>
          </w:p>
        </w:tc>
        <w:tc>
          <w:tcPr>
            <w:tcW w:type="dxa" w:w="1409"/>
          </w:tcPr>
          <w:p>
            <w:pPr>
              <w:spacing w:after="20"/>
            </w:pPr>
            <w:r/>
            <w:r>
              <w:rPr>
                <w:sz w:val="14"/>
              </w:rPr>
              <w:t>JPY 600/share</w:t>
            </w:r>
          </w:p>
        </w:tc>
        <w:tc>
          <w:tcPr>
            <w:tcW w:type="dxa" w:w="958"/>
          </w:tcPr>
          <w:p>
            <w:pPr>
              <w:spacing w:after="20"/>
            </w:pPr>
            <w:r/>
            <w:r>
              <w:rPr>
                <w:sz w:val="14"/>
              </w:rPr>
              <w:t>n/a</w:t>
            </w:r>
          </w:p>
        </w:tc>
        <w:tc>
          <w:tcPr>
            <w:tcW w:type="dxa" w:w="845"/>
          </w:tcPr>
          <w:p>
            <w:pPr>
              <w:spacing w:after="20"/>
            </w:pPr>
            <w:r/>
            <w:r>
              <w:rPr>
                <w:sz w:val="14"/>
              </w:rPr>
              <w:t>n/a</w:t>
            </w:r>
          </w:p>
        </w:tc>
        <w:tc>
          <w:tcPr>
            <w:tcW w:type="dxa" w:w="2254"/>
          </w:tcPr>
          <w:p>
            <w:pPr>
              <w:spacing w:after="20"/>
            </w:pPr>
            <w:r/>
            <w:r>
              <w:rPr>
                <w:sz w:val="14"/>
              </w:rPr>
              <w:t>Premium 10.3%</w:t>
            </w:r>
          </w:p>
        </w:tc>
      </w:tr>
      <w:tr>
        <w:tc>
          <w:tcPr>
            <w:tcW w:type="dxa" w:w="1804"/>
            <w:shd w:val="clear" w:color="auto" w:fill="F1F3F8"/>
          </w:tcPr>
          <w:p>
            <w:pPr>
              <w:spacing w:after="20"/>
            </w:pPr>
            <w:r/>
            <w:r>
              <w:rPr>
                <w:b/>
                <w:sz w:val="14"/>
              </w:rPr>
              <w:t>Nippon Road (remaining stake)</w:t>
            </w:r>
          </w:p>
        </w:tc>
        <w:tc>
          <w:tcPr>
            <w:tcW w:type="dxa" w:w="1353"/>
            <w:shd w:val="clear" w:color="auto" w:fill="F1F3F8"/>
          </w:tcPr>
          <w:p>
            <w:pPr>
              <w:spacing w:after="20"/>
            </w:pPr>
            <w:r/>
            <w:r>
              <w:rPr>
                <w:sz w:val="14"/>
              </w:rPr>
              <w:t>Shimizu</w:t>
            </w:r>
          </w:p>
        </w:tc>
        <w:tc>
          <w:tcPr>
            <w:tcW w:type="dxa" w:w="1015"/>
            <w:shd w:val="clear" w:color="auto" w:fill="F1F3F8"/>
          </w:tcPr>
          <w:p>
            <w:pPr>
              <w:spacing w:after="20"/>
            </w:pPr>
            <w:r/>
            <w:r>
              <w:rPr>
                <w:sz w:val="14"/>
              </w:rPr>
              <w:t>May 2025</w:t>
            </w:r>
          </w:p>
        </w:tc>
        <w:tc>
          <w:tcPr>
            <w:tcW w:type="dxa" w:w="1409"/>
            <w:shd w:val="clear" w:color="auto" w:fill="F1F3F8"/>
          </w:tcPr>
          <w:p>
            <w:pPr>
              <w:spacing w:after="20"/>
            </w:pPr>
            <w:r/>
            <w:r>
              <w:rPr>
                <w:sz w:val="14"/>
              </w:rPr>
              <w:t>JPY 55.2bn</w:t>
            </w:r>
          </w:p>
        </w:tc>
        <w:tc>
          <w:tcPr>
            <w:tcW w:type="dxa" w:w="958"/>
            <w:shd w:val="clear" w:color="auto" w:fill="F1F3F8"/>
          </w:tcPr>
          <w:p>
            <w:pPr>
              <w:spacing w:after="20"/>
            </w:pPr>
            <w:r/>
            <w:r>
              <w:rPr>
                <w:sz w:val="14"/>
              </w:rPr>
              <w:t>n/a</w:t>
            </w:r>
          </w:p>
        </w:tc>
        <w:tc>
          <w:tcPr>
            <w:tcW w:type="dxa" w:w="845"/>
            <w:shd w:val="clear" w:color="auto" w:fill="F1F3F8"/>
          </w:tcPr>
          <w:p>
            <w:pPr>
              <w:spacing w:after="20"/>
            </w:pPr>
            <w:r/>
            <w:r>
              <w:rPr>
                <w:sz w:val="14"/>
              </w:rPr>
              <w:t>n/a</w:t>
            </w:r>
          </w:p>
        </w:tc>
        <w:tc>
          <w:tcPr>
            <w:tcW w:type="dxa" w:w="2254"/>
            <w:shd w:val="clear" w:color="auto" w:fill="F1F3F8"/>
          </w:tcPr>
          <w:p>
            <w:pPr>
              <w:spacing w:after="20"/>
            </w:pPr>
            <w:r/>
            <w:r>
              <w:rPr>
                <w:sz w:val="14"/>
              </w:rPr>
              <w:t>Premium 16.2%</w:t>
            </w:r>
          </w:p>
        </w:tc>
      </w:tr>
      <w:tr>
        <w:tc>
          <w:tcPr>
            <w:tcW w:type="dxa" w:w="1804"/>
          </w:tcPr>
          <w:p>
            <w:pPr>
              <w:spacing w:after="20"/>
            </w:pPr>
            <w:r/>
            <w:r>
              <w:rPr>
                <w:b/>
                <w:sz w:val="14"/>
              </w:rPr>
              <w:t>MDC Holdings</w:t>
            </w:r>
          </w:p>
        </w:tc>
        <w:tc>
          <w:tcPr>
            <w:tcW w:type="dxa" w:w="1353"/>
          </w:tcPr>
          <w:p>
            <w:pPr>
              <w:spacing w:after="20"/>
            </w:pPr>
            <w:r/>
            <w:r>
              <w:rPr>
                <w:sz w:val="14"/>
              </w:rPr>
              <w:t>Sekisui House</w:t>
            </w:r>
          </w:p>
        </w:tc>
        <w:tc>
          <w:tcPr>
            <w:tcW w:type="dxa" w:w="1015"/>
          </w:tcPr>
          <w:p>
            <w:pPr>
              <w:spacing w:after="20"/>
            </w:pPr>
            <w:r/>
            <w:r>
              <w:rPr>
                <w:sz w:val="14"/>
              </w:rPr>
              <w:t>Jan 2024</w:t>
            </w:r>
          </w:p>
        </w:tc>
        <w:tc>
          <w:tcPr>
            <w:tcW w:type="dxa" w:w="1409"/>
          </w:tcPr>
          <w:p>
            <w:pPr>
              <w:spacing w:after="20"/>
            </w:pPr>
            <w:r/>
            <w:r>
              <w:rPr>
                <w:sz w:val="14"/>
              </w:rPr>
              <w:t>USD 4.9bn</w:t>
            </w:r>
          </w:p>
        </w:tc>
        <w:tc>
          <w:tcPr>
            <w:tcW w:type="dxa" w:w="958"/>
          </w:tcPr>
          <w:p>
            <w:pPr>
              <w:spacing w:after="20"/>
            </w:pPr>
            <w:r/>
            <w:r>
              <w:rPr>
                <w:sz w:val="14"/>
              </w:rPr>
              <w:t>n/a</w:t>
            </w:r>
          </w:p>
        </w:tc>
        <w:tc>
          <w:tcPr>
            <w:tcW w:type="dxa" w:w="845"/>
          </w:tcPr>
          <w:p>
            <w:pPr>
              <w:spacing w:after="20"/>
            </w:pPr>
            <w:r/>
            <w:r>
              <w:rPr>
                <w:sz w:val="14"/>
              </w:rPr>
              <w:t>n/a</w:t>
            </w:r>
          </w:p>
        </w:tc>
        <w:tc>
          <w:tcPr>
            <w:tcW w:type="dxa" w:w="2254"/>
          </w:tcPr>
          <w:p>
            <w:pPr>
              <w:spacing w:after="20"/>
            </w:pPr>
            <w:r/>
            <w:r>
              <w:rPr>
                <w:sz w:val="14"/>
              </w:rPr>
              <w:t>P/B 1.33x, P/E 12.8x, premium 19%</w:t>
            </w:r>
          </w:p>
        </w:tc>
      </w:tr>
      <w:tr>
        <w:tc>
          <w:tcPr>
            <w:tcW w:type="dxa" w:w="1804"/>
            <w:shd w:val="clear" w:color="auto" w:fill="F1F3F8"/>
          </w:tcPr>
          <w:p>
            <w:pPr>
              <w:spacing w:after="20"/>
            </w:pPr>
            <w:r/>
            <w:r>
              <w:rPr>
                <w:b/>
                <w:sz w:val="14"/>
              </w:rPr>
              <w:t>Tri Pointe Homes</w:t>
            </w:r>
          </w:p>
        </w:tc>
        <w:tc>
          <w:tcPr>
            <w:tcW w:type="dxa" w:w="1353"/>
            <w:shd w:val="clear" w:color="auto" w:fill="F1F3F8"/>
          </w:tcPr>
          <w:p>
            <w:pPr>
              <w:spacing w:after="20"/>
            </w:pPr>
            <w:r/>
            <w:r>
              <w:rPr>
                <w:sz w:val="14"/>
              </w:rPr>
              <w:t>Sumitomo Forestry</w:t>
            </w:r>
          </w:p>
        </w:tc>
        <w:tc>
          <w:tcPr>
            <w:tcW w:type="dxa" w:w="1015"/>
            <w:shd w:val="clear" w:color="auto" w:fill="F1F3F8"/>
          </w:tcPr>
          <w:p>
            <w:pPr>
              <w:spacing w:after="20"/>
            </w:pPr>
            <w:r/>
            <w:r>
              <w:rPr>
                <w:sz w:val="14"/>
              </w:rPr>
              <w:t>Feb 2026</w:t>
            </w:r>
          </w:p>
        </w:tc>
        <w:tc>
          <w:tcPr>
            <w:tcW w:type="dxa" w:w="1409"/>
            <w:shd w:val="clear" w:color="auto" w:fill="F1F3F8"/>
          </w:tcPr>
          <w:p>
            <w:pPr>
              <w:spacing w:after="20"/>
            </w:pPr>
            <w:r/>
            <w:r>
              <w:rPr>
                <w:sz w:val="14"/>
              </w:rPr>
              <w:t>USD 4.5bn</w:t>
            </w:r>
          </w:p>
        </w:tc>
        <w:tc>
          <w:tcPr>
            <w:tcW w:type="dxa" w:w="958"/>
            <w:shd w:val="clear" w:color="auto" w:fill="F1F3F8"/>
          </w:tcPr>
          <w:p>
            <w:pPr>
              <w:spacing w:after="20"/>
            </w:pPr>
            <w:r/>
            <w:r>
              <w:rPr>
                <w:sz w:val="14"/>
              </w:rPr>
              <w:t>unverified</w:t>
            </w:r>
          </w:p>
        </w:tc>
        <w:tc>
          <w:tcPr>
            <w:tcW w:type="dxa" w:w="845"/>
            <w:shd w:val="clear" w:color="auto" w:fill="F1F3F8"/>
          </w:tcPr>
          <w:p>
            <w:pPr>
              <w:spacing w:after="20"/>
            </w:pPr>
            <w:r/>
            <w:r>
              <w:rPr>
                <w:sz w:val="14"/>
              </w:rPr>
              <w:t>n/a</w:t>
            </w:r>
          </w:p>
        </w:tc>
        <w:tc>
          <w:tcPr>
            <w:tcW w:type="dxa" w:w="2254"/>
            <w:shd w:val="clear" w:color="auto" w:fill="F1F3F8"/>
          </w:tcPr>
          <w:p>
            <w:pPr>
              <w:spacing w:after="20"/>
            </w:pPr>
            <w:r/>
            <w:r>
              <w:rPr>
                <w:sz w:val="14"/>
              </w:rPr>
              <w:t>Premium 28.5%</w:t>
            </w:r>
          </w:p>
        </w:tc>
      </w:tr>
    </w:tbl>
    <w:p>
      <w:pPr>
        <w:spacing w:after="40"/>
      </w:pPr>
    </w:p>
    <w:p>
      <w:r>
        <w:rPr>
          <w:i/>
          <w:color w:val="555F70"/>
          <w:sz w:val="15"/>
        </w:rPr>
        <w:t>Statistics (our calculation): US specialty contractors (n=7) median EV/EBITDA 9.6x, mean 9.3x; EV/Sales median 1.07x. Broader set (n=12 including consulting) median 10.1x, range 7.0-14.5x. No Japanese contractor deal disclosed EV/EBITDA. Multiples marked 'calc' were computed from disclosed price and guided EBITDA, not company-stated. Japanese contractor deals show premiums of only 3-16% because most were friendly or parent-subsidiary unwinds.</w:t>
      </w:r>
    </w:p>
    <w:p>
      <w:pPr>
        <w:pStyle w:val="Heading2"/>
      </w:pPr>
      <w:r>
        <w:t>13.3 Is Obayashi a takeover target?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4243F"/>
          </w:tcPr>
          <w:p>
            <w:r/>
            <w:r>
              <w:rPr>
                <w:b/>
                <w:color w:val="FFFFFF"/>
                <w:sz w:val="15"/>
              </w:rPr>
              <w:t>Pros (why a bid could happen)</w:t>
            </w:r>
          </w:p>
        </w:tc>
        <w:tc>
          <w:tcPr>
            <w:tcW w:type="dxa" w:w="4819"/>
            <w:shd w:val="clear" w:color="auto" w:fill="14243F"/>
          </w:tcPr>
          <w:p>
            <w:r/>
            <w:r>
              <w:rPr>
                <w:b/>
                <w:color w:val="FFFFFF"/>
                <w:sz w:val="15"/>
              </w:rPr>
              <w:t>Impediments (why it probably will not)</w:t>
            </w:r>
          </w:p>
        </w:tc>
      </w:tr>
      <w:tr>
        <w:tc>
          <w:tcPr>
            <w:tcW w:type="dxa" w:w="4819"/>
          </w:tcPr>
          <w:p>
            <w:pPr>
              <w:spacing w:after="20"/>
            </w:pPr>
            <w:r/>
            <w:r>
              <w:rPr>
                <w:sz w:val="15"/>
              </w:rPr>
              <w:t>Net cash JPY 84bn plus JPY 289bn of cross-held shares; cash-generative</w:t>
            </w:r>
          </w:p>
        </w:tc>
        <w:tc>
          <w:tcPr>
            <w:tcW w:type="dxa" w:w="4819"/>
          </w:tcPr>
          <w:p>
            <w:pPr>
              <w:spacing w:after="20"/>
            </w:pPr>
            <w:r/>
            <w:r>
              <w:rPr>
                <w:sz w:val="15"/>
              </w:rPr>
              <w:t>Size: c.JPY 2.1tn market cap is 10x the largest Japanese contractor deal (Toyo, c.JPY 130-160bn); EV near JPY 2tn+</w:t>
            </w:r>
          </w:p>
        </w:tc>
      </w:tr>
      <w:tr>
        <w:tc>
          <w:tcPr>
            <w:tcW w:type="dxa" w:w="4819"/>
            <w:shd w:val="clear" w:color="auto" w:fill="F1F3F8"/>
          </w:tcPr>
          <w:p>
            <w:pPr>
              <w:spacing w:after="20"/>
            </w:pPr>
            <w:r/>
            <w:r>
              <w:rPr>
                <w:sz w:val="15"/>
              </w:rPr>
              <w:t>Valuation below peers on EV/Sales (c.23% regression gap); P/E c.12x</w:t>
            </w:r>
          </w:p>
        </w:tc>
        <w:tc>
          <w:tcPr>
            <w:tcW w:type="dxa" w:w="4819"/>
            <w:shd w:val="clear" w:color="auto" w:fill="F1F3F8"/>
          </w:tcPr>
          <w:p>
            <w:pPr>
              <w:spacing w:after="20"/>
            </w:pPr>
            <w:r/>
            <w:r>
              <w:rPr>
                <w:sz w:val="15"/>
              </w:rPr>
              <w:t>No credible financial buyer for a JPY 2.5-3tn contractor; LBO leverage capacity limited by thin margins and working-capital swings</w:t>
            </w:r>
          </w:p>
        </w:tc>
      </w:tr>
      <w:tr>
        <w:tc>
          <w:tcPr>
            <w:tcW w:type="dxa" w:w="4819"/>
          </w:tcPr>
          <w:p>
            <w:pPr>
              <w:spacing w:after="20"/>
            </w:pPr>
            <w:r/>
            <w:r>
              <w:rPr>
                <w:sz w:val="15"/>
              </w:rPr>
              <w:t>Foreign ownership 40%; record 135 tender offers in Japan in 2025; METI 2023 guidelines legitimise bids</w:t>
            </w:r>
          </w:p>
        </w:tc>
        <w:tc>
          <w:tcPr>
            <w:tcW w:type="dxa" w:w="4819"/>
          </w:tcPr>
          <w:p>
            <w:pPr>
              <w:spacing w:after="20"/>
            </w:pPr>
            <w:r/>
            <w:r>
              <w:rPr>
                <w:sz w:val="15"/>
              </w:rPr>
              <w:t>May 2026 METI update says boards may reject unsolicited bids; Tokyo court upheld the Makino poison pill</w:t>
            </w:r>
          </w:p>
        </w:tc>
      </w:tr>
      <w:tr>
        <w:tc>
          <w:tcPr>
            <w:tcW w:type="dxa" w:w="4819"/>
            <w:shd w:val="clear" w:color="auto" w:fill="F1F3F8"/>
          </w:tcPr>
          <w:p>
            <w:pPr>
              <w:spacing w:after="20"/>
            </w:pPr>
            <w:r/>
            <w:r>
              <w:rPr>
                <w:sz w:val="15"/>
              </w:rPr>
              <w:t>Strategic rationale for a foreign contractor (Vinci, ACS/Hochtief, Samsung C&amp;T) seeking Japan scale</w:t>
            </w:r>
          </w:p>
        </w:tc>
        <w:tc>
          <w:tcPr>
            <w:tcW w:type="dxa" w:w="4819"/>
            <w:shd w:val="clear" w:color="auto" w:fill="F1F3F8"/>
          </w:tcPr>
          <w:p>
            <w:pPr>
              <w:spacing w:after="20"/>
            </w:pPr>
            <w:r/>
            <w:r>
              <w:rPr>
                <w:sz w:val="15"/>
              </w:rPr>
              <w:t>Licensing and public-works eligibility, client relationships and subcontractor networks do not transfer; antitrust (JFTC) blocks a Big-4 merger</w:t>
            </w:r>
          </w:p>
        </w:tc>
      </w:tr>
      <w:tr>
        <w:tc>
          <w:tcPr>
            <w:tcW w:type="dxa" w:w="4819"/>
          </w:tcPr>
          <w:p>
            <w:pPr>
              <w:spacing w:after="20"/>
            </w:pPr>
            <w:r/>
            <w:r>
              <w:rPr>
                <w:sz w:val="15"/>
              </w:rPr>
              <w:t>Silchester precedent shows a shareholder base that responds to value arguments</w:t>
            </w:r>
          </w:p>
        </w:tc>
        <w:tc>
          <w:tcPr>
            <w:tcW w:type="dxa" w:w="4819"/>
          </w:tcPr>
          <w:p>
            <w:pPr>
              <w:spacing w:after="20"/>
            </w:pPr>
            <w:r/>
            <w:r>
              <w:rPr>
                <w:sz w:val="15"/>
              </w:rPr>
              <w:t>Shareholders are diffuse (top holder: trust bank 15.5%), but the founding-family chairman (2.46%) and cross-holders (Nippon Life 2.1%) lean friendly; Linear legacy makes buyers cautious</w:t>
            </w:r>
          </w:p>
        </w:tc>
      </w:tr>
    </w:tbl>
    <w:p>
      <w:pPr>
        <w:spacing w:after="40"/>
      </w:pPr>
    </w:p>
    <w:tbl>
      <w:tblPr>
        <w:tblW w:type="auto" w:w="0"/>
        <w:jc w:val="center"/>
        <w:tblLook w:firstColumn="1" w:firstRow="1" w:lastColumn="0" w:lastRow="0" w:noHBand="0" w:noVBand="1" w:val="04A0"/>
      </w:tblPr>
      <w:tblGrid>
        <w:gridCol w:w="9752"/>
      </w:tblGrid>
      <w:tr>
        <w:tc>
          <w:tcPr>
            <w:tcW w:type="dxa" w:w="9752"/>
            <w:shd w:val="clear" w:color="auto" w:fill="EEF2FA"/>
          </w:tcPr>
          <w:p>
            <w:r/>
            <w:r>
              <w:rPr>
                <w:b/>
                <w:sz w:val="18"/>
              </w:rPr>
              <w:t>Our assessment:</w:t>
            </w:r>
            <w:r>
              <w:rPr>
                <w:sz w:val="18"/>
              </w:rPr>
              <w:t xml:space="preserve"> probability of a bid for the whole company within 12 months is below 5%. We found no rumours of private-equity or strategic interest and no Big-4 merger talk. If a bid did happen, a 25-40% premium to JPY 3,008 gives JPY 3,760-4,210 per share, i.e. EV/EBITDA of 10.3-11.6x and EV/Sales of 0.97-1.09x, consistent with US specialty-contractor comps (9.6-10.1x) and about equal to the February 2026 peak.</w:t>
            </w:r>
          </w:p>
        </w:tc>
      </w:tr>
    </w:tbl>
    <w:p>
      <w:pPr>
        <w:spacing w:after="40"/>
      </w:pPr>
    </w:p>
    <w:p>
      <w:pPr>
        <w:pStyle w:val="Heading2"/>
      </w:pPr>
      <w:r>
        <w:t>13.4 Acquisitions by Obayashi, October 2016 to October 2026</w:t>
      </w:r>
    </w:p>
    <w:tbl>
      <w:tblPr>
        <w:tblStyle w:val="TableGrid"/>
        <w:tblW w:type="auto" w:w="0"/>
        <w:jc w:val="center"/>
        <w:tblLayout w:type="fixed"/>
        <w:tblLook w:firstColumn="1" w:firstRow="1" w:lastColumn="0" w:lastRow="0" w:noHBand="0" w:noVBand="1" w:val="04A0"/>
      </w:tblPr>
      <w:tblGrid>
        <w:gridCol w:w="1871"/>
        <w:gridCol w:w="1587"/>
        <w:gridCol w:w="680"/>
        <w:gridCol w:w="1928"/>
        <w:gridCol w:w="1417"/>
        <w:gridCol w:w="2154"/>
      </w:tblGrid>
      <w:tr>
        <w:trPr>
          <w:tblHeader w:val="true"/>
        </w:trPr>
        <w:tc>
          <w:tcPr>
            <w:tcW w:type="dxa" w:w="1871"/>
            <w:shd w:val="clear" w:color="auto" w:fill="14243F"/>
          </w:tcPr>
          <w:p>
            <w:r/>
            <w:r>
              <w:rPr>
                <w:b/>
                <w:color w:val="FFFFFF"/>
                <w:sz w:val="14"/>
              </w:rPr>
              <w:t>Target</w:t>
            </w:r>
          </w:p>
        </w:tc>
        <w:tc>
          <w:tcPr>
            <w:tcW w:type="dxa" w:w="1587"/>
            <w:shd w:val="clear" w:color="auto" w:fill="14243F"/>
          </w:tcPr>
          <w:p>
            <w:r/>
            <w:r>
              <w:rPr>
                <w:b/>
                <w:color w:val="FFFFFF"/>
                <w:sz w:val="14"/>
              </w:rPr>
              <w:t>Date</w:t>
            </w:r>
          </w:p>
        </w:tc>
        <w:tc>
          <w:tcPr>
            <w:tcW w:type="dxa" w:w="680"/>
            <w:shd w:val="clear" w:color="auto" w:fill="14243F"/>
          </w:tcPr>
          <w:p>
            <w:r/>
            <w:r>
              <w:rPr>
                <w:b/>
                <w:color w:val="FFFFFF"/>
                <w:sz w:val="14"/>
              </w:rPr>
              <w:t>Stake</w:t>
            </w:r>
          </w:p>
        </w:tc>
        <w:tc>
          <w:tcPr>
            <w:tcW w:type="dxa" w:w="1928"/>
            <w:shd w:val="clear" w:color="auto" w:fill="14243F"/>
          </w:tcPr>
          <w:p>
            <w:r/>
            <w:r>
              <w:rPr>
                <w:b/>
                <w:color w:val="FFFFFF"/>
                <w:sz w:val="14"/>
              </w:rPr>
              <w:t>Cost</w:t>
            </w:r>
          </w:p>
        </w:tc>
        <w:tc>
          <w:tcPr>
            <w:tcW w:type="dxa" w:w="1417"/>
            <w:shd w:val="clear" w:color="auto" w:fill="14243F"/>
          </w:tcPr>
          <w:p>
            <w:r/>
            <w:r>
              <w:rPr>
                <w:b/>
                <w:color w:val="FFFFFF"/>
                <w:sz w:val="14"/>
              </w:rPr>
              <w:t>Multiples</w:t>
            </w:r>
          </w:p>
        </w:tc>
        <w:tc>
          <w:tcPr>
            <w:tcW w:type="dxa" w:w="2154"/>
            <w:shd w:val="clear" w:color="auto" w:fill="14243F"/>
          </w:tcPr>
          <w:p>
            <w:r/>
            <w:r>
              <w:rPr>
                <w:b/>
                <w:color w:val="FFFFFF"/>
                <w:sz w:val="14"/>
              </w:rPr>
              <w:t>Note</w:t>
            </w:r>
          </w:p>
        </w:tc>
      </w:tr>
      <w:tr>
        <w:tc>
          <w:tcPr>
            <w:tcW w:type="dxa" w:w="1871"/>
          </w:tcPr>
          <w:p>
            <w:pPr>
              <w:spacing w:after="20"/>
            </w:pPr>
            <w:r/>
            <w:r>
              <w:rPr>
                <w:b/>
                <w:sz w:val="14"/>
              </w:rPr>
              <w:t>MWH Constructors (US water)</w:t>
            </w:r>
          </w:p>
        </w:tc>
        <w:tc>
          <w:tcPr>
            <w:tcW w:type="dxa" w:w="1587"/>
          </w:tcPr>
          <w:p>
            <w:pPr>
              <w:spacing w:after="20"/>
            </w:pPr>
            <w:r/>
            <w:r>
              <w:rPr>
                <w:sz w:val="14"/>
              </w:rPr>
              <w:t>Announced 11 Jan 2024</w:t>
            </w:r>
          </w:p>
        </w:tc>
        <w:tc>
          <w:tcPr>
            <w:tcW w:type="dxa" w:w="680"/>
          </w:tcPr>
          <w:p>
            <w:pPr>
              <w:spacing w:after="20"/>
            </w:pPr>
            <w:r/>
            <w:r>
              <w:rPr>
                <w:sz w:val="14"/>
              </w:rPr>
              <w:t>90%</w:t>
            </w:r>
          </w:p>
        </w:tc>
        <w:tc>
          <w:tcPr>
            <w:tcW w:type="dxa" w:w="1928"/>
          </w:tcPr>
          <w:p>
            <w:pPr>
              <w:spacing w:after="20"/>
            </w:pPr>
            <w:r/>
            <w:r>
              <w:rPr>
                <w:sz w:val="14"/>
              </w:rPr>
              <w:t>c.USD 126m (c.JPY 19bn†; not officially disclosed)</w:t>
            </w:r>
          </w:p>
        </w:tc>
        <w:tc>
          <w:tcPr>
            <w:tcW w:type="dxa" w:w="1417"/>
          </w:tcPr>
          <w:p>
            <w:pPr>
              <w:spacing w:after="20"/>
            </w:pPr>
            <w:r/>
            <w:r>
              <w:rPr>
                <w:sz w:val="14"/>
              </w:rPr>
              <w:t>n/a</w:t>
            </w:r>
          </w:p>
        </w:tc>
        <w:tc>
          <w:tcPr>
            <w:tcW w:type="dxa" w:w="2154"/>
          </w:tcPr>
          <w:p>
            <w:pPr>
              <w:spacing w:after="20"/>
            </w:pPr>
            <w:r/>
            <w:r>
              <w:rPr>
                <w:sz w:val="14"/>
              </w:rPr>
              <w:t>Water-infrastructure builder; merged into US civil</w:t>
            </w:r>
          </w:p>
        </w:tc>
      </w:tr>
      <w:tr>
        <w:tc>
          <w:tcPr>
            <w:tcW w:type="dxa" w:w="1871"/>
            <w:shd w:val="clear" w:color="auto" w:fill="F1F3F8"/>
          </w:tcPr>
          <w:p>
            <w:pPr>
              <w:spacing w:after="20"/>
            </w:pPr>
            <w:r/>
            <w:r>
              <w:rPr>
                <w:b/>
                <w:sz w:val="14"/>
              </w:rPr>
              <w:t>GCON Inc. + 2 affiliates (Arizona), via Webcor</w:t>
            </w:r>
          </w:p>
        </w:tc>
        <w:tc>
          <w:tcPr>
            <w:tcW w:type="dxa" w:w="1587"/>
            <w:shd w:val="clear" w:color="auto" w:fill="F1F3F8"/>
          </w:tcPr>
          <w:p>
            <w:pPr>
              <w:spacing w:after="20"/>
            </w:pPr>
            <w:r/>
            <w:r>
              <w:rPr>
                <w:sz w:val="14"/>
              </w:rPr>
              <w:t>17 Oct 2025; closed 1 Dec 2025</w:t>
            </w:r>
          </w:p>
        </w:tc>
        <w:tc>
          <w:tcPr>
            <w:tcW w:type="dxa" w:w="680"/>
            <w:shd w:val="clear" w:color="auto" w:fill="F1F3F8"/>
          </w:tcPr>
          <w:p>
            <w:pPr>
              <w:spacing w:after="20"/>
            </w:pPr>
            <w:r/>
            <w:r>
              <w:rPr>
                <w:sz w:val="14"/>
              </w:rPr>
              <w:t>100%</w:t>
            </w:r>
          </w:p>
        </w:tc>
        <w:tc>
          <w:tcPr>
            <w:tcW w:type="dxa" w:w="1928"/>
            <w:shd w:val="clear" w:color="auto" w:fill="F1F3F8"/>
          </w:tcPr>
          <w:p>
            <w:pPr>
              <w:spacing w:after="20"/>
            </w:pPr>
            <w:r/>
            <w:r>
              <w:rPr>
                <w:sz w:val="14"/>
              </w:rPr>
              <w:t>Undisclosed</w:t>
            </w:r>
          </w:p>
        </w:tc>
        <w:tc>
          <w:tcPr>
            <w:tcW w:type="dxa" w:w="1417"/>
            <w:shd w:val="clear" w:color="auto" w:fill="F1F3F8"/>
          </w:tcPr>
          <w:p>
            <w:pPr>
              <w:spacing w:after="20"/>
            </w:pPr>
            <w:r/>
            <w:r>
              <w:rPr>
                <w:sz w:val="14"/>
              </w:rPr>
              <w:t>n/a</w:t>
            </w:r>
          </w:p>
        </w:tc>
        <w:tc>
          <w:tcPr>
            <w:tcW w:type="dxa" w:w="2154"/>
            <w:shd w:val="clear" w:color="auto" w:fill="F1F3F8"/>
          </w:tcPr>
          <w:p>
            <w:pPr>
              <w:spacing w:after="20"/>
            </w:pPr>
            <w:r/>
            <w:r>
              <w:rPr>
                <w:sz w:val="14"/>
              </w:rPr>
              <w:t>Data-centre, semiconductor, healthcare construction management in 10 states; consolidated in FY3/26 H2</w:t>
            </w:r>
          </w:p>
        </w:tc>
      </w:tr>
      <w:tr>
        <w:tc>
          <w:tcPr>
            <w:tcW w:type="dxa" w:w="1871"/>
          </w:tcPr>
          <w:p>
            <w:pPr>
              <w:spacing w:after="20"/>
            </w:pPr>
            <w:r/>
            <w:r>
              <w:rPr>
                <w:b/>
                <w:sz w:val="14"/>
              </w:rPr>
              <w:t>Multiplex Global (AU/UK/CA) from Brookfield</w:t>
            </w:r>
          </w:p>
        </w:tc>
        <w:tc>
          <w:tcPr>
            <w:tcW w:type="dxa" w:w="1587"/>
          </w:tcPr>
          <w:p>
            <w:pPr>
              <w:spacing w:after="20"/>
            </w:pPr>
            <w:r/>
            <w:r>
              <w:rPr>
                <w:sz w:val="14"/>
              </w:rPr>
              <w:t>18 Jun 2026; closing targeted 30 Sep 2026 (unconfirmed)</w:t>
            </w:r>
          </w:p>
        </w:tc>
        <w:tc>
          <w:tcPr>
            <w:tcW w:type="dxa" w:w="680"/>
          </w:tcPr>
          <w:p>
            <w:pPr>
              <w:spacing w:after="20"/>
            </w:pPr>
            <w:r/>
            <w:r>
              <w:rPr>
                <w:sz w:val="14"/>
              </w:rPr>
              <w:t>100%</w:t>
            </w:r>
          </w:p>
        </w:tc>
        <w:tc>
          <w:tcPr>
            <w:tcW w:type="dxa" w:w="1928"/>
          </w:tcPr>
          <w:p>
            <w:pPr>
              <w:spacing w:after="20"/>
            </w:pPr>
            <w:r/>
            <w:r>
              <w:rPr>
                <w:sz w:val="14"/>
              </w:rPr>
              <w:t>USD 540m (c.JPY 86bn); Bloomberg headline USD 650m incl. earn-out</w:t>
            </w:r>
          </w:p>
        </w:tc>
        <w:tc>
          <w:tcPr>
            <w:tcW w:type="dxa" w:w="1417"/>
          </w:tcPr>
          <w:p>
            <w:pPr>
              <w:spacing w:after="20"/>
            </w:pPr>
            <w:r/>
            <w:r>
              <w:rPr>
                <w:sz w:val="14"/>
              </w:rPr>
              <w:t>8.7-10.5x EBITDA; 0.14-0.17x sales (calc)</w:t>
            </w:r>
          </w:p>
        </w:tc>
        <w:tc>
          <w:tcPr>
            <w:tcW w:type="dxa" w:w="2154"/>
          </w:tcPr>
          <w:p>
            <w:pPr>
              <w:spacing w:after="20"/>
            </w:pPr>
            <w:r/>
            <w:r>
              <w:rPr>
                <w:sz w:val="14"/>
              </w:rPr>
              <w:t>Largest Obayashi deal of the decade; FY25 revenue USD 3.8bn, EBITDA c.USD 62m, net income USD 71m</w:t>
            </w:r>
          </w:p>
        </w:tc>
      </w:tr>
      <w:tr>
        <w:tc>
          <w:tcPr>
            <w:tcW w:type="dxa" w:w="1871"/>
            <w:shd w:val="clear" w:color="auto" w:fill="F1F3F8"/>
          </w:tcPr>
          <w:p>
            <w:pPr>
              <w:spacing w:after="20"/>
            </w:pPr>
            <w:r/>
            <w:r>
              <w:rPr>
                <w:b/>
                <w:sz w:val="14"/>
              </w:rPr>
              <w:t>Cypress Sunadaya (wood)</w:t>
            </w:r>
          </w:p>
        </w:tc>
        <w:tc>
          <w:tcPr>
            <w:tcW w:type="dxa" w:w="1587"/>
            <w:shd w:val="clear" w:color="auto" w:fill="F1F3F8"/>
          </w:tcPr>
          <w:p>
            <w:pPr>
              <w:spacing w:after="20"/>
            </w:pPr>
            <w:r/>
            <w:r>
              <w:rPr>
                <w:sz w:val="14"/>
              </w:rPr>
              <w:t>Consolidated FY2022</w:t>
            </w:r>
          </w:p>
        </w:tc>
        <w:tc>
          <w:tcPr>
            <w:tcW w:type="dxa" w:w="680"/>
            <w:shd w:val="clear" w:color="auto" w:fill="F1F3F8"/>
          </w:tcPr>
          <w:p>
            <w:pPr>
              <w:spacing w:after="20"/>
            </w:pPr>
            <w:r/>
            <w:r>
              <w:rPr>
                <w:sz w:val="14"/>
              </w:rPr>
              <w:t>n/a</w:t>
            </w:r>
          </w:p>
        </w:tc>
        <w:tc>
          <w:tcPr>
            <w:tcW w:type="dxa" w:w="1928"/>
            <w:shd w:val="clear" w:color="auto" w:fill="F1F3F8"/>
          </w:tcPr>
          <w:p>
            <w:pPr>
              <w:spacing w:after="20"/>
            </w:pPr>
            <w:r/>
            <w:r>
              <w:rPr>
                <w:sz w:val="14"/>
              </w:rPr>
              <w:t>n/a</w:t>
            </w:r>
          </w:p>
        </w:tc>
        <w:tc>
          <w:tcPr>
            <w:tcW w:type="dxa" w:w="1417"/>
            <w:shd w:val="clear" w:color="auto" w:fill="F1F3F8"/>
          </w:tcPr>
          <w:p>
            <w:pPr>
              <w:spacing w:after="20"/>
            </w:pPr>
            <w:r/>
            <w:r>
              <w:rPr>
                <w:sz w:val="14"/>
              </w:rPr>
              <w:t>n/a</w:t>
            </w:r>
          </w:p>
        </w:tc>
        <w:tc>
          <w:tcPr>
            <w:tcW w:type="dxa" w:w="2154"/>
            <w:shd w:val="clear" w:color="auto" w:fill="F1F3F8"/>
          </w:tcPr>
          <w:p>
            <w:pPr>
              <w:spacing w:after="20"/>
            </w:pPr>
            <w:r/>
            <w:r>
              <w:rPr>
                <w:sz w:val="14"/>
              </w:rPr>
              <w:t>Timber construction</w:t>
            </w:r>
          </w:p>
        </w:tc>
      </w:tr>
      <w:tr>
        <w:tc>
          <w:tcPr>
            <w:tcW w:type="dxa" w:w="1871"/>
          </w:tcPr>
          <w:p>
            <w:pPr>
              <w:spacing w:after="20"/>
            </w:pPr>
            <w:r/>
            <w:r>
              <w:rPr>
                <w:b/>
                <w:sz w:val="14"/>
              </w:rPr>
              <w:t>Obayashi Road (minority buy-out)</w:t>
            </w:r>
          </w:p>
        </w:tc>
        <w:tc>
          <w:tcPr>
            <w:tcW w:type="dxa" w:w="1587"/>
          </w:tcPr>
          <w:p>
            <w:pPr>
              <w:spacing w:after="20"/>
            </w:pPr>
            <w:r/>
            <w:r>
              <w:rPr>
                <w:sz w:val="14"/>
              </w:rPr>
              <w:t>2017 TOB</w:t>
            </w:r>
          </w:p>
        </w:tc>
        <w:tc>
          <w:tcPr>
            <w:tcW w:type="dxa" w:w="680"/>
          </w:tcPr>
          <w:p>
            <w:pPr>
              <w:spacing w:after="20"/>
            </w:pPr>
            <w:r/>
            <w:r>
              <w:rPr>
                <w:sz w:val="14"/>
              </w:rPr>
              <w:t>to 100%</w:t>
            </w:r>
          </w:p>
        </w:tc>
        <w:tc>
          <w:tcPr>
            <w:tcW w:type="dxa" w:w="1928"/>
          </w:tcPr>
          <w:p>
            <w:pPr>
              <w:spacing w:after="20"/>
            </w:pPr>
            <w:r/>
            <w:r>
              <w:rPr>
                <w:sz w:val="14"/>
              </w:rPr>
              <w:t>n/a</w:t>
            </w:r>
          </w:p>
        </w:tc>
        <w:tc>
          <w:tcPr>
            <w:tcW w:type="dxa" w:w="1417"/>
          </w:tcPr>
          <w:p>
            <w:pPr>
              <w:spacing w:after="20"/>
            </w:pPr>
            <w:r/>
            <w:r>
              <w:rPr>
                <w:sz w:val="14"/>
              </w:rPr>
              <w:t>n/a</w:t>
            </w:r>
          </w:p>
        </w:tc>
        <w:tc>
          <w:tcPr>
            <w:tcW w:type="dxa" w:w="2154"/>
          </w:tcPr>
          <w:p>
            <w:pPr>
              <w:spacing w:after="20"/>
            </w:pPr>
            <w:r/>
            <w:r>
              <w:rPr>
                <w:sz w:val="14"/>
              </w:rPr>
              <w:t>Delisted; wholly owned</w:t>
            </w:r>
          </w:p>
        </w:tc>
      </w:tr>
    </w:tbl>
    <w:p>
      <w:pPr>
        <w:spacing w:after="40"/>
      </w:pPr>
    </w:p>
    <w:p>
      <w:r>
        <w:rPr>
          <w:sz w:val="16"/>
        </w:rPr>
        <w:t>Earlier US platform (outside the ten-year window): James E. Roberts-Obayashi (1978), E.W. Howell (1989), Webcor (2007), Kraemer North America (2014-15), Kenaidan (2011). No other acquisitions were found for 2017-2022. Multiplex is a USD 3.8bn-revenue business bought at c.0.15x sales for a company that historically earned thin margins and has had fixed-price project disputes (general knowledge†); it carries more integration and execution risk than the sub-USD 200m deals, though at c.4% of Obayashi's market cap the financial exposure is modest.</w:t>
      </w:r>
    </w:p>
    <w:p>
      <w:pPr>
        <w:pStyle w:val="Heading2"/>
      </w:pPr>
      <w:r>
        <w:t>13.5 SK Telecom's holding in Anthropic</w:t>
      </w:r>
    </w:p>
    <w:p>
      <w:r>
        <w:rPr>
          <w:b/>
          <w:sz w:val="18"/>
        </w:rPr>
        <w:t>Nothing links SK Telecom (017670 KS) to Obayashi.</w:t>
      </w:r>
      <w:r>
        <w:rPr>
          <w:sz w:val="18"/>
        </w:rPr>
        <w:t xml:space="preserve"> We include the data in case it was requested for a different context.</w:t>
      </w:r>
    </w:p>
    <w:tbl>
      <w:tblPr>
        <w:tblStyle w:val="TableGrid"/>
        <w:tblW w:type="auto" w:w="0"/>
        <w:jc w:val="center"/>
        <w:tblLayout w:type="fixed"/>
        <w:tblLook w:firstColumn="1" w:firstRow="1" w:lastColumn="0" w:lastRow="0" w:noHBand="0" w:noVBand="1" w:val="04A0"/>
      </w:tblPr>
      <w:tblGrid>
        <w:gridCol w:w="2041"/>
        <w:gridCol w:w="7597"/>
      </w:tblGrid>
      <w:tr>
        <w:trPr>
          <w:tblHeader w:val="true"/>
        </w:trPr>
        <w:tc>
          <w:tcPr>
            <w:tcW w:type="dxa" w:w="2041"/>
            <w:shd w:val="clear" w:color="auto" w:fill="14243F"/>
          </w:tcPr>
          <w:p>
            <w:r/>
            <w:r>
              <w:rPr>
                <w:b/>
                <w:color w:val="FFFFFF"/>
                <w:sz w:val="15"/>
              </w:rPr>
              <w:t>Item</w:t>
            </w:r>
          </w:p>
        </w:tc>
        <w:tc>
          <w:tcPr>
            <w:tcW w:type="dxa" w:w="7597"/>
            <w:shd w:val="clear" w:color="auto" w:fill="14243F"/>
          </w:tcPr>
          <w:p>
            <w:r/>
            <w:r>
              <w:rPr>
                <w:b/>
                <w:color w:val="FFFFFF"/>
                <w:sz w:val="15"/>
              </w:rPr>
              <w:t>Detail</w:t>
            </w:r>
          </w:p>
        </w:tc>
      </w:tr>
      <w:tr>
        <w:tc>
          <w:tcPr>
            <w:tcW w:type="dxa" w:w="2041"/>
          </w:tcPr>
          <w:p>
            <w:pPr>
              <w:spacing w:after="20"/>
            </w:pPr>
            <w:r/>
            <w:r>
              <w:rPr>
                <w:b/>
                <w:sz w:val="15"/>
              </w:rPr>
              <w:t>Shares held (30 Jun 2026)</w:t>
            </w:r>
          </w:p>
        </w:tc>
        <w:tc>
          <w:tcPr>
            <w:tcW w:type="dxa" w:w="7597"/>
          </w:tcPr>
          <w:p>
            <w:pPr>
              <w:spacing w:after="20"/>
            </w:pPr>
            <w:r/>
            <w:r>
              <w:rPr>
                <w:sz w:val="15"/>
              </w:rPr>
              <w:t>3,860,330 Anthropic shares, per SKT's H1 2026 report (reported by Asia Today, Newspim, Edaily, Herald)</w:t>
            </w:r>
          </w:p>
        </w:tc>
      </w:tr>
      <w:tr>
        <w:tc>
          <w:tcPr>
            <w:tcW w:type="dxa" w:w="2041"/>
            <w:shd w:val="clear" w:color="auto" w:fill="F1F3F8"/>
          </w:tcPr>
          <w:p>
            <w:pPr>
              <w:spacing w:after="20"/>
            </w:pPr>
            <w:r/>
            <w:r>
              <w:rPr>
                <w:b/>
                <w:sz w:val="15"/>
              </w:rPr>
              <w:t>Carrying value</w:t>
            </w:r>
          </w:p>
        </w:tc>
        <w:tc>
          <w:tcPr>
            <w:tcW w:type="dxa" w:w="7597"/>
            <w:shd w:val="clear" w:color="auto" w:fill="F1F3F8"/>
          </w:tcPr>
          <w:p>
            <w:pPr>
              <w:spacing w:after="20"/>
            </w:pPr>
            <w:r/>
            <w:r>
              <w:rPr>
                <w:sz w:val="15"/>
              </w:rPr>
              <w:t>KRW 3.505tn at 30 Jun 2026, up from KRW 1.376tn at end-2025; c.KRW 908k per share</w:t>
            </w:r>
          </w:p>
        </w:tc>
      </w:tr>
      <w:tr>
        <w:tc>
          <w:tcPr>
            <w:tcW w:type="dxa" w:w="2041"/>
          </w:tcPr>
          <w:p>
            <w:pPr>
              <w:spacing w:after="20"/>
            </w:pPr>
            <w:r/>
            <w:r>
              <w:rPr>
                <w:b/>
                <w:sz w:val="15"/>
              </w:rPr>
              <w:t>H1 2026 purchase</w:t>
            </w:r>
          </w:p>
        </w:tc>
        <w:tc>
          <w:tcPr>
            <w:tcW w:type="dxa" w:w="7597"/>
          </w:tcPr>
          <w:p>
            <w:pPr>
              <w:spacing w:after="20"/>
            </w:pPr>
            <w:r/>
            <w:r>
              <w:rPr>
                <w:sz w:val="15"/>
              </w:rPr>
              <w:t>157,189 shares for KRW 139.9bn (c.KRW 890k per share)</w:t>
            </w:r>
          </w:p>
        </w:tc>
      </w:tr>
      <w:tr>
        <w:tc>
          <w:tcPr>
            <w:tcW w:type="dxa" w:w="2041"/>
            <w:shd w:val="clear" w:color="auto" w:fill="F1F3F8"/>
          </w:tcPr>
          <w:p>
            <w:pPr>
              <w:spacing w:after="20"/>
            </w:pPr>
            <w:r/>
            <w:r>
              <w:rPr>
                <w:b/>
                <w:sz w:val="15"/>
              </w:rPr>
              <w:t>Original investment</w:t>
            </w:r>
          </w:p>
        </w:tc>
        <w:tc>
          <w:tcPr>
            <w:tcW w:type="dxa" w:w="7597"/>
            <w:shd w:val="clear" w:color="auto" w:fill="F1F3F8"/>
          </w:tcPr>
          <w:p>
            <w:pPr>
              <w:spacing w:after="20"/>
            </w:pPr>
            <w:r/>
            <w:r>
              <w:rPr>
                <w:sz w:val="15"/>
              </w:rPr>
              <w:t>USD 100m in 2023 (instrument type not verified)</w:t>
            </w:r>
          </w:p>
        </w:tc>
      </w:tr>
      <w:tr>
        <w:tc>
          <w:tcPr>
            <w:tcW w:type="dxa" w:w="2041"/>
          </w:tcPr>
          <w:p>
            <w:pPr>
              <w:spacing w:after="20"/>
            </w:pPr>
            <w:r/>
            <w:r>
              <w:rPr>
                <w:b/>
                <w:sz w:val="15"/>
              </w:rPr>
              <w:t>Ownership percentage</w:t>
            </w:r>
          </w:p>
        </w:tc>
        <w:tc>
          <w:tcPr>
            <w:tcW w:type="dxa" w:w="7597"/>
          </w:tcPr>
          <w:p>
            <w:pPr>
              <w:spacing w:after="20"/>
            </w:pPr>
            <w:r/>
            <w:r>
              <w:rPr>
                <w:sz w:val="15"/>
              </w:rPr>
              <w:t>c.0.24% (our calc: Series H of 28 May 2026 at USD 965bn valuation and up to USD 589.01 a share implies c.1.64bn shares); Hana Securities cites 0.3%. Originally c.2%, diluted by later rounds</w:t>
            </w:r>
          </w:p>
        </w:tc>
      </w:tr>
      <w:tr>
        <w:tc>
          <w:tcPr>
            <w:tcW w:type="dxa" w:w="2041"/>
            <w:shd w:val="clear" w:color="auto" w:fill="F1F3F8"/>
          </w:tcPr>
          <w:p>
            <w:pPr>
              <w:spacing w:after="20"/>
            </w:pPr>
            <w:r/>
            <w:r>
              <w:rPr>
                <w:b/>
                <w:sz w:val="15"/>
              </w:rPr>
              <w:t>Implied value</w:t>
            </w:r>
          </w:p>
        </w:tc>
        <w:tc>
          <w:tcPr>
            <w:tcW w:type="dxa" w:w="7597"/>
            <w:shd w:val="clear" w:color="auto" w:fill="F1F3F8"/>
          </w:tcPr>
          <w:p>
            <w:pPr>
              <w:spacing w:after="20"/>
            </w:pPr>
            <w:r/>
            <w:r>
              <w:rPr>
                <w:sz w:val="15"/>
              </w:rPr>
              <w:t>c.USD 2.3bn at USD 589 a share (our calc); KRW 3.5tn carrying value (c.USD 2.5bn at KRW 1,380/USD, FX assumed)</w:t>
            </w:r>
          </w:p>
        </w:tc>
      </w:tr>
      <w:tr>
        <w:tc>
          <w:tcPr>
            <w:tcW w:type="dxa" w:w="2041"/>
          </w:tcPr>
          <w:p>
            <w:pPr>
              <w:spacing w:after="20"/>
            </w:pPr>
            <w:r/>
            <w:r>
              <w:rPr>
                <w:b/>
                <w:sz w:val="15"/>
              </w:rPr>
              <w:t>Discrepancies</w:t>
            </w:r>
          </w:p>
        </w:tc>
        <w:tc>
          <w:tcPr>
            <w:tcW w:type="dxa" w:w="7597"/>
          </w:tcPr>
          <w:p>
            <w:pPr>
              <w:spacing w:after="20"/>
            </w:pPr>
            <w:r/>
            <w:r>
              <w:rPr>
                <w:sz w:val="15"/>
              </w:rPr>
              <w:t>One Korean source says 0.5-0.7%, inconsistent with the share count; a Morningstar USD 17.6bn figure implies c.2% and looks stale. Anthropic has not published its share count (IPO filing confidential). Accounting classification (FVTPL/FVOCI) not found; the DART filing was not read directly</w:t>
            </w:r>
          </w:p>
        </w:tc>
      </w:tr>
    </w:tbl>
    <w:p>
      <w:pPr>
        <w:spacing w:after="40"/>
      </w:pPr>
    </w:p>
    <w:p>
      <w:pPr>
        <w:pStyle w:val="Heading1"/>
      </w:pPr>
      <w:r>
        <w:t>14. Management assessment</w:t>
      </w:r>
    </w:p>
    <w:tbl>
      <w:tblPr>
        <w:tblStyle w:val="TableGrid"/>
        <w:tblW w:type="auto" w:w="0"/>
        <w:jc w:val="center"/>
        <w:tblLayout w:type="fixed"/>
        <w:tblLook w:firstColumn="1" w:firstRow="1" w:lastColumn="0" w:lastRow="0" w:noHBand="0" w:noVBand="1" w:val="04A0"/>
      </w:tblPr>
      <w:tblGrid>
        <w:gridCol w:w="1871"/>
        <w:gridCol w:w="2494"/>
        <w:gridCol w:w="5272"/>
      </w:tblGrid>
      <w:tr>
        <w:trPr>
          <w:tblHeader w:val="true"/>
        </w:trPr>
        <w:tc>
          <w:tcPr>
            <w:tcW w:type="dxa" w:w="1871"/>
            <w:shd w:val="clear" w:color="auto" w:fill="14243F"/>
          </w:tcPr>
          <w:p>
            <w:r/>
            <w:r>
              <w:rPr>
                <w:b/>
                <w:color w:val="FFFFFF"/>
                <w:sz w:val="15"/>
              </w:rPr>
              <w:t>Executive</w:t>
            </w:r>
          </w:p>
        </w:tc>
        <w:tc>
          <w:tcPr>
            <w:tcW w:type="dxa" w:w="2494"/>
            <w:shd w:val="clear" w:color="auto" w:fill="14243F"/>
          </w:tcPr>
          <w:p>
            <w:r/>
            <w:r>
              <w:rPr>
                <w:b/>
                <w:color w:val="FFFFFF"/>
                <w:sz w:val="15"/>
              </w:rPr>
              <w:t>Role / tenure</w:t>
            </w:r>
          </w:p>
        </w:tc>
        <w:tc>
          <w:tcPr>
            <w:tcW w:type="dxa" w:w="5272"/>
            <w:shd w:val="clear" w:color="auto" w:fill="14243F"/>
          </w:tcPr>
          <w:p>
            <w:r/>
            <w:r>
              <w:rPr>
                <w:b/>
                <w:color w:val="FFFFFF"/>
                <w:sz w:val="15"/>
              </w:rPr>
              <w:t>Track record and holdings</w:t>
            </w:r>
          </w:p>
        </w:tc>
      </w:tr>
      <w:tr>
        <w:tc>
          <w:tcPr>
            <w:tcW w:type="dxa" w:w="1871"/>
          </w:tcPr>
          <w:p>
            <w:pPr>
              <w:spacing w:after="20"/>
            </w:pPr>
            <w:r/>
            <w:r>
              <w:rPr>
                <w:b/>
                <w:sz w:val="15"/>
              </w:rPr>
              <w:t>Toshimi Sato (66)</w:t>
            </w:r>
          </w:p>
        </w:tc>
        <w:tc>
          <w:tcPr>
            <w:tcW w:type="dxa" w:w="2494"/>
          </w:tcPr>
          <w:p>
            <w:pPr>
              <w:spacing w:after="20"/>
            </w:pPr>
            <w:r/>
            <w:r>
              <w:rPr>
                <w:sz w:val="15"/>
              </w:rPr>
              <w:t>President and CEO since 1 Apr 2025; director since 2018</w:t>
            </w:r>
          </w:p>
        </w:tc>
        <w:tc>
          <w:tcPr>
            <w:tcW w:type="dxa" w:w="5272"/>
          </w:tcPr>
          <w:p>
            <w:pPr>
              <w:spacing w:after="20"/>
            </w:pPr>
            <w:r/>
            <w:r>
              <w:rPr>
                <w:sz w:val="15"/>
              </w:rPr>
              <w:t>Finance and planning career (head of Finance 2013, Corporate Planning 2015); first non-engineer, non-family president. Has presided over the best results in the group's recent history (OP JPY 195bn in FY3/26), a JPY 100bn buyback, GCON and Multiplex. Shareholding and pay not in the disclosed list (below JPY 100m threshold)</w:t>
            </w:r>
          </w:p>
        </w:tc>
      </w:tr>
      <w:tr>
        <w:tc>
          <w:tcPr>
            <w:tcW w:type="dxa" w:w="1871"/>
            <w:shd w:val="clear" w:color="auto" w:fill="F1F3F8"/>
          </w:tcPr>
          <w:p>
            <w:pPr>
              <w:spacing w:after="20"/>
            </w:pPr>
            <w:r/>
            <w:r>
              <w:rPr>
                <w:b/>
                <w:sz w:val="15"/>
              </w:rPr>
              <w:t>Takeo Obayashi (72)</w:t>
            </w:r>
          </w:p>
        </w:tc>
        <w:tc>
          <w:tcPr>
            <w:tcW w:type="dxa" w:w="2494"/>
            <w:shd w:val="clear" w:color="auto" w:fill="F1F3F8"/>
          </w:tcPr>
          <w:p>
            <w:pPr>
              <w:spacing w:after="20"/>
            </w:pPr>
            <w:r/>
            <w:r>
              <w:rPr>
                <w:sz w:val="15"/>
              </w:rPr>
              <w:t>Chairman; founding family; director since 1983</w:t>
            </w:r>
          </w:p>
        </w:tc>
        <w:tc>
          <w:tcPr>
            <w:tcW w:type="dxa" w:w="5272"/>
            <w:shd w:val="clear" w:color="auto" w:fill="F1F3F8"/>
          </w:tcPr>
          <w:p>
            <w:pPr>
              <w:spacing w:after="20"/>
            </w:pPr>
            <w:r/>
            <w:r>
              <w:rPr>
                <w:sz w:val="15"/>
              </w:rPr>
              <w:t>Holds 16.9m shares (2.46%, c.JPY 51bn at JPY 3,008): meaningful skin in the game. Pay JPY 118m (FY3/25). Sources conflict on when he became chairman (2003, 2009 or Apr 2023)</w:t>
            </w:r>
          </w:p>
        </w:tc>
      </w:tr>
      <w:tr>
        <w:tc>
          <w:tcPr>
            <w:tcW w:type="dxa" w:w="1871"/>
          </w:tcPr>
          <w:p>
            <w:pPr>
              <w:spacing w:after="20"/>
            </w:pPr>
            <w:r/>
            <w:r>
              <w:rPr>
                <w:b/>
                <w:sz w:val="15"/>
              </w:rPr>
              <w:t>Kenji Hasuwa (72)</w:t>
            </w:r>
          </w:p>
        </w:tc>
        <w:tc>
          <w:tcPr>
            <w:tcW w:type="dxa" w:w="2494"/>
          </w:tcPr>
          <w:p>
            <w:pPr>
              <w:spacing w:after="20"/>
            </w:pPr>
            <w:r/>
            <w:r>
              <w:rPr>
                <w:sz w:val="15"/>
              </w:rPr>
              <w:t>Vice Chairman (non-representative) since Apr 2025; President Mar 2018-Mar 2025</w:t>
            </w:r>
          </w:p>
        </w:tc>
        <w:tc>
          <w:tcPr>
            <w:tcW w:type="dxa" w:w="5272"/>
          </w:tcPr>
          <w:p>
            <w:pPr>
              <w:spacing w:after="20"/>
            </w:pPr>
            <w:r/>
            <w:r>
              <w:rPr>
                <w:sz w:val="15"/>
              </w:rPr>
              <w:t>Civil engineer who took over after the Linear bid-rigging forced out his predecessor; delivered the recovery and MWH acquisition. Pay JPY 169m (FY3/25)</w:t>
            </w:r>
          </w:p>
        </w:tc>
      </w:tr>
      <w:tr>
        <w:tc>
          <w:tcPr>
            <w:tcW w:type="dxa" w:w="1871"/>
            <w:shd w:val="clear" w:color="auto" w:fill="F1F3F8"/>
          </w:tcPr>
          <w:p>
            <w:pPr>
              <w:spacing w:after="20"/>
            </w:pPr>
            <w:r/>
            <w:r>
              <w:rPr>
                <w:b/>
                <w:sz w:val="15"/>
              </w:rPr>
              <w:t>Yasuo Morita; Yoshihito Sasaki; Atsushi Sasagawa</w:t>
            </w:r>
          </w:p>
        </w:tc>
        <w:tc>
          <w:tcPr>
            <w:tcW w:type="dxa" w:w="2494"/>
            <w:shd w:val="clear" w:color="auto" w:fill="F1F3F8"/>
          </w:tcPr>
          <w:p>
            <w:pPr>
              <w:spacing w:after="20"/>
            </w:pPr>
            <w:r/>
            <w:r>
              <w:rPr>
                <w:sz w:val="15"/>
              </w:rPr>
              <w:t>Representative directors / vice chairman (changes Apr and Jun 2026)</w:t>
            </w:r>
          </w:p>
        </w:tc>
        <w:tc>
          <w:tcPr>
            <w:tcW w:type="dxa" w:w="5272"/>
            <w:shd w:val="clear" w:color="auto" w:fill="F1F3F8"/>
          </w:tcPr>
          <w:p>
            <w:pPr>
              <w:spacing w:after="20"/>
            </w:pPr>
            <w:r/>
            <w:r>
              <w:rPr>
                <w:sz w:val="15"/>
              </w:rPr>
              <w:t>Details thin. The 6 Mar 2026 notice made Morita a representative director; Sasagawa gave up representation and moves to Vice Chairman, though one summary still lists him as a director. Verify against the AGM notice</w:t>
            </w:r>
          </w:p>
        </w:tc>
      </w:tr>
      <w:tr>
        <w:tc>
          <w:tcPr>
            <w:tcW w:type="dxa" w:w="1871"/>
          </w:tcPr>
          <w:p>
            <w:pPr>
              <w:spacing w:after="20"/>
            </w:pPr>
            <w:r/>
            <w:r>
              <w:rPr>
                <w:b/>
                <w:sz w:val="15"/>
              </w:rPr>
              <w:t>CFO / finance head; business-unit heads</w:t>
            </w:r>
          </w:p>
        </w:tc>
        <w:tc>
          <w:tcPr>
            <w:tcW w:type="dxa" w:w="2494"/>
          </w:tcPr>
          <w:p>
            <w:pPr>
              <w:spacing w:after="20"/>
            </w:pPr>
            <w:r/>
            <w:r>
              <w:rPr>
                <w:sz w:val="15"/>
              </w:rPr>
              <w:t>Not found</w:t>
            </w:r>
          </w:p>
        </w:tc>
        <w:tc>
          <w:tcPr>
            <w:tcW w:type="dxa" w:w="5272"/>
          </w:tcPr>
          <w:p>
            <w:pPr>
              <w:spacing w:after="20"/>
            </w:pPr>
            <w:r/>
            <w:r>
              <w:rPr>
                <w:sz w:val="15"/>
              </w:rPr>
              <w:t>Not retrievable; Sato himself ran Finance 2013-15, which is relevant for capital policy</w:t>
            </w:r>
          </w:p>
        </w:tc>
      </w:tr>
    </w:tbl>
    <w:p>
      <w:pPr>
        <w:spacing w:after="40"/>
      </w:pPr>
    </w:p>
    <w:p>
      <w:pPr>
        <w:pStyle w:val="Heading3"/>
      </w:pPr>
      <w:r>
        <w:t>Assessment on the five tests</w:t>
      </w:r>
    </w:p>
    <w:p>
      <w:pPr>
        <w:pStyle w:val="ListBullet"/>
        <w:spacing w:after="40"/>
        <w:ind w:left="340"/>
      </w:pPr>
      <w:r>
        <w:rPr>
          <w:b/>
          <w:sz w:val="17"/>
        </w:rPr>
        <w:t>1. Track record:</w:t>
      </w:r>
      <w:r>
        <w:rPr>
          <w:sz w:val="17"/>
        </w:rPr>
        <w:t xml:space="preserve"> strongly positive since 2023. Profit up 4.7x, ROE c.14% vs a 10% target, ROIC 8.4% vs 5% target (company-stated†). Much of the improvement is cycle and pricing, but cost control and order selection are management's doing.</w:t>
      </w:r>
    </w:p>
    <w:p>
      <w:pPr>
        <w:pStyle w:val="ListBullet"/>
        <w:spacing w:after="40"/>
        <w:ind w:left="340"/>
      </w:pPr>
      <w:r>
        <w:rPr>
          <w:b/>
          <w:sz w:val="17"/>
        </w:rPr>
        <w:t>2. Tenure and ownership:</w:t>
      </w:r>
      <w:r>
        <w:rPr>
          <w:sz w:val="17"/>
        </w:rPr>
        <w:t xml:space="preserve"> CEO new (18 months); chairman has real ownership; executive share-based pay is modest. No evidence of large insider selling was retrievable.</w:t>
      </w:r>
    </w:p>
    <w:p>
      <w:pPr>
        <w:pStyle w:val="ListBullet"/>
        <w:spacing w:after="40"/>
        <w:ind w:left="340"/>
      </w:pPr>
      <w:r>
        <w:rPr>
          <w:b/>
          <w:sz w:val="17"/>
        </w:rPr>
        <w:t>3. Capital allocation:</w:t>
      </w:r>
      <w:r>
        <w:rPr>
          <w:sz w:val="17"/>
        </w:rPr>
        <w:t xml:space="preserve"> improving. Positives: DOE target, buybacks, a credible cross-holding exit, small, sensible bolt-ons (MWH, GCON). Negative: Multiplex is a bigger bet on a low-margin business; the past decade included an unproductive balance-sheet cash build.</w:t>
      </w:r>
    </w:p>
    <w:p>
      <w:pPr>
        <w:pStyle w:val="ListBullet"/>
        <w:spacing w:after="40"/>
        <w:ind w:left="340"/>
      </w:pPr>
      <w:r>
        <w:rPr>
          <w:b/>
          <w:sz w:val="17"/>
        </w:rPr>
        <w:t>4. Red flags:</w:t>
      </w:r>
      <w:r>
        <w:rPr>
          <w:sz w:val="17"/>
        </w:rPr>
        <w:t xml:space="preserve"> the Linear bid-rigging (self-reported; JFTC surcharge c.JPY 3.1bn, JPY 200m court fine, 4-month Tokyo suspension, president resigned 2018); an October 2024 safety incident at a Chuo Shinkansen tunnel where employees gave false information to inspectors (JPY 200,000 summary fines, March 2026). We found no related-party issues, accounting restatements or promotional behaviour. Strategy has evolved consistently (MTP 2017, 2022, 2024 addendum), not erratically.</w:t>
      </w:r>
    </w:p>
    <w:p>
      <w:pPr>
        <w:pStyle w:val="ListBullet"/>
        <w:spacing w:after="40"/>
        <w:ind w:left="340"/>
      </w:pPr>
      <w:r>
        <w:rPr>
          <w:b/>
          <w:sz w:val="17"/>
        </w:rPr>
        <w:t>5. Founder vs professional:</w:t>
      </w:r>
      <w:r>
        <w:rPr>
          <w:sz w:val="17"/>
        </w:rPr>
        <w:t xml:space="preserve"> hybrid. Salaried-manager presidents since 2011 with a family chairman and a 2.46% holding; no controlling holder. This suits a mature, process-driven contractor in a capital-discipline phase; the risk is slower decision-making and succession politics.</w:t>
      </w:r>
    </w:p>
    <w:p>
      <w:pPr>
        <w:pStyle w:val="Heading1"/>
      </w:pPr>
      <w:r>
        <w:t>15. Board of directors (after the 122nd AGM, 29 June 2026)</w:t>
      </w:r>
    </w:p>
    <w:tbl>
      <w:tblPr>
        <w:tblStyle w:val="TableGrid"/>
        <w:tblW w:type="auto" w:w="0"/>
        <w:jc w:val="center"/>
        <w:tblLayout w:type="fixed"/>
        <w:tblLook w:firstColumn="1" w:firstRow="1" w:lastColumn="0" w:lastRow="0" w:noHBand="0" w:noVBand="1" w:val="04A0"/>
      </w:tblPr>
      <w:tblGrid>
        <w:gridCol w:w="2154"/>
        <w:gridCol w:w="2041"/>
        <w:gridCol w:w="1474"/>
        <w:gridCol w:w="3969"/>
      </w:tblGrid>
      <w:tr>
        <w:trPr>
          <w:tblHeader w:val="true"/>
        </w:trPr>
        <w:tc>
          <w:tcPr>
            <w:tcW w:type="dxa" w:w="2154"/>
            <w:shd w:val="clear" w:color="auto" w:fill="14243F"/>
          </w:tcPr>
          <w:p>
            <w:r/>
            <w:r>
              <w:rPr>
                <w:b/>
                <w:color w:val="FFFFFF"/>
                <w:sz w:val="15"/>
              </w:rPr>
              <w:t>Director</w:t>
            </w:r>
          </w:p>
        </w:tc>
        <w:tc>
          <w:tcPr>
            <w:tcW w:type="dxa" w:w="2041"/>
            <w:shd w:val="clear" w:color="auto" w:fill="14243F"/>
          </w:tcPr>
          <w:p>
            <w:r/>
            <w:r>
              <w:rPr>
                <w:b/>
                <w:color w:val="FFFFFF"/>
                <w:sz w:val="15"/>
              </w:rPr>
              <w:t>Status</w:t>
            </w:r>
          </w:p>
        </w:tc>
        <w:tc>
          <w:tcPr>
            <w:tcW w:type="dxa" w:w="1474"/>
            <w:shd w:val="clear" w:color="auto" w:fill="14243F"/>
          </w:tcPr>
          <w:p>
            <w:r/>
            <w:r>
              <w:rPr>
                <w:b/>
                <w:color w:val="FFFFFF"/>
                <w:sz w:val="15"/>
              </w:rPr>
              <w:t>Appointed</w:t>
            </w:r>
          </w:p>
        </w:tc>
        <w:tc>
          <w:tcPr>
            <w:tcW w:type="dxa" w:w="3969"/>
            <w:shd w:val="clear" w:color="auto" w:fill="14243F"/>
          </w:tcPr>
          <w:p>
            <w:r/>
            <w:r>
              <w:rPr>
                <w:b/>
                <w:color w:val="FFFFFF"/>
                <w:sz w:val="15"/>
              </w:rPr>
              <w:t>Background and affiliations</w:t>
            </w:r>
          </w:p>
        </w:tc>
      </w:tr>
      <w:tr>
        <w:tc>
          <w:tcPr>
            <w:tcW w:type="dxa" w:w="2154"/>
          </w:tcPr>
          <w:p>
            <w:pPr>
              <w:spacing w:after="20"/>
            </w:pPr>
            <w:r/>
            <w:r>
              <w:rPr>
                <w:b/>
                <w:sz w:val="15"/>
              </w:rPr>
              <w:t>Takeo Obayashi</w:t>
            </w:r>
          </w:p>
        </w:tc>
        <w:tc>
          <w:tcPr>
            <w:tcW w:type="dxa" w:w="2041"/>
          </w:tcPr>
          <w:p>
            <w:pPr>
              <w:spacing w:after="20"/>
            </w:pPr>
            <w:r/>
            <w:r>
              <w:rPr>
                <w:sz w:val="15"/>
              </w:rPr>
              <w:t>Chairman, inside</w:t>
            </w:r>
          </w:p>
        </w:tc>
        <w:tc>
          <w:tcPr>
            <w:tcW w:type="dxa" w:w="1474"/>
          </w:tcPr>
          <w:p>
            <w:pPr>
              <w:spacing w:after="20"/>
            </w:pPr>
            <w:r/>
            <w:r>
              <w:rPr>
                <w:sz w:val="15"/>
              </w:rPr>
              <w:t>Director since 1983</w:t>
            </w:r>
          </w:p>
        </w:tc>
        <w:tc>
          <w:tcPr>
            <w:tcW w:type="dxa" w:w="3969"/>
          </w:tcPr>
          <w:p>
            <w:pPr>
              <w:spacing w:after="20"/>
            </w:pPr>
            <w:r/>
            <w:r>
              <w:rPr>
                <w:sz w:val="15"/>
              </w:rPr>
              <w:t>Founding family; 2.46% shareholder</w:t>
            </w:r>
          </w:p>
        </w:tc>
      </w:tr>
      <w:tr>
        <w:tc>
          <w:tcPr>
            <w:tcW w:type="dxa" w:w="2154"/>
            <w:shd w:val="clear" w:color="auto" w:fill="F1F3F8"/>
          </w:tcPr>
          <w:p>
            <w:pPr>
              <w:spacing w:after="20"/>
            </w:pPr>
            <w:r/>
            <w:r>
              <w:rPr>
                <w:b/>
                <w:sz w:val="15"/>
              </w:rPr>
              <w:t>Toshimi Sato</w:t>
            </w:r>
          </w:p>
        </w:tc>
        <w:tc>
          <w:tcPr>
            <w:tcW w:type="dxa" w:w="2041"/>
            <w:shd w:val="clear" w:color="auto" w:fill="F1F3F8"/>
          </w:tcPr>
          <w:p>
            <w:pPr>
              <w:spacing w:after="20"/>
            </w:pPr>
            <w:r/>
            <w:r>
              <w:rPr>
                <w:sz w:val="15"/>
              </w:rPr>
              <w:t>President and CEO, inside</w:t>
            </w:r>
          </w:p>
        </w:tc>
        <w:tc>
          <w:tcPr>
            <w:tcW w:type="dxa" w:w="1474"/>
            <w:shd w:val="clear" w:color="auto" w:fill="F1F3F8"/>
          </w:tcPr>
          <w:p>
            <w:pPr>
              <w:spacing w:after="20"/>
            </w:pPr>
            <w:r/>
            <w:r>
              <w:rPr>
                <w:sz w:val="15"/>
              </w:rPr>
              <w:t>Jun 2018</w:t>
            </w:r>
          </w:p>
        </w:tc>
        <w:tc>
          <w:tcPr>
            <w:tcW w:type="dxa" w:w="3969"/>
            <w:shd w:val="clear" w:color="auto" w:fill="F1F3F8"/>
          </w:tcPr>
          <w:p>
            <w:pPr>
              <w:spacing w:after="20"/>
            </w:pPr>
            <w:r/>
            <w:r>
              <w:rPr>
                <w:sz w:val="15"/>
              </w:rPr>
              <w:t>Waseda 1985; finance and planning; see Section 14</w:t>
            </w:r>
          </w:p>
        </w:tc>
      </w:tr>
      <w:tr>
        <w:tc>
          <w:tcPr>
            <w:tcW w:type="dxa" w:w="2154"/>
          </w:tcPr>
          <w:p>
            <w:pPr>
              <w:spacing w:after="20"/>
            </w:pPr>
            <w:r/>
            <w:r>
              <w:rPr>
                <w:b/>
                <w:sz w:val="15"/>
              </w:rPr>
              <w:t>Yoshihito Sasaki</w:t>
            </w:r>
          </w:p>
        </w:tc>
        <w:tc>
          <w:tcPr>
            <w:tcW w:type="dxa" w:w="2041"/>
          </w:tcPr>
          <w:p>
            <w:pPr>
              <w:spacing w:after="20"/>
            </w:pPr>
            <w:r/>
            <w:r>
              <w:rPr>
                <w:sz w:val="15"/>
              </w:rPr>
              <w:t>Representative director, inside†</w:t>
            </w:r>
          </w:p>
        </w:tc>
        <w:tc>
          <w:tcPr>
            <w:tcW w:type="dxa" w:w="1474"/>
          </w:tcPr>
          <w:p>
            <w:pPr>
              <w:spacing w:after="20"/>
            </w:pPr>
            <w:r/>
            <w:r>
              <w:rPr>
                <w:sz w:val="15"/>
              </w:rPr>
              <w:t>n/a</w:t>
            </w:r>
          </w:p>
        </w:tc>
        <w:tc>
          <w:tcPr>
            <w:tcW w:type="dxa" w:w="3969"/>
          </w:tcPr>
          <w:p>
            <w:pPr>
              <w:spacing w:after="20"/>
            </w:pPr>
            <w:r/>
            <w:r>
              <w:rPr>
                <w:sz w:val="15"/>
              </w:rPr>
              <w:t>Background not found</w:t>
            </w:r>
          </w:p>
        </w:tc>
      </w:tr>
      <w:tr>
        <w:tc>
          <w:tcPr>
            <w:tcW w:type="dxa" w:w="2154"/>
            <w:shd w:val="clear" w:color="auto" w:fill="F1F3F8"/>
          </w:tcPr>
          <w:p>
            <w:pPr>
              <w:spacing w:after="20"/>
            </w:pPr>
            <w:r/>
            <w:r>
              <w:rPr>
                <w:b/>
                <w:sz w:val="15"/>
              </w:rPr>
              <w:t>Atsushi Sasagawa</w:t>
            </w:r>
          </w:p>
        </w:tc>
        <w:tc>
          <w:tcPr>
            <w:tcW w:type="dxa" w:w="2041"/>
            <w:shd w:val="clear" w:color="auto" w:fill="F1F3F8"/>
          </w:tcPr>
          <w:p>
            <w:pPr>
              <w:spacing w:after="20"/>
            </w:pPr>
            <w:r/>
            <w:r>
              <w:rPr>
                <w:sz w:val="15"/>
              </w:rPr>
              <w:t>Inside (status conflicting)†</w:t>
            </w:r>
          </w:p>
        </w:tc>
        <w:tc>
          <w:tcPr>
            <w:tcW w:type="dxa" w:w="1474"/>
            <w:shd w:val="clear" w:color="auto" w:fill="F1F3F8"/>
          </w:tcPr>
          <w:p>
            <w:pPr>
              <w:spacing w:after="20"/>
            </w:pPr>
            <w:r/>
            <w:r>
              <w:rPr>
                <w:sz w:val="15"/>
              </w:rPr>
              <w:t>n/a</w:t>
            </w:r>
          </w:p>
        </w:tc>
        <w:tc>
          <w:tcPr>
            <w:tcW w:type="dxa" w:w="3969"/>
            <w:shd w:val="clear" w:color="auto" w:fill="F1F3F8"/>
          </w:tcPr>
          <w:p>
            <w:pPr>
              <w:spacing w:after="20"/>
            </w:pPr>
            <w:r/>
            <w:r>
              <w:rPr>
                <w:sz w:val="15"/>
              </w:rPr>
              <w:t>Notice says moves to Vice Chairman; one summary lists him re-elected</w:t>
            </w:r>
          </w:p>
        </w:tc>
      </w:tr>
      <w:tr>
        <w:tc>
          <w:tcPr>
            <w:tcW w:type="dxa" w:w="2154"/>
          </w:tcPr>
          <w:p>
            <w:pPr>
              <w:spacing w:after="20"/>
            </w:pPr>
            <w:r/>
            <w:r>
              <w:rPr>
                <w:b/>
                <w:sz w:val="15"/>
              </w:rPr>
              <w:t>Masako Orii (b. 1960)</w:t>
            </w:r>
          </w:p>
        </w:tc>
        <w:tc>
          <w:tcPr>
            <w:tcW w:type="dxa" w:w="2041"/>
          </w:tcPr>
          <w:p>
            <w:pPr>
              <w:spacing w:after="20"/>
            </w:pPr>
            <w:r/>
            <w:r>
              <w:rPr>
                <w:sz w:val="15"/>
              </w:rPr>
              <w:t>Outside, independent</w:t>
            </w:r>
          </w:p>
        </w:tc>
        <w:tc>
          <w:tcPr>
            <w:tcW w:type="dxa" w:w="1474"/>
          </w:tcPr>
          <w:p>
            <w:pPr>
              <w:spacing w:after="20"/>
            </w:pPr>
            <w:r/>
            <w:r>
              <w:rPr>
                <w:sz w:val="15"/>
              </w:rPr>
              <w:t>Jun 2020</w:t>
            </w:r>
          </w:p>
        </w:tc>
        <w:tc>
          <w:tcPr>
            <w:tcW w:type="dxa" w:w="3969"/>
          </w:tcPr>
          <w:p>
            <w:pPr>
              <w:spacing w:after="20"/>
            </w:pPr>
            <w:r/>
            <w:r>
              <w:rPr>
                <w:sz w:val="15"/>
              </w:rPr>
              <w:t>Ex-Suntory (joined 1983); exec officer Suntory Holdings 2012; MD Suntory Wellness 2016</w:t>
            </w:r>
          </w:p>
        </w:tc>
      </w:tr>
      <w:tr>
        <w:tc>
          <w:tcPr>
            <w:tcW w:type="dxa" w:w="2154"/>
            <w:shd w:val="clear" w:color="auto" w:fill="F1F3F8"/>
          </w:tcPr>
          <w:p>
            <w:pPr>
              <w:spacing w:after="20"/>
            </w:pPr>
            <w:r/>
            <w:r>
              <w:rPr>
                <w:b/>
                <w:sz w:val="15"/>
              </w:rPr>
              <w:t>Hiroyuki Kato (b. 1956)</w:t>
            </w:r>
          </w:p>
        </w:tc>
        <w:tc>
          <w:tcPr>
            <w:tcW w:type="dxa" w:w="2041"/>
            <w:shd w:val="clear" w:color="auto" w:fill="F1F3F8"/>
          </w:tcPr>
          <w:p>
            <w:pPr>
              <w:spacing w:after="20"/>
            </w:pPr>
            <w:r/>
            <w:r>
              <w:rPr>
                <w:sz w:val="15"/>
              </w:rPr>
              <w:t>Outside, independent</w:t>
            </w:r>
          </w:p>
        </w:tc>
        <w:tc>
          <w:tcPr>
            <w:tcW w:type="dxa" w:w="1474"/>
            <w:shd w:val="clear" w:color="auto" w:fill="F1F3F8"/>
          </w:tcPr>
          <w:p>
            <w:pPr>
              <w:spacing w:after="20"/>
            </w:pPr>
            <w:r/>
            <w:r>
              <w:rPr>
                <w:sz w:val="15"/>
              </w:rPr>
              <w:t>n/a</w:t>
            </w:r>
          </w:p>
        </w:tc>
        <w:tc>
          <w:tcPr>
            <w:tcW w:type="dxa" w:w="3969"/>
            <w:shd w:val="clear" w:color="auto" w:fill="F1F3F8"/>
          </w:tcPr>
          <w:p>
            <w:pPr>
              <w:spacing w:after="20"/>
            </w:pPr>
            <w:r/>
            <w:r>
              <w:rPr>
                <w:sz w:val="15"/>
              </w:rPr>
              <w:t>Ex-Mitsui &amp; Co. (joined 1979), executive-level</w:t>
            </w:r>
          </w:p>
        </w:tc>
      </w:tr>
      <w:tr>
        <w:tc>
          <w:tcPr>
            <w:tcW w:type="dxa" w:w="2154"/>
          </w:tcPr>
          <w:p>
            <w:pPr>
              <w:spacing w:after="20"/>
            </w:pPr>
            <w:r/>
            <w:r>
              <w:rPr>
                <w:b/>
                <w:sz w:val="15"/>
              </w:rPr>
              <w:t>Yukiko Kuroda (b. 1963)</w:t>
            </w:r>
          </w:p>
        </w:tc>
        <w:tc>
          <w:tcPr>
            <w:tcW w:type="dxa" w:w="2041"/>
          </w:tcPr>
          <w:p>
            <w:pPr>
              <w:spacing w:after="20"/>
            </w:pPr>
            <w:r/>
            <w:r>
              <w:rPr>
                <w:sz w:val="15"/>
              </w:rPr>
              <w:t>Outside, independent</w:t>
            </w:r>
          </w:p>
        </w:tc>
        <w:tc>
          <w:tcPr>
            <w:tcW w:type="dxa" w:w="1474"/>
          </w:tcPr>
          <w:p>
            <w:pPr>
              <w:spacing w:after="20"/>
            </w:pPr>
            <w:r/>
            <w:r>
              <w:rPr>
                <w:sz w:val="15"/>
              </w:rPr>
              <w:t>Jun 2022</w:t>
            </w:r>
          </w:p>
        </w:tc>
        <w:tc>
          <w:tcPr>
            <w:tcW w:type="dxa" w:w="3969"/>
          </w:tcPr>
          <w:p>
            <w:pPr>
              <w:spacing w:after="20"/>
            </w:pPr>
            <w:r/>
            <w:r>
              <w:rPr>
                <w:sz w:val="15"/>
              </w:rPr>
              <w:t>Ex-Sony; founder of People Focus Consulting (1991); outside auditor Astellas, CAC†</w:t>
            </w:r>
          </w:p>
        </w:tc>
      </w:tr>
      <w:tr>
        <w:tc>
          <w:tcPr>
            <w:tcW w:type="dxa" w:w="2154"/>
            <w:shd w:val="clear" w:color="auto" w:fill="F1F3F8"/>
          </w:tcPr>
          <w:p>
            <w:pPr>
              <w:spacing w:after="20"/>
            </w:pPr>
            <w:r/>
            <w:r>
              <w:rPr>
                <w:b/>
                <w:sz w:val="15"/>
              </w:rPr>
              <w:t>Hiroyuki 注連 (reading unverified)</w:t>
            </w:r>
          </w:p>
        </w:tc>
        <w:tc>
          <w:tcPr>
            <w:tcW w:type="dxa" w:w="2041"/>
            <w:shd w:val="clear" w:color="auto" w:fill="F1F3F8"/>
          </w:tcPr>
          <w:p>
            <w:pPr>
              <w:spacing w:after="20"/>
            </w:pPr>
            <w:r/>
            <w:r>
              <w:rPr>
                <w:sz w:val="15"/>
              </w:rPr>
              <w:t>Outside, independent</w:t>
            </w:r>
          </w:p>
        </w:tc>
        <w:tc>
          <w:tcPr>
            <w:tcW w:type="dxa" w:w="1474"/>
            <w:shd w:val="clear" w:color="auto" w:fill="F1F3F8"/>
          </w:tcPr>
          <w:p>
            <w:pPr>
              <w:spacing w:after="20"/>
            </w:pPr>
            <w:r/>
            <w:r>
              <w:rPr>
                <w:sz w:val="15"/>
              </w:rPr>
              <w:t>n/a</w:t>
            </w:r>
          </w:p>
        </w:tc>
        <w:tc>
          <w:tcPr>
            <w:tcW w:type="dxa" w:w="3969"/>
            <w:shd w:val="clear" w:color="auto" w:fill="F1F3F8"/>
          </w:tcPr>
          <w:p>
            <w:pPr>
              <w:spacing w:after="20"/>
            </w:pPr>
            <w:r/>
            <w:r>
              <w:rPr>
                <w:sz w:val="15"/>
              </w:rPr>
              <w:t>Ex-Unitika management†</w:t>
            </w:r>
          </w:p>
        </w:tc>
      </w:tr>
      <w:tr>
        <w:tc>
          <w:tcPr>
            <w:tcW w:type="dxa" w:w="2154"/>
          </w:tcPr>
          <w:p>
            <w:pPr>
              <w:spacing w:after="20"/>
            </w:pPr>
            <w:r/>
            <w:r>
              <w:rPr>
                <w:b/>
                <w:sz w:val="15"/>
              </w:rPr>
              <w:t>Yoshihiro Ikegawa (b. 1960)</w:t>
            </w:r>
          </w:p>
        </w:tc>
        <w:tc>
          <w:tcPr>
            <w:tcW w:type="dxa" w:w="2041"/>
          </w:tcPr>
          <w:p>
            <w:pPr>
              <w:spacing w:after="20"/>
            </w:pPr>
            <w:r/>
            <w:r>
              <w:rPr>
                <w:sz w:val="15"/>
              </w:rPr>
              <w:t>Outside, independent</w:t>
            </w:r>
          </w:p>
        </w:tc>
        <w:tc>
          <w:tcPr>
            <w:tcW w:type="dxa" w:w="1474"/>
          </w:tcPr>
          <w:p>
            <w:pPr>
              <w:spacing w:after="20"/>
            </w:pPr>
            <w:r/>
            <w:r>
              <w:rPr>
                <w:sz w:val="15"/>
              </w:rPr>
              <w:t>n/a</w:t>
            </w:r>
          </w:p>
        </w:tc>
        <w:tc>
          <w:tcPr>
            <w:tcW w:type="dxa" w:w="3969"/>
          </w:tcPr>
          <w:p>
            <w:pPr>
              <w:spacing w:after="20"/>
            </w:pPr>
            <w:r/>
            <w:r>
              <w:rPr>
                <w:sz w:val="15"/>
              </w:rPr>
              <w:t>Ex-Mitsubishi Chemical (joined 1983); executive officer 2014</w:t>
            </w:r>
          </w:p>
        </w:tc>
      </w:tr>
      <w:tr>
        <w:tc>
          <w:tcPr>
            <w:tcW w:type="dxa" w:w="2154"/>
            <w:shd w:val="clear" w:color="auto" w:fill="F1F3F8"/>
          </w:tcPr>
          <w:p>
            <w:pPr>
              <w:spacing w:after="20"/>
            </w:pPr>
            <w:r/>
            <w:r>
              <w:rPr>
                <w:b/>
                <w:sz w:val="15"/>
              </w:rPr>
              <w:t>Midori Tomita</w:t>
            </w:r>
          </w:p>
        </w:tc>
        <w:tc>
          <w:tcPr>
            <w:tcW w:type="dxa" w:w="2041"/>
            <w:shd w:val="clear" w:color="auto" w:fill="F1F3F8"/>
          </w:tcPr>
          <w:p>
            <w:pPr>
              <w:spacing w:after="20"/>
            </w:pPr>
            <w:r/>
            <w:r>
              <w:rPr>
                <w:sz w:val="15"/>
              </w:rPr>
              <w:t>Outside, independent (new)</w:t>
            </w:r>
          </w:p>
        </w:tc>
        <w:tc>
          <w:tcPr>
            <w:tcW w:type="dxa" w:w="1474"/>
            <w:shd w:val="clear" w:color="auto" w:fill="F1F3F8"/>
          </w:tcPr>
          <w:p>
            <w:pPr>
              <w:spacing w:after="20"/>
            </w:pPr>
            <w:r/>
            <w:r>
              <w:rPr>
                <w:sz w:val="15"/>
              </w:rPr>
              <w:t>Jun 2026</w:t>
            </w:r>
          </w:p>
        </w:tc>
        <w:tc>
          <w:tcPr>
            <w:tcW w:type="dxa" w:w="3969"/>
            <w:shd w:val="clear" w:color="auto" w:fill="F1F3F8"/>
          </w:tcPr>
          <w:p>
            <w:pPr>
              <w:spacing w:after="20"/>
            </w:pPr>
            <w:r/>
            <w:r>
              <w:rPr>
                <w:sz w:val="15"/>
              </w:rPr>
              <w:t>Background not found</w:t>
            </w:r>
          </w:p>
        </w:tc>
      </w:tr>
    </w:tbl>
    <w:p>
      <w:pPr>
        <w:spacing w:after="40"/>
      </w:pPr>
    </w:p>
    <w:p>
      <w:pPr>
        <w:pStyle w:val="ListBullet"/>
        <w:spacing w:after="40"/>
        <w:ind w:left="340"/>
      </w:pPr>
      <w:r>
        <w:rPr>
          <w:b/>
          <w:sz w:val="17"/>
        </w:rPr>
        <w:t>Composition:</w:t>
      </w:r>
      <w:r>
        <w:rPr>
          <w:sz w:val="17"/>
        </w:rPr>
        <w:t xml:space="preserve"> 6 of 10 directors outside and independent (60%); 3 women (30%). Board uses a company-with-audit-and-supervisory-board structure with voluntary nomination and compensation committees chaired by outside directors.</w:t>
      </w:r>
    </w:p>
    <w:p>
      <w:pPr>
        <w:pStyle w:val="ListBullet"/>
        <w:spacing w:after="40"/>
        <w:ind w:left="340"/>
      </w:pPr>
      <w:r>
        <w:rPr>
          <w:b/>
          <w:sz w:val="17"/>
        </w:rPr>
        <w:t>Audit &amp; Supervisory Board:</w:t>
      </w:r>
      <w:r>
        <w:rPr>
          <w:sz w:val="17"/>
        </w:rPr>
        <w:t xml:space="preserve"> three new members from June 2026: Yoshiaki Takada (full-time), Yohei Ueda and Sachiko Tsujino (outside).</w:t>
      </w:r>
    </w:p>
    <w:p>
      <w:pPr>
        <w:pStyle w:val="ListBullet"/>
        <w:spacing w:after="40"/>
        <w:ind w:left="340"/>
      </w:pPr>
      <w:r>
        <w:rPr>
          <w:b/>
          <w:sz w:val="17"/>
        </w:rPr>
        <w:t>Changes in five years (partial):</w:t>
      </w:r>
      <w:r>
        <w:rPr>
          <w:sz w:val="17"/>
        </w:rPr>
        <w:t xml:space="preserve"> Orii 2020; Kuroda 2022; Tomita 2026; auditor turnover 2026; CEO change April 2025. Appointment years for several outside directors, 2021-25 turnover and AGM approval ratios could not be retrieved. Source documents: the 122nd AGM notice and extraordinary report on voting results.</w:t>
      </w:r>
    </w:p>
    <w:p>
      <w:pPr>
        <w:pStyle w:val="Heading1"/>
      </w:pPr>
      <w:r>
        <w:t>16. Shareholders, activism and short interest</w:t>
      </w:r>
    </w:p>
    <w:tbl>
      <w:tblPr>
        <w:tblStyle w:val="TableGrid"/>
        <w:tblW w:type="auto" w:w="0"/>
        <w:jc w:val="center"/>
        <w:tblLayout w:type="fixed"/>
        <w:tblLook w:firstColumn="1" w:firstRow="1" w:lastColumn="0" w:lastRow="0" w:noHBand="0" w:noVBand="1" w:val="04A0"/>
      </w:tblPr>
      <w:tblGrid>
        <w:gridCol w:w="454"/>
        <w:gridCol w:w="3742"/>
        <w:gridCol w:w="1134"/>
        <w:gridCol w:w="680"/>
        <w:gridCol w:w="3628"/>
      </w:tblGrid>
      <w:tr>
        <w:trPr>
          <w:tblHeader w:val="true"/>
        </w:trPr>
        <w:tc>
          <w:tcPr>
            <w:tcW w:type="dxa" w:w="454"/>
            <w:shd w:val="clear" w:color="auto" w:fill="14243F"/>
          </w:tcPr>
          <w:p>
            <w:r/>
            <w:r>
              <w:rPr>
                <w:b/>
                <w:color w:val="FFFFFF"/>
                <w:sz w:val="15"/>
              </w:rPr>
              <w:t>#</w:t>
            </w:r>
          </w:p>
        </w:tc>
        <w:tc>
          <w:tcPr>
            <w:tcW w:type="dxa" w:w="3742"/>
            <w:shd w:val="clear" w:color="auto" w:fill="14243F"/>
          </w:tcPr>
          <w:p>
            <w:r/>
            <w:r>
              <w:rPr>
                <w:b/>
                <w:color w:val="FFFFFF"/>
                <w:sz w:val="15"/>
              </w:rPr>
              <w:t>Holder (31 Mar 2026)†</w:t>
            </w:r>
          </w:p>
        </w:tc>
        <w:tc>
          <w:tcPr>
            <w:tcW w:type="dxa" w:w="1134"/>
            <w:shd w:val="clear" w:color="auto" w:fill="14243F"/>
          </w:tcPr>
          <w:p>
            <w:r/>
            <w:r>
              <w:rPr>
                <w:b/>
                <w:color w:val="FFFFFF"/>
                <w:sz w:val="15"/>
              </w:rPr>
              <w:t>Shares (m)</w:t>
            </w:r>
          </w:p>
        </w:tc>
        <w:tc>
          <w:tcPr>
            <w:tcW w:type="dxa" w:w="680"/>
            <w:shd w:val="clear" w:color="auto" w:fill="14243F"/>
          </w:tcPr>
          <w:p>
            <w:r/>
            <w:r>
              <w:rPr>
                <w:b/>
                <w:color w:val="FFFFFF"/>
                <w:sz w:val="15"/>
              </w:rPr>
              <w:t>%</w:t>
            </w:r>
          </w:p>
        </w:tc>
        <w:tc>
          <w:tcPr>
            <w:tcW w:type="dxa" w:w="3628"/>
            <w:shd w:val="clear" w:color="auto" w:fill="14243F"/>
          </w:tcPr>
          <w:p>
            <w:r/>
            <w:r>
              <w:rPr>
                <w:b/>
                <w:color w:val="FFFFFF"/>
                <w:sz w:val="15"/>
              </w:rPr>
              <w:t>Type</w:t>
            </w:r>
          </w:p>
        </w:tc>
      </w:tr>
      <w:tr>
        <w:tc>
          <w:tcPr>
            <w:tcW w:type="dxa" w:w="454"/>
          </w:tcPr>
          <w:p>
            <w:pPr>
              <w:spacing w:after="20"/>
            </w:pPr>
            <w:r/>
            <w:r>
              <w:rPr>
                <w:b/>
                <w:sz w:val="15"/>
              </w:rPr>
              <w:t>1</w:t>
            </w:r>
          </w:p>
        </w:tc>
        <w:tc>
          <w:tcPr>
            <w:tcW w:type="dxa" w:w="3742"/>
          </w:tcPr>
          <w:p>
            <w:pPr>
              <w:spacing w:after="20"/>
            </w:pPr>
            <w:r/>
            <w:r>
              <w:rPr>
                <w:sz w:val="15"/>
              </w:rPr>
              <w:t>Japan Master Trust Bank (trust account)</w:t>
            </w:r>
          </w:p>
        </w:tc>
        <w:tc>
          <w:tcPr>
            <w:tcW w:type="dxa" w:w="1134"/>
          </w:tcPr>
          <w:p>
            <w:pPr>
              <w:spacing w:after="20"/>
            </w:pPr>
            <w:r/>
            <w:r>
              <w:rPr>
                <w:sz w:val="15"/>
              </w:rPr>
              <w:t>106.7</w:t>
            </w:r>
          </w:p>
        </w:tc>
        <w:tc>
          <w:tcPr>
            <w:tcW w:type="dxa" w:w="680"/>
          </w:tcPr>
          <w:p>
            <w:pPr>
              <w:spacing w:after="20"/>
            </w:pPr>
            <w:r/>
            <w:r>
              <w:rPr>
                <w:sz w:val="15"/>
              </w:rPr>
              <w:t>15.51</w:t>
            </w:r>
          </w:p>
        </w:tc>
        <w:tc>
          <w:tcPr>
            <w:tcW w:type="dxa" w:w="3628"/>
          </w:tcPr>
          <w:p>
            <w:pPr>
              <w:spacing w:after="20"/>
            </w:pPr>
            <w:r/>
            <w:r>
              <w:rPr>
                <w:sz w:val="15"/>
              </w:rPr>
              <w:t>Institutional (passive/index trust-bank)</w:t>
            </w:r>
          </w:p>
        </w:tc>
      </w:tr>
      <w:tr>
        <w:tc>
          <w:tcPr>
            <w:tcW w:type="dxa" w:w="454"/>
            <w:shd w:val="clear" w:color="auto" w:fill="F1F3F8"/>
          </w:tcPr>
          <w:p>
            <w:pPr>
              <w:spacing w:after="20"/>
            </w:pPr>
            <w:r/>
            <w:r>
              <w:rPr>
                <w:b/>
                <w:sz w:val="15"/>
              </w:rPr>
              <w:t>2</w:t>
            </w:r>
          </w:p>
        </w:tc>
        <w:tc>
          <w:tcPr>
            <w:tcW w:type="dxa" w:w="3742"/>
            <w:shd w:val="clear" w:color="auto" w:fill="F1F3F8"/>
          </w:tcPr>
          <w:p>
            <w:pPr>
              <w:spacing w:after="20"/>
            </w:pPr>
            <w:r/>
            <w:r>
              <w:rPr>
                <w:sz w:val="15"/>
              </w:rPr>
              <w:t>Custody Bank of Japan (trust account)</w:t>
            </w:r>
          </w:p>
        </w:tc>
        <w:tc>
          <w:tcPr>
            <w:tcW w:type="dxa" w:w="1134"/>
            <w:shd w:val="clear" w:color="auto" w:fill="F1F3F8"/>
          </w:tcPr>
          <w:p>
            <w:pPr>
              <w:spacing w:after="20"/>
            </w:pPr>
            <w:r/>
            <w:r>
              <w:rPr>
                <w:sz w:val="15"/>
              </w:rPr>
              <w:t>50.0</w:t>
            </w:r>
          </w:p>
        </w:tc>
        <w:tc>
          <w:tcPr>
            <w:tcW w:type="dxa" w:w="680"/>
            <w:shd w:val="clear" w:color="auto" w:fill="F1F3F8"/>
          </w:tcPr>
          <w:p>
            <w:pPr>
              <w:spacing w:after="20"/>
            </w:pPr>
            <w:r/>
            <w:r>
              <w:rPr>
                <w:sz w:val="15"/>
              </w:rPr>
              <w:t>7.26</w:t>
            </w:r>
          </w:p>
        </w:tc>
        <w:tc>
          <w:tcPr>
            <w:tcW w:type="dxa" w:w="3628"/>
            <w:shd w:val="clear" w:color="auto" w:fill="F1F3F8"/>
          </w:tcPr>
          <w:p>
            <w:pPr>
              <w:spacing w:after="20"/>
            </w:pPr>
            <w:r/>
            <w:r>
              <w:rPr>
                <w:sz w:val="15"/>
              </w:rPr>
              <w:t>Institutional (trust-bank)</w:t>
            </w:r>
          </w:p>
        </w:tc>
      </w:tr>
      <w:tr>
        <w:tc>
          <w:tcPr>
            <w:tcW w:type="dxa" w:w="454"/>
          </w:tcPr>
          <w:p>
            <w:pPr>
              <w:spacing w:after="20"/>
            </w:pPr>
            <w:r/>
            <w:r>
              <w:rPr>
                <w:b/>
                <w:sz w:val="15"/>
              </w:rPr>
              <w:t>3</w:t>
            </w:r>
          </w:p>
        </w:tc>
        <w:tc>
          <w:tcPr>
            <w:tcW w:type="dxa" w:w="3742"/>
          </w:tcPr>
          <w:p>
            <w:pPr>
              <w:spacing w:after="20"/>
            </w:pPr>
            <w:r/>
            <w:r>
              <w:rPr>
                <w:sz w:val="15"/>
              </w:rPr>
              <w:t>State Street Bank &amp; Trust 505001</w:t>
            </w:r>
          </w:p>
        </w:tc>
        <w:tc>
          <w:tcPr>
            <w:tcW w:type="dxa" w:w="1134"/>
          </w:tcPr>
          <w:p>
            <w:pPr>
              <w:spacing w:after="20"/>
            </w:pPr>
            <w:r/>
            <w:r>
              <w:rPr>
                <w:sz w:val="15"/>
              </w:rPr>
              <w:t>25.2</w:t>
            </w:r>
          </w:p>
        </w:tc>
        <w:tc>
          <w:tcPr>
            <w:tcW w:type="dxa" w:w="680"/>
          </w:tcPr>
          <w:p>
            <w:pPr>
              <w:spacing w:after="20"/>
            </w:pPr>
            <w:r/>
            <w:r>
              <w:rPr>
                <w:sz w:val="15"/>
              </w:rPr>
              <w:t>3.66</w:t>
            </w:r>
          </w:p>
        </w:tc>
        <w:tc>
          <w:tcPr>
            <w:tcW w:type="dxa" w:w="3628"/>
          </w:tcPr>
          <w:p>
            <w:pPr>
              <w:spacing w:after="20"/>
            </w:pPr>
            <w:r/>
            <w:r>
              <w:rPr>
                <w:sz w:val="15"/>
              </w:rPr>
              <w:t>Foreign institutional custody</w:t>
            </w:r>
          </w:p>
        </w:tc>
      </w:tr>
      <w:tr>
        <w:tc>
          <w:tcPr>
            <w:tcW w:type="dxa" w:w="454"/>
            <w:shd w:val="clear" w:color="auto" w:fill="F1F3F8"/>
          </w:tcPr>
          <w:p>
            <w:pPr>
              <w:spacing w:after="20"/>
            </w:pPr>
            <w:r/>
            <w:r>
              <w:rPr>
                <w:b/>
                <w:sz w:val="15"/>
              </w:rPr>
              <w:t>4</w:t>
            </w:r>
          </w:p>
        </w:tc>
        <w:tc>
          <w:tcPr>
            <w:tcW w:type="dxa" w:w="3742"/>
            <w:shd w:val="clear" w:color="auto" w:fill="F1F3F8"/>
          </w:tcPr>
          <w:p>
            <w:pPr>
              <w:spacing w:after="20"/>
            </w:pPr>
            <w:r/>
            <w:r>
              <w:rPr>
                <w:sz w:val="15"/>
              </w:rPr>
              <w:t>State Street Bank &amp; Trust 505103</w:t>
            </w:r>
          </w:p>
        </w:tc>
        <w:tc>
          <w:tcPr>
            <w:tcW w:type="dxa" w:w="1134"/>
            <w:shd w:val="clear" w:color="auto" w:fill="F1F3F8"/>
          </w:tcPr>
          <w:p>
            <w:pPr>
              <w:spacing w:after="20"/>
            </w:pPr>
            <w:r/>
            <w:r>
              <w:rPr>
                <w:sz w:val="15"/>
              </w:rPr>
              <w:t>17.9</w:t>
            </w:r>
          </w:p>
        </w:tc>
        <w:tc>
          <w:tcPr>
            <w:tcW w:type="dxa" w:w="680"/>
            <w:shd w:val="clear" w:color="auto" w:fill="F1F3F8"/>
          </w:tcPr>
          <w:p>
            <w:pPr>
              <w:spacing w:after="20"/>
            </w:pPr>
            <w:r/>
            <w:r>
              <w:rPr>
                <w:sz w:val="15"/>
              </w:rPr>
              <w:t>2.60</w:t>
            </w:r>
          </w:p>
        </w:tc>
        <w:tc>
          <w:tcPr>
            <w:tcW w:type="dxa" w:w="3628"/>
            <w:shd w:val="clear" w:color="auto" w:fill="F1F3F8"/>
          </w:tcPr>
          <w:p>
            <w:pPr>
              <w:spacing w:after="20"/>
            </w:pPr>
            <w:r/>
            <w:r>
              <w:rPr>
                <w:sz w:val="15"/>
              </w:rPr>
              <w:t>Foreign institutional custody</w:t>
            </w:r>
          </w:p>
        </w:tc>
      </w:tr>
      <w:tr>
        <w:tc>
          <w:tcPr>
            <w:tcW w:type="dxa" w:w="454"/>
          </w:tcPr>
          <w:p>
            <w:pPr>
              <w:spacing w:after="20"/>
            </w:pPr>
            <w:r/>
            <w:r>
              <w:rPr>
                <w:b/>
                <w:sz w:val="15"/>
              </w:rPr>
              <w:t>5</w:t>
            </w:r>
          </w:p>
        </w:tc>
        <w:tc>
          <w:tcPr>
            <w:tcW w:type="dxa" w:w="3742"/>
          </w:tcPr>
          <w:p>
            <w:pPr>
              <w:spacing w:after="20"/>
            </w:pPr>
            <w:r/>
            <w:r>
              <w:rPr>
                <w:sz w:val="15"/>
              </w:rPr>
              <w:t>Takeo Obayashi</w:t>
            </w:r>
          </w:p>
        </w:tc>
        <w:tc>
          <w:tcPr>
            <w:tcW w:type="dxa" w:w="1134"/>
          </w:tcPr>
          <w:p>
            <w:pPr>
              <w:spacing w:after="20"/>
            </w:pPr>
            <w:r/>
            <w:r>
              <w:rPr>
                <w:sz w:val="15"/>
              </w:rPr>
              <w:t>16.9</w:t>
            </w:r>
          </w:p>
        </w:tc>
        <w:tc>
          <w:tcPr>
            <w:tcW w:type="dxa" w:w="680"/>
          </w:tcPr>
          <w:p>
            <w:pPr>
              <w:spacing w:after="20"/>
            </w:pPr>
            <w:r/>
            <w:r>
              <w:rPr>
                <w:sz w:val="15"/>
              </w:rPr>
              <w:t>2.46</w:t>
            </w:r>
          </w:p>
        </w:tc>
        <w:tc>
          <w:tcPr>
            <w:tcW w:type="dxa" w:w="3628"/>
          </w:tcPr>
          <w:p>
            <w:pPr>
              <w:spacing w:after="20"/>
            </w:pPr>
            <w:r/>
            <w:r>
              <w:rPr>
                <w:sz w:val="15"/>
              </w:rPr>
              <w:t>Insider / founding family</w:t>
            </w:r>
          </w:p>
        </w:tc>
      </w:tr>
      <w:tr>
        <w:tc>
          <w:tcPr>
            <w:tcW w:type="dxa" w:w="454"/>
            <w:shd w:val="clear" w:color="auto" w:fill="F1F3F8"/>
          </w:tcPr>
          <w:p>
            <w:pPr>
              <w:spacing w:after="20"/>
            </w:pPr>
            <w:r/>
            <w:r>
              <w:rPr>
                <w:b/>
                <w:sz w:val="15"/>
              </w:rPr>
              <w:t>6</w:t>
            </w:r>
          </w:p>
        </w:tc>
        <w:tc>
          <w:tcPr>
            <w:tcW w:type="dxa" w:w="3742"/>
            <w:shd w:val="clear" w:color="auto" w:fill="F1F3F8"/>
          </w:tcPr>
          <w:p>
            <w:pPr>
              <w:spacing w:after="20"/>
            </w:pPr>
            <w:r/>
            <w:r>
              <w:rPr>
                <w:sz w:val="15"/>
              </w:rPr>
              <w:t>Nippon Life Insurance</w:t>
            </w:r>
          </w:p>
        </w:tc>
        <w:tc>
          <w:tcPr>
            <w:tcW w:type="dxa" w:w="1134"/>
            <w:shd w:val="clear" w:color="auto" w:fill="F1F3F8"/>
          </w:tcPr>
          <w:p>
            <w:pPr>
              <w:spacing w:after="20"/>
            </w:pPr>
            <w:r/>
            <w:r>
              <w:rPr>
                <w:sz w:val="15"/>
              </w:rPr>
              <w:t>14.6</w:t>
            </w:r>
          </w:p>
        </w:tc>
        <w:tc>
          <w:tcPr>
            <w:tcW w:type="dxa" w:w="680"/>
            <w:shd w:val="clear" w:color="auto" w:fill="F1F3F8"/>
          </w:tcPr>
          <w:p>
            <w:pPr>
              <w:spacing w:after="20"/>
            </w:pPr>
            <w:r/>
            <w:r>
              <w:rPr>
                <w:sz w:val="15"/>
              </w:rPr>
              <w:t>2.13</w:t>
            </w:r>
          </w:p>
        </w:tc>
        <w:tc>
          <w:tcPr>
            <w:tcW w:type="dxa" w:w="3628"/>
            <w:shd w:val="clear" w:color="auto" w:fill="F1F3F8"/>
          </w:tcPr>
          <w:p>
            <w:pPr>
              <w:spacing w:after="20"/>
            </w:pPr>
            <w:r/>
            <w:r>
              <w:rPr>
                <w:sz w:val="15"/>
              </w:rPr>
              <w:t>Strategic institutional (insurer, cross-holder)</w:t>
            </w:r>
          </w:p>
        </w:tc>
      </w:tr>
      <w:tr>
        <w:tc>
          <w:tcPr>
            <w:tcW w:type="dxa" w:w="454"/>
          </w:tcPr>
          <w:p>
            <w:pPr>
              <w:spacing w:after="20"/>
            </w:pPr>
            <w:r/>
            <w:r>
              <w:rPr>
                <w:b/>
                <w:sz w:val="15"/>
              </w:rPr>
              <w:t>7</w:t>
            </w:r>
          </w:p>
        </w:tc>
        <w:tc>
          <w:tcPr>
            <w:tcW w:type="dxa" w:w="3742"/>
          </w:tcPr>
          <w:p>
            <w:pPr>
              <w:spacing w:after="20"/>
            </w:pPr>
            <w:r/>
            <w:r>
              <w:rPr>
                <w:sz w:val="15"/>
              </w:rPr>
              <w:t>Obayashi Group Employee Shareholding Assoc.</w:t>
            </w:r>
          </w:p>
        </w:tc>
        <w:tc>
          <w:tcPr>
            <w:tcW w:type="dxa" w:w="1134"/>
          </w:tcPr>
          <w:p>
            <w:pPr>
              <w:spacing w:after="20"/>
            </w:pPr>
            <w:r/>
            <w:r>
              <w:rPr>
                <w:sz w:val="15"/>
              </w:rPr>
              <w:t>12.6</w:t>
            </w:r>
          </w:p>
        </w:tc>
        <w:tc>
          <w:tcPr>
            <w:tcW w:type="dxa" w:w="680"/>
          </w:tcPr>
          <w:p>
            <w:pPr>
              <w:spacing w:after="20"/>
            </w:pPr>
            <w:r/>
            <w:r>
              <w:rPr>
                <w:sz w:val="15"/>
              </w:rPr>
              <w:t>1.83</w:t>
            </w:r>
          </w:p>
        </w:tc>
        <w:tc>
          <w:tcPr>
            <w:tcW w:type="dxa" w:w="3628"/>
          </w:tcPr>
          <w:p>
            <w:pPr>
              <w:spacing w:after="20"/>
            </w:pPr>
            <w:r/>
            <w:r>
              <w:rPr>
                <w:sz w:val="15"/>
              </w:rPr>
              <w:t>Employees</w:t>
            </w:r>
          </w:p>
        </w:tc>
      </w:tr>
      <w:tr>
        <w:tc>
          <w:tcPr>
            <w:tcW w:type="dxa" w:w="454"/>
            <w:shd w:val="clear" w:color="auto" w:fill="F1F3F8"/>
          </w:tcPr>
          <w:p>
            <w:pPr>
              <w:spacing w:after="20"/>
            </w:pPr>
            <w:r/>
            <w:r>
              <w:rPr>
                <w:b/>
                <w:sz w:val="15"/>
              </w:rPr>
              <w:t>8</w:t>
            </w:r>
          </w:p>
        </w:tc>
        <w:tc>
          <w:tcPr>
            <w:tcW w:type="dxa" w:w="3742"/>
            <w:shd w:val="clear" w:color="auto" w:fill="F1F3F8"/>
          </w:tcPr>
          <w:p>
            <w:pPr>
              <w:spacing w:after="20"/>
            </w:pPr>
            <w:r/>
            <w:r>
              <w:rPr>
                <w:sz w:val="15"/>
              </w:rPr>
              <w:t>JP Morgan Chase Bank 385781</w:t>
            </w:r>
          </w:p>
        </w:tc>
        <w:tc>
          <w:tcPr>
            <w:tcW w:type="dxa" w:w="1134"/>
            <w:shd w:val="clear" w:color="auto" w:fill="F1F3F8"/>
          </w:tcPr>
          <w:p>
            <w:pPr>
              <w:spacing w:after="20"/>
            </w:pPr>
            <w:r/>
            <w:r>
              <w:rPr>
                <w:sz w:val="15"/>
              </w:rPr>
              <w:t>9.3</w:t>
            </w:r>
          </w:p>
        </w:tc>
        <w:tc>
          <w:tcPr>
            <w:tcW w:type="dxa" w:w="680"/>
            <w:shd w:val="clear" w:color="auto" w:fill="F1F3F8"/>
          </w:tcPr>
          <w:p>
            <w:pPr>
              <w:spacing w:after="20"/>
            </w:pPr>
            <w:r/>
            <w:r>
              <w:rPr>
                <w:sz w:val="15"/>
              </w:rPr>
              <w:t>1.35</w:t>
            </w:r>
          </w:p>
        </w:tc>
        <w:tc>
          <w:tcPr>
            <w:tcW w:type="dxa" w:w="3628"/>
            <w:shd w:val="clear" w:color="auto" w:fill="F1F3F8"/>
          </w:tcPr>
          <w:p>
            <w:pPr>
              <w:spacing w:after="20"/>
            </w:pPr>
            <w:r/>
            <w:r>
              <w:rPr>
                <w:sz w:val="15"/>
              </w:rPr>
              <w:t>Foreign institutional custody</w:t>
            </w:r>
          </w:p>
        </w:tc>
      </w:tr>
      <w:tr>
        <w:tc>
          <w:tcPr>
            <w:tcW w:type="dxa" w:w="454"/>
          </w:tcPr>
          <w:p>
            <w:pPr>
              <w:spacing w:after="20"/>
            </w:pPr>
            <w:r/>
            <w:r>
              <w:rPr>
                <w:b/>
                <w:sz w:val="15"/>
              </w:rPr>
              <w:t>9</w:t>
            </w:r>
          </w:p>
        </w:tc>
        <w:tc>
          <w:tcPr>
            <w:tcW w:type="dxa" w:w="3742"/>
          </w:tcPr>
          <w:p>
            <w:pPr>
              <w:spacing w:after="20"/>
            </w:pPr>
            <w:r/>
            <w:r>
              <w:rPr>
                <w:sz w:val="15"/>
              </w:rPr>
              <w:t>BNY Mellon 140042</w:t>
            </w:r>
          </w:p>
        </w:tc>
        <w:tc>
          <w:tcPr>
            <w:tcW w:type="dxa" w:w="1134"/>
          </w:tcPr>
          <w:p>
            <w:pPr>
              <w:spacing w:after="20"/>
            </w:pPr>
            <w:r/>
            <w:r>
              <w:rPr>
                <w:sz w:val="15"/>
              </w:rPr>
              <w:t>9.2</w:t>
            </w:r>
          </w:p>
        </w:tc>
        <w:tc>
          <w:tcPr>
            <w:tcW w:type="dxa" w:w="680"/>
          </w:tcPr>
          <w:p>
            <w:pPr>
              <w:spacing w:after="20"/>
            </w:pPr>
            <w:r/>
            <w:r>
              <w:rPr>
                <w:sz w:val="15"/>
              </w:rPr>
              <w:t>1.33</w:t>
            </w:r>
          </w:p>
        </w:tc>
        <w:tc>
          <w:tcPr>
            <w:tcW w:type="dxa" w:w="3628"/>
          </w:tcPr>
          <w:p>
            <w:pPr>
              <w:spacing w:after="20"/>
            </w:pPr>
            <w:r/>
            <w:r>
              <w:rPr>
                <w:sz w:val="15"/>
              </w:rPr>
              <w:t>Foreign institutional custody</w:t>
            </w:r>
          </w:p>
        </w:tc>
      </w:tr>
      <w:tr>
        <w:tc>
          <w:tcPr>
            <w:tcW w:type="dxa" w:w="454"/>
            <w:shd w:val="clear" w:color="auto" w:fill="F1F3F8"/>
          </w:tcPr>
          <w:p>
            <w:pPr>
              <w:spacing w:after="20"/>
            </w:pPr>
            <w:r/>
            <w:r>
              <w:rPr>
                <w:b/>
                <w:sz w:val="15"/>
              </w:rPr>
              <w:t>10</w:t>
            </w:r>
          </w:p>
        </w:tc>
        <w:tc>
          <w:tcPr>
            <w:tcW w:type="dxa" w:w="3742"/>
            <w:shd w:val="clear" w:color="auto" w:fill="F1F3F8"/>
          </w:tcPr>
          <w:p>
            <w:pPr>
              <w:spacing w:after="20"/>
            </w:pPr>
            <w:r/>
            <w:r>
              <w:rPr>
                <w:sz w:val="15"/>
              </w:rPr>
              <w:t>Goldman Sachs Securities (BNYM)</w:t>
            </w:r>
          </w:p>
        </w:tc>
        <w:tc>
          <w:tcPr>
            <w:tcW w:type="dxa" w:w="1134"/>
            <w:shd w:val="clear" w:color="auto" w:fill="F1F3F8"/>
          </w:tcPr>
          <w:p>
            <w:pPr>
              <w:spacing w:after="20"/>
            </w:pPr>
            <w:r/>
            <w:r>
              <w:rPr>
                <w:sz w:val="15"/>
              </w:rPr>
              <w:t>9.0</w:t>
            </w:r>
          </w:p>
        </w:tc>
        <w:tc>
          <w:tcPr>
            <w:tcW w:type="dxa" w:w="680"/>
            <w:shd w:val="clear" w:color="auto" w:fill="F1F3F8"/>
          </w:tcPr>
          <w:p>
            <w:pPr>
              <w:spacing w:after="20"/>
            </w:pPr>
            <w:r/>
            <w:r>
              <w:rPr>
                <w:sz w:val="15"/>
              </w:rPr>
              <w:t>1.30</w:t>
            </w:r>
          </w:p>
        </w:tc>
        <w:tc>
          <w:tcPr>
            <w:tcW w:type="dxa" w:w="3628"/>
            <w:shd w:val="clear" w:color="auto" w:fill="F1F3F8"/>
          </w:tcPr>
          <w:p>
            <w:pPr>
              <w:spacing w:after="20"/>
            </w:pPr>
            <w:r/>
            <w:r>
              <w:rPr>
                <w:sz w:val="15"/>
              </w:rPr>
              <w:t>Foreign broker/custody</w:t>
            </w:r>
          </w:p>
        </w:tc>
      </w:tr>
    </w:tbl>
    <w:p>
      <w:pPr>
        <w:spacing w:after="40"/>
      </w:pPr>
    </w:p>
    <w:p>
      <w:pPr>
        <w:pStyle w:val="ListBullet"/>
        <w:spacing w:after="40"/>
        <w:ind w:left="340"/>
      </w:pPr>
      <w:r>
        <w:rPr>
          <w:b/>
          <w:sz w:val="17"/>
        </w:rPr>
        <w:t>Mix:</w:t>
      </w:r>
      <w:r>
        <w:rPr>
          <w:sz w:val="17"/>
        </w:rPr>
        <w:t xml:space="preserve"> foreign investors c.40%, financial institutions c.31.5% (2026 shareholder data†). Trust-bank accounts show nominee holdings; beneficial owners (e.g. BlackRock, Vanguard) are not visible in this list. No controlling holder. Large-shareholding (5%) reports for 2024-26 were not found.</w:t>
      </w:r>
    </w:p>
    <w:p>
      <w:pPr>
        <w:pStyle w:val="ListBullet"/>
        <w:spacing w:after="40"/>
        <w:ind w:left="340"/>
      </w:pPr>
      <w:r>
        <w:rPr>
          <w:b/>
          <w:sz w:val="17"/>
        </w:rPr>
        <w:t>Activism:</w:t>
      </w:r>
      <w:r>
        <w:rPr>
          <w:sz w:val="17"/>
        </w:rPr>
        <w:t xml:space="preserve"> one campaign found. </w:t>
      </w:r>
      <w:r>
        <w:rPr>
          <w:b/>
          <w:sz w:val="17"/>
        </w:rPr>
        <w:t>Silchester International Investors</w:t>
      </w:r>
      <w:r>
        <w:rPr>
          <w:sz w:val="17"/>
        </w:rPr>
        <w:t xml:space="preserve"> (2023 AGM) proposed a special dividend of JPY 12 a share (payout of 100% of non-core and 50% of core income). The board opposed; the proposal failed with c.26.8% support. The company's May 2024 plan addendum (ROE 10%+, DOE c.5%, JPY 100bn buyback, cross-holding sales) delivered much of what such investors wanted, so the campaign was partially successful in effect, if not in vote. No other activist (Oasis, Effissimo, Elliott, 3D, Dalton, ValueAct) was found at Obayashi; peers have drawn activism (Oasis at Kumagai Gumi; an activist push at Toyo that preceded Taisei's bid).</w:t>
      </w:r>
    </w:p>
    <w:p>
      <w:pPr>
        <w:pStyle w:val="ListBullet"/>
        <w:spacing w:after="40"/>
        <w:ind w:left="340"/>
      </w:pPr>
      <w:r>
        <w:rPr>
          <w:b/>
          <w:sz w:val="17"/>
        </w:rPr>
        <w:t>Short interest:</w:t>
      </w:r>
      <w:r>
        <w:rPr>
          <w:sz w:val="17"/>
        </w:rPr>
        <w:t xml:space="preserve"> minimal. JPX margin data for 25 Jun 2026†: margin short 75,300 shares versus margin long 854,100 (ratio 11.3x), i.e. negligible against c.690m shares. Stock-lending balance and FSA disclosures of short positions above 0.5% were not found, and no notable short sellers were identified.</w:t>
      </w:r>
    </w:p>
    <w:p>
      <w:pPr>
        <w:pStyle w:val="Heading1"/>
      </w:pPr>
      <w:r>
        <w:t>17. Strategic initiatives, last ten years</w:t>
      </w:r>
    </w:p>
    <w:tbl>
      <w:tblPr>
        <w:tblStyle w:val="TableGrid"/>
        <w:tblW w:type="auto" w:w="0"/>
        <w:jc w:val="center"/>
        <w:tblLayout w:type="fixed"/>
        <w:tblLook w:firstColumn="1" w:firstRow="1" w:lastColumn="0" w:lastRow="0" w:noHBand="0" w:noVBand="1" w:val="04A0"/>
      </w:tblPr>
      <w:tblGrid>
        <w:gridCol w:w="2835"/>
        <w:gridCol w:w="1134"/>
        <w:gridCol w:w="5669"/>
      </w:tblGrid>
      <w:tr>
        <w:trPr>
          <w:tblHeader w:val="true"/>
        </w:trPr>
        <w:tc>
          <w:tcPr>
            <w:tcW w:type="dxa" w:w="2835"/>
            <w:shd w:val="clear" w:color="auto" w:fill="14243F"/>
          </w:tcPr>
          <w:p>
            <w:r/>
            <w:r>
              <w:rPr>
                <w:b/>
                <w:color w:val="FFFFFF"/>
                <w:sz w:val="15"/>
              </w:rPr>
              <w:t>Initiative</w:t>
            </w:r>
          </w:p>
        </w:tc>
        <w:tc>
          <w:tcPr>
            <w:tcW w:type="dxa" w:w="1134"/>
            <w:shd w:val="clear" w:color="auto" w:fill="14243F"/>
          </w:tcPr>
          <w:p>
            <w:r/>
            <w:r>
              <w:rPr>
                <w:b/>
                <w:color w:val="FFFFFF"/>
                <w:sz w:val="15"/>
              </w:rPr>
              <w:t>Period</w:t>
            </w:r>
          </w:p>
        </w:tc>
        <w:tc>
          <w:tcPr>
            <w:tcW w:type="dxa" w:w="5669"/>
            <w:shd w:val="clear" w:color="auto" w:fill="14243F"/>
          </w:tcPr>
          <w:p>
            <w:r/>
            <w:r>
              <w:rPr>
                <w:b/>
                <w:color w:val="FFFFFF"/>
                <w:sz w:val="15"/>
              </w:rPr>
              <w:t>Outcome and status</w:t>
            </w:r>
          </w:p>
        </w:tc>
      </w:tr>
      <w:tr>
        <w:tc>
          <w:tcPr>
            <w:tcW w:type="dxa" w:w="2835"/>
          </w:tcPr>
          <w:p>
            <w:pPr>
              <w:spacing w:after="20"/>
            </w:pPr>
            <w:r/>
            <w:r>
              <w:rPr>
                <w:b/>
                <w:sz w:val="15"/>
              </w:rPr>
              <w:t>Medium-Term Business Plan 2017</w:t>
            </w:r>
          </w:p>
        </w:tc>
        <w:tc>
          <w:tcPr>
            <w:tcW w:type="dxa" w:w="1134"/>
          </w:tcPr>
          <w:p>
            <w:pPr>
              <w:spacing w:after="20"/>
            </w:pPr>
            <w:r/>
            <w:r>
              <w:rPr>
                <w:sz w:val="15"/>
              </w:rPr>
              <w:t>2017-21</w:t>
            </w:r>
          </w:p>
        </w:tc>
        <w:tc>
          <w:tcPr>
            <w:tcW w:type="dxa" w:w="5669"/>
          </w:tcPr>
          <w:p>
            <w:pPr>
              <w:spacing w:after="20"/>
            </w:pPr>
            <w:r/>
            <w:r>
              <w:rPr>
                <w:sz w:val="15"/>
              </w:rPr>
              <w:t>Domestic profit rebuilding, overshadowed by the Linear scandal (2017-18) and civil/building margin problems. Partial</w:t>
            </w:r>
          </w:p>
        </w:tc>
      </w:tr>
      <w:tr>
        <w:tc>
          <w:tcPr>
            <w:tcW w:type="dxa" w:w="2835"/>
            <w:shd w:val="clear" w:color="auto" w:fill="F1F3F8"/>
          </w:tcPr>
          <w:p>
            <w:pPr>
              <w:spacing w:after="20"/>
            </w:pPr>
            <w:r/>
            <w:r>
              <w:rPr>
                <w:b/>
                <w:sz w:val="15"/>
              </w:rPr>
              <w:t>Medium-Term Business Plan 2022 and May 2024 addendum</w:t>
            </w:r>
          </w:p>
        </w:tc>
        <w:tc>
          <w:tcPr>
            <w:tcW w:type="dxa" w:w="1134"/>
            <w:shd w:val="clear" w:color="auto" w:fill="F1F3F8"/>
          </w:tcPr>
          <w:p>
            <w:pPr>
              <w:spacing w:after="20"/>
            </w:pPr>
            <w:r/>
            <w:r>
              <w:rPr>
                <w:sz w:val="15"/>
              </w:rPr>
              <w:t>2022-27</w:t>
            </w:r>
          </w:p>
        </w:tc>
        <w:tc>
          <w:tcPr>
            <w:tcW w:type="dxa" w:w="5669"/>
            <w:shd w:val="clear" w:color="auto" w:fill="F1F3F8"/>
          </w:tcPr>
          <w:p>
            <w:pPr>
              <w:spacing w:after="20"/>
            </w:pPr>
            <w:r/>
            <w:r>
              <w:rPr>
                <w:sz w:val="15"/>
              </w:rPr>
              <w:t>Targets: OP JPY 100bn+, ROIC 5%+, later ROE 10%+, equity JPY 1tn. All exceeded (OP JPY 195bn, ROE c.14%). Success, helped by price pass-through and property gains. Successor plan due c.May 2027</w:t>
            </w:r>
          </w:p>
        </w:tc>
      </w:tr>
      <w:tr>
        <w:tc>
          <w:tcPr>
            <w:tcW w:type="dxa" w:w="2835"/>
          </w:tcPr>
          <w:p>
            <w:pPr>
              <w:spacing w:after="20"/>
            </w:pPr>
            <w:r/>
            <w:r>
              <w:rPr>
                <w:b/>
                <w:sz w:val="15"/>
              </w:rPr>
              <w:t>Capital-efficiency programme</w:t>
            </w:r>
          </w:p>
        </w:tc>
        <w:tc>
          <w:tcPr>
            <w:tcW w:type="dxa" w:w="1134"/>
          </w:tcPr>
          <w:p>
            <w:pPr>
              <w:spacing w:after="20"/>
            </w:pPr>
            <w:r/>
            <w:r>
              <w:rPr>
                <w:sz w:val="15"/>
              </w:rPr>
              <w:t>2024-27</w:t>
            </w:r>
          </w:p>
        </w:tc>
        <w:tc>
          <w:tcPr>
            <w:tcW w:type="dxa" w:w="5669"/>
          </w:tcPr>
          <w:p>
            <w:pPr>
              <w:spacing w:after="20"/>
            </w:pPr>
            <w:r/>
            <w:r>
              <w:rPr>
                <w:sz w:val="15"/>
              </w:rPr>
              <w:t>DOE c.5%, JPY 100bn buyback, cross-holdings to 20% of net assets. On track (21.9% at Mar 2026; 17.5% including agreed sales)</w:t>
            </w:r>
          </w:p>
        </w:tc>
      </w:tr>
      <w:tr>
        <w:tc>
          <w:tcPr>
            <w:tcW w:type="dxa" w:w="2835"/>
            <w:shd w:val="clear" w:color="auto" w:fill="F1F3F8"/>
          </w:tcPr>
          <w:p>
            <w:pPr>
              <w:spacing w:after="20"/>
            </w:pPr>
            <w:r/>
            <w:r>
              <w:rPr>
                <w:b/>
                <w:sz w:val="15"/>
              </w:rPr>
              <w:t>US platform build-out</w:t>
            </w:r>
          </w:p>
        </w:tc>
        <w:tc>
          <w:tcPr>
            <w:tcW w:type="dxa" w:w="1134"/>
            <w:shd w:val="clear" w:color="auto" w:fill="F1F3F8"/>
          </w:tcPr>
          <w:p>
            <w:pPr>
              <w:spacing w:after="20"/>
            </w:pPr>
            <w:r/>
            <w:r>
              <w:rPr>
                <w:sz w:val="15"/>
              </w:rPr>
              <w:t>2007-26</w:t>
            </w:r>
          </w:p>
        </w:tc>
        <w:tc>
          <w:tcPr>
            <w:tcW w:type="dxa" w:w="5669"/>
            <w:shd w:val="clear" w:color="auto" w:fill="F1F3F8"/>
          </w:tcPr>
          <w:p>
            <w:pPr>
              <w:spacing w:after="20"/>
            </w:pPr>
            <w:r/>
            <w:r>
              <w:rPr>
                <w:sz w:val="15"/>
              </w:rPr>
              <w:t>Webcor, Kraemer, MWH, GCON now c.33% of sales overseas; margins still low (2-4%). Mixed but improving; data-centre exposure is the new leg</w:t>
            </w:r>
          </w:p>
        </w:tc>
      </w:tr>
      <w:tr>
        <w:tc>
          <w:tcPr>
            <w:tcW w:type="dxa" w:w="2835"/>
          </w:tcPr>
          <w:p>
            <w:pPr>
              <w:spacing w:after="20"/>
            </w:pPr>
            <w:r/>
            <w:r>
              <w:rPr>
                <w:b/>
                <w:sz w:val="15"/>
              </w:rPr>
              <w:t>Multiplex acquisition</w:t>
            </w:r>
          </w:p>
        </w:tc>
        <w:tc>
          <w:tcPr>
            <w:tcW w:type="dxa" w:w="1134"/>
          </w:tcPr>
          <w:p>
            <w:pPr>
              <w:spacing w:after="20"/>
            </w:pPr>
            <w:r/>
            <w:r>
              <w:rPr>
                <w:sz w:val="15"/>
              </w:rPr>
              <w:t>2026</w:t>
            </w:r>
          </w:p>
        </w:tc>
        <w:tc>
          <w:tcPr>
            <w:tcW w:type="dxa" w:w="5669"/>
          </w:tcPr>
          <w:p>
            <w:pPr>
              <w:spacing w:after="20"/>
            </w:pPr>
            <w:r/>
            <w:r>
              <w:rPr>
                <w:sz w:val="15"/>
              </w:rPr>
              <w:t>USD 540m, closing targeted 30 Sep 2026. Too early to judge; integration risk</w:t>
            </w:r>
          </w:p>
        </w:tc>
      </w:tr>
      <w:tr>
        <w:tc>
          <w:tcPr>
            <w:tcW w:type="dxa" w:w="2835"/>
            <w:shd w:val="clear" w:color="auto" w:fill="F1F3F8"/>
          </w:tcPr>
          <w:p>
            <w:pPr>
              <w:spacing w:after="20"/>
            </w:pPr>
            <w:r/>
            <w:r>
              <w:rPr>
                <w:b/>
                <w:sz w:val="15"/>
              </w:rPr>
              <w:t>Obayashi Road take-private</w:t>
            </w:r>
          </w:p>
        </w:tc>
        <w:tc>
          <w:tcPr>
            <w:tcW w:type="dxa" w:w="1134"/>
            <w:shd w:val="clear" w:color="auto" w:fill="F1F3F8"/>
          </w:tcPr>
          <w:p>
            <w:pPr>
              <w:spacing w:after="20"/>
            </w:pPr>
            <w:r/>
            <w:r>
              <w:rPr>
                <w:sz w:val="15"/>
              </w:rPr>
              <w:t>2017</w:t>
            </w:r>
          </w:p>
        </w:tc>
        <w:tc>
          <w:tcPr>
            <w:tcW w:type="dxa" w:w="5669"/>
            <w:shd w:val="clear" w:color="auto" w:fill="F1F3F8"/>
          </w:tcPr>
          <w:p>
            <w:pPr>
              <w:spacing w:after="20"/>
            </w:pPr>
            <w:r/>
            <w:r>
              <w:rPr>
                <w:sz w:val="15"/>
              </w:rPr>
              <w:t>Simplified group; neutral</w:t>
            </w:r>
          </w:p>
        </w:tc>
      </w:tr>
      <w:tr>
        <w:tc>
          <w:tcPr>
            <w:tcW w:type="dxa" w:w="2835"/>
          </w:tcPr>
          <w:p>
            <w:pPr>
              <w:spacing w:after="20"/>
            </w:pPr>
            <w:r/>
            <w:r>
              <w:rPr>
                <w:b/>
                <w:sz w:val="15"/>
              </w:rPr>
              <w:t>Wood and sustainability (Cypress Sunadaya, wood high-rise, renewables, biomass)</w:t>
            </w:r>
          </w:p>
        </w:tc>
        <w:tc>
          <w:tcPr>
            <w:tcW w:type="dxa" w:w="1134"/>
          </w:tcPr>
          <w:p>
            <w:pPr>
              <w:spacing w:after="20"/>
            </w:pPr>
            <w:r/>
            <w:r>
              <w:rPr>
                <w:sz w:val="15"/>
              </w:rPr>
              <w:t>2018-26</w:t>
            </w:r>
          </w:p>
        </w:tc>
        <w:tc>
          <w:tcPr>
            <w:tcW w:type="dxa" w:w="5669"/>
          </w:tcPr>
          <w:p>
            <w:pPr>
              <w:spacing w:after="20"/>
            </w:pPr>
            <w:r/>
            <w:r>
              <w:rPr>
                <w:sz w:val="15"/>
              </w:rPr>
              <w:t>Small financially; strategic positioning on decarbonisation. Not quantified</w:t>
            </w:r>
          </w:p>
        </w:tc>
      </w:tr>
      <w:tr>
        <w:tc>
          <w:tcPr>
            <w:tcW w:type="dxa" w:w="2835"/>
            <w:shd w:val="clear" w:color="auto" w:fill="F1F3F8"/>
          </w:tcPr>
          <w:p>
            <w:pPr>
              <w:spacing w:after="20"/>
            </w:pPr>
            <w:r/>
            <w:r>
              <w:rPr>
                <w:b/>
                <w:sz w:val="15"/>
              </w:rPr>
              <w:t>Construction technology (Smart Construction, robotics)</w:t>
            </w:r>
          </w:p>
        </w:tc>
        <w:tc>
          <w:tcPr>
            <w:tcW w:type="dxa" w:w="1134"/>
            <w:shd w:val="clear" w:color="auto" w:fill="F1F3F8"/>
          </w:tcPr>
          <w:p>
            <w:pPr>
              <w:spacing w:after="20"/>
            </w:pPr>
            <w:r/>
            <w:r>
              <w:rPr>
                <w:sz w:val="15"/>
              </w:rPr>
              <w:t>ongoing</w:t>
            </w:r>
          </w:p>
        </w:tc>
        <w:tc>
          <w:tcPr>
            <w:tcW w:type="dxa" w:w="5669"/>
            <w:shd w:val="clear" w:color="auto" w:fill="F1F3F8"/>
          </w:tcPr>
          <w:p>
            <w:pPr>
              <w:spacing w:after="20"/>
            </w:pPr>
            <w:r/>
            <w:r>
              <w:rPr>
                <w:sz w:val="15"/>
              </w:rPr>
              <w:t>Productivity response to labour shortage; benefits not separately disclosed. Space-elevator concept is R&amp;D marketing</w:t>
            </w:r>
          </w:p>
        </w:tc>
      </w:tr>
      <w:tr>
        <w:tc>
          <w:tcPr>
            <w:tcW w:type="dxa" w:w="2835"/>
          </w:tcPr>
          <w:p>
            <w:pPr>
              <w:spacing w:after="20"/>
            </w:pPr>
            <w:r/>
            <w:r>
              <w:rPr>
                <w:b/>
                <w:sz w:val="15"/>
              </w:rPr>
              <w:t>Real estate and data-centre development</w:t>
            </w:r>
          </w:p>
        </w:tc>
        <w:tc>
          <w:tcPr>
            <w:tcW w:type="dxa" w:w="1134"/>
          </w:tcPr>
          <w:p>
            <w:pPr>
              <w:spacing w:after="20"/>
            </w:pPr>
            <w:r/>
            <w:r>
              <w:rPr>
                <w:sz w:val="15"/>
              </w:rPr>
              <w:t>ongoing</w:t>
            </w:r>
          </w:p>
        </w:tc>
        <w:tc>
          <w:tcPr>
            <w:tcW w:type="dxa" w:w="5669"/>
          </w:tcPr>
          <w:p>
            <w:pPr>
              <w:spacing w:after="20"/>
            </w:pPr>
            <w:r/>
            <w:r>
              <w:rPr>
                <w:sz w:val="15"/>
              </w:rPr>
              <w:t>c.JPY 100bn data-centre development investment mooted over a decade†; real estate gains boosted FY3/26</w:t>
            </w:r>
          </w:p>
        </w:tc>
      </w:tr>
    </w:tbl>
    <w:p>
      <w:pPr>
        <w:spacing w:after="40"/>
      </w:pPr>
    </w:p>
    <w:p>
      <w:pPr>
        <w:pStyle w:val="Heading1"/>
      </w:pPr>
      <w:r>
        <w:t>18. Stakes in other companies</w:t>
      </w:r>
    </w:p>
    <w:p>
      <w:pPr>
        <w:pStyle w:val="ListBullet"/>
        <w:spacing w:after="40"/>
        <w:ind w:left="340"/>
      </w:pPr>
      <w:r>
        <w:rPr>
          <w:b/>
          <w:sz w:val="17"/>
        </w:rPr>
        <w:t>Cross-shareholdings (listed):</w:t>
      </w:r>
      <w:r>
        <w:rPr>
          <w:sz w:val="17"/>
        </w:rPr>
        <w:t xml:space="preserve"> JPY 288.8bn at market value (21.9% of net assets) at March 2026, being cut to 20%; c.JPY 285bn sold over five years†; JPY 58.3bn of further sales contracted. The number of issuers and top holdings could not be retrieved. Financial relevance: a source of cash (c.JPY 20bn gain in Q1 FY3/27) and dividend income, and a governance overhang that is shrinking. Strategic relevance: customer and bank relationships.</w:t>
      </w:r>
    </w:p>
    <w:p>
      <w:pPr>
        <w:pStyle w:val="ListBullet"/>
        <w:spacing w:after="40"/>
        <w:ind w:left="340"/>
      </w:pPr>
      <w:r>
        <w:rPr>
          <w:b/>
          <w:sz w:val="17"/>
        </w:rPr>
        <w:t>Subsidiaries:</w:t>
      </w:r>
      <w:r>
        <w:rPr>
          <w:sz w:val="17"/>
        </w:rPr>
        <w:t xml:space="preserve"> Webcor (US, 100%), Kraemer North America (control; one source says 56%), MWH (90%), GCON (100%), E.W. Howell, James E. Roberts-Obayashi, Kenaidan (Canada), Obayashi Shinseiwa Real Estate (100%), Thai Obayashi, Obayashi Singapore, Taiwan and Indonesian units; Cypress Sunadaya; Multiplex (pending). Group size c.98 subsidiaries and 26 affiliates (March 2022 figure†).</w:t>
      </w:r>
    </w:p>
    <w:p>
      <w:pPr>
        <w:pStyle w:val="ListBullet"/>
        <w:spacing w:after="40"/>
        <w:ind w:left="340"/>
      </w:pPr>
      <w:r>
        <w:rPr>
          <w:b/>
          <w:sz w:val="17"/>
        </w:rPr>
        <w:t>Unlisted / venture / funds:</w:t>
      </w:r>
      <w:r>
        <w:rPr>
          <w:sz w:val="17"/>
        </w:rPr>
        <w:t xml:space="preserve"> not found. Equity-method income was not retrieved.</w:t>
      </w:r>
    </w:p>
    <w:p>
      <w:pPr>
        <w:pStyle w:val="Heading1"/>
      </w:pPr>
      <w:r>
        <w:t>19. Shareholder returns, treasury shares and cancellations</w:t>
      </w:r>
    </w:p>
    <w:tbl>
      <w:tblPr>
        <w:tblStyle w:val="TableGrid"/>
        <w:tblW w:type="auto" w:w="0"/>
        <w:jc w:val="center"/>
        <w:tblLayout w:type="fixed"/>
        <w:tblLook w:firstColumn="1" w:firstRow="1" w:lastColumn="0" w:lastRow="0" w:noHBand="0" w:noVBand="1" w:val="04A0"/>
      </w:tblPr>
      <w:tblGrid>
        <w:gridCol w:w="1020"/>
        <w:gridCol w:w="1474"/>
        <w:gridCol w:w="1134"/>
        <w:gridCol w:w="4309"/>
        <w:gridCol w:w="1701"/>
      </w:tblGrid>
      <w:tr>
        <w:trPr>
          <w:tblHeader w:val="true"/>
        </w:trPr>
        <w:tc>
          <w:tcPr>
            <w:tcW w:type="dxa" w:w="1020"/>
            <w:shd w:val="clear" w:color="auto" w:fill="14243F"/>
          </w:tcPr>
          <w:p>
            <w:r/>
            <w:r>
              <w:rPr>
                <w:b/>
                <w:color w:val="FFFFFF"/>
                <w:sz w:val="14"/>
              </w:rPr>
              <w:t>Fiscal year</w:t>
            </w:r>
          </w:p>
        </w:tc>
        <w:tc>
          <w:tcPr>
            <w:tcW w:type="dxa" w:w="1474"/>
            <w:shd w:val="clear" w:color="auto" w:fill="14243F"/>
          </w:tcPr>
          <w:p>
            <w:r/>
            <w:r>
              <w:rPr>
                <w:b/>
                <w:color w:val="FFFFFF"/>
                <w:sz w:val="14"/>
              </w:rPr>
              <w:t>DPS (JPY)</w:t>
            </w:r>
          </w:p>
        </w:tc>
        <w:tc>
          <w:tcPr>
            <w:tcW w:type="dxa" w:w="1134"/>
            <w:shd w:val="clear" w:color="auto" w:fill="14243F"/>
          </w:tcPr>
          <w:p>
            <w:r/>
            <w:r>
              <w:rPr>
                <w:b/>
                <w:color w:val="FFFFFF"/>
                <w:sz w:val="14"/>
              </w:rPr>
              <w:t>Payout (DPS/EPS)</w:t>
            </w:r>
          </w:p>
        </w:tc>
        <w:tc>
          <w:tcPr>
            <w:tcW w:type="dxa" w:w="4309"/>
            <w:shd w:val="clear" w:color="auto" w:fill="14243F"/>
          </w:tcPr>
          <w:p>
            <w:r/>
            <w:r>
              <w:rPr>
                <w:b/>
                <w:color w:val="FFFFFF"/>
                <w:sz w:val="14"/>
              </w:rPr>
              <w:t>Buybacks and treasury-share events</w:t>
            </w:r>
          </w:p>
        </w:tc>
        <w:tc>
          <w:tcPr>
            <w:tcW w:type="dxa" w:w="1701"/>
            <w:shd w:val="clear" w:color="auto" w:fill="14243F"/>
          </w:tcPr>
          <w:p>
            <w:r/>
            <w:r>
              <w:rPr>
                <w:b/>
                <w:color w:val="FFFFFF"/>
                <w:sz w:val="14"/>
              </w:rPr>
              <w:t>Share count / cancellation</w:t>
            </w:r>
          </w:p>
        </w:tc>
      </w:tr>
      <w:tr>
        <w:tc>
          <w:tcPr>
            <w:tcW w:type="dxa" w:w="1020"/>
          </w:tcPr>
          <w:p>
            <w:pPr>
              <w:spacing w:after="20"/>
            </w:pPr>
            <w:r/>
            <w:r>
              <w:rPr>
                <w:b/>
                <w:sz w:val="14"/>
              </w:rPr>
              <w:t>FY3/22</w:t>
            </w:r>
          </w:p>
        </w:tc>
        <w:tc>
          <w:tcPr>
            <w:tcW w:type="dxa" w:w="1474"/>
          </w:tcPr>
          <w:p>
            <w:pPr>
              <w:spacing w:after="20"/>
            </w:pPr>
            <w:r/>
            <w:r>
              <w:rPr>
                <w:sz w:val="14"/>
              </w:rPr>
              <w:t>32</w:t>
            </w:r>
          </w:p>
        </w:tc>
        <w:tc>
          <w:tcPr>
            <w:tcW w:type="dxa" w:w="1134"/>
          </w:tcPr>
          <w:p>
            <w:pPr>
              <w:spacing w:after="20"/>
            </w:pPr>
            <w:r/>
            <w:r>
              <w:rPr>
                <w:sz w:val="14"/>
              </w:rPr>
              <w:t>59%</w:t>
            </w:r>
          </w:p>
        </w:tc>
        <w:tc>
          <w:tcPr>
            <w:tcW w:type="dxa" w:w="4309"/>
          </w:tcPr>
          <w:p>
            <w:pPr>
              <w:spacing w:after="20"/>
            </w:pPr>
            <w:r/>
            <w:r>
              <w:rPr>
                <w:sz w:val="14"/>
              </w:rPr>
              <w:t>No programme found</w:t>
            </w:r>
          </w:p>
        </w:tc>
        <w:tc>
          <w:tcPr>
            <w:tcW w:type="dxa" w:w="1701"/>
          </w:tcPr>
          <w:p>
            <w:pPr>
              <w:spacing w:after="20"/>
            </w:pPr>
            <w:r/>
            <w:r>
              <w:rPr>
                <w:sz w:val="14"/>
              </w:rPr>
              <w:t>c.718m issued†</w:t>
            </w:r>
          </w:p>
        </w:tc>
      </w:tr>
      <w:tr>
        <w:tc>
          <w:tcPr>
            <w:tcW w:type="dxa" w:w="1020"/>
            <w:shd w:val="clear" w:color="auto" w:fill="F1F3F8"/>
          </w:tcPr>
          <w:p>
            <w:pPr>
              <w:spacing w:after="20"/>
            </w:pPr>
            <w:r/>
            <w:r>
              <w:rPr>
                <w:b/>
                <w:sz w:val="14"/>
              </w:rPr>
              <w:t>FY3/23</w:t>
            </w:r>
          </w:p>
        </w:tc>
        <w:tc>
          <w:tcPr>
            <w:tcW w:type="dxa" w:w="1474"/>
            <w:shd w:val="clear" w:color="auto" w:fill="F1F3F8"/>
          </w:tcPr>
          <w:p>
            <w:pPr>
              <w:spacing w:after="20"/>
            </w:pPr>
            <w:r/>
            <w:r>
              <w:rPr>
                <w:sz w:val="14"/>
              </w:rPr>
              <w:t>42</w:t>
            </w:r>
          </w:p>
        </w:tc>
        <w:tc>
          <w:tcPr>
            <w:tcW w:type="dxa" w:w="1134"/>
            <w:shd w:val="clear" w:color="auto" w:fill="F1F3F8"/>
          </w:tcPr>
          <w:p>
            <w:pPr>
              <w:spacing w:after="20"/>
            </w:pPr>
            <w:r/>
            <w:r>
              <w:rPr>
                <w:sz w:val="14"/>
              </w:rPr>
              <w:t>39%</w:t>
            </w:r>
          </w:p>
        </w:tc>
        <w:tc>
          <w:tcPr>
            <w:tcW w:type="dxa" w:w="4309"/>
            <w:shd w:val="clear" w:color="auto" w:fill="F1F3F8"/>
          </w:tcPr>
          <w:p>
            <w:pPr>
              <w:spacing w:after="20"/>
            </w:pPr>
            <w:r/>
            <w:r>
              <w:rPr>
                <w:sz w:val="14"/>
              </w:rPr>
              <w:t>No programme found; Silchester special-dividend proposal rejected (Jun 2023)</w:t>
            </w:r>
          </w:p>
        </w:tc>
        <w:tc>
          <w:tcPr>
            <w:tcW w:type="dxa" w:w="1701"/>
            <w:shd w:val="clear" w:color="auto" w:fill="F1F3F8"/>
          </w:tcPr>
          <w:p>
            <w:pPr>
              <w:spacing w:after="20"/>
            </w:pPr>
            <w:r/>
            <w:r>
              <w:rPr>
                <w:sz w:val="14"/>
              </w:rPr>
              <w:t>n/a</w:t>
            </w:r>
          </w:p>
        </w:tc>
      </w:tr>
      <w:tr>
        <w:tc>
          <w:tcPr>
            <w:tcW w:type="dxa" w:w="1020"/>
          </w:tcPr>
          <w:p>
            <w:pPr>
              <w:spacing w:after="20"/>
            </w:pPr>
            <w:r/>
            <w:r>
              <w:rPr>
                <w:b/>
                <w:sz w:val="14"/>
              </w:rPr>
              <w:t>FY3/24</w:t>
            </w:r>
          </w:p>
        </w:tc>
        <w:tc>
          <w:tcPr>
            <w:tcW w:type="dxa" w:w="1474"/>
          </w:tcPr>
          <w:p>
            <w:pPr>
              <w:spacing w:after="20"/>
            </w:pPr>
            <w:r/>
            <w:r>
              <w:rPr>
                <w:sz w:val="14"/>
              </w:rPr>
              <w:t>75</w:t>
            </w:r>
          </w:p>
        </w:tc>
        <w:tc>
          <w:tcPr>
            <w:tcW w:type="dxa" w:w="1134"/>
          </w:tcPr>
          <w:p>
            <w:pPr>
              <w:spacing w:after="20"/>
            </w:pPr>
            <w:r/>
            <w:r>
              <w:rPr>
                <w:sz w:val="14"/>
              </w:rPr>
              <w:t>72%</w:t>
            </w:r>
          </w:p>
        </w:tc>
        <w:tc>
          <w:tcPr>
            <w:tcW w:type="dxa" w:w="4309"/>
          </w:tcPr>
          <w:p>
            <w:pPr>
              <w:spacing w:after="20"/>
            </w:pPr>
            <w:r/>
            <w:r>
              <w:rPr>
                <w:sz w:val="14"/>
              </w:rPr>
              <w:t>Capital policy announced Mar 2024: DOE c.5% (from c.3%); ROE 10% target</w:t>
            </w:r>
          </w:p>
        </w:tc>
        <w:tc>
          <w:tcPr>
            <w:tcW w:type="dxa" w:w="1701"/>
          </w:tcPr>
          <w:p>
            <w:pPr>
              <w:spacing w:after="20"/>
            </w:pPr>
            <w:r/>
            <w:r>
              <w:rPr>
                <w:sz w:val="14"/>
              </w:rPr>
              <w:t>n/a</w:t>
            </w:r>
          </w:p>
        </w:tc>
      </w:tr>
      <w:tr>
        <w:tc>
          <w:tcPr>
            <w:tcW w:type="dxa" w:w="1020"/>
            <w:shd w:val="clear" w:color="auto" w:fill="F1F3F8"/>
          </w:tcPr>
          <w:p>
            <w:pPr>
              <w:spacing w:after="20"/>
            </w:pPr>
            <w:r/>
            <w:r>
              <w:rPr>
                <w:b/>
                <w:sz w:val="14"/>
              </w:rPr>
              <w:t>FY3/25</w:t>
            </w:r>
          </w:p>
        </w:tc>
        <w:tc>
          <w:tcPr>
            <w:tcW w:type="dxa" w:w="1474"/>
            <w:shd w:val="clear" w:color="auto" w:fill="F1F3F8"/>
          </w:tcPr>
          <w:p>
            <w:pPr>
              <w:spacing w:after="20"/>
            </w:pPr>
            <w:r/>
            <w:r>
              <w:rPr>
                <w:sz w:val="14"/>
              </w:rPr>
              <w:t>81</w:t>
            </w:r>
          </w:p>
        </w:tc>
        <w:tc>
          <w:tcPr>
            <w:tcW w:type="dxa" w:w="1134"/>
            <w:shd w:val="clear" w:color="auto" w:fill="F1F3F8"/>
          </w:tcPr>
          <w:p>
            <w:pPr>
              <w:spacing w:after="20"/>
            </w:pPr>
            <w:r/>
            <w:r>
              <w:rPr>
                <w:sz w:val="14"/>
              </w:rPr>
              <w:t>40%</w:t>
            </w:r>
          </w:p>
        </w:tc>
        <w:tc>
          <w:tcPr>
            <w:tcW w:type="dxa" w:w="4309"/>
            <w:shd w:val="clear" w:color="auto" w:fill="F1F3F8"/>
          </w:tcPr>
          <w:p>
            <w:pPr>
              <w:spacing w:after="20"/>
            </w:pPr>
            <w:r/>
            <w:r>
              <w:rPr>
                <w:sz w:val="14"/>
              </w:rPr>
              <w:t>10 Feb 2025: up to 20.0m shares (2.8%), 12 Feb-30 Jun 2025; one-third (c.JPY 33bn) of the JPY 100bn plan; all acquired shares to be cancelled</w:t>
            </w:r>
          </w:p>
        </w:tc>
        <w:tc>
          <w:tcPr>
            <w:tcW w:type="dxa" w:w="1701"/>
            <w:shd w:val="clear" w:color="auto" w:fill="F1F3F8"/>
          </w:tcPr>
          <w:p>
            <w:pPr>
              <w:spacing w:after="20"/>
            </w:pPr>
            <w:r/>
            <w:r>
              <w:rPr>
                <w:sz w:val="14"/>
              </w:rPr>
              <w:t>c.721m shares at Mar 2025†</w:t>
            </w:r>
          </w:p>
        </w:tc>
      </w:tr>
      <w:tr>
        <w:tc>
          <w:tcPr>
            <w:tcW w:type="dxa" w:w="1020"/>
          </w:tcPr>
          <w:p>
            <w:pPr>
              <w:spacing w:after="20"/>
            </w:pPr>
            <w:r/>
            <w:r>
              <w:rPr>
                <w:b/>
                <w:sz w:val="14"/>
              </w:rPr>
              <w:t>FY3/26</w:t>
            </w:r>
          </w:p>
        </w:tc>
        <w:tc>
          <w:tcPr>
            <w:tcW w:type="dxa" w:w="1474"/>
          </w:tcPr>
          <w:p>
            <w:pPr>
              <w:spacing w:after="20"/>
            </w:pPr>
            <w:r/>
            <w:r>
              <w:rPr>
                <w:sz w:val="14"/>
              </w:rPr>
              <w:t>88 (41 interim + 47 final)</w:t>
            </w:r>
          </w:p>
        </w:tc>
        <w:tc>
          <w:tcPr>
            <w:tcW w:type="dxa" w:w="1134"/>
          </w:tcPr>
          <w:p>
            <w:pPr>
              <w:spacing w:after="20"/>
            </w:pPr>
            <w:r/>
            <w:r>
              <w:rPr>
                <w:sz w:val="14"/>
              </w:rPr>
              <w:t>35%</w:t>
            </w:r>
          </w:p>
        </w:tc>
        <w:tc>
          <w:tcPr>
            <w:tcW w:type="dxa" w:w="4309"/>
          </w:tcPr>
          <w:p>
            <w:pPr>
              <w:spacing w:after="20"/>
            </w:pPr>
            <w:r/>
            <w:r>
              <w:rPr>
                <w:sz w:val="14"/>
              </w:rPr>
              <w:t>Final tranche 1-23 Jun 2025: 1.94m shares, JPY 4.25bn (avg c.JPY 2,194); Aug 2025: cancellation plus JPY 40bn buyback†</w:t>
            </w:r>
          </w:p>
        </w:tc>
        <w:tc>
          <w:tcPr>
            <w:tcW w:type="dxa" w:w="1701"/>
          </w:tcPr>
          <w:p>
            <w:pPr>
              <w:spacing w:after="20"/>
            </w:pPr>
            <w:r/>
            <w:r>
              <w:rPr>
                <w:sz w:val="14"/>
              </w:rPr>
              <w:t>c.688-692m shares by 2026†</w:t>
            </w:r>
          </w:p>
        </w:tc>
      </w:tr>
      <w:tr>
        <w:tc>
          <w:tcPr>
            <w:tcW w:type="dxa" w:w="1020"/>
            <w:shd w:val="clear" w:color="auto" w:fill="F1F3F8"/>
          </w:tcPr>
          <w:p>
            <w:pPr>
              <w:spacing w:after="20"/>
            </w:pPr>
            <w:r/>
            <w:r>
              <w:rPr>
                <w:b/>
                <w:sz w:val="14"/>
              </w:rPr>
              <w:t>FY3/27E</w:t>
            </w:r>
          </w:p>
        </w:tc>
        <w:tc>
          <w:tcPr>
            <w:tcW w:type="dxa" w:w="1474"/>
            <w:shd w:val="clear" w:color="auto" w:fill="F1F3F8"/>
          </w:tcPr>
          <w:p>
            <w:pPr>
              <w:spacing w:after="20"/>
            </w:pPr>
            <w:r/>
            <w:r>
              <w:rPr>
                <w:sz w:val="14"/>
              </w:rPr>
              <w:t>94 (47 + 47)</w:t>
            </w:r>
          </w:p>
        </w:tc>
        <w:tc>
          <w:tcPr>
            <w:tcW w:type="dxa" w:w="1134"/>
            <w:shd w:val="clear" w:color="auto" w:fill="F1F3F8"/>
          </w:tcPr>
          <w:p>
            <w:pPr>
              <w:spacing w:after="20"/>
            </w:pPr>
            <w:r/>
            <w:r>
              <w:rPr>
                <w:sz w:val="14"/>
              </w:rPr>
              <w:t>c.41%</w:t>
            </w:r>
          </w:p>
        </w:tc>
        <w:tc>
          <w:tcPr>
            <w:tcW w:type="dxa" w:w="4309"/>
            <w:shd w:val="clear" w:color="auto" w:fill="F1F3F8"/>
          </w:tcPr>
          <w:p>
            <w:pPr>
              <w:spacing w:after="20"/>
            </w:pPr>
            <w:r/>
            <w:r>
              <w:rPr>
                <w:sz w:val="14"/>
              </w:rPr>
              <w:t>c.JPY 30bn of the JPY 100bn plan left† (through March 2027)</w:t>
            </w:r>
          </w:p>
        </w:tc>
        <w:tc>
          <w:tcPr>
            <w:tcW w:type="dxa" w:w="1701"/>
            <w:shd w:val="clear" w:color="auto" w:fill="F1F3F8"/>
          </w:tcPr>
          <w:p>
            <w:pPr>
              <w:spacing w:after="20"/>
            </w:pPr>
            <w:r/>
            <w:r>
              <w:rPr>
                <w:sz w:val="14"/>
              </w:rPr>
              <w:t>Treasury-share balance not retrieved</w:t>
            </w:r>
          </w:p>
        </w:tc>
      </w:tr>
    </w:tbl>
    <w:p>
      <w:pPr>
        <w:spacing w:after="40"/>
      </w:pPr>
    </w:p>
    <w:p>
      <w:r>
        <w:rPr>
          <w:i/>
          <w:color w:val="555F70"/>
          <w:sz w:val="16"/>
        </w:rPr>
        <w:t>Treasury-share balances at each year-end, individual buyback amounts for FY3/22-24 and the exact number of shares cancelled could not be retrieved; they are in the tanshin share-data notes and the 'Status of acquisition of treasury shares' in each yuho. Financing cash outflow in FY3/26 (JPY 141bn) implies a total shareholder-return proxy of c.6.8% of market cap. Shares in issue (c.718m) versus c.688-692m now implies roughly 26-30m shares retired or held as treasury†. Dividend policy: DOE c.5%, with special dividends and buybacks flexible.</w:t>
      </w:r>
    </w:p>
    <w:p>
      <w:pPr>
        <w:pStyle w:val="Heading1"/>
      </w:pPr>
      <w:r>
        <w:t>20. Adversarial analysis: bull, bear, pre-mortem, contrarian</w:t>
      </w:r>
    </w:p>
    <w:p>
      <w:pPr>
        <w:pStyle w:val="Heading2"/>
      </w:pPr>
      <w:r>
        <w:t>20.1 Bull case</w:t>
      </w:r>
    </w:p>
    <w:p>
      <w:pPr>
        <w:pStyle w:val="ListBullet"/>
        <w:spacing w:after="40"/>
        <w:ind w:left="340"/>
      </w:pPr>
      <w:r>
        <w:rPr>
          <w:b/>
          <w:sz w:val="17"/>
        </w:rPr>
        <w:t>Structural pricing power:</w:t>
      </w:r>
      <w:r>
        <w:rPr>
          <w:sz w:val="17"/>
        </w:rPr>
        <w:t xml:space="preserve"> four-firm oligopoly, capacity-constrained by labour; selective bidding has held gross margin c.13%; Japanese building-cost inflation is increasingly passed through.</w:t>
      </w:r>
    </w:p>
    <w:p>
      <w:pPr>
        <w:pStyle w:val="ListBullet"/>
        <w:spacing w:after="40"/>
        <w:ind w:left="340"/>
      </w:pPr>
      <w:r>
        <w:rPr>
          <w:b/>
          <w:sz w:val="17"/>
        </w:rPr>
        <w:t>Secular tailwinds:</w:t>
      </w:r>
      <w:r>
        <w:rPr>
          <w:sz w:val="17"/>
        </w:rPr>
        <w:t xml:space="preserve"> Tokyo redevelopment, data centres and semiconductor fabs, national-resilience spending (JPY 20tn+ over FY2026-30†), Linear Shizuoka start, US data-centre build-out via GCON/Webcor.</w:t>
      </w:r>
    </w:p>
    <w:p>
      <w:pPr>
        <w:pStyle w:val="ListBullet"/>
        <w:spacing w:after="40"/>
        <w:ind w:left="340"/>
      </w:pPr>
      <w:r>
        <w:rPr>
          <w:b/>
          <w:sz w:val="17"/>
        </w:rPr>
        <w:t>Capital-allocation upgrade:</w:t>
      </w:r>
      <w:r>
        <w:rPr>
          <w:sz w:val="17"/>
        </w:rPr>
        <w:t xml:space="preserve"> DOE 5%, JPY 100bn buyback, JPY 289bn of cross-holdings to monetise, JPY 84bn net cash. A new plan in May 2027 could lift the payout further; total shareholder yield of c.6-7% is a floor.</w:t>
      </w:r>
    </w:p>
    <w:p>
      <w:pPr>
        <w:pStyle w:val="ListBullet"/>
        <w:spacing w:after="40"/>
        <w:ind w:left="340"/>
      </w:pPr>
      <w:r>
        <w:rPr>
          <w:b/>
          <w:sz w:val="17"/>
        </w:rPr>
        <w:t>Earnings-surprise machinery:</w:t>
      </w:r>
      <w:r>
        <w:rPr>
          <w:sz w:val="17"/>
        </w:rPr>
        <w:t xml:space="preserve"> management guides low; FY3/26 net income came in 74% above the initial JPY 100bn guide; Q1 progress is ahead of the five-year average.</w:t>
      </w:r>
    </w:p>
    <w:p>
      <w:pPr>
        <w:pStyle w:val="ListBullet"/>
        <w:spacing w:after="40"/>
        <w:ind w:left="340"/>
      </w:pPr>
      <w:r>
        <w:rPr>
          <w:b/>
          <w:sz w:val="17"/>
        </w:rPr>
        <w:t>Valuation:</w:t>
      </w:r>
      <w:r>
        <w:rPr>
          <w:sz w:val="17"/>
        </w:rPr>
        <w:t xml:space="preserve"> 23% regression discount; c.7x adjusted EV/EBITDA; P/E c.12x. At the February 2026 peak the shares traded at c.18x FY3/26 EPS, so re-rating headroom exists if margins hold.</w:t>
      </w:r>
    </w:p>
    <w:p>
      <w:pPr>
        <w:pStyle w:val="Heading2"/>
      </w:pPr>
      <w:r>
        <w:t>20.2 Bear case</w:t>
      </w:r>
    </w:p>
    <w:p>
      <w:pPr>
        <w:pStyle w:val="ListBullet"/>
        <w:spacing w:after="40"/>
        <w:ind w:left="340"/>
      </w:pPr>
      <w:r>
        <w:rPr>
          <w:b/>
          <w:sz w:val="17"/>
        </w:rPr>
        <w:t>Margin mean reversion:</w:t>
      </w:r>
      <w:r>
        <w:rPr>
          <w:sz w:val="17"/>
        </w:rPr>
        <w:t xml:space="preserve"> a 4.7x profit recovery driven by a few large domestic building jobs and change orders; lower-margin new work enters from FY3/27 (guide OP -7.5%). Each 1pt of OP margin on JPY 2.9tn sales is JPY 29bn, or c.13% of EPS.</w:t>
      </w:r>
    </w:p>
    <w:p>
      <w:pPr>
        <w:pStyle w:val="ListBullet"/>
        <w:spacing w:after="40"/>
        <w:ind w:left="340"/>
      </w:pPr>
      <w:r>
        <w:rPr>
          <w:b/>
          <w:sz w:val="17"/>
        </w:rPr>
        <w:t>Permanent-impairment risks:</w:t>
      </w:r>
      <w:r>
        <w:rPr>
          <w:sz w:val="17"/>
        </w:rPr>
        <w:t xml:space="preserve"> (1) a cost shock in the fixed-price backlog (Middle East supply disruption, labour); (2) a large overseas project loss, particularly Multiplex's fixed-price legacy; (3) a bid-rigging or safety event that triggers public-works suspension.</w:t>
      </w:r>
    </w:p>
    <w:p>
      <w:pPr>
        <w:pStyle w:val="ListBullet"/>
        <w:spacing w:after="40"/>
        <w:ind w:left="340"/>
      </w:pPr>
      <w:r>
        <w:rPr>
          <w:b/>
          <w:sz w:val="17"/>
        </w:rPr>
        <w:t>Order deceleration:</w:t>
      </w:r>
      <w:r>
        <w:rPr>
          <w:sz w:val="17"/>
        </w:rPr>
        <w:t xml:space="preserve"> Q1 orders -7.2%; management flags caution from FY3/28; higher rates and weaker developer returns could delay private capex.</w:t>
      </w:r>
    </w:p>
    <w:p>
      <w:pPr>
        <w:pStyle w:val="ListBullet"/>
        <w:spacing w:after="40"/>
        <w:ind w:left="340"/>
      </w:pPr>
      <w:r>
        <w:rPr>
          <w:b/>
          <w:sz w:val="17"/>
        </w:rPr>
        <w:t>Earnings quality:</w:t>
      </w:r>
      <w:r>
        <w:rPr>
          <w:sz w:val="17"/>
        </w:rPr>
        <w:t xml:space="preserve"> FY3/26 EPS of JPY 249 included c.JPY 30-35bn of estimated net one-off gains; underlying EPS is closer to JPY 205-215. The cross-holding gain source will run dry as the 20% target is met.</w:t>
      </w:r>
    </w:p>
    <w:p>
      <w:pPr>
        <w:pStyle w:val="ListBullet"/>
        <w:spacing w:after="40"/>
        <w:ind w:left="340"/>
      </w:pPr>
      <w:r>
        <w:rPr>
          <w:b/>
          <w:sz w:val="17"/>
        </w:rPr>
        <w:t>Expectations:</w:t>
      </w:r>
      <w:r>
        <w:rPr>
          <w:sz w:val="17"/>
        </w:rPr>
        <w:t xml:space="preserve"> the stock tripled; at 12-13x P/E on peak-margin earnings the market already assumes margin sustainability.</w:t>
      </w:r>
    </w:p>
    <w:p>
      <w:pPr>
        <w:pStyle w:val="Heading2"/>
      </w:pPr>
      <w:r>
        <w:t>20.3 Pre-mortem: it is October 2027 and the stock is at JPY 2,000. Why?</w:t>
      </w:r>
    </w:p>
    <w:p>
      <w:pPr>
        <w:pStyle w:val="ListBullet"/>
        <w:spacing w:after="40"/>
        <w:ind w:left="340"/>
      </w:pPr>
      <w:r>
        <w:rPr>
          <w:sz w:val="17"/>
        </w:rPr>
        <w:t>A November 2026-May 2027 sequence of project-cost write-downs (naphtha-material delays turn into loss provisions on two or three large jobs) cuts FY3/27 OP to JPY 150bn.</w:t>
      </w:r>
    </w:p>
    <w:p>
      <w:pPr>
        <w:pStyle w:val="ListBullet"/>
        <w:spacing w:after="40"/>
        <w:ind w:left="340"/>
      </w:pPr>
      <w:r>
        <w:rPr>
          <w:sz w:val="17"/>
        </w:rPr>
        <w:t>Orders fall 10% as developers defer on higher rates; backlog cover shrinks and peers discount to fill capacity, ending pricing discipline.</w:t>
      </w:r>
    </w:p>
    <w:p>
      <w:pPr>
        <w:pStyle w:val="ListBullet"/>
        <w:spacing w:after="40"/>
        <w:ind w:left="340"/>
      </w:pPr>
      <w:r>
        <w:rPr>
          <w:sz w:val="17"/>
        </w:rPr>
        <w:t>Multiplex reports a loss-making legacy project; goodwill and provisions of JPY 20-30bn offset the purchase price, and the market re-rates Obayashi's overseas arm as a risk, not a growth leg.</w:t>
      </w:r>
    </w:p>
    <w:p>
      <w:pPr>
        <w:pStyle w:val="ListBullet"/>
        <w:spacing w:after="40"/>
        <w:ind w:left="340"/>
      </w:pPr>
      <w:r>
        <w:rPr>
          <w:sz w:val="17"/>
        </w:rPr>
        <w:t>The successor plan (May 2027) lowers the payout ambition because earnings fell, removing the capital-return support.</w:t>
      </w:r>
    </w:p>
    <w:p>
      <w:pPr>
        <w:pStyle w:val="Heading2"/>
      </w:pPr>
      <w:r>
        <w:t>20.4 Contrarian view: what the market may be refusing to see</w:t>
      </w:r>
    </w:p>
    <w:tbl>
      <w:tblPr>
        <w:tblW w:type="auto" w:w="0"/>
        <w:jc w:val="center"/>
        <w:tblLook w:firstColumn="1" w:firstRow="1" w:lastColumn="0" w:lastRow="0" w:noHBand="0" w:noVBand="1" w:val="04A0"/>
      </w:tblPr>
      <w:tblGrid>
        <w:gridCol w:w="9752"/>
      </w:tblGrid>
      <w:tr>
        <w:tc>
          <w:tcPr>
            <w:tcW w:type="dxa" w:w="9752"/>
            <w:shd w:val="clear" w:color="auto" w:fill="EEF2FA"/>
          </w:tcPr>
          <w:p>
            <w:r/>
            <w:r>
              <w:rPr>
                <w:b/>
                <w:sz w:val="18"/>
              </w:rPr>
              <w:t>The market is capitalising FY3/27 guidance (OP -7.5%) as the start of a normal contractor downcycle. We think guidance is deliberately low and that the 13% gross-margin plateau is structurally supported by labour-driven capacity constraints, not a peak. In that case the stock trades at c.10-11x underlying EPS and c.7x adjusted EV/EBITDA, with a 6-7% shareholder yield and an unwound cross-holding book still ahead. The real risk is not margin; it is a handful of large fixed-price jobs and a Multiplex integration going wrong. A tilt to that nuance, rather than 'peak margin', is where we see the edge.</w:t>
            </w:r>
          </w:p>
        </w:tc>
      </w:tr>
    </w:tbl>
    <w:p>
      <w:pPr>
        <w:spacing w:after="40"/>
      </w:pPr>
    </w:p>
    <w:p>
      <w:pPr>
        <w:pStyle w:val="Heading1"/>
      </w:pPr>
      <w:r>
        <w:t>21. Scenario analysis</w:t>
      </w:r>
    </w:p>
    <w:tbl>
      <w:tblPr>
        <w:tblStyle w:val="TableGrid"/>
        <w:tblW w:type="auto" w:w="0"/>
        <w:jc w:val="center"/>
        <w:tblLayout w:type="fixed"/>
        <w:tblLook w:firstColumn="1" w:firstRow="1" w:lastColumn="0" w:lastRow="0" w:noHBand="0" w:noVBand="1" w:val="04A0"/>
      </w:tblPr>
      <w:tblGrid>
        <w:gridCol w:w="2381"/>
        <w:gridCol w:w="2381"/>
        <w:gridCol w:w="2381"/>
        <w:gridCol w:w="2494"/>
      </w:tblGrid>
      <w:tr>
        <w:trPr>
          <w:tblHeader w:val="true"/>
        </w:trPr>
        <w:tc>
          <w:tcPr>
            <w:tcW w:type="dxa" w:w="2381"/>
            <w:shd w:val="clear" w:color="auto" w:fill="14243F"/>
          </w:tcPr>
          <w:p>
            <w:r/>
          </w:p>
        </w:tc>
        <w:tc>
          <w:tcPr>
            <w:tcW w:type="dxa" w:w="2381"/>
            <w:shd w:val="clear" w:color="auto" w:fill="14243F"/>
          </w:tcPr>
          <w:p>
            <w:r/>
            <w:r>
              <w:rPr>
                <w:b/>
                <w:color w:val="FFFFFF"/>
                <w:sz w:val="15"/>
              </w:rPr>
              <w:t>Bear (30%)</w:t>
            </w:r>
          </w:p>
        </w:tc>
        <w:tc>
          <w:tcPr>
            <w:tcW w:type="dxa" w:w="2381"/>
            <w:shd w:val="clear" w:color="auto" w:fill="14243F"/>
          </w:tcPr>
          <w:p>
            <w:r/>
            <w:r>
              <w:rPr>
                <w:b/>
                <w:color w:val="FFFFFF"/>
                <w:sz w:val="15"/>
              </w:rPr>
              <w:t>Base (50%)</w:t>
            </w:r>
          </w:p>
        </w:tc>
        <w:tc>
          <w:tcPr>
            <w:tcW w:type="dxa" w:w="2494"/>
            <w:shd w:val="clear" w:color="auto" w:fill="14243F"/>
          </w:tcPr>
          <w:p>
            <w:r/>
            <w:r>
              <w:rPr>
                <w:b/>
                <w:color w:val="FFFFFF"/>
                <w:sz w:val="15"/>
              </w:rPr>
              <w:t>Bull (20%)</w:t>
            </w:r>
          </w:p>
        </w:tc>
      </w:tr>
      <w:tr>
        <w:tc>
          <w:tcPr>
            <w:tcW w:type="dxa" w:w="2381"/>
          </w:tcPr>
          <w:p>
            <w:pPr>
              <w:spacing w:after="20"/>
            </w:pPr>
            <w:r/>
            <w:r>
              <w:rPr>
                <w:b/>
                <w:sz w:val="15"/>
              </w:rPr>
              <w:t>Narrative</w:t>
            </w:r>
          </w:p>
        </w:tc>
        <w:tc>
          <w:tcPr>
            <w:tcW w:type="dxa" w:w="2381"/>
          </w:tcPr>
          <w:p>
            <w:pPr>
              <w:spacing w:after="20"/>
            </w:pPr>
            <w:r/>
            <w:r>
              <w:rPr>
                <w:sz w:val="15"/>
              </w:rPr>
              <w:t>Cost shock and order slump; margin back to c.5%; gains dry up</w:t>
            </w:r>
          </w:p>
        </w:tc>
        <w:tc>
          <w:tcPr>
            <w:tcW w:type="dxa" w:w="2381"/>
          </w:tcPr>
          <w:p>
            <w:pPr>
              <w:spacing w:after="20"/>
            </w:pPr>
            <w:r/>
            <w:r>
              <w:rPr>
                <w:sz w:val="15"/>
              </w:rPr>
              <w:t>Margin eases to 6.5%; orders flat; steady buybacks</w:t>
            </w:r>
          </w:p>
        </w:tc>
        <w:tc>
          <w:tcPr>
            <w:tcW w:type="dxa" w:w="2494"/>
          </w:tcPr>
          <w:p>
            <w:pPr>
              <w:spacing w:after="20"/>
            </w:pPr>
            <w:r/>
            <w:r>
              <w:rPr>
                <w:sz w:val="15"/>
              </w:rPr>
              <w:t>Margin holds above 7%; data-centre and overseas growth; payout upgrade</w:t>
            </w:r>
          </w:p>
        </w:tc>
      </w:tr>
      <w:tr>
        <w:tc>
          <w:tcPr>
            <w:tcW w:type="dxa" w:w="2381"/>
            <w:shd w:val="clear" w:color="auto" w:fill="F1F3F8"/>
          </w:tcPr>
          <w:p>
            <w:pPr>
              <w:spacing w:after="20"/>
            </w:pPr>
            <w:r/>
            <w:r>
              <w:rPr>
                <w:b/>
                <w:sz w:val="15"/>
              </w:rPr>
              <w:t>Sales growth FY3/28E</w:t>
            </w:r>
          </w:p>
        </w:tc>
        <w:tc>
          <w:tcPr>
            <w:tcW w:type="dxa" w:w="2381"/>
            <w:shd w:val="clear" w:color="auto" w:fill="F1F3F8"/>
          </w:tcPr>
          <w:p>
            <w:pPr>
              <w:spacing w:after="20"/>
            </w:pPr>
            <w:r/>
            <w:r>
              <w:rPr>
                <w:sz w:val="15"/>
              </w:rPr>
              <w:t>0% (JPY 2,900bn)</w:t>
            </w:r>
          </w:p>
        </w:tc>
        <w:tc>
          <w:tcPr>
            <w:tcW w:type="dxa" w:w="2381"/>
            <w:shd w:val="clear" w:color="auto" w:fill="F1F3F8"/>
          </w:tcPr>
          <w:p>
            <w:pPr>
              <w:spacing w:after="20"/>
            </w:pPr>
            <w:r/>
            <w:r>
              <w:rPr>
                <w:sz w:val="15"/>
              </w:rPr>
              <w:t>+2.9% (JPY 3,030bn)</w:t>
            </w:r>
          </w:p>
        </w:tc>
        <w:tc>
          <w:tcPr>
            <w:tcW w:type="dxa" w:w="2494"/>
            <w:shd w:val="clear" w:color="auto" w:fill="F1F3F8"/>
          </w:tcPr>
          <w:p>
            <w:pPr>
              <w:spacing w:after="20"/>
            </w:pPr>
            <w:r/>
            <w:r>
              <w:rPr>
                <w:sz w:val="15"/>
              </w:rPr>
              <w:t>+5.4% (JPY 3,150bn)</w:t>
            </w:r>
          </w:p>
        </w:tc>
      </w:tr>
      <w:tr>
        <w:tc>
          <w:tcPr>
            <w:tcW w:type="dxa" w:w="2381"/>
          </w:tcPr>
          <w:p>
            <w:pPr>
              <w:spacing w:after="20"/>
            </w:pPr>
            <w:r/>
            <w:r>
              <w:rPr>
                <w:b/>
                <w:sz w:val="15"/>
              </w:rPr>
              <w:t>Operating margin FY3/28E</w:t>
            </w:r>
          </w:p>
        </w:tc>
        <w:tc>
          <w:tcPr>
            <w:tcW w:type="dxa" w:w="2381"/>
          </w:tcPr>
          <w:p>
            <w:pPr>
              <w:spacing w:after="20"/>
            </w:pPr>
            <w:r/>
            <w:r>
              <w:rPr>
                <w:sz w:val="15"/>
              </w:rPr>
              <w:t>5.2%</w:t>
            </w:r>
          </w:p>
        </w:tc>
        <w:tc>
          <w:tcPr>
            <w:tcW w:type="dxa" w:w="2381"/>
          </w:tcPr>
          <w:p>
            <w:pPr>
              <w:spacing w:after="20"/>
            </w:pPr>
            <w:r/>
            <w:r>
              <w:rPr>
                <w:sz w:val="15"/>
              </w:rPr>
              <w:t>6.5%</w:t>
            </w:r>
          </w:p>
        </w:tc>
        <w:tc>
          <w:tcPr>
            <w:tcW w:type="dxa" w:w="2494"/>
          </w:tcPr>
          <w:p>
            <w:pPr>
              <w:spacing w:after="20"/>
            </w:pPr>
            <w:r/>
            <w:r>
              <w:rPr>
                <w:sz w:val="15"/>
              </w:rPr>
              <w:t>7.1%</w:t>
            </w:r>
          </w:p>
        </w:tc>
      </w:tr>
      <w:tr>
        <w:tc>
          <w:tcPr>
            <w:tcW w:type="dxa" w:w="2381"/>
            <w:shd w:val="clear" w:color="auto" w:fill="F1F3F8"/>
          </w:tcPr>
          <w:p>
            <w:pPr>
              <w:spacing w:after="20"/>
            </w:pPr>
            <w:r/>
            <w:r>
              <w:rPr>
                <w:b/>
                <w:sz w:val="15"/>
              </w:rPr>
              <w:t>EBITDA FY3/28E (JPY bn)</w:t>
            </w:r>
          </w:p>
        </w:tc>
        <w:tc>
          <w:tcPr>
            <w:tcW w:type="dxa" w:w="2381"/>
            <w:shd w:val="clear" w:color="auto" w:fill="F1F3F8"/>
          </w:tcPr>
          <w:p>
            <w:pPr>
              <w:spacing w:after="20"/>
            </w:pPr>
            <w:r/>
            <w:r>
              <w:rPr>
                <w:sz w:val="15"/>
              </w:rPr>
              <w:t>200</w:t>
            </w:r>
          </w:p>
        </w:tc>
        <w:tc>
          <w:tcPr>
            <w:tcW w:type="dxa" w:w="2381"/>
            <w:shd w:val="clear" w:color="auto" w:fill="F1F3F8"/>
          </w:tcPr>
          <w:p>
            <w:pPr>
              <w:spacing w:after="20"/>
            </w:pPr>
            <w:r/>
            <w:r>
              <w:rPr>
                <w:sz w:val="15"/>
              </w:rPr>
              <w:t>247</w:t>
            </w:r>
          </w:p>
        </w:tc>
        <w:tc>
          <w:tcPr>
            <w:tcW w:type="dxa" w:w="2494"/>
            <w:shd w:val="clear" w:color="auto" w:fill="F1F3F8"/>
          </w:tcPr>
          <w:p>
            <w:pPr>
              <w:spacing w:after="20"/>
            </w:pPr>
            <w:r/>
            <w:r>
              <w:rPr>
                <w:sz w:val="15"/>
              </w:rPr>
              <w:t>295</w:t>
            </w:r>
          </w:p>
        </w:tc>
      </w:tr>
      <w:tr>
        <w:tc>
          <w:tcPr>
            <w:tcW w:type="dxa" w:w="2381"/>
          </w:tcPr>
          <w:p>
            <w:pPr>
              <w:spacing w:after="20"/>
            </w:pPr>
            <w:r/>
            <w:r>
              <w:rPr>
                <w:b/>
                <w:sz w:val="15"/>
              </w:rPr>
              <w:t>EV/EBITDA multiple</w:t>
            </w:r>
          </w:p>
        </w:tc>
        <w:tc>
          <w:tcPr>
            <w:tcW w:type="dxa" w:w="2381"/>
          </w:tcPr>
          <w:p>
            <w:pPr>
              <w:spacing w:after="20"/>
            </w:pPr>
            <w:r/>
            <w:r>
              <w:rPr>
                <w:sz w:val="15"/>
              </w:rPr>
              <w:t>6.5x (trough contractor)</w:t>
            </w:r>
          </w:p>
        </w:tc>
        <w:tc>
          <w:tcPr>
            <w:tcW w:type="dxa" w:w="2381"/>
          </w:tcPr>
          <w:p>
            <w:pPr>
              <w:spacing w:after="20"/>
            </w:pPr>
            <w:r/>
            <w:r>
              <w:rPr>
                <w:sz w:val="15"/>
              </w:rPr>
              <w:t>8.5x (Japan Big-3 discount)</w:t>
            </w:r>
          </w:p>
        </w:tc>
        <w:tc>
          <w:tcPr>
            <w:tcW w:type="dxa" w:w="2494"/>
          </w:tcPr>
          <w:p>
            <w:pPr>
              <w:spacing w:after="20"/>
            </w:pPr>
            <w:r/>
            <w:r>
              <w:rPr>
                <w:sz w:val="15"/>
              </w:rPr>
              <w:t>9.5x (US specialty-contractor median)</w:t>
            </w:r>
          </w:p>
        </w:tc>
      </w:tr>
      <w:tr>
        <w:tc>
          <w:tcPr>
            <w:tcW w:type="dxa" w:w="2381"/>
            <w:shd w:val="clear" w:color="auto" w:fill="F1F3F8"/>
          </w:tcPr>
          <w:p>
            <w:pPr>
              <w:spacing w:after="20"/>
            </w:pPr>
            <w:r/>
            <w:r>
              <w:rPr>
                <w:b/>
                <w:sz w:val="15"/>
              </w:rPr>
              <w:t>Equity value (JPY bn)</w:t>
            </w:r>
          </w:p>
        </w:tc>
        <w:tc>
          <w:tcPr>
            <w:tcW w:type="dxa" w:w="2381"/>
            <w:shd w:val="clear" w:color="auto" w:fill="F1F3F8"/>
          </w:tcPr>
          <w:p>
            <w:pPr>
              <w:spacing w:after="20"/>
            </w:pPr>
            <w:r/>
            <w:r>
              <w:rPr>
                <w:sz w:val="15"/>
              </w:rPr>
              <w:t>1,601</w:t>
            </w:r>
          </w:p>
        </w:tc>
        <w:tc>
          <w:tcPr>
            <w:tcW w:type="dxa" w:w="2381"/>
            <w:shd w:val="clear" w:color="auto" w:fill="F1F3F8"/>
          </w:tcPr>
          <w:p>
            <w:pPr>
              <w:spacing w:after="20"/>
            </w:pPr>
            <w:r/>
            <w:r>
              <w:rPr>
                <w:sz w:val="15"/>
              </w:rPr>
              <w:t>2,400</w:t>
            </w:r>
          </w:p>
        </w:tc>
        <w:tc>
          <w:tcPr>
            <w:tcW w:type="dxa" w:w="2494"/>
            <w:shd w:val="clear" w:color="auto" w:fill="F1F3F8"/>
          </w:tcPr>
          <w:p>
            <w:pPr>
              <w:spacing w:after="20"/>
            </w:pPr>
            <w:r/>
            <w:r>
              <w:rPr>
                <w:sz w:val="15"/>
              </w:rPr>
              <w:t>3,103</w:t>
            </w:r>
          </w:p>
        </w:tc>
      </w:tr>
      <w:tr>
        <w:tc>
          <w:tcPr>
            <w:tcW w:type="dxa" w:w="2381"/>
          </w:tcPr>
          <w:p>
            <w:pPr>
              <w:spacing w:after="20"/>
            </w:pPr>
            <w:r/>
            <w:r>
              <w:rPr>
                <w:b/>
                <w:sz w:val="15"/>
              </w:rPr>
              <w:t>Value per share (680m shares)</w:t>
            </w:r>
          </w:p>
        </w:tc>
        <w:tc>
          <w:tcPr>
            <w:tcW w:type="dxa" w:w="2381"/>
          </w:tcPr>
          <w:p>
            <w:pPr>
              <w:spacing w:after="20"/>
            </w:pPr>
            <w:r/>
            <w:r>
              <w:rPr>
                <w:sz w:val="15"/>
              </w:rPr>
              <w:t>JPY 2,354 (-22%)</w:t>
            </w:r>
          </w:p>
        </w:tc>
        <w:tc>
          <w:tcPr>
            <w:tcW w:type="dxa" w:w="2381"/>
          </w:tcPr>
          <w:p>
            <w:pPr>
              <w:spacing w:after="20"/>
            </w:pPr>
            <w:r/>
            <w:r>
              <w:rPr>
                <w:sz w:val="15"/>
              </w:rPr>
              <w:t>JPY 3,530 (+17%)</w:t>
            </w:r>
          </w:p>
        </w:tc>
        <w:tc>
          <w:tcPr>
            <w:tcW w:type="dxa" w:w="2494"/>
          </w:tcPr>
          <w:p>
            <w:pPr>
              <w:spacing w:after="20"/>
            </w:pPr>
            <w:r/>
            <w:r>
              <w:rPr>
                <w:sz w:val="15"/>
              </w:rPr>
              <w:t>JPY 4,564 (+52%)</w:t>
            </w:r>
          </w:p>
        </w:tc>
      </w:tr>
      <w:tr>
        <w:tc>
          <w:tcPr>
            <w:tcW w:type="dxa" w:w="2381"/>
            <w:shd w:val="clear" w:color="auto" w:fill="F1F3F8"/>
          </w:tcPr>
          <w:p>
            <w:pPr>
              <w:spacing w:after="20"/>
            </w:pPr>
            <w:r/>
            <w:r>
              <w:rPr>
                <w:b/>
                <w:sz w:val="15"/>
              </w:rPr>
              <w:t>Implied P/E on FY3/28E EPS</w:t>
            </w:r>
          </w:p>
        </w:tc>
        <w:tc>
          <w:tcPr>
            <w:tcW w:type="dxa" w:w="2381"/>
            <w:shd w:val="clear" w:color="auto" w:fill="F1F3F8"/>
          </w:tcPr>
          <w:p>
            <w:pPr>
              <w:spacing w:after="20"/>
            </w:pPr>
            <w:r/>
            <w:r>
              <w:rPr>
                <w:sz w:val="15"/>
              </w:rPr>
              <w:t>14.1x</w:t>
            </w:r>
          </w:p>
        </w:tc>
        <w:tc>
          <w:tcPr>
            <w:tcW w:type="dxa" w:w="2381"/>
            <w:shd w:val="clear" w:color="auto" w:fill="F1F3F8"/>
          </w:tcPr>
          <w:p>
            <w:pPr>
              <w:spacing w:after="20"/>
            </w:pPr>
            <w:r/>
            <w:r>
              <w:rPr>
                <w:sz w:val="15"/>
              </w:rPr>
              <w:t>15.4x</w:t>
            </w:r>
          </w:p>
        </w:tc>
        <w:tc>
          <w:tcPr>
            <w:tcW w:type="dxa" w:w="2494"/>
            <w:shd w:val="clear" w:color="auto" w:fill="F1F3F8"/>
          </w:tcPr>
          <w:p>
            <w:pPr>
              <w:spacing w:after="20"/>
            </w:pPr>
            <w:r/>
            <w:r>
              <w:rPr>
                <w:sz w:val="15"/>
              </w:rPr>
              <w:t>17.6x</w:t>
            </w:r>
          </w:p>
        </w:tc>
      </w:tr>
    </w:tbl>
    <w:p>
      <w:pPr>
        <w:spacing w:after="40"/>
      </w:pPr>
    </w:p>
    <w:p>
      <w:r>
        <w:rPr>
          <w:sz w:val="16"/>
        </w:rPr>
        <w:t>Equity value = EBITDA x multiple + net cash JPY 84bn + 75% of JPY 289bn cross-held shares (JPY 217bn). Probability-weighted value: JPY 3,384 (+12%). 12-month target JPY 3,500, set at the base case less a small execution haircut. Downside to bear case is -22%, upside to bull case +52%, a c.2.3:1 skew on the extremes with the weighted outcome positive. Regression cross-check: JPY 3,670.</w:t>
      </w:r>
    </w:p>
    <w:p>
      <w:pPr>
        <w:pStyle w:val="Heading1"/>
      </w:pPr>
      <w:r>
        <w:t>22. Fifteen questions for the CEO and Chairman (ordered by information value)</w:t>
      </w:r>
    </w:p>
    <w:p>
      <w:pPr>
        <w:spacing w:after="40"/>
      </w:pPr>
      <w:r>
        <w:rPr>
          <w:b/>
          <w:sz w:val="17"/>
        </w:rPr>
        <w:t>1.</w:t>
      </w:r>
      <w:r>
        <w:rPr>
          <w:sz w:val="17"/>
        </w:rPr>
        <w:t xml:space="preserve"> Your completed-works gross margin is guided at 13% 'and beyond': what share of that is contractual price escalation versus selective order-taking, and what does the margin look like on projects booked in the last 12 months?</w:t>
      </w:r>
    </w:p>
    <w:p>
      <w:pPr>
        <w:spacing w:after="40"/>
      </w:pPr>
      <w:r>
        <w:rPr>
          <w:b/>
          <w:sz w:val="17"/>
        </w:rPr>
        <w:t>2.</w:t>
      </w:r>
      <w:r>
        <w:rPr>
          <w:sz w:val="17"/>
        </w:rPr>
        <w:t xml:space="preserve"> FY3/26 net income exceeded ordinary income by an unusually large margin: how much of FY3/26 and FY3/27 net income comes from securities sales and property gains, and what is the normalised earnings power without them?</w:t>
      </w:r>
    </w:p>
    <w:p>
      <w:pPr>
        <w:spacing w:after="40"/>
      </w:pPr>
      <w:r>
        <w:rPr>
          <w:b/>
          <w:sz w:val="17"/>
        </w:rPr>
        <w:t>3.</w:t>
      </w:r>
      <w:r>
        <w:rPr>
          <w:sz w:val="17"/>
        </w:rPr>
        <w:t xml:space="preserve"> Why did you guide FY3/27 operating income down 7.5% when Q1 progress is ahead of average and consensus is already above guidance? What is the assumed margin on early-stage jobs?</w:t>
      </w:r>
    </w:p>
    <w:p>
      <w:pPr>
        <w:spacing w:after="40"/>
      </w:pPr>
      <w:r>
        <w:rPr>
          <w:b/>
          <w:sz w:val="17"/>
        </w:rPr>
        <w:t>4.</w:t>
      </w:r>
      <w:r>
        <w:rPr>
          <w:sz w:val="17"/>
        </w:rPr>
        <w:t xml:space="preserve"> What loss provisions or cost overruns, if any, exist on fixed-price jobs from the Middle East supply disruption, and how many large projects have escalation clauses?</w:t>
      </w:r>
    </w:p>
    <w:p>
      <w:pPr>
        <w:spacing w:after="40"/>
      </w:pPr>
      <w:r>
        <w:rPr>
          <w:b/>
          <w:sz w:val="17"/>
        </w:rPr>
        <w:t>5.</w:t>
      </w:r>
      <w:r>
        <w:rPr>
          <w:sz w:val="17"/>
        </w:rPr>
        <w:t xml:space="preserve"> Why did you pay USD 540m for Multiplex, and what is its standalone margin, backlog quality and legacy-dispute exposure? What goodwill and provisions do you expect on closing?</w:t>
      </w:r>
    </w:p>
    <w:p>
      <w:pPr>
        <w:spacing w:after="40"/>
      </w:pPr>
      <w:r>
        <w:rPr>
          <w:b/>
          <w:sz w:val="17"/>
        </w:rPr>
        <w:t>6.</w:t>
      </w:r>
      <w:r>
        <w:rPr>
          <w:sz w:val="17"/>
        </w:rPr>
        <w:t xml:space="preserve"> What is the target gross margin and return on capital for the overseas business over the next plan, and when will overseas building clear a 5% operating margin?</w:t>
      </w:r>
    </w:p>
    <w:p>
      <w:pPr>
        <w:spacing w:after="40"/>
      </w:pPr>
      <w:r>
        <w:rPr>
          <w:b/>
          <w:sz w:val="17"/>
        </w:rPr>
        <w:t>7.</w:t>
      </w:r>
      <w:r>
        <w:rPr>
          <w:sz w:val="17"/>
        </w:rPr>
        <w:t xml:space="preserve"> After the 20% cross-holding target is met in March 2027, will sales continue, and what will the recycled proceeds fund: buybacks, M&amp;A or real estate?</w:t>
      </w:r>
    </w:p>
    <w:p>
      <w:pPr>
        <w:spacing w:after="40"/>
      </w:pPr>
      <w:r>
        <w:rPr>
          <w:b/>
          <w:sz w:val="17"/>
        </w:rPr>
        <w:t>8.</w:t>
      </w:r>
      <w:r>
        <w:rPr>
          <w:sz w:val="17"/>
        </w:rPr>
        <w:t xml:space="preserve"> What payout, ROE and net-cash framework will the successor medium-term plan use? Is DOE 5% a floor?</w:t>
      </w:r>
    </w:p>
    <w:p>
      <w:pPr>
        <w:spacing w:after="40"/>
      </w:pPr>
      <w:r>
        <w:rPr>
          <w:b/>
          <w:sz w:val="17"/>
        </w:rPr>
        <w:t>9.</w:t>
      </w:r>
      <w:r>
        <w:rPr>
          <w:sz w:val="17"/>
        </w:rPr>
        <w:t xml:space="preserve"> Orders fell 7.2% in Q1 and you flag caution from FY3/28: which client segments are slowing, and what is the order-to-sales ratio you need to protect margin?</w:t>
      </w:r>
    </w:p>
    <w:p>
      <w:pPr>
        <w:spacing w:after="40"/>
      </w:pPr>
      <w:r>
        <w:rPr>
          <w:b/>
          <w:sz w:val="17"/>
        </w:rPr>
        <w:t>10.</w:t>
      </w:r>
      <w:r>
        <w:rPr>
          <w:sz w:val="17"/>
        </w:rPr>
        <w:t xml:space="preserve"> How are you managing labour capacity under the 2024 overtime cap, and how much of margin gain is productivity versus pricing?</w:t>
      </w:r>
    </w:p>
    <w:p>
      <w:pPr>
        <w:spacing w:after="40"/>
      </w:pPr>
      <w:r>
        <w:rPr>
          <w:b/>
          <w:sz w:val="17"/>
        </w:rPr>
        <w:t>11.</w:t>
      </w:r>
      <w:r>
        <w:rPr>
          <w:sz w:val="17"/>
        </w:rPr>
        <w:t xml:space="preserve"> What are you doing about the Linear bid-rigging legacy, and what governance change ensures a repeat is impossible? How did the October 2024 safety incident and false statements to inspectors arise?</w:t>
      </w:r>
    </w:p>
    <w:p>
      <w:pPr>
        <w:spacing w:after="40"/>
      </w:pPr>
      <w:r>
        <w:rPr>
          <w:b/>
          <w:sz w:val="17"/>
        </w:rPr>
        <w:t>12.</w:t>
      </w:r>
      <w:r>
        <w:rPr>
          <w:sz w:val="17"/>
        </w:rPr>
        <w:t xml:space="preserve"> How do you assess unsolicited-approach risk and your defence preparedness in light of METI's 2026 guidance, and would you engage with a bid at a 30%+ premium?</w:t>
      </w:r>
    </w:p>
    <w:p>
      <w:pPr>
        <w:spacing w:after="40"/>
      </w:pPr>
      <w:r>
        <w:rPr>
          <w:b/>
          <w:sz w:val="17"/>
        </w:rPr>
        <w:t>13.</w:t>
      </w:r>
      <w:r>
        <w:rPr>
          <w:sz w:val="17"/>
        </w:rPr>
        <w:t xml:space="preserve"> Data centres and semiconductors: what is the share of backlog, expected margin versus conventional building, and customer concentration?</w:t>
      </w:r>
    </w:p>
    <w:p>
      <w:pPr>
        <w:spacing w:after="40"/>
      </w:pPr>
      <w:r>
        <w:rPr>
          <w:b/>
          <w:sz w:val="17"/>
        </w:rPr>
        <w:t>14.</w:t>
      </w:r>
      <w:r>
        <w:rPr>
          <w:sz w:val="17"/>
        </w:rPr>
        <w:t xml:space="preserve"> How do you decide between building capacity organically and acquiring overseas, and what is the ceiling on overseas share of sales?</w:t>
      </w:r>
    </w:p>
    <w:p>
      <w:pPr>
        <w:spacing w:after="40"/>
      </w:pPr>
      <w:r>
        <w:rPr>
          <w:b/>
          <w:sz w:val="17"/>
        </w:rPr>
        <w:t>15.</w:t>
      </w:r>
      <w:r>
        <w:rPr>
          <w:sz w:val="17"/>
        </w:rPr>
        <w:t xml:space="preserve"> Succession and governance: what is the role of the Chairman and Vice Chairmen alongside the new CEO, and how will the Board's skill mix change under the new plan?</w:t>
      </w:r>
    </w:p>
    <w:p>
      <w:pPr>
        <w:pStyle w:val="Heading1"/>
      </w:pPr>
      <w:r>
        <w:t>23. Short-seller view and accounting red flags</w:t>
      </w:r>
    </w:p>
    <w:p>
      <w:pPr>
        <w:pStyle w:val="Heading2"/>
      </w:pPr>
      <w:r>
        <w:t>23.1 Dismantling the bull case</w:t>
      </w:r>
    </w:p>
    <w:p>
      <w:pPr>
        <w:pStyle w:val="ListBullet"/>
        <w:spacing w:after="40"/>
        <w:ind w:left="340"/>
      </w:pPr>
      <w:r>
        <w:rPr>
          <w:b/>
          <w:sz w:val="17"/>
        </w:rPr>
        <w:t>What structurally breaks the earnings model:</w:t>
      </w:r>
      <w:r>
        <w:rPr>
          <w:sz w:val="17"/>
        </w:rPr>
        <w:t xml:space="preserve"> profit is a function of a few large domestic building jobs priced during a capacity shortage. Domestic building generates 53% of operating income. If order flow weakens and peers bid for volume, the 13% gross-margin plateau collapses; a mere 1pt margin loss is a JPY 29bn (c.15%) cut to OP.</w:t>
      </w:r>
    </w:p>
    <w:p>
      <w:pPr>
        <w:pStyle w:val="ListBullet"/>
        <w:spacing w:after="40"/>
        <w:ind w:left="340"/>
      </w:pPr>
      <w:r>
        <w:rPr>
          <w:b/>
          <w:sz w:val="17"/>
        </w:rPr>
        <w:t>Revenue concentration:</w:t>
      </w:r>
      <w:r>
        <w:rPr>
          <w:sz w:val="17"/>
        </w:rPr>
        <w:t xml:space="preserve"> public clients (MLIT, JR Tokai) and a handful of developers; Linear schedule slippage (opening 2034-36†) defers civil volume. A shift in developer capex from higher rates is the most plausible trigger.</w:t>
      </w:r>
    </w:p>
    <w:p>
      <w:pPr>
        <w:pStyle w:val="ListBullet"/>
        <w:spacing w:after="40"/>
        <w:ind w:left="340"/>
      </w:pPr>
      <w:r>
        <w:rPr>
          <w:b/>
          <w:sz w:val="17"/>
        </w:rPr>
        <w:t>Why the moat is weaker than it looks:</w:t>
      </w:r>
      <w:r>
        <w:rPr>
          <w:sz w:val="17"/>
        </w:rPr>
        <w:t xml:space="preserve"> a contractor's brand does not command a consumer premium; Kajima, Taisei and Shimizu are near-perfect substitutes; clients can run competitive tenders. The 2023-26 margin came from scarcity pricing and a legacy-loss roll-off, both cyclical.</w:t>
      </w:r>
    </w:p>
    <w:p>
      <w:pPr>
        <w:pStyle w:val="ListBullet"/>
        <w:spacing w:after="40"/>
        <w:ind w:left="340"/>
      </w:pPr>
      <w:r>
        <w:rPr>
          <w:b/>
          <w:sz w:val="17"/>
        </w:rPr>
        <w:t>Most dangerous underestimated competitor:</w:t>
      </w:r>
      <w:r>
        <w:rPr>
          <w:sz w:val="17"/>
        </w:rPr>
        <w:t xml:space="preserve"> Taisei, with the highest operating margin (c.9%), a cleaner balance sheet narrative and the ability to buy mid-tier peers (Toyo), could out-execute in data centres and complex infrastructure. On the overseas side, Hochtief/Turner, which dominates US data-centre construction, is the competitor Webcor and GCON ultimately face.</w:t>
      </w:r>
    </w:p>
    <w:p>
      <w:pPr>
        <w:pStyle w:val="ListBullet"/>
        <w:spacing w:after="40"/>
        <w:ind w:left="340"/>
      </w:pPr>
      <w:r>
        <w:rPr>
          <w:b/>
          <w:sz w:val="17"/>
        </w:rPr>
        <w:t>Capital allocation concerns:</w:t>
      </w:r>
      <w:r>
        <w:rPr>
          <w:sz w:val="17"/>
        </w:rPr>
        <w:t xml:space="preserve"> a decade of cash accumulation and cross-holdings (JPY 289bn) with ROIC only 8%; an acquisition of Multiplex (a business that has had losses and fixed-price disputes†) after the best earnings year ever; a JPY 40bn buyback programme whose execution prices we could not verify as the stock ran toward JPY 4,439.</w:t>
      </w:r>
    </w:p>
    <w:p>
      <w:pPr>
        <w:pStyle w:val="ListBullet"/>
        <w:spacing w:after="40"/>
        <w:ind w:left="340"/>
      </w:pPr>
      <w:r>
        <w:rPr>
          <w:b/>
          <w:sz w:val="17"/>
        </w:rPr>
        <w:t>What must hold for the price to be justified:</w:t>
      </w:r>
      <w:r>
        <w:rPr>
          <w:sz w:val="17"/>
        </w:rPr>
        <w:t xml:space="preserve"> gross margin stays at c.13%, order backlog stays above 1x sales, gains continue, and no large fixed-price loss. If growth disappoints 20-30% (OP JPY 140-155bn), EPS falls to c.JPY 150-170 and at a 12x P/E the stock is JPY 1,800-2,040 (-32% to -40%).</w:t>
      </w:r>
    </w:p>
    <w:p>
      <w:pPr>
        <w:pStyle w:val="ListBullet"/>
        <w:spacing w:after="40"/>
        <w:ind w:left="340"/>
      </w:pPr>
      <w:r>
        <w:rPr>
          <w:b/>
          <w:sz w:val="17"/>
        </w:rPr>
        <w:t>The single permanently-impairing scenario:</w:t>
      </w:r>
      <w:r>
        <w:rPr>
          <w:sz w:val="17"/>
        </w:rPr>
        <w:t xml:space="preserve"> a large fixed-price overseas or civil loss combined with a public-works suspension after a compliance breach, in a high-rate construction downturn. Plausibility: low but not negligible (10-15% over three years), given Linear history, the Multiplex legacy and the cost environment.</w:t>
      </w:r>
    </w:p>
    <w:p>
      <w:pPr>
        <w:pStyle w:val="Heading2"/>
      </w:pPr>
      <w:r>
        <w:t>23.2 Accounting and disclosure red flags</w:t>
      </w:r>
    </w:p>
    <w:tbl>
      <w:tblPr>
        <w:tblStyle w:val="TableGrid"/>
        <w:tblW w:type="auto" w:w="0"/>
        <w:jc w:val="center"/>
        <w:tblLayout w:type="fixed"/>
        <w:tblLook w:firstColumn="1" w:firstRow="1" w:lastColumn="0" w:lastRow="0" w:noHBand="0" w:noVBand="1" w:val="04A0"/>
      </w:tblPr>
      <w:tblGrid>
        <w:gridCol w:w="1928"/>
        <w:gridCol w:w="6463"/>
        <w:gridCol w:w="1247"/>
      </w:tblGrid>
      <w:tr>
        <w:trPr>
          <w:tblHeader w:val="true"/>
        </w:trPr>
        <w:tc>
          <w:tcPr>
            <w:tcW w:type="dxa" w:w="1928"/>
            <w:shd w:val="clear" w:color="auto" w:fill="14243F"/>
          </w:tcPr>
          <w:p>
            <w:r/>
            <w:r>
              <w:rPr>
                <w:b/>
                <w:color w:val="FFFFFF"/>
                <w:sz w:val="15"/>
              </w:rPr>
              <w:t>Area</w:t>
            </w:r>
          </w:p>
        </w:tc>
        <w:tc>
          <w:tcPr>
            <w:tcW w:type="dxa" w:w="6463"/>
            <w:shd w:val="clear" w:color="auto" w:fill="14243F"/>
          </w:tcPr>
          <w:p>
            <w:r/>
            <w:r>
              <w:rPr>
                <w:b/>
                <w:color w:val="FFFFFF"/>
                <w:sz w:val="15"/>
              </w:rPr>
              <w:t>Observation</w:t>
            </w:r>
          </w:p>
        </w:tc>
        <w:tc>
          <w:tcPr>
            <w:tcW w:type="dxa" w:w="1247"/>
            <w:shd w:val="clear" w:color="auto" w:fill="14243F"/>
          </w:tcPr>
          <w:p>
            <w:r/>
            <w:r>
              <w:rPr>
                <w:b/>
                <w:color w:val="FFFFFF"/>
                <w:sz w:val="15"/>
              </w:rPr>
              <w:t>Risk level</w:t>
            </w:r>
          </w:p>
        </w:tc>
      </w:tr>
      <w:tr>
        <w:tc>
          <w:tcPr>
            <w:tcW w:type="dxa" w:w="1928"/>
          </w:tcPr>
          <w:p>
            <w:pPr>
              <w:spacing w:after="20"/>
            </w:pPr>
            <w:r/>
            <w:r>
              <w:rPr>
                <w:b/>
                <w:sz w:val="15"/>
              </w:rPr>
              <w:t>Revenue recognition</w:t>
            </w:r>
          </w:p>
        </w:tc>
        <w:tc>
          <w:tcPr>
            <w:tcW w:type="dxa" w:w="6463"/>
          </w:tcPr>
          <w:p>
            <w:pPr>
              <w:spacing w:after="20"/>
            </w:pPr>
            <w:r/>
            <w:r>
              <w:rPr>
                <w:sz w:val="15"/>
              </w:rPr>
              <w:t>Cost-to-cost percentage of completion relies on management's estimate of total costs; changes in estimates move profit materially (FY3/23-24 cost surprises). Large 'additional and change orders' were a key FY3/26 profit driver; check how much is recognised before client approval</w:t>
            </w:r>
          </w:p>
        </w:tc>
        <w:tc>
          <w:tcPr>
            <w:tcW w:type="dxa" w:w="1247"/>
          </w:tcPr>
          <w:p>
            <w:pPr>
              <w:spacing w:after="20"/>
            </w:pPr>
            <w:r/>
            <w:r>
              <w:rPr>
                <w:sz w:val="15"/>
              </w:rPr>
              <w:t>High</w:t>
            </w:r>
          </w:p>
        </w:tc>
      </w:tr>
      <w:tr>
        <w:tc>
          <w:tcPr>
            <w:tcW w:type="dxa" w:w="1928"/>
            <w:shd w:val="clear" w:color="auto" w:fill="F1F3F8"/>
          </w:tcPr>
          <w:p>
            <w:pPr>
              <w:spacing w:after="20"/>
            </w:pPr>
            <w:r/>
            <w:r>
              <w:rPr>
                <w:b/>
                <w:sz w:val="15"/>
              </w:rPr>
              <w:t>Loss provisions / contingencies</w:t>
            </w:r>
          </w:p>
        </w:tc>
        <w:tc>
          <w:tcPr>
            <w:tcW w:type="dxa" w:w="6463"/>
            <w:shd w:val="clear" w:color="auto" w:fill="F1F3F8"/>
          </w:tcPr>
          <w:p>
            <w:pPr>
              <w:spacing w:after="20"/>
            </w:pPr>
            <w:r/>
            <w:r>
              <w:rPr>
                <w:sz w:val="15"/>
              </w:rPr>
              <w:t>Provisions for construction-contract losses, defect warranties and the bid-rigging legacy (JFTC surcharge c.JPY 3.1bn, litigation by clients) require reading the yuho; overseas disputes (US, Multiplex) are the principal unknown</w:t>
            </w:r>
          </w:p>
        </w:tc>
        <w:tc>
          <w:tcPr>
            <w:tcW w:type="dxa" w:w="1247"/>
            <w:shd w:val="clear" w:color="auto" w:fill="F1F3F8"/>
          </w:tcPr>
          <w:p>
            <w:pPr>
              <w:spacing w:after="20"/>
            </w:pPr>
            <w:r/>
            <w:r>
              <w:rPr>
                <w:sz w:val="15"/>
              </w:rPr>
              <w:t>Medium-high</w:t>
            </w:r>
          </w:p>
        </w:tc>
      </w:tr>
      <w:tr>
        <w:tc>
          <w:tcPr>
            <w:tcW w:type="dxa" w:w="1928"/>
          </w:tcPr>
          <w:p>
            <w:pPr>
              <w:spacing w:after="20"/>
            </w:pPr>
            <w:r/>
            <w:r>
              <w:rPr>
                <w:b/>
                <w:sz w:val="15"/>
              </w:rPr>
              <w:t>Segment reporting</w:t>
            </w:r>
          </w:p>
        </w:tc>
        <w:tc>
          <w:tcPr>
            <w:tcW w:type="dxa" w:w="6463"/>
          </w:tcPr>
          <w:p>
            <w:pPr>
              <w:spacing w:after="20"/>
            </w:pPr>
            <w:r/>
            <w:r>
              <w:rPr>
                <w:sz w:val="15"/>
              </w:rPr>
              <w:t>Company-defined segments; 'real estate and other' bundles property gains and group services (c.JPY 23bn derived OP). Segment D&amp;A, assets and capex need the yuho notes; segment net income not disclosed</w:t>
            </w:r>
          </w:p>
        </w:tc>
        <w:tc>
          <w:tcPr>
            <w:tcW w:type="dxa" w:w="1247"/>
          </w:tcPr>
          <w:p>
            <w:pPr>
              <w:spacing w:after="20"/>
            </w:pPr>
            <w:r/>
            <w:r>
              <w:rPr>
                <w:sz w:val="15"/>
              </w:rPr>
              <w:t>Medium</w:t>
            </w:r>
          </w:p>
        </w:tc>
      </w:tr>
      <w:tr>
        <w:tc>
          <w:tcPr>
            <w:tcW w:type="dxa" w:w="1928"/>
            <w:shd w:val="clear" w:color="auto" w:fill="F1F3F8"/>
          </w:tcPr>
          <w:p>
            <w:pPr>
              <w:spacing w:after="20"/>
            </w:pPr>
            <w:r/>
            <w:r>
              <w:rPr>
                <w:b/>
                <w:sz w:val="15"/>
              </w:rPr>
              <w:t>Earnings quality: non-operating and extraordinary items</w:t>
            </w:r>
          </w:p>
        </w:tc>
        <w:tc>
          <w:tcPr>
            <w:tcW w:type="dxa" w:w="6463"/>
            <w:shd w:val="clear" w:color="auto" w:fill="F1F3F8"/>
          </w:tcPr>
          <w:p>
            <w:pPr>
              <w:spacing w:after="20"/>
            </w:pPr>
            <w:r/>
            <w:r>
              <w:rPr>
                <w:sz w:val="15"/>
              </w:rPr>
              <w:t>Net income above operating income in FY3/26 and Q1 FY3/27; securities sales gains (c.JPY 20bn in Q1) recur by policy but will run out; cash flow from sales is investing, not operating</w:t>
            </w:r>
          </w:p>
        </w:tc>
        <w:tc>
          <w:tcPr>
            <w:tcW w:type="dxa" w:w="1247"/>
            <w:shd w:val="clear" w:color="auto" w:fill="F1F3F8"/>
          </w:tcPr>
          <w:p>
            <w:pPr>
              <w:spacing w:after="20"/>
            </w:pPr>
            <w:r/>
            <w:r>
              <w:rPr>
                <w:sz w:val="15"/>
              </w:rPr>
              <w:t>High</w:t>
            </w:r>
          </w:p>
        </w:tc>
      </w:tr>
      <w:tr>
        <w:tc>
          <w:tcPr>
            <w:tcW w:type="dxa" w:w="1928"/>
          </w:tcPr>
          <w:p>
            <w:pPr>
              <w:spacing w:after="20"/>
            </w:pPr>
            <w:r/>
            <w:r>
              <w:rPr>
                <w:b/>
                <w:sz w:val="15"/>
              </w:rPr>
              <w:t>Leases</w:t>
            </w:r>
          </w:p>
        </w:tc>
        <w:tc>
          <w:tcPr>
            <w:tcW w:type="dxa" w:w="6463"/>
          </w:tcPr>
          <w:p>
            <w:pPr>
              <w:spacing w:after="20"/>
            </w:pPr>
            <w:r/>
            <w:r>
              <w:rPr>
                <w:sz w:val="15"/>
              </w:rPr>
              <w:t>JGAAP: operating leases are off balance sheet; no IFRS 16 comparability with Vinci/Skanska/Hochtief. EV/EBITDA is flattered versus IFRS peers</w:t>
            </w:r>
          </w:p>
        </w:tc>
        <w:tc>
          <w:tcPr>
            <w:tcW w:type="dxa" w:w="1247"/>
          </w:tcPr>
          <w:p>
            <w:pPr>
              <w:spacing w:after="20"/>
            </w:pPr>
            <w:r/>
            <w:r>
              <w:rPr>
                <w:sz w:val="15"/>
              </w:rPr>
              <w:t>Medium</w:t>
            </w:r>
          </w:p>
        </w:tc>
      </w:tr>
      <w:tr>
        <w:tc>
          <w:tcPr>
            <w:tcW w:type="dxa" w:w="1928"/>
            <w:shd w:val="clear" w:color="auto" w:fill="F1F3F8"/>
          </w:tcPr>
          <w:p>
            <w:pPr>
              <w:spacing w:after="20"/>
            </w:pPr>
            <w:r/>
            <w:r>
              <w:rPr>
                <w:b/>
                <w:sz w:val="15"/>
              </w:rPr>
              <w:t>Goodwill and intangibles</w:t>
            </w:r>
          </w:p>
        </w:tc>
        <w:tc>
          <w:tcPr>
            <w:tcW w:type="dxa" w:w="6463"/>
            <w:shd w:val="clear" w:color="auto" w:fill="F1F3F8"/>
          </w:tcPr>
          <w:p>
            <w:pPr>
              <w:spacing w:after="20"/>
            </w:pPr>
            <w:r/>
            <w:r>
              <w:rPr>
                <w:sz w:val="15"/>
              </w:rPr>
              <w:t>GCON (undisclosed price), MWH (c.USD 126m), Multiplex (c.JPY 86bn) will add goodwill amortised over a fixed period under JGAAP (a drag), and impairment risk if overseas margins disappoint</w:t>
            </w:r>
          </w:p>
        </w:tc>
        <w:tc>
          <w:tcPr>
            <w:tcW w:type="dxa" w:w="1247"/>
            <w:shd w:val="clear" w:color="auto" w:fill="F1F3F8"/>
          </w:tcPr>
          <w:p>
            <w:pPr>
              <w:spacing w:after="20"/>
            </w:pPr>
            <w:r/>
            <w:r>
              <w:rPr>
                <w:sz w:val="15"/>
              </w:rPr>
              <w:t>Medium-high</w:t>
            </w:r>
          </w:p>
        </w:tc>
      </w:tr>
      <w:tr>
        <w:tc>
          <w:tcPr>
            <w:tcW w:type="dxa" w:w="1928"/>
          </w:tcPr>
          <w:p>
            <w:pPr>
              <w:spacing w:after="20"/>
            </w:pPr>
            <w:r/>
            <w:r>
              <w:rPr>
                <w:b/>
                <w:sz w:val="15"/>
              </w:rPr>
              <w:t>Related parties</w:t>
            </w:r>
          </w:p>
        </w:tc>
        <w:tc>
          <w:tcPr>
            <w:tcW w:type="dxa" w:w="6463"/>
          </w:tcPr>
          <w:p>
            <w:pPr>
              <w:spacing w:after="20"/>
            </w:pPr>
            <w:r/>
            <w:r>
              <w:rPr>
                <w:sz w:val="15"/>
              </w:rPr>
              <w:t>None found in available summaries; Obayashi family chairman holds 2.46%; check yuho related-party note and any family-linked property transactions</w:t>
            </w:r>
          </w:p>
        </w:tc>
        <w:tc>
          <w:tcPr>
            <w:tcW w:type="dxa" w:w="1247"/>
          </w:tcPr>
          <w:p>
            <w:pPr>
              <w:spacing w:after="20"/>
            </w:pPr>
            <w:r/>
            <w:r>
              <w:rPr>
                <w:sz w:val="15"/>
              </w:rPr>
              <w:t>Low (unverified)</w:t>
            </w:r>
          </w:p>
        </w:tc>
      </w:tr>
      <w:tr>
        <w:tc>
          <w:tcPr>
            <w:tcW w:type="dxa" w:w="1928"/>
            <w:shd w:val="clear" w:color="auto" w:fill="F1F3F8"/>
          </w:tcPr>
          <w:p>
            <w:pPr>
              <w:spacing w:after="20"/>
            </w:pPr>
            <w:r/>
            <w:r>
              <w:rPr>
                <w:b/>
                <w:sz w:val="15"/>
              </w:rPr>
              <w:t>Stock-based compensation</w:t>
            </w:r>
          </w:p>
        </w:tc>
        <w:tc>
          <w:tcPr>
            <w:tcW w:type="dxa" w:w="6463"/>
            <w:shd w:val="clear" w:color="auto" w:fill="F1F3F8"/>
          </w:tcPr>
          <w:p>
            <w:pPr>
              <w:spacing w:after="20"/>
            </w:pPr>
            <w:r/>
            <w:r>
              <w:rPr>
                <w:sz w:val="15"/>
              </w:rPr>
              <w:t>Immaterial (restricted-share awards for directors); low dilution; not a concern</w:t>
            </w:r>
          </w:p>
        </w:tc>
        <w:tc>
          <w:tcPr>
            <w:tcW w:type="dxa" w:w="1247"/>
            <w:shd w:val="clear" w:color="auto" w:fill="F1F3F8"/>
          </w:tcPr>
          <w:p>
            <w:pPr>
              <w:spacing w:after="20"/>
            </w:pPr>
            <w:r/>
            <w:r>
              <w:rPr>
                <w:sz w:val="15"/>
              </w:rPr>
              <w:t>Low</w:t>
            </w:r>
          </w:p>
        </w:tc>
      </w:tr>
      <w:tr>
        <w:tc>
          <w:tcPr>
            <w:tcW w:type="dxa" w:w="1928"/>
          </w:tcPr>
          <w:p>
            <w:pPr>
              <w:spacing w:after="20"/>
            </w:pPr>
            <w:r/>
            <w:r>
              <w:rPr>
                <w:b/>
                <w:sz w:val="15"/>
              </w:rPr>
              <w:t>Cash flow</w:t>
            </w:r>
          </w:p>
        </w:tc>
        <w:tc>
          <w:tcPr>
            <w:tcW w:type="dxa" w:w="6463"/>
          </w:tcPr>
          <w:p>
            <w:pPr>
              <w:spacing w:after="20"/>
            </w:pPr>
            <w:r/>
            <w:r>
              <w:rPr>
                <w:sz w:val="15"/>
              </w:rPr>
              <w:t>Operating cash flow volatile (JPY 50bn to JPY 253bn in five years†): driven by working capital on progress billings, retentions and advance payments; FCF yield of 8.1% overstates sustainable cash</w:t>
            </w:r>
          </w:p>
        </w:tc>
        <w:tc>
          <w:tcPr>
            <w:tcW w:type="dxa" w:w="1247"/>
          </w:tcPr>
          <w:p>
            <w:pPr>
              <w:spacing w:after="20"/>
            </w:pPr>
            <w:r/>
            <w:r>
              <w:rPr>
                <w:sz w:val="15"/>
              </w:rPr>
              <w:t>Medium</w:t>
            </w:r>
          </w:p>
        </w:tc>
      </w:tr>
      <w:tr>
        <w:tc>
          <w:tcPr>
            <w:tcW w:type="dxa" w:w="1928"/>
            <w:shd w:val="clear" w:color="auto" w:fill="F1F3F8"/>
          </w:tcPr>
          <w:p>
            <w:pPr>
              <w:spacing w:after="20"/>
            </w:pPr>
            <w:r/>
            <w:r>
              <w:rPr>
                <w:b/>
                <w:sz w:val="15"/>
              </w:rPr>
              <w:t>Balance-sheet items</w:t>
            </w:r>
          </w:p>
        </w:tc>
        <w:tc>
          <w:tcPr>
            <w:tcW w:type="dxa" w:w="6463"/>
            <w:shd w:val="clear" w:color="auto" w:fill="F1F3F8"/>
          </w:tcPr>
          <w:p>
            <w:pPr>
              <w:spacing w:after="20"/>
            </w:pPr>
            <w:r/>
            <w:r>
              <w:rPr>
                <w:sz w:val="15"/>
              </w:rPr>
              <w:t>Investment securities of JPY 289bn marked to market (equity gains in OCI); pension obligations (JGAAP); consolidated JV treatment (proportionate)</w:t>
            </w:r>
          </w:p>
        </w:tc>
        <w:tc>
          <w:tcPr>
            <w:tcW w:type="dxa" w:w="1247"/>
            <w:shd w:val="clear" w:color="auto" w:fill="F1F3F8"/>
          </w:tcPr>
          <w:p>
            <w:pPr>
              <w:spacing w:after="20"/>
            </w:pPr>
            <w:r/>
            <w:r>
              <w:rPr>
                <w:sz w:val="15"/>
              </w:rPr>
              <w:t>Medium</w:t>
            </w:r>
          </w:p>
        </w:tc>
      </w:tr>
    </w:tbl>
    <w:p>
      <w:pPr>
        <w:spacing w:after="40"/>
      </w:pPr>
    </w:p>
    <w:p>
      <w:pPr>
        <w:pStyle w:val="Heading1"/>
      </w:pPr>
      <w:r>
        <w:t>24. Timeline of past events and calendar of upcoming catalysts</w:t>
      </w:r>
    </w:p>
    <w:p>
      <w:pPr>
        <w:pStyle w:val="Heading2"/>
      </w:pPr>
      <w:r>
        <w:t>24.1 Key past events</w:t>
      </w:r>
    </w:p>
    <w:tbl>
      <w:tblPr>
        <w:tblStyle w:val="TableGrid"/>
        <w:tblW w:type="auto" w:w="0"/>
        <w:jc w:val="center"/>
        <w:tblLayout w:type="fixed"/>
        <w:tblLook w:firstColumn="1" w:firstRow="1" w:lastColumn="0" w:lastRow="0" w:noHBand="0" w:noVBand="1" w:val="04A0"/>
      </w:tblPr>
      <w:tblGrid>
        <w:gridCol w:w="2041"/>
        <w:gridCol w:w="7597"/>
      </w:tblGrid>
      <w:tr>
        <w:trPr>
          <w:tblHeader w:val="true"/>
        </w:trPr>
        <w:tc>
          <w:tcPr>
            <w:tcW w:type="dxa" w:w="2041"/>
            <w:shd w:val="clear" w:color="auto" w:fill="14243F"/>
          </w:tcPr>
          <w:p>
            <w:r/>
            <w:r>
              <w:rPr>
                <w:b/>
                <w:color w:val="FFFFFF"/>
                <w:sz w:val="15"/>
              </w:rPr>
              <w:t>Date</w:t>
            </w:r>
          </w:p>
        </w:tc>
        <w:tc>
          <w:tcPr>
            <w:tcW w:type="dxa" w:w="7597"/>
            <w:shd w:val="clear" w:color="auto" w:fill="14243F"/>
          </w:tcPr>
          <w:p>
            <w:r/>
            <w:r>
              <w:rPr>
                <w:b/>
                <w:color w:val="FFFFFF"/>
                <w:sz w:val="15"/>
              </w:rPr>
              <w:t>Event</w:t>
            </w:r>
          </w:p>
        </w:tc>
      </w:tr>
      <w:tr>
        <w:tc>
          <w:tcPr>
            <w:tcW w:type="dxa" w:w="2041"/>
          </w:tcPr>
          <w:p>
            <w:pPr>
              <w:spacing w:after="20"/>
            </w:pPr>
            <w:r/>
            <w:r>
              <w:rPr>
                <w:b/>
                <w:sz w:val="15"/>
              </w:rPr>
              <w:t>1892</w:t>
            </w:r>
          </w:p>
        </w:tc>
        <w:tc>
          <w:tcPr>
            <w:tcW w:type="dxa" w:w="7597"/>
          </w:tcPr>
          <w:p>
            <w:pPr>
              <w:spacing w:after="20"/>
            </w:pPr>
            <w:r/>
            <w:r>
              <w:rPr>
                <w:sz w:val="15"/>
              </w:rPr>
              <w:t>Founded in Osaka by Yoshigoro Obayashi</w:t>
            </w:r>
          </w:p>
        </w:tc>
      </w:tr>
      <w:tr>
        <w:tc>
          <w:tcPr>
            <w:tcW w:type="dxa" w:w="2041"/>
            <w:shd w:val="clear" w:color="auto" w:fill="F1F3F8"/>
          </w:tcPr>
          <w:p>
            <w:pPr>
              <w:spacing w:after="20"/>
            </w:pPr>
            <w:r/>
            <w:r>
              <w:rPr>
                <w:b/>
                <w:sz w:val="15"/>
              </w:rPr>
              <w:t>1978-2015</w:t>
            </w:r>
          </w:p>
        </w:tc>
        <w:tc>
          <w:tcPr>
            <w:tcW w:type="dxa" w:w="7597"/>
            <w:shd w:val="clear" w:color="auto" w:fill="F1F3F8"/>
          </w:tcPr>
          <w:p>
            <w:pPr>
              <w:spacing w:after="20"/>
            </w:pPr>
            <w:r/>
            <w:r>
              <w:rPr>
                <w:sz w:val="15"/>
              </w:rPr>
              <w:t>US platform built: James E. Roberts-Obayashi (1978), E.W. Howell (1989), Webcor (2007), Kraemer (2014-15)</w:t>
            </w:r>
          </w:p>
        </w:tc>
      </w:tr>
      <w:tr>
        <w:tc>
          <w:tcPr>
            <w:tcW w:type="dxa" w:w="2041"/>
          </w:tcPr>
          <w:p>
            <w:pPr>
              <w:spacing w:after="20"/>
            </w:pPr>
            <w:r/>
            <w:r>
              <w:rPr>
                <w:b/>
                <w:sz w:val="15"/>
              </w:rPr>
              <w:t>2017</w:t>
            </w:r>
          </w:p>
        </w:tc>
        <w:tc>
          <w:tcPr>
            <w:tcW w:type="dxa" w:w="7597"/>
          </w:tcPr>
          <w:p>
            <w:pPr>
              <w:spacing w:after="20"/>
            </w:pPr>
            <w:r/>
            <w:r>
              <w:rPr>
                <w:sz w:val="15"/>
              </w:rPr>
              <w:t>Obayashi Road taken private by tender offer</w:t>
            </w:r>
          </w:p>
        </w:tc>
      </w:tr>
      <w:tr>
        <w:tc>
          <w:tcPr>
            <w:tcW w:type="dxa" w:w="2041"/>
            <w:shd w:val="clear" w:color="auto" w:fill="F1F3F8"/>
          </w:tcPr>
          <w:p>
            <w:pPr>
              <w:spacing w:after="20"/>
            </w:pPr>
            <w:r/>
            <w:r>
              <w:rPr>
                <w:b/>
                <w:sz w:val="15"/>
              </w:rPr>
              <w:t>Dec 2017 - Mar 2018</w:t>
            </w:r>
          </w:p>
        </w:tc>
        <w:tc>
          <w:tcPr>
            <w:tcW w:type="dxa" w:w="7597"/>
            <w:shd w:val="clear" w:color="auto" w:fill="F1F3F8"/>
          </w:tcPr>
          <w:p>
            <w:pPr>
              <w:spacing w:after="20"/>
            </w:pPr>
            <w:r/>
            <w:r>
              <w:rPr>
                <w:sz w:val="15"/>
              </w:rPr>
              <w:t>Linear Chuo Shinkansen bid-rigging probe; indictment; president Shiraishi resigns; Kenji Hasuwa becomes president</w:t>
            </w:r>
          </w:p>
        </w:tc>
      </w:tr>
      <w:tr>
        <w:tc>
          <w:tcPr>
            <w:tcW w:type="dxa" w:w="2041"/>
          </w:tcPr>
          <w:p>
            <w:pPr>
              <w:spacing w:after="20"/>
            </w:pPr>
            <w:r/>
            <w:r>
              <w:rPr>
                <w:b/>
                <w:sz w:val="15"/>
              </w:rPr>
              <w:t>Dec 2020 - 2021</w:t>
            </w:r>
          </w:p>
        </w:tc>
        <w:tc>
          <w:tcPr>
            <w:tcW w:type="dxa" w:w="7597"/>
          </w:tcPr>
          <w:p>
            <w:pPr>
              <w:spacing w:after="20"/>
            </w:pPr>
            <w:r/>
            <w:r>
              <w:rPr>
                <w:sz w:val="15"/>
              </w:rPr>
              <w:t>JFTC surcharge order (c.JPY 3.1bn); JPY 200m court fine; four-month Tokyo suspension</w:t>
            </w:r>
          </w:p>
        </w:tc>
      </w:tr>
      <w:tr>
        <w:tc>
          <w:tcPr>
            <w:tcW w:type="dxa" w:w="2041"/>
            <w:shd w:val="clear" w:color="auto" w:fill="F1F3F8"/>
          </w:tcPr>
          <w:p>
            <w:pPr>
              <w:spacing w:after="20"/>
            </w:pPr>
            <w:r/>
            <w:r>
              <w:rPr>
                <w:b/>
                <w:sz w:val="15"/>
              </w:rPr>
              <w:t>Apr 2022</w:t>
            </w:r>
          </w:p>
        </w:tc>
        <w:tc>
          <w:tcPr>
            <w:tcW w:type="dxa" w:w="7597"/>
            <w:shd w:val="clear" w:color="auto" w:fill="F1F3F8"/>
          </w:tcPr>
          <w:p>
            <w:pPr>
              <w:spacing w:after="20"/>
            </w:pPr>
            <w:r/>
            <w:r>
              <w:rPr>
                <w:sz w:val="15"/>
              </w:rPr>
              <w:t>Medium-Term Business Plan 2022 starts</w:t>
            </w:r>
          </w:p>
        </w:tc>
      </w:tr>
      <w:tr>
        <w:tc>
          <w:tcPr>
            <w:tcW w:type="dxa" w:w="2041"/>
          </w:tcPr>
          <w:p>
            <w:pPr>
              <w:spacing w:after="20"/>
            </w:pPr>
            <w:r/>
            <w:r>
              <w:rPr>
                <w:b/>
                <w:sz w:val="15"/>
              </w:rPr>
              <w:t>7 Nov 2022</w:t>
            </w:r>
          </w:p>
        </w:tc>
        <w:tc>
          <w:tcPr>
            <w:tcW w:type="dxa" w:w="7597"/>
          </w:tcPr>
          <w:p>
            <w:pPr>
              <w:spacing w:after="20"/>
            </w:pPr>
            <w:r/>
            <w:r>
              <w:rPr>
                <w:sz w:val="15"/>
              </w:rPr>
              <w:t>FY3/23 forecast cut on building cost inflation</w:t>
            </w:r>
          </w:p>
        </w:tc>
      </w:tr>
      <w:tr>
        <w:tc>
          <w:tcPr>
            <w:tcW w:type="dxa" w:w="2041"/>
            <w:shd w:val="clear" w:color="auto" w:fill="F1F3F8"/>
          </w:tcPr>
          <w:p>
            <w:pPr>
              <w:spacing w:after="20"/>
            </w:pPr>
            <w:r/>
            <w:r>
              <w:rPr>
                <w:b/>
                <w:sz w:val="15"/>
              </w:rPr>
              <w:t>28 Jun 2023</w:t>
            </w:r>
          </w:p>
        </w:tc>
        <w:tc>
          <w:tcPr>
            <w:tcW w:type="dxa" w:w="7597"/>
            <w:shd w:val="clear" w:color="auto" w:fill="F1F3F8"/>
          </w:tcPr>
          <w:p>
            <w:pPr>
              <w:spacing w:after="20"/>
            </w:pPr>
            <w:r/>
            <w:r>
              <w:rPr>
                <w:sz w:val="15"/>
              </w:rPr>
              <w:t>Silchester proposal; c.26.8% support</w:t>
            </w:r>
          </w:p>
        </w:tc>
      </w:tr>
      <w:tr>
        <w:tc>
          <w:tcPr>
            <w:tcW w:type="dxa" w:w="2041"/>
          </w:tcPr>
          <w:p>
            <w:pPr>
              <w:spacing w:after="20"/>
            </w:pPr>
            <w:r/>
            <w:r>
              <w:rPr>
                <w:b/>
                <w:sz w:val="15"/>
              </w:rPr>
              <w:t>Jan 2024</w:t>
            </w:r>
          </w:p>
        </w:tc>
        <w:tc>
          <w:tcPr>
            <w:tcW w:type="dxa" w:w="7597"/>
          </w:tcPr>
          <w:p>
            <w:pPr>
              <w:spacing w:after="20"/>
            </w:pPr>
            <w:r/>
            <w:r>
              <w:rPr>
                <w:sz w:val="15"/>
              </w:rPr>
              <w:t>MWH acquisition (90%)</w:t>
            </w:r>
          </w:p>
        </w:tc>
      </w:tr>
      <w:tr>
        <w:tc>
          <w:tcPr>
            <w:tcW w:type="dxa" w:w="2041"/>
            <w:shd w:val="clear" w:color="auto" w:fill="F1F3F8"/>
          </w:tcPr>
          <w:p>
            <w:pPr>
              <w:spacing w:after="20"/>
            </w:pPr>
            <w:r/>
            <w:r>
              <w:rPr>
                <w:b/>
                <w:sz w:val="15"/>
              </w:rPr>
              <w:t>Mar - May 2024</w:t>
            </w:r>
          </w:p>
        </w:tc>
        <w:tc>
          <w:tcPr>
            <w:tcW w:type="dxa" w:w="7597"/>
            <w:shd w:val="clear" w:color="auto" w:fill="F1F3F8"/>
          </w:tcPr>
          <w:p>
            <w:pPr>
              <w:spacing w:after="20"/>
            </w:pPr>
            <w:r/>
            <w:r>
              <w:rPr>
                <w:sz w:val="15"/>
              </w:rPr>
              <w:t>Capital policy: DOE c.5%, ROE 10%+; stock limit-up on 5 Mar 2024</w:t>
            </w:r>
          </w:p>
        </w:tc>
      </w:tr>
      <w:tr>
        <w:tc>
          <w:tcPr>
            <w:tcW w:type="dxa" w:w="2041"/>
          </w:tcPr>
          <w:p>
            <w:pPr>
              <w:spacing w:after="20"/>
            </w:pPr>
            <w:r/>
            <w:r>
              <w:rPr>
                <w:b/>
                <w:sz w:val="15"/>
              </w:rPr>
              <w:t>Oct 2024</w:t>
            </w:r>
          </w:p>
        </w:tc>
        <w:tc>
          <w:tcPr>
            <w:tcW w:type="dxa" w:w="7597"/>
          </w:tcPr>
          <w:p>
            <w:pPr>
              <w:spacing w:after="20"/>
            </w:pPr>
            <w:r/>
            <w:r>
              <w:rPr>
                <w:sz w:val="15"/>
              </w:rPr>
              <w:t>Chuo Shinkansen tunnel injury; later false-statement summary fines (Mar 2026)</w:t>
            </w:r>
          </w:p>
        </w:tc>
      </w:tr>
      <w:tr>
        <w:tc>
          <w:tcPr>
            <w:tcW w:type="dxa" w:w="2041"/>
            <w:shd w:val="clear" w:color="auto" w:fill="F1F3F8"/>
          </w:tcPr>
          <w:p>
            <w:pPr>
              <w:spacing w:after="20"/>
            </w:pPr>
            <w:r/>
            <w:r>
              <w:rPr>
                <w:b/>
                <w:sz w:val="15"/>
              </w:rPr>
              <w:t>Feb - Jun 2025</w:t>
            </w:r>
          </w:p>
        </w:tc>
        <w:tc>
          <w:tcPr>
            <w:tcW w:type="dxa" w:w="7597"/>
            <w:shd w:val="clear" w:color="auto" w:fill="F1F3F8"/>
          </w:tcPr>
          <w:p>
            <w:pPr>
              <w:spacing w:after="20"/>
            </w:pPr>
            <w:r/>
            <w:r>
              <w:rPr>
                <w:sz w:val="15"/>
              </w:rPr>
              <w:t>First buyback tranche (up to 20m shares)</w:t>
            </w:r>
          </w:p>
        </w:tc>
      </w:tr>
      <w:tr>
        <w:tc>
          <w:tcPr>
            <w:tcW w:type="dxa" w:w="2041"/>
          </w:tcPr>
          <w:p>
            <w:pPr>
              <w:spacing w:after="20"/>
            </w:pPr>
            <w:r/>
            <w:r>
              <w:rPr>
                <w:b/>
                <w:sz w:val="15"/>
              </w:rPr>
              <w:t>1 Apr 2025</w:t>
            </w:r>
          </w:p>
        </w:tc>
        <w:tc>
          <w:tcPr>
            <w:tcW w:type="dxa" w:w="7597"/>
          </w:tcPr>
          <w:p>
            <w:pPr>
              <w:spacing w:after="20"/>
            </w:pPr>
            <w:r/>
            <w:r>
              <w:rPr>
                <w:sz w:val="15"/>
              </w:rPr>
              <w:t>Toshimi Sato becomes President and CEO; Hasuwa to Vice Chairman</w:t>
            </w:r>
          </w:p>
        </w:tc>
      </w:tr>
      <w:tr>
        <w:tc>
          <w:tcPr>
            <w:tcW w:type="dxa" w:w="2041"/>
            <w:shd w:val="clear" w:color="auto" w:fill="F1F3F8"/>
          </w:tcPr>
          <w:p>
            <w:pPr>
              <w:spacing w:after="20"/>
            </w:pPr>
            <w:r/>
            <w:r>
              <w:rPr>
                <w:b/>
                <w:sz w:val="15"/>
              </w:rPr>
              <w:t>13 May 2025</w:t>
            </w:r>
          </w:p>
        </w:tc>
        <w:tc>
          <w:tcPr>
            <w:tcW w:type="dxa" w:w="7597"/>
            <w:shd w:val="clear" w:color="auto" w:fill="F1F3F8"/>
          </w:tcPr>
          <w:p>
            <w:pPr>
              <w:spacing w:after="20"/>
            </w:pPr>
            <w:r/>
            <w:r>
              <w:rPr>
                <w:sz w:val="15"/>
              </w:rPr>
              <w:t>FY3/26 guide: net income -32%; shares fall c.9% intraday</w:t>
            </w:r>
          </w:p>
        </w:tc>
      </w:tr>
      <w:tr>
        <w:tc>
          <w:tcPr>
            <w:tcW w:type="dxa" w:w="2041"/>
          </w:tcPr>
          <w:p>
            <w:pPr>
              <w:spacing w:after="20"/>
            </w:pPr>
            <w:r/>
            <w:r>
              <w:rPr>
                <w:b/>
                <w:sz w:val="15"/>
              </w:rPr>
              <w:t>Aug 2025</w:t>
            </w:r>
          </w:p>
        </w:tc>
        <w:tc>
          <w:tcPr>
            <w:tcW w:type="dxa" w:w="7597"/>
          </w:tcPr>
          <w:p>
            <w:pPr>
              <w:spacing w:after="20"/>
            </w:pPr>
            <w:r/>
            <w:r>
              <w:rPr>
                <w:sz w:val="15"/>
              </w:rPr>
              <w:t>Share cancellation and JPY 40bn buyback†</w:t>
            </w:r>
          </w:p>
        </w:tc>
      </w:tr>
      <w:tr>
        <w:tc>
          <w:tcPr>
            <w:tcW w:type="dxa" w:w="2041"/>
            <w:shd w:val="clear" w:color="auto" w:fill="F1F3F8"/>
          </w:tcPr>
          <w:p>
            <w:pPr>
              <w:spacing w:after="20"/>
            </w:pPr>
            <w:r/>
            <w:r>
              <w:rPr>
                <w:b/>
                <w:sz w:val="15"/>
              </w:rPr>
              <w:t>Oct - Dec 2025</w:t>
            </w:r>
          </w:p>
        </w:tc>
        <w:tc>
          <w:tcPr>
            <w:tcW w:type="dxa" w:w="7597"/>
            <w:shd w:val="clear" w:color="auto" w:fill="F1F3F8"/>
          </w:tcPr>
          <w:p>
            <w:pPr>
              <w:spacing w:after="20"/>
            </w:pPr>
            <w:r/>
            <w:r>
              <w:rPr>
                <w:sz w:val="15"/>
              </w:rPr>
              <w:t>GCON agreed (17 Oct) and closed (1 Dec)</w:t>
            </w:r>
          </w:p>
        </w:tc>
      </w:tr>
      <w:tr>
        <w:tc>
          <w:tcPr>
            <w:tcW w:type="dxa" w:w="2041"/>
          </w:tcPr>
          <w:p>
            <w:pPr>
              <w:spacing w:after="20"/>
            </w:pPr>
            <w:r/>
            <w:r>
              <w:rPr>
                <w:b/>
                <w:sz w:val="15"/>
              </w:rPr>
              <w:t>27 Feb 2026</w:t>
            </w:r>
          </w:p>
        </w:tc>
        <w:tc>
          <w:tcPr>
            <w:tcW w:type="dxa" w:w="7597"/>
          </w:tcPr>
          <w:p>
            <w:pPr>
              <w:spacing w:after="20"/>
            </w:pPr>
            <w:r/>
            <w:r>
              <w:rPr>
                <w:sz w:val="15"/>
              </w:rPr>
              <w:t>All-time high JPY 4,439</w:t>
            </w:r>
          </w:p>
        </w:tc>
      </w:tr>
      <w:tr>
        <w:tc>
          <w:tcPr>
            <w:tcW w:type="dxa" w:w="2041"/>
            <w:shd w:val="clear" w:color="auto" w:fill="F1F3F8"/>
          </w:tcPr>
          <w:p>
            <w:pPr>
              <w:spacing w:after="20"/>
            </w:pPr>
            <w:r/>
            <w:r>
              <w:rPr>
                <w:b/>
                <w:sz w:val="15"/>
              </w:rPr>
              <w:t>13 May 2026</w:t>
            </w:r>
          </w:p>
        </w:tc>
        <w:tc>
          <w:tcPr>
            <w:tcW w:type="dxa" w:w="7597"/>
            <w:shd w:val="clear" w:color="auto" w:fill="F1F3F8"/>
          </w:tcPr>
          <w:p>
            <w:pPr>
              <w:spacing w:after="20"/>
            </w:pPr>
            <w:r/>
            <w:r>
              <w:rPr>
                <w:sz w:val="15"/>
              </w:rPr>
              <w:t>FY3/26 results (OP JPY 194.7bn, +36.6%); FY3/27 guide OP -7.5%</w:t>
            </w:r>
          </w:p>
        </w:tc>
      </w:tr>
      <w:tr>
        <w:tc>
          <w:tcPr>
            <w:tcW w:type="dxa" w:w="2041"/>
          </w:tcPr>
          <w:p>
            <w:pPr>
              <w:spacing w:after="20"/>
            </w:pPr>
            <w:r/>
            <w:r>
              <w:rPr>
                <w:b/>
                <w:sz w:val="15"/>
              </w:rPr>
              <w:t>18 Jun 2026</w:t>
            </w:r>
          </w:p>
        </w:tc>
        <w:tc>
          <w:tcPr>
            <w:tcW w:type="dxa" w:w="7597"/>
          </w:tcPr>
          <w:p>
            <w:pPr>
              <w:spacing w:after="20"/>
            </w:pPr>
            <w:r/>
            <w:r>
              <w:rPr>
                <w:sz w:val="15"/>
              </w:rPr>
              <w:t>Multiplex acquisition announced (USD 540m)</w:t>
            </w:r>
          </w:p>
        </w:tc>
      </w:tr>
      <w:tr>
        <w:tc>
          <w:tcPr>
            <w:tcW w:type="dxa" w:w="2041"/>
            <w:shd w:val="clear" w:color="auto" w:fill="F1F3F8"/>
          </w:tcPr>
          <w:p>
            <w:pPr>
              <w:spacing w:after="20"/>
            </w:pPr>
            <w:r/>
            <w:r>
              <w:rPr>
                <w:b/>
                <w:sz w:val="15"/>
              </w:rPr>
              <w:t>29 Jun 2026</w:t>
            </w:r>
          </w:p>
        </w:tc>
        <w:tc>
          <w:tcPr>
            <w:tcW w:type="dxa" w:w="7597"/>
            <w:shd w:val="clear" w:color="auto" w:fill="F1F3F8"/>
          </w:tcPr>
          <w:p>
            <w:pPr>
              <w:spacing w:after="20"/>
            </w:pPr>
            <w:r/>
            <w:r>
              <w:rPr>
                <w:sz w:val="15"/>
              </w:rPr>
              <w:t>122nd AGM: board of 10, three women; Tomita joins</w:t>
            </w:r>
          </w:p>
        </w:tc>
      </w:tr>
      <w:tr>
        <w:tc>
          <w:tcPr>
            <w:tcW w:type="dxa" w:w="2041"/>
          </w:tcPr>
          <w:p>
            <w:pPr>
              <w:spacing w:after="20"/>
            </w:pPr>
            <w:r/>
            <w:r>
              <w:rPr>
                <w:b/>
                <w:sz w:val="15"/>
              </w:rPr>
              <w:t>7 Aug 2026</w:t>
            </w:r>
          </w:p>
        </w:tc>
        <w:tc>
          <w:tcPr>
            <w:tcW w:type="dxa" w:w="7597"/>
          </w:tcPr>
          <w:p>
            <w:pPr>
              <w:spacing w:after="20"/>
            </w:pPr>
            <w:r/>
            <w:r>
              <w:rPr>
                <w:sz w:val="15"/>
              </w:rPr>
              <w:t>Q1 FY3/27: OP +107%; orders -7.2%</w:t>
            </w:r>
          </w:p>
        </w:tc>
      </w:tr>
      <w:tr>
        <w:tc>
          <w:tcPr>
            <w:tcW w:type="dxa" w:w="2041"/>
            <w:shd w:val="clear" w:color="auto" w:fill="F1F3F8"/>
          </w:tcPr>
          <w:p>
            <w:pPr>
              <w:spacing w:after="20"/>
            </w:pPr>
            <w:r/>
            <w:r>
              <w:rPr>
                <w:b/>
                <w:sz w:val="15"/>
              </w:rPr>
              <w:t>19 Aug 2026</w:t>
            </w:r>
          </w:p>
        </w:tc>
        <w:tc>
          <w:tcPr>
            <w:tcW w:type="dxa" w:w="7597"/>
            <w:shd w:val="clear" w:color="auto" w:fill="F1F3F8"/>
          </w:tcPr>
          <w:p>
            <w:pPr>
              <w:spacing w:after="20"/>
            </w:pPr>
            <w:r/>
            <w:r>
              <w:rPr>
                <w:sz w:val="15"/>
              </w:rPr>
              <w:t>YTD low JPY 2,891</w:t>
            </w:r>
          </w:p>
        </w:tc>
      </w:tr>
      <w:tr>
        <w:tc>
          <w:tcPr>
            <w:tcW w:type="dxa" w:w="2041"/>
          </w:tcPr>
          <w:p>
            <w:pPr>
              <w:spacing w:after="20"/>
            </w:pPr>
            <w:r/>
            <w:r>
              <w:rPr>
                <w:b/>
                <w:sz w:val="15"/>
              </w:rPr>
              <w:t>18 Sep 2026</w:t>
            </w:r>
          </w:p>
        </w:tc>
        <w:tc>
          <w:tcPr>
            <w:tcW w:type="dxa" w:w="7597"/>
          </w:tcPr>
          <w:p>
            <w:pPr>
              <w:spacing w:after="20"/>
            </w:pPr>
            <w:r/>
            <w:r>
              <w:rPr>
                <w:sz w:val="15"/>
              </w:rPr>
              <w:t>BOJ policy rate reportedly raised to 1.25%†</w:t>
            </w:r>
          </w:p>
        </w:tc>
      </w:tr>
    </w:tbl>
    <w:p>
      <w:pPr>
        <w:spacing w:after="40"/>
      </w:pPr>
    </w:p>
    <w:p>
      <w:pPr>
        <w:pStyle w:val="Heading2"/>
      </w:pPr>
      <w:r>
        <w:t>24.2 Upcoming catalysts (dates inferred from prior years unless stated; confirm on the IR calendar)</w:t>
      </w:r>
    </w:p>
    <w:tbl>
      <w:tblPr>
        <w:tblStyle w:val="TableGrid"/>
        <w:tblW w:type="auto" w:w="0"/>
        <w:jc w:val="center"/>
        <w:tblLayout w:type="fixed"/>
        <w:tblLook w:firstColumn="1" w:firstRow="1" w:lastColumn="0" w:lastRow="0" w:noHBand="0" w:noVBand="1" w:val="04A0"/>
      </w:tblPr>
      <w:tblGrid>
        <w:gridCol w:w="2381"/>
        <w:gridCol w:w="3288"/>
        <w:gridCol w:w="3969"/>
      </w:tblGrid>
      <w:tr>
        <w:trPr>
          <w:tblHeader w:val="true"/>
        </w:trPr>
        <w:tc>
          <w:tcPr>
            <w:tcW w:type="dxa" w:w="2381"/>
            <w:shd w:val="clear" w:color="auto" w:fill="14243F"/>
          </w:tcPr>
          <w:p>
            <w:r/>
            <w:r>
              <w:rPr>
                <w:b/>
                <w:color w:val="FFFFFF"/>
                <w:sz w:val="15"/>
              </w:rPr>
              <w:t>Timing</w:t>
            </w:r>
          </w:p>
        </w:tc>
        <w:tc>
          <w:tcPr>
            <w:tcW w:type="dxa" w:w="3288"/>
            <w:shd w:val="clear" w:color="auto" w:fill="14243F"/>
          </w:tcPr>
          <w:p>
            <w:r/>
            <w:r>
              <w:rPr>
                <w:b/>
                <w:color w:val="FFFFFF"/>
                <w:sz w:val="15"/>
              </w:rPr>
              <w:t>Catalyst</w:t>
            </w:r>
          </w:p>
        </w:tc>
        <w:tc>
          <w:tcPr>
            <w:tcW w:type="dxa" w:w="3969"/>
            <w:shd w:val="clear" w:color="auto" w:fill="14243F"/>
          </w:tcPr>
          <w:p>
            <w:r/>
            <w:r>
              <w:rPr>
                <w:b/>
                <w:color w:val="FFFFFF"/>
                <w:sz w:val="15"/>
              </w:rPr>
              <w:t>What to watch</w:t>
            </w:r>
          </w:p>
        </w:tc>
      </w:tr>
      <w:tr>
        <w:tc>
          <w:tcPr>
            <w:tcW w:type="dxa" w:w="2381"/>
          </w:tcPr>
          <w:p>
            <w:pPr>
              <w:spacing w:after="20"/>
            </w:pPr>
            <w:r/>
            <w:r>
              <w:rPr>
                <w:b/>
                <w:sz w:val="15"/>
              </w:rPr>
              <w:t>By 30 Sep 2026 (unconfirmed)</w:t>
            </w:r>
          </w:p>
        </w:tc>
        <w:tc>
          <w:tcPr>
            <w:tcW w:type="dxa" w:w="3288"/>
          </w:tcPr>
          <w:p>
            <w:pPr>
              <w:spacing w:after="20"/>
            </w:pPr>
            <w:r/>
            <w:r>
              <w:rPr>
                <w:sz w:val="15"/>
              </w:rPr>
              <w:t>Multiplex closing</w:t>
            </w:r>
          </w:p>
        </w:tc>
        <w:tc>
          <w:tcPr>
            <w:tcW w:type="dxa" w:w="3969"/>
          </w:tcPr>
          <w:p>
            <w:pPr>
              <w:spacing w:after="20"/>
            </w:pPr>
            <w:r/>
            <w:r>
              <w:rPr>
                <w:sz w:val="15"/>
              </w:rPr>
              <w:t>Closing date, final price, net debt assumed, goodwill</w:t>
            </w:r>
          </w:p>
        </w:tc>
      </w:tr>
      <w:tr>
        <w:tc>
          <w:tcPr>
            <w:tcW w:type="dxa" w:w="2381"/>
            <w:shd w:val="clear" w:color="auto" w:fill="F1F3F8"/>
          </w:tcPr>
          <w:p>
            <w:pPr>
              <w:spacing w:after="20"/>
            </w:pPr>
            <w:r/>
            <w:r>
              <w:rPr>
                <w:b/>
                <w:sz w:val="15"/>
              </w:rPr>
              <w:t>29-30 Oct 2026</w:t>
            </w:r>
          </w:p>
        </w:tc>
        <w:tc>
          <w:tcPr>
            <w:tcW w:type="dxa" w:w="3288"/>
            <w:shd w:val="clear" w:color="auto" w:fill="F1F3F8"/>
          </w:tcPr>
          <w:p>
            <w:pPr>
              <w:spacing w:after="20"/>
            </w:pPr>
            <w:r/>
            <w:r>
              <w:rPr>
                <w:sz w:val="15"/>
              </w:rPr>
              <w:t>BOJ meeting with outlook report</w:t>
            </w:r>
          </w:p>
        </w:tc>
        <w:tc>
          <w:tcPr>
            <w:tcW w:type="dxa" w:w="3969"/>
            <w:shd w:val="clear" w:color="auto" w:fill="F1F3F8"/>
          </w:tcPr>
          <w:p>
            <w:pPr>
              <w:spacing w:after="20"/>
            </w:pPr>
            <w:r/>
            <w:r>
              <w:rPr>
                <w:sz w:val="15"/>
              </w:rPr>
              <w:t>Rate path; construction financing costs</w:t>
            </w:r>
          </w:p>
        </w:tc>
      </w:tr>
      <w:tr>
        <w:tc>
          <w:tcPr>
            <w:tcW w:type="dxa" w:w="2381"/>
          </w:tcPr>
          <w:p>
            <w:pPr>
              <w:spacing w:after="20"/>
            </w:pPr>
            <w:r/>
            <w:r>
              <w:rPr>
                <w:b/>
                <w:sz w:val="15"/>
              </w:rPr>
              <w:t>Early/mid Nov 2026 (prior-year: 5 Nov)</w:t>
            </w:r>
          </w:p>
        </w:tc>
        <w:tc>
          <w:tcPr>
            <w:tcW w:type="dxa" w:w="3288"/>
          </w:tcPr>
          <w:p>
            <w:pPr>
              <w:spacing w:after="20"/>
            </w:pPr>
            <w:r/>
            <w:r>
              <w:rPr>
                <w:sz w:val="15"/>
              </w:rPr>
              <w:t>Q2 / H1 FY3/27 results</w:t>
            </w:r>
          </w:p>
        </w:tc>
        <w:tc>
          <w:tcPr>
            <w:tcW w:type="dxa" w:w="3969"/>
          </w:tcPr>
          <w:p>
            <w:pPr>
              <w:spacing w:after="20"/>
            </w:pPr>
            <w:r/>
            <w:r>
              <w:rPr>
                <w:sz w:val="15"/>
              </w:rPr>
              <w:t>Orders, gross margin, whether guidance is raised, interim DPS (JPY 47)</w:t>
            </w:r>
          </w:p>
        </w:tc>
      </w:tr>
      <w:tr>
        <w:tc>
          <w:tcPr>
            <w:tcW w:type="dxa" w:w="2381"/>
            <w:shd w:val="clear" w:color="auto" w:fill="F1F3F8"/>
          </w:tcPr>
          <w:p>
            <w:pPr>
              <w:spacing w:after="20"/>
            </w:pPr>
            <w:r/>
            <w:r>
              <w:rPr>
                <w:b/>
                <w:sz w:val="15"/>
              </w:rPr>
              <w:t>17-18 Dec 2026</w:t>
            </w:r>
          </w:p>
        </w:tc>
        <w:tc>
          <w:tcPr>
            <w:tcW w:type="dxa" w:w="3288"/>
            <w:shd w:val="clear" w:color="auto" w:fill="F1F3F8"/>
          </w:tcPr>
          <w:p>
            <w:pPr>
              <w:spacing w:after="20"/>
            </w:pPr>
            <w:r/>
            <w:r>
              <w:rPr>
                <w:sz w:val="15"/>
              </w:rPr>
              <w:t>BOJ meeting; Japan FY2027 budget (resilience spending)</w:t>
            </w:r>
          </w:p>
        </w:tc>
        <w:tc>
          <w:tcPr>
            <w:tcW w:type="dxa" w:w="3969"/>
            <w:shd w:val="clear" w:color="auto" w:fill="F1F3F8"/>
          </w:tcPr>
          <w:p>
            <w:pPr>
              <w:spacing w:after="20"/>
            </w:pPr>
            <w:r/>
            <w:r>
              <w:rPr>
                <w:sz w:val="15"/>
              </w:rPr>
              <w:t>Public-works budget size</w:t>
            </w:r>
          </w:p>
        </w:tc>
      </w:tr>
      <w:tr>
        <w:tc>
          <w:tcPr>
            <w:tcW w:type="dxa" w:w="2381"/>
          </w:tcPr>
          <w:p>
            <w:pPr>
              <w:spacing w:after="20"/>
            </w:pPr>
            <w:r/>
            <w:r>
              <w:rPr>
                <w:b/>
                <w:sz w:val="15"/>
              </w:rPr>
              <w:t>Late 2026 onward</w:t>
            </w:r>
          </w:p>
        </w:tc>
        <w:tc>
          <w:tcPr>
            <w:tcW w:type="dxa" w:w="3288"/>
          </w:tcPr>
          <w:p>
            <w:pPr>
              <w:spacing w:after="20"/>
            </w:pPr>
            <w:r/>
            <w:r>
              <w:rPr>
                <w:sz w:val="15"/>
              </w:rPr>
              <w:t>Linear Shizuoka section works start</w:t>
            </w:r>
          </w:p>
        </w:tc>
        <w:tc>
          <w:tcPr>
            <w:tcW w:type="dxa" w:w="3969"/>
          </w:tcPr>
          <w:p>
            <w:pPr>
              <w:spacing w:after="20"/>
            </w:pPr>
            <w:r/>
            <w:r>
              <w:rPr>
                <w:sz w:val="15"/>
              </w:rPr>
              <w:t>Contract awards and JV share</w:t>
            </w:r>
          </w:p>
        </w:tc>
      </w:tr>
      <w:tr>
        <w:tc>
          <w:tcPr>
            <w:tcW w:type="dxa" w:w="2381"/>
            <w:shd w:val="clear" w:color="auto" w:fill="F1F3F8"/>
          </w:tcPr>
          <w:p>
            <w:pPr>
              <w:spacing w:after="20"/>
            </w:pPr>
            <w:r/>
            <w:r>
              <w:rPr>
                <w:b/>
                <w:sz w:val="15"/>
              </w:rPr>
              <w:t>c.9 Feb 2027</w:t>
            </w:r>
          </w:p>
        </w:tc>
        <w:tc>
          <w:tcPr>
            <w:tcW w:type="dxa" w:w="3288"/>
            <w:shd w:val="clear" w:color="auto" w:fill="F1F3F8"/>
          </w:tcPr>
          <w:p>
            <w:pPr>
              <w:spacing w:after="20"/>
            </w:pPr>
            <w:r/>
            <w:r>
              <w:rPr>
                <w:sz w:val="15"/>
              </w:rPr>
              <w:t>Q3 FY3/27 results</w:t>
            </w:r>
          </w:p>
        </w:tc>
        <w:tc>
          <w:tcPr>
            <w:tcW w:type="dxa" w:w="3969"/>
            <w:shd w:val="clear" w:color="auto" w:fill="F1F3F8"/>
          </w:tcPr>
          <w:p>
            <w:pPr>
              <w:spacing w:after="20"/>
            </w:pPr>
            <w:r/>
            <w:r>
              <w:rPr>
                <w:sz w:val="15"/>
              </w:rPr>
              <w:t>Full-year guidance revision; gain recognition</w:t>
            </w:r>
          </w:p>
        </w:tc>
      </w:tr>
      <w:tr>
        <w:tc>
          <w:tcPr>
            <w:tcW w:type="dxa" w:w="2381"/>
          </w:tcPr>
          <w:p>
            <w:pPr>
              <w:spacing w:after="20"/>
            </w:pPr>
            <w:r/>
            <w:r>
              <w:rPr>
                <w:b/>
                <w:sz w:val="15"/>
              </w:rPr>
              <w:t>Mar 2027</w:t>
            </w:r>
          </w:p>
        </w:tc>
        <w:tc>
          <w:tcPr>
            <w:tcW w:type="dxa" w:w="3288"/>
          </w:tcPr>
          <w:p>
            <w:pPr>
              <w:spacing w:after="20"/>
            </w:pPr>
            <w:r/>
            <w:r>
              <w:rPr>
                <w:sz w:val="15"/>
              </w:rPr>
              <w:t>Cross-holding 20% target date; fiscal year-end</w:t>
            </w:r>
          </w:p>
        </w:tc>
        <w:tc>
          <w:tcPr>
            <w:tcW w:type="dxa" w:w="3969"/>
          </w:tcPr>
          <w:p>
            <w:pPr>
              <w:spacing w:after="20"/>
            </w:pPr>
            <w:r/>
            <w:r>
              <w:rPr>
                <w:sz w:val="15"/>
              </w:rPr>
              <w:t>Residual sales; buyback completion</w:t>
            </w:r>
          </w:p>
        </w:tc>
      </w:tr>
      <w:tr>
        <w:tc>
          <w:tcPr>
            <w:tcW w:type="dxa" w:w="2381"/>
            <w:shd w:val="clear" w:color="auto" w:fill="F1F3F8"/>
          </w:tcPr>
          <w:p>
            <w:pPr>
              <w:spacing w:after="20"/>
            </w:pPr>
            <w:r/>
            <w:r>
              <w:rPr>
                <w:b/>
                <w:sz w:val="15"/>
              </w:rPr>
              <w:t>c.mid-May 2027</w:t>
            </w:r>
          </w:p>
        </w:tc>
        <w:tc>
          <w:tcPr>
            <w:tcW w:type="dxa" w:w="3288"/>
            <w:shd w:val="clear" w:color="auto" w:fill="F1F3F8"/>
          </w:tcPr>
          <w:p>
            <w:pPr>
              <w:spacing w:after="20"/>
            </w:pPr>
            <w:r/>
            <w:r>
              <w:rPr>
                <w:sz w:val="15"/>
              </w:rPr>
              <w:t>FY3/27 results and successor medium-term plan (likely)</w:t>
            </w:r>
          </w:p>
        </w:tc>
        <w:tc>
          <w:tcPr>
            <w:tcW w:type="dxa" w:w="3969"/>
            <w:shd w:val="clear" w:color="auto" w:fill="F1F3F8"/>
          </w:tcPr>
          <w:p>
            <w:pPr>
              <w:spacing w:after="20"/>
            </w:pPr>
            <w:r/>
            <w:r>
              <w:rPr>
                <w:sz w:val="15"/>
              </w:rPr>
              <w:t>ROE, payout, net-cash and M&amp;A frameworks</w:t>
            </w:r>
          </w:p>
        </w:tc>
      </w:tr>
      <w:tr>
        <w:tc>
          <w:tcPr>
            <w:tcW w:type="dxa" w:w="2381"/>
          </w:tcPr>
          <w:p>
            <w:pPr>
              <w:spacing w:after="20"/>
            </w:pPr>
            <w:r/>
            <w:r>
              <w:rPr>
                <w:b/>
                <w:sz w:val="15"/>
              </w:rPr>
              <w:t>Late Jun 2027</w:t>
            </w:r>
          </w:p>
        </w:tc>
        <w:tc>
          <w:tcPr>
            <w:tcW w:type="dxa" w:w="3288"/>
          </w:tcPr>
          <w:p>
            <w:pPr>
              <w:spacing w:after="20"/>
            </w:pPr>
            <w:r/>
            <w:r>
              <w:rPr>
                <w:sz w:val="15"/>
              </w:rPr>
              <w:t>123rd AGM</w:t>
            </w:r>
          </w:p>
        </w:tc>
        <w:tc>
          <w:tcPr>
            <w:tcW w:type="dxa" w:w="3969"/>
          </w:tcPr>
          <w:p>
            <w:pPr>
              <w:spacing w:after="20"/>
            </w:pPr>
            <w:r/>
            <w:r>
              <w:rPr>
                <w:sz w:val="15"/>
              </w:rPr>
              <w:t>Board changes; shareholder proposals</w:t>
            </w:r>
          </w:p>
        </w:tc>
      </w:tr>
      <w:tr>
        <w:tc>
          <w:tcPr>
            <w:tcW w:type="dxa" w:w="2381"/>
            <w:shd w:val="clear" w:color="auto" w:fill="F1F3F8"/>
          </w:tcPr>
          <w:p>
            <w:pPr>
              <w:spacing w:after="20"/>
            </w:pPr>
            <w:r/>
            <w:r>
              <w:rPr>
                <w:b/>
                <w:sz w:val="15"/>
              </w:rPr>
              <w:t>Ongoing</w:t>
            </w:r>
          </w:p>
        </w:tc>
        <w:tc>
          <w:tcPr>
            <w:tcW w:type="dxa" w:w="3288"/>
            <w:shd w:val="clear" w:color="auto" w:fill="F1F3F8"/>
          </w:tcPr>
          <w:p>
            <w:pPr>
              <w:spacing w:after="20"/>
            </w:pPr>
            <w:r/>
            <w:r>
              <w:rPr>
                <w:sz w:val="15"/>
              </w:rPr>
              <w:t>Large project awards (Tokyo redevelopments, data centres, rail), Middle East cost developments, JFTC/MLIT actions, M&amp;A in the sector</w:t>
            </w:r>
          </w:p>
        </w:tc>
        <w:tc>
          <w:tcPr>
            <w:tcW w:type="dxa" w:w="3969"/>
            <w:shd w:val="clear" w:color="auto" w:fill="F1F3F8"/>
          </w:tcPr>
          <w:p>
            <w:pPr>
              <w:spacing w:after="20"/>
            </w:pPr>
            <w:r/>
            <w:r>
              <w:rPr>
                <w:sz w:val="15"/>
              </w:rPr>
              <w:t>Pricing and order data from peers (Kajima, Taisei, Shimizu quarterly orders)</w:t>
            </w:r>
          </w:p>
        </w:tc>
      </w:tr>
    </w:tbl>
    <w:p>
      <w:pPr>
        <w:spacing w:after="40"/>
      </w:pPr>
    </w:p>
    <w:p>
      <w:pPr>
        <w:pStyle w:val="Heading1"/>
      </w:pPr>
      <w:r>
        <w:t>Appendix: data confidence, conflicts and primary sources</w:t>
      </w:r>
    </w:p>
    <w:tbl>
      <w:tblPr>
        <w:tblStyle w:val="TableGrid"/>
        <w:tblW w:type="auto" w:w="0"/>
        <w:jc w:val="center"/>
        <w:tblLayout w:type="fixed"/>
        <w:tblLook w:firstColumn="1" w:firstRow="1" w:lastColumn="0" w:lastRow="0" w:noHBand="0" w:noVBand="1" w:val="04A0"/>
      </w:tblPr>
      <w:tblGrid>
        <w:gridCol w:w="3061"/>
        <w:gridCol w:w="1361"/>
        <w:gridCol w:w="5216"/>
      </w:tblGrid>
      <w:tr>
        <w:trPr>
          <w:tblHeader w:val="true"/>
        </w:trPr>
        <w:tc>
          <w:tcPr>
            <w:tcW w:type="dxa" w:w="3061"/>
            <w:shd w:val="clear" w:color="auto" w:fill="14243F"/>
          </w:tcPr>
          <w:p>
            <w:r/>
            <w:r>
              <w:rPr>
                <w:b/>
                <w:color w:val="FFFFFF"/>
                <w:sz w:val="15"/>
              </w:rPr>
              <w:t>Item</w:t>
            </w:r>
          </w:p>
        </w:tc>
        <w:tc>
          <w:tcPr>
            <w:tcW w:type="dxa" w:w="1361"/>
            <w:shd w:val="clear" w:color="auto" w:fill="14243F"/>
          </w:tcPr>
          <w:p>
            <w:r/>
            <w:r>
              <w:rPr>
                <w:b/>
                <w:color w:val="FFFFFF"/>
                <w:sz w:val="15"/>
              </w:rPr>
              <w:t>Confidence</w:t>
            </w:r>
          </w:p>
        </w:tc>
        <w:tc>
          <w:tcPr>
            <w:tcW w:type="dxa" w:w="5216"/>
            <w:shd w:val="clear" w:color="auto" w:fill="14243F"/>
          </w:tcPr>
          <w:p>
            <w:r/>
            <w:r>
              <w:rPr>
                <w:b/>
                <w:color w:val="FFFFFF"/>
                <w:sz w:val="15"/>
              </w:rPr>
              <w:t>Note</w:t>
            </w:r>
          </w:p>
        </w:tc>
      </w:tr>
      <w:tr>
        <w:tc>
          <w:tcPr>
            <w:tcW w:type="dxa" w:w="3061"/>
          </w:tcPr>
          <w:p>
            <w:pPr>
              <w:spacing w:after="20"/>
            </w:pPr>
            <w:r/>
            <w:r>
              <w:rPr>
                <w:b/>
                <w:sz w:val="15"/>
              </w:rPr>
              <w:t>FY3/26 sales, OP, NI, DPS, FY3/27 guidance</w:t>
            </w:r>
          </w:p>
        </w:tc>
        <w:tc>
          <w:tcPr>
            <w:tcW w:type="dxa" w:w="1361"/>
          </w:tcPr>
          <w:p>
            <w:pPr>
              <w:spacing w:after="20"/>
            </w:pPr>
            <w:r/>
            <w:r>
              <w:rPr>
                <w:sz w:val="15"/>
              </w:rPr>
              <w:t>High</w:t>
            </w:r>
          </w:p>
        </w:tc>
        <w:tc>
          <w:tcPr>
            <w:tcW w:type="dxa" w:w="5216"/>
          </w:tcPr>
          <w:p>
            <w:pPr>
              <w:spacing w:after="20"/>
            </w:pPr>
            <w:r/>
            <w:r>
              <w:rPr>
                <w:sz w:val="15"/>
              </w:rPr>
              <w:t>Consistent across Nikkei, BUILT, japanir and company-linked headlines (NI 173.7-173.9bn rounding)</w:t>
            </w:r>
          </w:p>
        </w:tc>
      </w:tr>
      <w:tr>
        <w:tc>
          <w:tcPr>
            <w:tcW w:type="dxa" w:w="3061"/>
            <w:shd w:val="clear" w:color="auto" w:fill="F1F3F8"/>
          </w:tcPr>
          <w:p>
            <w:pPr>
              <w:spacing w:after="20"/>
            </w:pPr>
            <w:r/>
            <w:r>
              <w:rPr>
                <w:b/>
                <w:sz w:val="15"/>
              </w:rPr>
              <w:t>Q1 FY3/27 sales 623.4bn, OP 32.7bn, NI 39.0bn, orders 577.5bn</w:t>
            </w:r>
          </w:p>
        </w:tc>
        <w:tc>
          <w:tcPr>
            <w:tcW w:type="dxa" w:w="1361"/>
            <w:shd w:val="clear" w:color="auto" w:fill="F1F3F8"/>
          </w:tcPr>
          <w:p>
            <w:pPr>
              <w:spacing w:after="20"/>
            </w:pPr>
            <w:r/>
            <w:r>
              <w:rPr>
                <w:sz w:val="15"/>
              </w:rPr>
              <w:t>High</w:t>
            </w:r>
          </w:p>
        </w:tc>
        <w:tc>
          <w:tcPr>
            <w:tcW w:type="dxa" w:w="5216"/>
            <w:shd w:val="clear" w:color="auto" w:fill="F1F3F8"/>
          </w:tcPr>
          <w:p>
            <w:pPr>
              <w:spacing w:after="20"/>
            </w:pPr>
            <w:r/>
            <w:r>
              <w:rPr>
                <w:sz w:val="15"/>
              </w:rPr>
              <w:t>Consistent across Jiji, Kabutan and Yahoo Japan; one summary's JPY 45.9bn / 131bn figures and another's JPY 523.8bn were garbled or are the prior-year base</w:t>
            </w:r>
          </w:p>
        </w:tc>
      </w:tr>
      <w:tr>
        <w:tc>
          <w:tcPr>
            <w:tcW w:type="dxa" w:w="3061"/>
          </w:tcPr>
          <w:p>
            <w:pPr>
              <w:spacing w:after="20"/>
            </w:pPr>
            <w:r/>
            <w:r>
              <w:rPr>
                <w:b/>
                <w:sz w:val="15"/>
              </w:rPr>
              <w:t>FY3/22-25 history</w:t>
            </w:r>
          </w:p>
        </w:tc>
        <w:tc>
          <w:tcPr>
            <w:tcW w:type="dxa" w:w="1361"/>
          </w:tcPr>
          <w:p>
            <w:pPr>
              <w:spacing w:after="20"/>
            </w:pPr>
            <w:r/>
            <w:r>
              <w:rPr>
                <w:sz w:val="15"/>
              </w:rPr>
              <w:t>Medium</w:t>
            </w:r>
          </w:p>
        </w:tc>
        <w:tc>
          <w:tcPr>
            <w:tcW w:type="dxa" w:w="5216"/>
          </w:tcPr>
          <w:p>
            <w:pPr>
              <w:spacing w:after="20"/>
            </w:pPr>
            <w:r/>
            <w:r>
              <w:rPr>
                <w:sz w:val="15"/>
              </w:rPr>
              <w:t>Single-table source; FY3/25 sales conflict (2,590.8bn vs 2,620.1bn)</w:t>
            </w:r>
          </w:p>
        </w:tc>
      </w:tr>
      <w:tr>
        <w:tc>
          <w:tcPr>
            <w:tcW w:type="dxa" w:w="3061"/>
            <w:shd w:val="clear" w:color="auto" w:fill="F1F3F8"/>
          </w:tcPr>
          <w:p>
            <w:pPr>
              <w:spacing w:after="20"/>
            </w:pPr>
            <w:r/>
            <w:r>
              <w:rPr>
                <w:b/>
                <w:sz w:val="15"/>
              </w:rPr>
              <w:t>Segment data FY3/26</w:t>
            </w:r>
          </w:p>
        </w:tc>
        <w:tc>
          <w:tcPr>
            <w:tcW w:type="dxa" w:w="1361"/>
            <w:shd w:val="clear" w:color="auto" w:fill="F1F3F8"/>
          </w:tcPr>
          <w:p>
            <w:pPr>
              <w:spacing w:after="20"/>
            </w:pPr>
            <w:r/>
            <w:r>
              <w:rPr>
                <w:sz w:val="15"/>
              </w:rPr>
              <w:t>Medium</w:t>
            </w:r>
          </w:p>
        </w:tc>
        <w:tc>
          <w:tcPr>
            <w:tcW w:type="dxa" w:w="5216"/>
            <w:shd w:val="clear" w:color="auto" w:fill="F1F3F8"/>
          </w:tcPr>
          <w:p>
            <w:pPr>
              <w:spacing w:after="20"/>
            </w:pPr>
            <w:r/>
            <w:r>
              <w:rPr>
                <w:sz w:val="15"/>
              </w:rPr>
              <w:t>Overseas civil OP conflicts (14.7bn vs 8.3bn); orders/backlog from secondary summaries</w:t>
            </w:r>
          </w:p>
        </w:tc>
      </w:tr>
      <w:tr>
        <w:tc>
          <w:tcPr>
            <w:tcW w:type="dxa" w:w="3061"/>
          </w:tcPr>
          <w:p>
            <w:pPr>
              <w:spacing w:after="20"/>
            </w:pPr>
            <w:r/>
            <w:r>
              <w:rPr>
                <w:b/>
                <w:sz w:val="15"/>
              </w:rPr>
              <w:t>Net cash, debt, cash</w:t>
            </w:r>
          </w:p>
        </w:tc>
        <w:tc>
          <w:tcPr>
            <w:tcW w:type="dxa" w:w="1361"/>
          </w:tcPr>
          <w:p>
            <w:pPr>
              <w:spacing w:after="20"/>
            </w:pPr>
            <w:r/>
            <w:r>
              <w:rPr>
                <w:sz w:val="15"/>
              </w:rPr>
              <w:t>Medium-low</w:t>
            </w:r>
          </w:p>
        </w:tc>
        <w:tc>
          <w:tcPr>
            <w:tcW w:type="dxa" w:w="5216"/>
          </w:tcPr>
          <w:p>
            <w:pPr>
              <w:spacing w:after="20"/>
            </w:pPr>
            <w:r/>
            <w:r>
              <w:rPr>
                <w:sz w:val="15"/>
              </w:rPr>
              <w:t>Stockanalysis-type summary; another source shows debt JPY 344bn</w:t>
            </w:r>
          </w:p>
        </w:tc>
      </w:tr>
      <w:tr>
        <w:tc>
          <w:tcPr>
            <w:tcW w:type="dxa" w:w="3061"/>
            <w:shd w:val="clear" w:color="auto" w:fill="F1F3F8"/>
          </w:tcPr>
          <w:p>
            <w:pPr>
              <w:spacing w:after="20"/>
            </w:pPr>
            <w:r/>
            <w:r>
              <w:rPr>
                <w:b/>
                <w:sz w:val="15"/>
              </w:rPr>
              <w:t>Share price, market cap, 52-week range</w:t>
            </w:r>
          </w:p>
        </w:tc>
        <w:tc>
          <w:tcPr>
            <w:tcW w:type="dxa" w:w="1361"/>
            <w:shd w:val="clear" w:color="auto" w:fill="F1F3F8"/>
          </w:tcPr>
          <w:p>
            <w:pPr>
              <w:spacing w:after="20"/>
            </w:pPr>
            <w:r/>
            <w:r>
              <w:rPr>
                <w:sz w:val="15"/>
              </w:rPr>
              <w:t>Medium</w:t>
            </w:r>
          </w:p>
        </w:tc>
        <w:tc>
          <w:tcPr>
            <w:tcW w:type="dxa" w:w="5216"/>
            <w:shd w:val="clear" w:color="auto" w:fill="F1F3F8"/>
          </w:tcPr>
          <w:p>
            <w:pPr>
              <w:spacing w:after="20"/>
            </w:pPr>
            <w:r/>
            <w:r>
              <w:rPr>
                <w:sz w:val="15"/>
              </w:rPr>
              <w:t>Kabutan/Nikkei-type snippets; undated EV figures (JPY 1.75tn) were not used</w:t>
            </w:r>
          </w:p>
        </w:tc>
      </w:tr>
      <w:tr>
        <w:tc>
          <w:tcPr>
            <w:tcW w:type="dxa" w:w="3061"/>
          </w:tcPr>
          <w:p>
            <w:pPr>
              <w:spacing w:after="20"/>
            </w:pPr>
            <w:r/>
            <w:r>
              <w:rPr>
                <w:b/>
                <w:sz w:val="15"/>
              </w:rPr>
              <w:t>Peer multiples</w:t>
            </w:r>
          </w:p>
        </w:tc>
        <w:tc>
          <w:tcPr>
            <w:tcW w:type="dxa" w:w="1361"/>
          </w:tcPr>
          <w:p>
            <w:pPr>
              <w:spacing w:after="20"/>
            </w:pPr>
            <w:r/>
            <w:r>
              <w:rPr>
                <w:sz w:val="15"/>
              </w:rPr>
              <w:t>Low-medium</w:t>
            </w:r>
          </w:p>
        </w:tc>
        <w:tc>
          <w:tcPr>
            <w:tcW w:type="dxa" w:w="5216"/>
          </w:tcPr>
          <w:p>
            <w:pPr>
              <w:spacing w:after="20"/>
            </w:pPr>
            <w:r/>
            <w:r>
              <w:rPr>
                <w:sz w:val="15"/>
              </w:rPr>
              <w:t>Mixed-date aggregator data; regression is indicative (n=7)</w:t>
            </w:r>
          </w:p>
        </w:tc>
      </w:tr>
      <w:tr>
        <w:tc>
          <w:tcPr>
            <w:tcW w:type="dxa" w:w="3061"/>
            <w:shd w:val="clear" w:color="auto" w:fill="F1F3F8"/>
          </w:tcPr>
          <w:p>
            <w:pPr>
              <w:spacing w:after="20"/>
            </w:pPr>
            <w:r/>
            <w:r>
              <w:rPr>
                <w:b/>
                <w:sz w:val="15"/>
              </w:rPr>
              <w:t>Board, top-10 holders</w:t>
            </w:r>
          </w:p>
        </w:tc>
        <w:tc>
          <w:tcPr>
            <w:tcW w:type="dxa" w:w="1361"/>
            <w:shd w:val="clear" w:color="auto" w:fill="F1F3F8"/>
          </w:tcPr>
          <w:p>
            <w:pPr>
              <w:spacing w:after="20"/>
            </w:pPr>
            <w:r/>
            <w:r>
              <w:rPr>
                <w:sz w:val="15"/>
              </w:rPr>
              <w:t>Medium</w:t>
            </w:r>
          </w:p>
        </w:tc>
        <w:tc>
          <w:tcPr>
            <w:tcW w:type="dxa" w:w="5216"/>
            <w:shd w:val="clear" w:color="auto" w:fill="F1F3F8"/>
          </w:tcPr>
          <w:p>
            <w:pPr>
              <w:spacing w:after="20"/>
            </w:pPr>
            <w:r/>
            <w:r>
              <w:rPr>
                <w:sz w:val="15"/>
              </w:rPr>
              <w:t>From search summaries of the yuho and AGM notice; Sasagawa's status conflicts</w:t>
            </w:r>
          </w:p>
        </w:tc>
      </w:tr>
      <w:tr>
        <w:tc>
          <w:tcPr>
            <w:tcW w:type="dxa" w:w="3061"/>
          </w:tcPr>
          <w:p>
            <w:pPr>
              <w:spacing w:after="20"/>
            </w:pPr>
            <w:r/>
            <w:r>
              <w:rPr>
                <w:b/>
                <w:sz w:val="15"/>
              </w:rPr>
              <w:t>Buyback and treasury-share detail</w:t>
            </w:r>
          </w:p>
        </w:tc>
        <w:tc>
          <w:tcPr>
            <w:tcW w:type="dxa" w:w="1361"/>
          </w:tcPr>
          <w:p>
            <w:pPr>
              <w:spacing w:after="20"/>
            </w:pPr>
            <w:r/>
            <w:r>
              <w:rPr>
                <w:sz w:val="15"/>
              </w:rPr>
              <w:t>Low</w:t>
            </w:r>
          </w:p>
        </w:tc>
        <w:tc>
          <w:tcPr>
            <w:tcW w:type="dxa" w:w="5216"/>
          </w:tcPr>
          <w:p>
            <w:pPr>
              <w:spacing w:after="20"/>
            </w:pPr>
            <w:r/>
            <w:r>
              <w:rPr>
                <w:sz w:val="15"/>
              </w:rPr>
              <w:t>Programme outline found; amounts, balances and cancellations incomplete</w:t>
            </w:r>
          </w:p>
        </w:tc>
      </w:tr>
      <w:tr>
        <w:tc>
          <w:tcPr>
            <w:tcW w:type="dxa" w:w="3061"/>
            <w:shd w:val="clear" w:color="auto" w:fill="F1F3F8"/>
          </w:tcPr>
          <w:p>
            <w:pPr>
              <w:spacing w:after="20"/>
            </w:pPr>
            <w:r/>
            <w:r>
              <w:rPr>
                <w:b/>
                <w:sz w:val="15"/>
              </w:rPr>
              <w:t>Earnings-call content</w:t>
            </w:r>
          </w:p>
        </w:tc>
        <w:tc>
          <w:tcPr>
            <w:tcW w:type="dxa" w:w="1361"/>
            <w:shd w:val="clear" w:color="auto" w:fill="F1F3F8"/>
          </w:tcPr>
          <w:p>
            <w:pPr>
              <w:spacing w:after="20"/>
            </w:pPr>
            <w:r/>
            <w:r>
              <w:rPr>
                <w:sz w:val="15"/>
              </w:rPr>
              <w:t>Low</w:t>
            </w:r>
          </w:p>
        </w:tc>
        <w:tc>
          <w:tcPr>
            <w:tcW w:type="dxa" w:w="5216"/>
            <w:shd w:val="clear" w:color="auto" w:fill="F1F3F8"/>
          </w:tcPr>
          <w:p>
            <w:pPr>
              <w:spacing w:after="20"/>
            </w:pPr>
            <w:r/>
            <w:r>
              <w:rPr>
                <w:sz w:val="15"/>
              </w:rPr>
              <w:t>Transcripts not accessible; sentiment is headline-based</w:t>
            </w:r>
          </w:p>
        </w:tc>
      </w:tr>
      <w:tr>
        <w:tc>
          <w:tcPr>
            <w:tcW w:type="dxa" w:w="3061"/>
          </w:tcPr>
          <w:p>
            <w:pPr>
              <w:spacing w:after="20"/>
            </w:pPr>
            <w:r/>
            <w:r>
              <w:rPr>
                <w:b/>
                <w:sz w:val="15"/>
              </w:rPr>
              <w:t>Price moves &gt;10%</w:t>
            </w:r>
          </w:p>
        </w:tc>
        <w:tc>
          <w:tcPr>
            <w:tcW w:type="dxa" w:w="1361"/>
          </w:tcPr>
          <w:p>
            <w:pPr>
              <w:spacing w:after="20"/>
            </w:pPr>
            <w:r/>
            <w:r>
              <w:rPr>
                <w:sz w:val="15"/>
              </w:rPr>
              <w:t>Low</w:t>
            </w:r>
          </w:p>
        </w:tc>
        <w:tc>
          <w:tcPr>
            <w:tcW w:type="dxa" w:w="5216"/>
          </w:tcPr>
          <w:p>
            <w:pPr>
              <w:spacing w:after="20"/>
            </w:pPr>
            <w:r/>
            <w:r>
              <w:rPr>
                <w:sz w:val="15"/>
              </w:rPr>
              <w:t>Only one dated; no daily series</w:t>
            </w:r>
          </w:p>
        </w:tc>
      </w:tr>
    </w:tbl>
    <w:p>
      <w:pPr>
        <w:spacing w:after="40"/>
      </w:pPr>
    </w:p>
    <w:p>
      <w:r>
        <w:rPr>
          <w:sz w:val="16"/>
        </w:rPr>
        <w:t>Primary documents to verify (not accessible here): FY3/26 tanshin (data.swcms.net .../140120260512524360.pdf); FY3/26 presentation and Q&amp;A (ir.obayashi.co.jp, news202605131202en and news202605261500en); Q1 FY3/27 tanshin and presentation (auto_20260806512662, news202608071600en); 2025 and 2026 Integrated Reports (ir.obayashi.co.jp/en/ir/data/report/ ... ir2026en.pdf); Medium-Term Plan 2022 addendum (obayashi.co.jp/company/upload/file/mid_term_plan2022_add_J.pdf); AGM notice and voting results (March and June 2026 releases); yuho on EDINET.</w:t>
      </w:r>
    </w:p>
    <w:p>
      <w:r>
        <w:rPr>
          <w:i/>
          <w:color w:val="555F70"/>
          <w:sz w:val="15"/>
        </w:rPr>
        <w:t>This report is research, not investment advice. Figures marked † were not verified against a primary filing. Ticker for Obayashi is 1802 JT (Tokyo Stock Exchange); '1802 JY' in the request has been read as 1802 JT.</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70"/>
        <w:sz w:val="15"/>
      </w:rPr>
      <w:t xml:space="preserve">Obayashi Corporation (1802 JT) - Equity Research | 3 October 2026 | Page </w:t>
    </w:r>
    <w:r>
      <w:rPr>
        <w:color w:val="555F70"/>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eastAsia="Arial"/>
      <w:b/>
      <w:bCs/>
      <w:color w:val="14243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BD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424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