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9.png" ContentType="image/png"/>
  <Override PartName="/word/media/rId365.png" ContentType="image/png"/>
  <Override PartName="/word/media/rId259.png" ContentType="image/png"/>
  <Override PartName="/word/media/rId80.png" ContentType="image/png"/>
  <Override PartName="/word/media/rId369.png" ContentType="image/png"/>
  <Override PartName="/word/media/rId477.png" ContentType="image/png"/>
  <Override PartName="/word/media/rId236.png" ContentType="image/png"/>
  <Override PartName="/word/media/rId319.png" ContentType="image/png"/>
  <Override PartName="/word/media/rId1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Coupang,</w:t>
      </w:r>
      <w:r>
        <w:t xml:space="preserve"> </w:t>
      </w:r>
      <w:r>
        <w:t xml:space="preserve">Inc. (NYSE:</w:t>
      </w:r>
      <w:r>
        <w:t xml:space="preserve"> </w:t>
      </w:r>
      <w:r>
        <w:t xml:space="preserve">CPNG):</w:t>
      </w:r>
      <w:r>
        <w:t xml:space="preserve"> </w:t>
      </w:r>
      <w:r>
        <w:t xml:space="preserve">A</w:t>
      </w:r>
      <w:r>
        <w:t xml:space="preserve"> </w:t>
      </w:r>
      <w:r>
        <w:t xml:space="preserve">temporary</w:t>
      </w:r>
      <w:r>
        <w:t xml:space="preserve"> </w:t>
      </w:r>
      <w:r>
        <w:t xml:space="preserve">glitch,</w:t>
      </w:r>
      <w:r>
        <w:t xml:space="preserve"> </w:t>
      </w:r>
      <w:r>
        <w:t xml:space="preserve">priced</w:t>
      </w:r>
      <w:r>
        <w:t xml:space="preserve"> </w:t>
      </w:r>
      <w:r>
        <w:t xml:space="preserve">as</w:t>
      </w:r>
      <w:r>
        <w:t xml:space="preserve"> </w:t>
      </w:r>
      <w:r>
        <w:t xml:space="preserve">a</w:t>
      </w:r>
      <w:r>
        <w:t xml:space="preserve"> </w:t>
      </w:r>
      <w:r>
        <w:t xml:space="preserve">permanent</w:t>
      </w:r>
      <w:r>
        <w:t xml:space="preserve"> </w:t>
      </w:r>
      <w:r>
        <w:t xml:space="preserve">one</w:t>
      </w:r>
    </w:p>
    <w:p>
      <w:pPr>
        <w:pStyle w:val="Subtitle"/>
      </w:pPr>
      <w:r>
        <w:t xml:space="preserve">Institutional</w:t>
      </w:r>
      <w:r>
        <w:t xml:space="preserve"> </w:t>
      </w:r>
      <w:r>
        <w:t xml:space="preserve">equity</w:t>
      </w:r>
      <w:r>
        <w:t xml:space="preserve"> </w:t>
      </w:r>
      <w:r>
        <w:t xml:space="preserve">research:</w:t>
      </w:r>
      <w:r>
        <w:t xml:space="preserve"> </w:t>
      </w:r>
      <w:r>
        <w:t xml:space="preserve">operations,</w:t>
      </w:r>
      <w:r>
        <w:t xml:space="preserve"> </w:t>
      </w:r>
      <w:r>
        <w:t xml:space="preserve">investment</w:t>
      </w:r>
      <w:r>
        <w:t xml:space="preserve"> </w:t>
      </w:r>
      <w:r>
        <w:t xml:space="preserve">case,</w:t>
      </w:r>
      <w:r>
        <w:t xml:space="preserve"> </w:t>
      </w:r>
      <w:r>
        <w:t xml:space="preserve">valuation,</w:t>
      </w:r>
      <w:r>
        <w:t xml:space="preserve"> </w:t>
      </w:r>
      <w:r>
        <w:t xml:space="preserve">governance</w:t>
      </w:r>
      <w:r>
        <w:t xml:space="preserve"> </w:t>
      </w:r>
      <w:r>
        <w:t xml:space="preserve">and</w:t>
      </w:r>
      <w:r>
        <w:t xml:space="preserve"> </w:t>
      </w:r>
      <w:r>
        <w:t xml:space="preserve">forensic</w:t>
      </w:r>
      <w:r>
        <w:t xml:space="preserve"> </w:t>
      </w:r>
      <w:r>
        <w:t xml:space="preserve">review</w:t>
      </w:r>
    </w:p>
    <w:p>
      <w:pPr>
        <w:pStyle w:val="Date"/>
      </w:pPr>
      <w:r>
        <w:t xml:space="preserve">12</w:t>
      </w:r>
      <w:r>
        <w:t xml:space="preserve"> </w:t>
      </w:r>
      <w:r>
        <w:t xml:space="preserve">October</w:t>
      </w:r>
      <w:r>
        <w:t xml:space="preserve"> </w:t>
      </w:r>
      <w:r>
        <w:t xml:space="preserve">2026</w:t>
      </w:r>
    </w:p>
    <w:p>
      <w:pPr>
        <w:pStyle w:val="Cover"/>
      </w:pPr>
      <w:r>
        <w:rPr>
          <w:bCs/>
          <w:b/>
        </w:rPr>
        <w:t xml:space="preserve">Recommendation: BUY (event-driven, medium conviction) | 12-month target US$21 (+33%) | probability-weighted value US$20.8</w:t>
      </w:r>
    </w:p>
    <w:p>
      <w:pPr>
        <w:pStyle w:val="Cover"/>
      </w:pPr>
      <w:r>
        <w:t xml:space="preserve">Reference price US$15.82 (close 9-Oct-2026; ProntoNLP price series ‡) · 52-week range US$13.35-32.35 ‡ · Market cap ~US$28.5bn [d] · EV ~US$28.0bn [d] · LTM revenue</w:t>
      </w:r>
      <w:r>
        <w:t xml:space="preserve"> </w:t>
      </w:r>
      <w:hyperlink r:id="rId20">
        <w:r>
          <w:rPr>
            <w:rStyle w:val="Hyperlink"/>
          </w:rPr>
          <w:t xml:space="preserve">US$35.5bn</w:t>
        </w:r>
      </w:hyperlink>
      <w:r>
        <w:t xml:space="preserve"> </w:t>
      </w:r>
      <w:r>
        <w:t xml:space="preserve">· LTM EV/Sales 0.79x [d] · Net cash incl. leases</w:t>
      </w:r>
      <w:r>
        <w:t xml:space="preserve"> </w:t>
      </w:r>
      <w:hyperlink r:id="rId20">
        <w:r>
          <w:rPr>
            <w:rStyle w:val="Hyperlink"/>
          </w:rPr>
          <w:t xml:space="preserve">US$0.48bn</w:t>
        </w:r>
      </w:hyperlink>
      <w:r>
        <w:t xml:space="preserve"> </w:t>
      </w:r>
      <w:r>
        <w:t xml:space="preserve">· Dividend: none (</w:t>
      </w:r>
      <w:hyperlink r:id="rId21">
        <w:r>
          <w:rPr>
            <w:rStyle w:val="Hyperlink"/>
          </w:rPr>
          <w:t xml:space="preserve">#1311</w:t>
        </w:r>
      </w:hyperlink>
      <w:r>
        <w:t xml:space="preserve">) · Control: Bom Kim holds 74.1% of votes (</w:t>
      </w:r>
      <w:hyperlink r:id="rId22">
        <w:r>
          <w:rPr>
            <w:rStyle w:val="Hyperlink"/>
          </w:rPr>
          <w:t xml:space="preserve">#1187</w:t>
        </w:r>
      </w:hyperlink>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 data</w:t>
            </w:r>
          </w:p>
        </w:tc>
        <w:tc>
          <w:tcPr/>
          <w:p>
            <w:pPr>
              <w:pStyle w:val="Compact"/>
            </w:pPr>
          </w:p>
        </w:tc>
        <w:tc>
          <w:tcPr/>
          <w:p>
            <w:pPr>
              <w:pStyle w:val="Compact"/>
              <w:jc w:val="left"/>
            </w:pPr>
            <w:r>
              <w:t xml:space="preserve">Key data</w:t>
            </w:r>
          </w:p>
        </w:tc>
        <w:tc>
          <w:tcPr/>
          <w:p>
            <w:pPr>
              <w:pStyle w:val="Compact"/>
            </w:pPr>
          </w:p>
        </w:tc>
      </w:tr>
      <w:tr>
        <w:tc>
          <w:tcPr/>
          <w:p>
            <w:pPr>
              <w:pStyle w:val="Compact"/>
              <w:jc w:val="left"/>
            </w:pPr>
            <w:r>
              <w:t xml:space="preserve">Rating</w:t>
            </w:r>
          </w:p>
        </w:tc>
        <w:tc>
          <w:tcPr/>
          <w:p>
            <w:pPr>
              <w:pStyle w:val="Compact"/>
              <w:jc w:val="left"/>
            </w:pPr>
            <w:r>
              <w:rPr>
                <w:bCs/>
                <w:b/>
              </w:rPr>
              <w:t xml:space="preserve">BUY</w:t>
            </w:r>
            <w:r>
              <w:t xml:space="preserve"> </w:t>
            </w:r>
            <w:r>
              <w:t xml:space="preserve">(event-driven, medium conviction)</w:t>
            </w:r>
          </w:p>
        </w:tc>
        <w:tc>
          <w:tcPr/>
          <w:p>
            <w:pPr>
              <w:pStyle w:val="Compact"/>
              <w:jc w:val="left"/>
            </w:pPr>
            <w:r>
              <w:t xml:space="preserve">12-month target / upside</w:t>
            </w:r>
          </w:p>
        </w:tc>
        <w:tc>
          <w:tcPr/>
          <w:p>
            <w:pPr>
              <w:pStyle w:val="Compact"/>
              <w:jc w:val="left"/>
            </w:pPr>
            <w:r>
              <w:rPr>
                <w:bCs/>
                <w:b/>
              </w:rPr>
              <w:t xml:space="preserve">US$21 / +33%</w:t>
            </w:r>
          </w:p>
        </w:tc>
      </w:tr>
      <w:tr>
        <w:tc>
          <w:tcPr/>
          <w:p>
            <w:pPr>
              <w:pStyle w:val="Compact"/>
              <w:jc w:val="left"/>
            </w:pPr>
            <w:r>
              <w:t xml:space="preserve">Price (9-Oct-2026) ‡</w:t>
            </w:r>
          </w:p>
        </w:tc>
        <w:tc>
          <w:tcPr/>
          <w:p>
            <w:pPr>
              <w:pStyle w:val="Compact"/>
              <w:jc w:val="left"/>
            </w:pPr>
            <w:r>
              <w:t xml:space="preserve">US$15.82</w:t>
            </w:r>
          </w:p>
        </w:tc>
        <w:tc>
          <w:tcPr/>
          <w:p>
            <w:pPr>
              <w:pStyle w:val="Compact"/>
              <w:jc w:val="left"/>
            </w:pPr>
            <w:r>
              <w:t xml:space="preserve">Bear / base / bull</w:t>
            </w:r>
          </w:p>
        </w:tc>
        <w:tc>
          <w:tcPr/>
          <w:p>
            <w:pPr>
              <w:pStyle w:val="Compact"/>
              <w:jc w:val="left"/>
            </w:pPr>
            <w:r>
              <w:t xml:space="preserve">US$9.5 / 21.0 / 31.7</w:t>
            </w:r>
          </w:p>
        </w:tc>
      </w:tr>
      <w:tr>
        <w:tc>
          <w:tcPr/>
          <w:p>
            <w:pPr>
              <w:pStyle w:val="Compact"/>
              <w:jc w:val="left"/>
            </w:pPr>
            <w:r>
              <w:t xml:space="preserve">Market cap [d]</w:t>
            </w:r>
          </w:p>
        </w:tc>
        <w:tc>
          <w:tcPr/>
          <w:p>
            <w:pPr>
              <w:pStyle w:val="Compact"/>
              <w:jc w:val="left"/>
            </w:pPr>
            <w:r>
              <w:t xml:space="preserve">~US$28.5bn</w:t>
            </w:r>
          </w:p>
        </w:tc>
        <w:tc>
          <w:tcPr/>
          <w:p>
            <w:pPr>
              <w:pStyle w:val="Compact"/>
              <w:jc w:val="left"/>
            </w:pPr>
            <w:r>
              <w:t xml:space="preserve">EV [d]</w:t>
            </w:r>
          </w:p>
        </w:tc>
        <w:tc>
          <w:tcPr/>
          <w:p>
            <w:pPr>
              <w:pStyle w:val="Compact"/>
              <w:jc w:val="left"/>
            </w:pPr>
            <w:r>
              <w:t xml:space="preserve">~US$28.0bn</w:t>
            </w:r>
          </w:p>
        </w:tc>
      </w:tr>
      <w:tr>
        <w:tc>
          <w:tcPr/>
          <w:p>
            <w:pPr>
              <w:pStyle w:val="Compact"/>
              <w:jc w:val="left"/>
            </w:pPr>
            <w:r>
              <w:t xml:space="preserve">LTM revenue</w:t>
            </w:r>
          </w:p>
        </w:tc>
        <w:tc>
          <w:tcPr/>
          <w:p>
            <w:pPr>
              <w:pStyle w:val="Compact"/>
              <w:jc w:val="left"/>
            </w:pPr>
            <w:hyperlink r:id="rId20">
              <w:r>
                <w:rPr>
                  <w:rStyle w:val="Hyperlink"/>
                </w:rPr>
                <w:t xml:space="preserve">US$35.5bn</w:t>
              </w:r>
            </w:hyperlink>
          </w:p>
        </w:tc>
        <w:tc>
          <w:tcPr/>
          <w:p>
            <w:pPr>
              <w:pStyle w:val="Compact"/>
              <w:jc w:val="left"/>
            </w:pPr>
            <w:r>
              <w:t xml:space="preserve">LTM EV/Sales [d]</w:t>
            </w:r>
          </w:p>
        </w:tc>
        <w:tc>
          <w:tcPr/>
          <w:p>
            <w:pPr>
              <w:pStyle w:val="Compact"/>
              <w:jc w:val="left"/>
            </w:pPr>
            <w:r>
              <w:t xml:space="preserve">0.79x (peer median 1.29x)</w:t>
            </w:r>
          </w:p>
        </w:tc>
      </w:tr>
      <w:tr>
        <w:tc>
          <w:tcPr/>
          <w:p>
            <w:pPr>
              <w:pStyle w:val="Compact"/>
              <w:jc w:val="left"/>
            </w:pPr>
            <w:r>
              <w:t xml:space="preserve">FY27E / FY28E GAAP EPS [e]</w:t>
            </w:r>
          </w:p>
        </w:tc>
        <w:tc>
          <w:tcPr/>
          <w:p>
            <w:pPr>
              <w:pStyle w:val="Compact"/>
              <w:jc w:val="left"/>
            </w:pPr>
            <w:r>
              <w:t xml:space="preserve">US$0.14 / US$0.42</w:t>
            </w:r>
          </w:p>
        </w:tc>
        <w:tc>
          <w:tcPr/>
          <w:p>
            <w:pPr>
              <w:pStyle w:val="Compact"/>
              <w:jc w:val="left"/>
            </w:pPr>
            <w:r>
              <w:t xml:space="preserve">FY28E EV/adj. EBITDA [e]</w:t>
            </w:r>
          </w:p>
        </w:tc>
        <w:tc>
          <w:tcPr/>
          <w:p>
            <w:pPr>
              <w:pStyle w:val="Compact"/>
              <w:jc w:val="left"/>
            </w:pPr>
            <w:r>
              <w:t xml:space="preserve">10.7x</w:t>
            </w:r>
          </w:p>
        </w:tc>
      </w:tr>
      <w:tr>
        <w:tc>
          <w:tcPr/>
          <w:p>
            <w:pPr>
              <w:pStyle w:val="Compact"/>
              <w:jc w:val="left"/>
            </w:pPr>
            <w:r>
              <w:t xml:space="preserve">Next catalyst</w:t>
            </w:r>
          </w:p>
        </w:tc>
        <w:tc>
          <w:tcPr/>
          <w:p>
            <w:pPr>
              <w:pStyle w:val="Compact"/>
              <w:jc w:val="left"/>
            </w:pPr>
            <w:r>
              <w:t xml:space="preserve">Q3’26 results, 3-Nov-2026</w:t>
            </w:r>
          </w:p>
        </w:tc>
        <w:tc>
          <w:tcPr/>
          <w:p>
            <w:pPr>
              <w:pStyle w:val="Compact"/>
              <w:jc w:val="left"/>
            </w:pPr>
            <w:r>
              <w:t xml:space="preserve">Founder voting control</w:t>
            </w:r>
          </w:p>
        </w:tc>
        <w:tc>
          <w:tcPr/>
          <w:p>
            <w:pPr>
              <w:pStyle w:val="Compact"/>
              <w:jc w:val="left"/>
            </w:pPr>
            <w:r>
              <w:t xml:space="preserve">74.1% (</w:t>
            </w:r>
            <w:hyperlink r:id="rId22">
              <w:r>
                <w:rPr>
                  <w:rStyle w:val="Hyperlink"/>
                </w:rPr>
                <w:t xml:space="preserve">#1187</w:t>
              </w:r>
            </w:hyperlink>
            <w:r>
              <w:t xml:space="preserve">)</w:t>
            </w:r>
          </w:p>
        </w:tc>
      </w:tr>
    </w:tbl>
    <w:p>
      <w:pPr>
        <w:pStyle w:val="BodyText"/>
      </w:pPr>
      <w:r>
        <w:rPr>
          <w:bCs/>
          <w:b/>
        </w:rPr>
        <w:t xml:space="preserve">Ticker note.</w:t>
      </w:r>
      <w:r>
        <w:t xml:space="preserve"> </w:t>
      </w:r>
      <w:r>
        <w:t xml:space="preserve">The request referenced</w:t>
      </w:r>
      <w:r>
        <w:t xml:space="preserve"> </w:t>
      </w:r>
      <w:r>
        <w:t xml:space="preserve">“</w:t>
      </w:r>
      <w:r>
        <w:t xml:space="preserve">CPHG US</w:t>
      </w:r>
      <w:r>
        <w:t xml:space="preserve">”</w:t>
      </w:r>
      <w:r>
        <w:t xml:space="preserve">. The only match for Coupang in both S&amp;P Capital IQ (CIQ ID C_704377650, NYSE:CPNG) and ProntoNLP (</w:t>
      </w:r>
      <w:hyperlink r:id="rId23">
        <w:r>
          <w:rPr>
            <w:rStyle w:val="Hyperlink"/>
          </w:rPr>
          <w:t xml:space="preserve">Coupang, Inc. (CPNG)</w:t>
        </w:r>
      </w:hyperlink>
      <w:r>
        <w:t xml:space="preserve">) is</w:t>
      </w:r>
      <w:r>
        <w:t xml:space="preserve"> </w:t>
      </w:r>
      <w:r>
        <w:rPr>
          <w:bCs/>
          <w:b/>
        </w:rPr>
        <w:t xml:space="preserve">NYSE: CPNG</w:t>
      </w:r>
      <w:r>
        <w:t xml:space="preserve">, which this report covers.</w:t>
      </w:r>
    </w:p>
    <w:p>
      <w:pPr>
        <w:pStyle w:val="BodyText"/>
      </w:pPr>
      <w:r>
        <w:rPr>
          <w:bCs/>
          <w:b/>
        </w:rPr>
        <w:t xml:space="preserve">Conventions.</w:t>
      </w:r>
      <w:r>
        <w:t xml:space="preserve"> </w:t>
      </w:r>
      <w:r>
        <w:t xml:space="preserve">Every figure is hyperlinked to its S&amp;P Capital IQ document or ProntoNLP sentence where the tool returned a link. ‡ = figure returned by the tool without a source link (</w:t>
      </w:r>
      <w:r>
        <w:t xml:space="preserve">“</w:t>
      </w:r>
      <w:r>
        <w:t xml:space="preserve">source link unavailable</w:t>
      </w:r>
      <w:r>
        <w:t xml:space="preserve">”</w:t>
      </w:r>
      <w:r>
        <w:t xml:space="preserve">). [d] = analyst derivation from cited inputs. [e] = analyst estimate. [u] = unverified: not found in S&amp;P/ProntoNLP, shown for context only. Currency is US$ unless stated; FY = December year-end. Data cut-off: S&amp;P FY2025 annual and Q2’26 quarterly statements; ProntoNLP transcripts to the Q2’26 call (4-Aug-2026); prices to 9-Oct-2026. No web browsing or non-S&amp;P/ProntoNLP sources were used. A separate data-provenance document logs every tool call.</w:t>
      </w:r>
    </w:p>
    <w:p>
      <w:r>
        <w:br w:type="page"/>
      </w:r>
    </w:p>
    <w:bookmarkStart w:id="66" w:name="executive-summary"/>
    <w:p>
      <w:pPr>
        <w:pStyle w:val="Heading1"/>
      </w:pPr>
      <w:r>
        <w:t xml:space="preserve">1. Executive summary</w:t>
      </w:r>
    </w:p>
    <w:p>
      <w:pPr>
        <w:pStyle w:val="FirstParagraph"/>
      </w:pPr>
      <w:r>
        <w:rPr>
          <w:bCs/>
          <w:b/>
        </w:rPr>
        <w:t xml:space="preserve">The debate.</w:t>
      </w:r>
      <w:r>
        <w:t xml:space="preserve"> </w:t>
      </w:r>
      <w:r>
        <w:t xml:space="preserve">On 18-Nov-2025 Coupang discovered that a former employee had accessed personal data on up to 33 million customer accounts (</w:t>
      </w:r>
      <w:hyperlink r:id="rId24">
        <w:r>
          <w:rPr>
            <w:rStyle w:val="Hyperlink"/>
          </w:rPr>
          <w:t xml:space="preserve">#0</w:t>
        </w:r>
      </w:hyperlink>
      <w:r>
        <w:t xml:space="preserve">,</w:t>
      </w:r>
      <w:r>
        <w:t xml:space="preserve"> </w:t>
      </w:r>
      <w:hyperlink r:id="rId25">
        <w:r>
          <w:rPr>
            <w:rStyle w:val="Hyperlink"/>
          </w:rPr>
          <w:t xml:space="preserve">#2</w:t>
        </w:r>
      </w:hyperlink>
      <w:r>
        <w:t xml:space="preserve">). Since then the shares have fallen 61% from the September-2025 high of US$34.08 to a low of US$13.35 (2-Oct-2026) ‡. The Asian Century Stocks newsletter (11-Oct-2026,</w:t>
      </w:r>
      <w:r>
        <w:t xml:space="preserve"> </w:t>
      </w:r>
      <w:r>
        <w:t xml:space="preserve">“</w:t>
      </w:r>
      <w:r>
        <w:t xml:space="preserve">A temporary glitch?</w:t>
      </w:r>
      <w:r>
        <w:t xml:space="preserve">”</w:t>
      </w:r>
      <w:r>
        <w:t xml:space="preserve">) asks whether this is a Vernon-style</w:t>
      </w:r>
      <w:r>
        <w:t xml:space="preserve"> </w:t>
      </w:r>
      <w:r>
        <w:t xml:space="preserve">“</w:t>
      </w:r>
      <w:r>
        <w:t xml:space="preserve">glitch</w:t>
      </w:r>
      <w:r>
        <w:t xml:space="preserve">”</w:t>
      </w:r>
      <w:r>
        <w:t xml:space="preserve">, a temporary market overreaction, or a lasting change. Our answer:</w:t>
      </w:r>
      <w:r>
        <w:t xml:space="preserve"> </w:t>
      </w:r>
      <w:r>
        <w:rPr>
          <w:bCs/>
          <w:b/>
        </w:rPr>
        <w:t xml:space="preserve">at the customer level the evidence says glitch; at the P&amp;L, balance-sheet and regulatory level the damage is real but finite and mostly priced.</w:t>
      </w:r>
    </w:p>
    <w:p>
      <w:pPr>
        <w:pStyle w:val="BodyText"/>
      </w:pPr>
      <w:r>
        <w:rPr>
          <w:bCs/>
          <w:b/>
        </w:rPr>
        <w:t xml:space="preserve">What the data shows</w:t>
      </w:r>
    </w:p>
    <w:p>
      <w:pPr>
        <w:numPr>
          <w:ilvl w:val="0"/>
          <w:numId w:val="1001"/>
        </w:numPr>
        <w:pStyle w:val="Compact"/>
      </w:pPr>
      <w:r>
        <w:rPr>
          <w:bCs/>
          <w:b/>
        </w:rPr>
        <w:t xml:space="preserve">Customers came back.</w:t>
      </w:r>
    </w:p>
    <w:p>
      <w:pPr>
        <w:numPr>
          <w:ilvl w:val="1"/>
          <w:numId w:val="1002"/>
        </w:numPr>
        <w:pStyle w:val="Compact"/>
      </w:pPr>
      <w:r>
        <w:t xml:space="preserve">Product Commerce active customers recovered to</w:t>
      </w:r>
      <w:r>
        <w:t xml:space="preserve"> </w:t>
      </w:r>
      <w:hyperlink r:id="rId26">
        <w:r>
          <w:rPr>
            <w:rStyle w:val="Hyperlink"/>
          </w:rPr>
          <w:t xml:space="preserve">24.7m</w:t>
        </w:r>
      </w:hyperlink>
      <w:r>
        <w:t xml:space="preserve"> </w:t>
      </w:r>
      <w:r>
        <w:t xml:space="preserve">in Q2’26, above the Q4’25 level.</w:t>
      </w:r>
    </w:p>
    <w:p>
      <w:pPr>
        <w:numPr>
          <w:ilvl w:val="1"/>
          <w:numId w:val="1002"/>
        </w:numPr>
        <w:pStyle w:val="Compact"/>
      </w:pPr>
      <w:r>
        <w:t xml:space="preserve">WOW membership is above pre-incident levels and at an all-time high (</w:t>
      </w:r>
      <w:hyperlink r:id="rId27">
        <w:r>
          <w:rPr>
            <w:rStyle w:val="Hyperlink"/>
          </w:rPr>
          <w:t xml:space="preserve">#39</w:t>
        </w:r>
      </w:hyperlink>
      <w:r>
        <w:t xml:space="preserve">,</w:t>
      </w:r>
      <w:r>
        <w:t xml:space="preserve"> </w:t>
      </w:r>
      <w:hyperlink r:id="rId28">
        <w:r>
          <w:rPr>
            <w:rStyle w:val="Hyperlink"/>
          </w:rPr>
          <w:t xml:space="preserve">#271</w:t>
        </w:r>
      </w:hyperlink>
      <w:r>
        <w:t xml:space="preserve">).</w:t>
      </w:r>
    </w:p>
    <w:p>
      <w:pPr>
        <w:numPr>
          <w:ilvl w:val="1"/>
          <w:numId w:val="1002"/>
        </w:numPr>
        <w:pStyle w:val="Compact"/>
      </w:pPr>
      <w:r>
        <w:t xml:space="preserve">Returners skew to higher spenders and</w:t>
      </w:r>
      <w:r>
        <w:t xml:space="preserve"> </w:t>
      </w:r>
      <w:r>
        <w:t xml:space="preserve">“</w:t>
      </w:r>
      <w:r>
        <w:t xml:space="preserve">have not split that spend with other alternatives</w:t>
      </w:r>
      <w:r>
        <w:t xml:space="preserve">”</w:t>
      </w:r>
      <w:r>
        <w:t xml:space="preserve"> </w:t>
      </w:r>
      <w:r>
        <w:t xml:space="preserve">(</w:t>
      </w:r>
      <w:hyperlink r:id="rId29">
        <w:r>
          <w:rPr>
            <w:rStyle w:val="Hyperlink"/>
          </w:rPr>
          <w:t xml:space="preserve">#268</w:t>
        </w:r>
      </w:hyperlink>
      <w:r>
        <w:t xml:space="preserve">).</w:t>
      </w:r>
    </w:p>
    <w:p>
      <w:pPr>
        <w:numPr>
          <w:ilvl w:val="1"/>
          <w:numId w:val="1002"/>
        </w:numPr>
        <w:pStyle w:val="Compact"/>
      </w:pPr>
      <w:r>
        <w:t xml:space="preserve">Spend excluding non-returning customers grew ~16% against 8% reported Product Commerce growth (</w:t>
      </w:r>
      <w:hyperlink r:id="rId30">
        <w:r>
          <w:rPr>
            <w:rStyle w:val="Hyperlink"/>
          </w:rPr>
          <w:t xml:space="preserve">#43</w:t>
        </w:r>
      </w:hyperlink>
      <w:r>
        <w:t xml:space="preserve">). This is a company-defined metric.</w:t>
      </w:r>
    </w:p>
    <w:p>
      <w:pPr>
        <w:numPr>
          <w:ilvl w:val="0"/>
          <w:numId w:val="1001"/>
        </w:numPr>
        <w:pStyle w:val="Compact"/>
      </w:pPr>
      <w:r>
        <w:rPr>
          <w:bCs/>
          <w:b/>
        </w:rPr>
        <w:t xml:space="preserve">Margins did not come back yet.</w:t>
      </w:r>
    </w:p>
    <w:p>
      <w:pPr>
        <w:numPr>
          <w:ilvl w:val="1"/>
          <w:numId w:val="1003"/>
        </w:numPr>
        <w:pStyle w:val="Compact"/>
      </w:pPr>
      <w:r>
        <w:t xml:space="preserve">Product Commerce adjusted EBITDA margin fell from</w:t>
      </w:r>
      <w:r>
        <w:t xml:space="preserve"> </w:t>
      </w:r>
      <w:hyperlink r:id="rId31">
        <w:r>
          <w:rPr>
            <w:rStyle w:val="Hyperlink"/>
          </w:rPr>
          <w:t xml:space="preserve">8.8%</w:t>
        </w:r>
      </w:hyperlink>
      <w:r>
        <w:t xml:space="preserve"> </w:t>
      </w:r>
      <w:r>
        <w:t xml:space="preserve">(Q3’25) to</w:t>
      </w:r>
      <w:r>
        <w:t xml:space="preserve"> </w:t>
      </w:r>
      <w:hyperlink r:id="rId32">
        <w:r>
          <w:rPr>
            <w:rStyle w:val="Hyperlink"/>
          </w:rPr>
          <w:t xml:space="preserve">5.1%</w:t>
        </w:r>
      </w:hyperlink>
      <w:r>
        <w:t xml:space="preserve"> </w:t>
      </w:r>
      <w:r>
        <w:t xml:space="preserve">(Q2’26).</w:t>
      </w:r>
    </w:p>
    <w:p>
      <w:pPr>
        <w:numPr>
          <w:ilvl w:val="1"/>
          <w:numId w:val="1003"/>
        </w:numPr>
        <w:pStyle w:val="Compact"/>
      </w:pPr>
      <w:r>
        <w:t xml:space="preserve">Consolidated adjusted EBITDA margin fell from</w:t>
      </w:r>
      <w:r>
        <w:t xml:space="preserve"> </w:t>
      </w:r>
      <w:hyperlink r:id="rId33">
        <w:r>
          <w:rPr>
            <w:rStyle w:val="Hyperlink"/>
          </w:rPr>
          <w:t xml:space="preserve">4.5%</w:t>
        </w:r>
      </w:hyperlink>
      <w:r>
        <w:t xml:space="preserve"> </w:t>
      </w:r>
      <w:r>
        <w:t xml:space="preserve">to</w:t>
      </w:r>
      <w:r>
        <w:t xml:space="preserve"> </w:t>
      </w:r>
      <w:hyperlink r:id="rId34">
        <w:r>
          <w:rPr>
            <w:rStyle w:val="Hyperlink"/>
          </w:rPr>
          <w:t xml:space="preserve">1.8%</w:t>
        </w:r>
      </w:hyperlink>
      <w:r>
        <w:t xml:space="preserve">.</w:t>
      </w:r>
    </w:p>
    <w:p>
      <w:pPr>
        <w:numPr>
          <w:ilvl w:val="1"/>
          <w:numId w:val="1003"/>
        </w:numPr>
        <w:pStyle w:val="Compact"/>
      </w:pPr>
      <w:r>
        <w:t xml:space="preserve">GAAP operating losses were</w:t>
      </w:r>
      <w:r>
        <w:t xml:space="preserve"> </w:t>
      </w:r>
      <w:hyperlink r:id="rId35">
        <w:r>
          <w:rPr>
            <w:rStyle w:val="Hyperlink"/>
          </w:rPr>
          <w:t xml:space="preserve">-US$242m</w:t>
        </w:r>
      </w:hyperlink>
      <w:r>
        <w:t xml:space="preserve"> </w:t>
      </w:r>
      <w:r>
        <w:t xml:space="preserve">in Q1’26 and</w:t>
      </w:r>
      <w:r>
        <w:t xml:space="preserve"> </w:t>
      </w:r>
      <w:hyperlink r:id="rId36">
        <w:r>
          <w:rPr>
            <w:rStyle w:val="Hyperlink"/>
          </w:rPr>
          <w:t xml:space="preserve">-US$556m</w:t>
        </w:r>
      </w:hyperlink>
      <w:r>
        <w:t xml:space="preserve"> </w:t>
      </w:r>
      <w:r>
        <w:t xml:space="preserve">in Q2’26. Q2 includes ~US$410m of privacy fines (</w:t>
      </w:r>
      <w:hyperlink r:id="rId37">
        <w:r>
          <w:rPr>
            <w:rStyle w:val="Hyperlink"/>
          </w:rPr>
          <w:t xml:space="preserve">#8</w:t>
        </w:r>
      </w:hyperlink>
      <w:r>
        <w:t xml:space="preserve">).</w:t>
      </w:r>
    </w:p>
    <w:p>
      <w:pPr>
        <w:numPr>
          <w:ilvl w:val="1"/>
          <w:numId w:val="1003"/>
        </w:numPr>
        <w:pStyle w:val="Compact"/>
      </w:pPr>
      <w:r>
        <w:t xml:space="preserve">Management now targets pre-incident Product Commerce margins</w:t>
      </w:r>
      <w:r>
        <w:t xml:space="preserve"> </w:t>
      </w:r>
      <w:r>
        <w:t xml:space="preserve">“</w:t>
      </w:r>
      <w:r>
        <w:t xml:space="preserve">by mid-2027</w:t>
      </w:r>
      <w:r>
        <w:t xml:space="preserve">”</w:t>
      </w:r>
      <w:r>
        <w:t xml:space="preserve"> </w:t>
      </w:r>
      <w:r>
        <w:t xml:space="preserve">(</w:t>
      </w:r>
      <w:hyperlink r:id="rId38">
        <w:r>
          <w:rPr>
            <w:rStyle w:val="Hyperlink"/>
          </w:rPr>
          <w:t xml:space="preserve">#220</w:t>
        </w:r>
      </w:hyperlink>
      <w:r>
        <w:t xml:space="preserve">). The recovery date has slipped once already.</w:t>
      </w:r>
    </w:p>
    <w:p>
      <w:pPr>
        <w:numPr>
          <w:ilvl w:val="0"/>
          <w:numId w:val="1001"/>
        </w:numPr>
        <w:pStyle w:val="Compact"/>
      </w:pPr>
      <w:r>
        <w:rPr>
          <w:bCs/>
          <w:b/>
        </w:rPr>
        <w:t xml:space="preserve">Reported USD numbers understate the business.</w:t>
      </w:r>
    </w:p>
    <w:p>
      <w:pPr>
        <w:numPr>
          <w:ilvl w:val="1"/>
          <w:numId w:val="1004"/>
        </w:numPr>
        <w:pStyle w:val="Compact"/>
      </w:pPr>
      <w:r>
        <w:t xml:space="preserve">The KRW hit a 15-year-plus low in Q2’26 (</w:t>
      </w:r>
      <w:hyperlink r:id="rId39">
        <w:r>
          <w:rPr>
            <w:rStyle w:val="Hyperlink"/>
          </w:rPr>
          <w:t xml:space="preserve">#150</w:t>
        </w:r>
      </w:hyperlink>
      <w:r>
        <w:t xml:space="preserve">) and took 7pts off Product Commerce growth (</w:t>
      </w:r>
      <w:hyperlink r:id="rId40">
        <w:r>
          <w:rPr>
            <w:rStyle w:val="Hyperlink"/>
          </w:rPr>
          <w:t xml:space="preserve">#60</w:t>
        </w:r>
      </w:hyperlink>
      <w:r>
        <w:t xml:space="preserve">).</w:t>
      </w:r>
    </w:p>
    <w:p>
      <w:pPr>
        <w:numPr>
          <w:ilvl w:val="1"/>
          <w:numId w:val="1004"/>
        </w:numPr>
        <w:pStyle w:val="Compact"/>
      </w:pPr>
      <w:r>
        <w:t xml:space="preserve">Consolidated revenue grew +10% in constant currency but +4% in USD (</w:t>
      </w:r>
      <w:hyperlink r:id="rId41">
        <w:r>
          <w:rPr>
            <w:rStyle w:val="Hyperlink"/>
          </w:rPr>
          <w:t xml:space="preserve">#180</w:t>
        </w:r>
      </w:hyperlink>
      <w:r>
        <w:t xml:space="preserve">).</w:t>
      </w:r>
    </w:p>
    <w:p>
      <w:pPr>
        <w:numPr>
          <w:ilvl w:val="1"/>
          <w:numId w:val="1004"/>
        </w:numPr>
        <w:pStyle w:val="Compact"/>
      </w:pPr>
      <w:r>
        <w:t xml:space="preserve">The ~US$1.2bn customer voucher programme was netted against revenue. Redemption ended mid-April 2026 (</w:t>
      </w:r>
      <w:hyperlink r:id="rId42">
        <w:r>
          <w:rPr>
            <w:rStyle w:val="Hyperlink"/>
          </w:rPr>
          <w:t xml:space="preserve">#16</w:t>
        </w:r>
      </w:hyperlink>
      <w:r>
        <w:t xml:space="preserve">,</w:t>
      </w:r>
      <w:r>
        <w:t xml:space="preserve"> </w:t>
      </w:r>
      <w:hyperlink r:id="rId43">
        <w:r>
          <w:rPr>
            <w:rStyle w:val="Hyperlink"/>
          </w:rPr>
          <w:t xml:space="preserve">#17</w:t>
        </w:r>
      </w:hyperlink>
      <w:r>
        <w:t xml:space="preserve">), which flatters 2027 comparisons.</w:t>
      </w:r>
    </w:p>
    <w:p>
      <w:pPr>
        <w:numPr>
          <w:ilvl w:val="0"/>
          <w:numId w:val="1001"/>
        </w:numPr>
        <w:pStyle w:val="Compact"/>
      </w:pPr>
      <w:r>
        <w:rPr>
          <w:bCs/>
          <w:b/>
        </w:rPr>
        <w:t xml:space="preserve">Valuation is near a five-year low on sales but not on earnings.</w:t>
      </w:r>
    </w:p>
    <w:p>
      <w:pPr>
        <w:numPr>
          <w:ilvl w:val="1"/>
          <w:numId w:val="1005"/>
        </w:numPr>
        <w:pStyle w:val="Compact"/>
      </w:pPr>
      <w:r>
        <w:t xml:space="preserve">LTM EV/Sales is 0.79x [d], against year-end readings of 1.10-1.29x in 2022-25 [d] and a peer median of 1.29x.</w:t>
      </w:r>
    </w:p>
    <w:p>
      <w:pPr>
        <w:numPr>
          <w:ilvl w:val="1"/>
          <w:numId w:val="1005"/>
        </w:numPr>
        <w:pStyle w:val="Compact"/>
      </w:pPr>
      <w:r>
        <w:t xml:space="preserve">EV/EBITDA and P/E are optically high on trough earnings.</w:t>
      </w:r>
    </w:p>
    <w:p>
      <w:pPr>
        <w:numPr>
          <w:ilvl w:val="1"/>
          <w:numId w:val="1005"/>
        </w:numPr>
        <w:pStyle w:val="Compact"/>
      </w:pPr>
      <w:r>
        <w:t xml:space="preserve">On our EV/Sales vs EBIT-margin regression across 14 listed peers, CPNG sits on the line. The market is valuing Coupang as if today’s ~1-2% margins are permanent.</w:t>
      </w:r>
    </w:p>
    <w:p>
      <w:pPr>
        <w:pStyle w:val="FirstParagraph"/>
      </w:pPr>
      <w:r>
        <w:rPr>
          <w:bCs/>
          <w:b/>
        </w:rPr>
        <w:t xml:space="preserve">Why BUY now (event-driven framing)</w:t>
      </w:r>
    </w:p>
    <w:p>
      <w:pPr>
        <w:numPr>
          <w:ilvl w:val="0"/>
          <w:numId w:val="1006"/>
        </w:numPr>
        <w:pStyle w:val="Compact"/>
      </w:pPr>
      <w:r>
        <w:rPr>
          <w:bCs/>
          <w:b/>
        </w:rPr>
        <w:t xml:space="preserve">Catalysts.</w:t>
      </w:r>
      <w:r>
        <w:t xml:space="preserve"> </w:t>
      </w:r>
      <w:r>
        <w:t xml:space="preserve">The Q3’26 print is on 3-Nov-2026 (</w:t>
      </w:r>
      <w:hyperlink r:id="rId44">
        <w:r>
          <w:rPr>
            <w:rStyle w:val="Hyperlink"/>
          </w:rPr>
          <w:t xml:space="preserve">Q3 2026 Earnings Call</w:t>
        </w:r>
      </w:hyperlink>
      <w:r>
        <w:t xml:space="preserve">). 2027 guidance is promised</w:t>
      </w:r>
      <w:r>
        <w:t xml:space="preserve"> </w:t>
      </w:r>
      <w:r>
        <w:t xml:space="preserve">“</w:t>
      </w:r>
      <w:r>
        <w:t xml:space="preserve">towards the end of the year</w:t>
      </w:r>
      <w:r>
        <w:t xml:space="preserve">”</w:t>
      </w:r>
      <w:r>
        <w:t xml:space="preserve"> </w:t>
      </w:r>
      <w:r>
        <w:t xml:space="preserve">(</w:t>
      </w:r>
      <w:hyperlink r:id="rId45">
        <w:r>
          <w:rPr>
            <w:rStyle w:val="Hyperlink"/>
          </w:rPr>
          <w:t xml:space="preserve">#221</w:t>
        </w:r>
      </w:hyperlink>
      <w:r>
        <w:t xml:space="preserve">). The KFTC Eats-WOW bundling decision is pending (</w:t>
      </w:r>
      <w:hyperlink r:id="rId46">
        <w:r>
          <w:rPr>
            <w:rStyle w:val="Hyperlink"/>
          </w:rPr>
          <w:t xml:space="preserve">#452</w:t>
        </w:r>
      </w:hyperlink>
      <w:r>
        <w:t xml:space="preserve">).</w:t>
      </w:r>
    </w:p>
    <w:p>
      <w:pPr>
        <w:numPr>
          <w:ilvl w:val="0"/>
          <w:numId w:val="1006"/>
        </w:numPr>
        <w:pStyle w:val="Compact"/>
      </w:pPr>
      <w:r>
        <w:rPr>
          <w:bCs/>
          <w:b/>
        </w:rPr>
        <w:t xml:space="preserve">Downside cushion.</w:t>
      </w:r>
      <w:r>
        <w:t xml:space="preserve"> </w:t>
      </w:r>
      <w:r>
        <w:t xml:space="preserve">Large buybacks: 43.7m shares (US$850m) in H1’26 (</w:t>
      </w:r>
      <w:hyperlink r:id="rId47">
        <w:r>
          <w:rPr>
            <w:rStyle w:val="Hyperlink"/>
          </w:rPr>
          <w:t xml:space="preserve">#369</w:t>
        </w:r>
      </w:hyperlink>
      <w:r>
        <w:t xml:space="preserve">), with US$907m of authorisation remaining (</w:t>
      </w:r>
      <w:hyperlink r:id="rId48">
        <w:r>
          <w:rPr>
            <w:rStyle w:val="Hyperlink"/>
          </w:rPr>
          <w:t xml:space="preserve">#140</w:t>
        </w:r>
      </w:hyperlink>
      <w:r>
        <w:t xml:space="preserve">).</w:t>
      </w:r>
    </w:p>
    <w:p>
      <w:pPr>
        <w:numPr>
          <w:ilvl w:val="0"/>
          <w:numId w:val="1006"/>
        </w:numPr>
        <w:pStyle w:val="Compact"/>
      </w:pPr>
      <w:r>
        <w:rPr>
          <w:bCs/>
          <w:b/>
        </w:rPr>
        <w:t xml:space="preserve">Asymmetry.</w:t>
      </w:r>
      <w:r>
        <w:t xml:space="preserve"> </w:t>
      </w:r>
      <w:r>
        <w:t xml:space="preserve">Bear US$9.5 (-40%) / base US$21.0 (+33%) / bull US$31.7 (+100%), weighted 25/50/25. The probability-weighted value is US$20.8 (+31%) [e].</w:t>
      </w:r>
    </w:p>
    <w:p>
      <w:pPr>
        <w:pStyle w:val="FirstParagraph"/>
      </w:pPr>
      <w:r>
        <w:rPr>
          <w:bCs/>
          <w:b/>
        </w:rPr>
        <w:t xml:space="preserve">What must go right</w:t>
      </w:r>
    </w:p>
    <w:p>
      <w:pPr>
        <w:numPr>
          <w:ilvl w:val="0"/>
          <w:numId w:val="1007"/>
        </w:numPr>
        <w:pStyle w:val="Compact"/>
      </w:pPr>
      <w:r>
        <w:t xml:space="preserve">Product Commerce margin recovers toward ~8% through 2027.</w:t>
      </w:r>
    </w:p>
    <w:p>
      <w:pPr>
        <w:numPr>
          <w:ilvl w:val="0"/>
          <w:numId w:val="1007"/>
        </w:numPr>
        <w:pStyle w:val="Compact"/>
      </w:pPr>
      <w:r>
        <w:t xml:space="preserve">Developing Offerings losses fall from US$950m-1bn in 2026 (</w:t>
      </w:r>
      <w:hyperlink r:id="rId49">
        <w:r>
          <w:rPr>
            <w:rStyle w:val="Hyperlink"/>
          </w:rPr>
          <w:t xml:space="preserve">#223</w:t>
        </w:r>
      </w:hyperlink>
      <w:r>
        <w:t xml:space="preserve">).</w:t>
      </w:r>
    </w:p>
    <w:p>
      <w:pPr>
        <w:numPr>
          <w:ilvl w:val="0"/>
          <w:numId w:val="1007"/>
        </w:numPr>
        <w:pStyle w:val="Compact"/>
      </w:pPr>
      <w:r>
        <w:t xml:space="preserve">No forced Eats-WOW unbundling or night-delivery ban.</w:t>
      </w:r>
    </w:p>
    <w:p>
      <w:pPr>
        <w:numPr>
          <w:ilvl w:val="0"/>
          <w:numId w:val="1007"/>
        </w:numPr>
        <w:pStyle w:val="Compact"/>
      </w:pPr>
      <w:r>
        <w:t xml:space="preserve">Merchant settlement-period rules from Dec-2026 do not unwind much of the negative-working-capital float (</w:t>
      </w:r>
      <w:hyperlink r:id="rId50">
        <w:r>
          <w:rPr>
            <w:rStyle w:val="Hyperlink"/>
          </w:rPr>
          <w:t xml:space="preserve">#619</w:t>
        </w:r>
      </w:hyperlink>
      <w:r>
        <w:t xml:space="preserve">).</w:t>
      </w:r>
    </w:p>
    <w:p>
      <w:pPr>
        <w:pStyle w:val="FirstParagraph"/>
      </w:pPr>
      <w:r>
        <w:rPr>
          <w:bCs/>
          <w:b/>
        </w:rPr>
        <w:t xml:space="preserve">What would make us wrong</w:t>
      </w:r>
    </w:p>
    <w:p>
      <w:pPr>
        <w:numPr>
          <w:ilvl w:val="0"/>
          <w:numId w:val="1008"/>
        </w:numPr>
        <w:pStyle w:val="Compact"/>
      </w:pPr>
      <w:r>
        <w:t xml:space="preserve">FCF stays near zero (LTM ~US$99m [d]) while the buyback is funded by the revolver (</w:t>
      </w:r>
      <w:hyperlink r:id="rId51">
        <w:r>
          <w:rPr>
            <w:rStyle w:val="Hyperlink"/>
          </w:rPr>
          <w:t xml:space="preserve">#165</w:t>
        </w:r>
      </w:hyperlink>
      <w:r>
        <w:t xml:space="preserve">).</w:t>
      </w:r>
    </w:p>
    <w:p>
      <w:pPr>
        <w:numPr>
          <w:ilvl w:val="0"/>
          <w:numId w:val="1008"/>
        </w:numPr>
        <w:pStyle w:val="Compact"/>
      </w:pPr>
      <w:r>
        <w:t xml:space="preserve">Korean regulators keep fining. Cumulative accrued fines since 2024 are ~US$531m [d].</w:t>
      </w:r>
    </w:p>
    <w:p>
      <w:pPr>
        <w:numPr>
          <w:ilvl w:val="0"/>
          <w:numId w:val="1008"/>
        </w:numPr>
        <w:pStyle w:val="Compact"/>
      </w:pPr>
      <w:r>
        <w:t xml:space="preserve">Naver and the Chinese cross-border platforms keep the share they won during the incident.</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Snapshot (US$m unless stated)</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w:t>
            </w:r>
          </w:p>
        </w:tc>
        <w:tc>
          <w:tcPr/>
          <w:p>
            <w:pPr>
              <w:pStyle w:val="Compact"/>
              <w:jc w:val="left"/>
            </w:pPr>
            <w:r>
              <w:t xml:space="preserve">LTM Jun-26</w:t>
            </w:r>
          </w:p>
        </w:tc>
        <w:tc>
          <w:tcPr/>
          <w:p>
            <w:pPr>
              <w:pStyle w:val="Compact"/>
              <w:jc w:val="left"/>
            </w:pPr>
            <w:r>
              <w:t xml:space="preserve">FY2026E</w:t>
            </w:r>
          </w:p>
        </w:tc>
        <w:tc>
          <w:tcPr/>
          <w:p>
            <w:pPr>
              <w:pStyle w:val="Compact"/>
              <w:jc w:val="left"/>
            </w:pPr>
            <w:r>
              <w:t xml:space="preserve">FY2027E</w:t>
            </w:r>
          </w:p>
        </w:tc>
        <w:tc>
          <w:tcPr/>
          <w:p>
            <w:pPr>
              <w:pStyle w:val="Compact"/>
              <w:jc w:val="left"/>
            </w:pPr>
            <w:r>
              <w:t xml:space="preserve">FY2028E</w:t>
            </w:r>
          </w:p>
        </w:tc>
      </w:tr>
      <w:tr>
        <w:tc>
          <w:tcPr/>
          <w:p>
            <w:pPr>
              <w:pStyle w:val="Compact"/>
              <w:jc w:val="left"/>
            </w:pPr>
            <w:r>
              <w:t xml:space="preserve">Revenue</w:t>
            </w:r>
          </w:p>
        </w:tc>
        <w:tc>
          <w:tcPr/>
          <w:p>
            <w:pPr>
              <w:pStyle w:val="Compact"/>
              <w:jc w:val="left"/>
            </w:pPr>
            <w:hyperlink r:id="rId52">
              <w:r>
                <w:rPr>
                  <w:rStyle w:val="Hyperlink"/>
                </w:rPr>
                <w:t xml:space="preserve">24,383</w:t>
              </w:r>
            </w:hyperlink>
          </w:p>
        </w:tc>
        <w:tc>
          <w:tcPr/>
          <w:p>
            <w:pPr>
              <w:pStyle w:val="Compact"/>
              <w:jc w:val="left"/>
            </w:pPr>
            <w:hyperlink r:id="rId53">
              <w:r>
                <w:rPr>
                  <w:rStyle w:val="Hyperlink"/>
                </w:rPr>
                <w:t xml:space="preserve">30,268</w:t>
              </w:r>
            </w:hyperlink>
          </w:p>
        </w:tc>
        <w:tc>
          <w:tcPr/>
          <w:p>
            <w:pPr>
              <w:pStyle w:val="Compact"/>
              <w:jc w:val="left"/>
            </w:pPr>
            <w:hyperlink r:id="rId54">
              <w:r>
                <w:rPr>
                  <w:rStyle w:val="Hyperlink"/>
                </w:rPr>
                <w:t xml:space="preserve">34,534</w:t>
              </w:r>
            </w:hyperlink>
          </w:p>
        </w:tc>
        <w:tc>
          <w:tcPr/>
          <w:p>
            <w:pPr>
              <w:pStyle w:val="Compact"/>
              <w:jc w:val="left"/>
            </w:pPr>
            <w:hyperlink r:id="rId20">
              <w:r>
                <w:rPr>
                  <w:rStyle w:val="Hyperlink"/>
                </w:rPr>
                <w:t xml:space="preserve">35,462</w:t>
              </w:r>
            </w:hyperlink>
          </w:p>
        </w:tc>
        <w:tc>
          <w:tcPr/>
          <w:p>
            <w:pPr>
              <w:pStyle w:val="Compact"/>
              <w:jc w:val="left"/>
            </w:pPr>
            <w:r>
              <w:t xml:space="preserve">36,686 [e]</w:t>
            </w:r>
          </w:p>
        </w:tc>
        <w:tc>
          <w:tcPr/>
          <w:p>
            <w:pPr>
              <w:pStyle w:val="Compact"/>
              <w:jc w:val="left"/>
            </w:pPr>
            <w:r>
              <w:t xml:space="preserve">41,139 [e]</w:t>
            </w:r>
          </w:p>
        </w:tc>
        <w:tc>
          <w:tcPr/>
          <w:p>
            <w:pPr>
              <w:pStyle w:val="Compact"/>
              <w:jc w:val="left"/>
            </w:pPr>
            <w:r>
              <w:t xml:space="preserve">45,817 [e]</w:t>
            </w:r>
          </w:p>
        </w:tc>
      </w:tr>
      <w:tr>
        <w:tc>
          <w:tcPr/>
          <w:p>
            <w:pPr>
              <w:pStyle w:val="Compact"/>
              <w:jc w:val="left"/>
            </w:pPr>
            <w:r>
              <w:t xml:space="preserve">Adj. EBITDA (company)</w:t>
            </w:r>
          </w:p>
        </w:tc>
        <w:tc>
          <w:tcPr/>
          <w:p>
            <w:pPr>
              <w:pStyle w:val="Compact"/>
              <w:jc w:val="left"/>
            </w:pPr>
            <w:hyperlink r:id="rId55">
              <w:r>
                <w:rPr>
                  <w:rStyle w:val="Hyperlink"/>
                </w:rPr>
                <w:t xml:space="preserve">~1,100</w:t>
              </w:r>
            </w:hyperlink>
          </w:p>
        </w:tc>
        <w:tc>
          <w:tcPr/>
          <w:p>
            <w:pPr>
              <w:pStyle w:val="Compact"/>
              <w:jc w:val="left"/>
            </w:pPr>
            <w:hyperlink r:id="rId56">
              <w:r>
                <w:rPr>
                  <w:rStyle w:val="Hyperlink"/>
                </w:rPr>
                <w:t xml:space="preserve">~1,400</w:t>
              </w:r>
            </w:hyperlink>
          </w:p>
        </w:tc>
        <w:tc>
          <w:tcPr/>
          <w:p>
            <w:pPr>
              <w:pStyle w:val="Compact"/>
              <w:jc w:val="left"/>
            </w:pPr>
            <w:hyperlink r:id="rId57">
              <w:r>
                <w:rPr>
                  <w:rStyle w:val="Hyperlink"/>
                </w:rPr>
                <w:t xml:space="preserve">~1,500</w:t>
              </w:r>
            </w:hyperlink>
          </w:p>
        </w:tc>
        <w:tc>
          <w:tcPr/>
          <w:p>
            <w:pPr>
              <w:pStyle w:val="Compact"/>
              <w:jc w:val="left"/>
            </w:pPr>
            <w:r>
              <w:t xml:space="preserve">872 [d]</w:t>
            </w:r>
          </w:p>
        </w:tc>
        <w:tc>
          <w:tcPr/>
          <w:p>
            <w:pPr>
              <w:pStyle w:val="Compact"/>
              <w:jc w:val="left"/>
            </w:pPr>
            <w:r>
              <w:t xml:space="preserve">608 [e]</w:t>
            </w:r>
          </w:p>
        </w:tc>
        <w:tc>
          <w:tcPr/>
          <w:p>
            <w:pPr>
              <w:pStyle w:val="Compact"/>
              <w:jc w:val="left"/>
            </w:pPr>
            <w:r>
              <w:t xml:space="preserve">1,689 [e]</w:t>
            </w:r>
          </w:p>
        </w:tc>
        <w:tc>
          <w:tcPr/>
          <w:p>
            <w:pPr>
              <w:pStyle w:val="Compact"/>
              <w:jc w:val="left"/>
            </w:pPr>
            <w:r>
              <w:t xml:space="preserve">2,625 [e]</w:t>
            </w:r>
          </w:p>
        </w:tc>
      </w:tr>
      <w:tr>
        <w:tc>
          <w:tcPr/>
          <w:p>
            <w:pPr>
              <w:pStyle w:val="Compact"/>
              <w:jc w:val="left"/>
            </w:pPr>
            <w:r>
              <w:t xml:space="preserve">GAAP operating income</w:t>
            </w:r>
          </w:p>
        </w:tc>
        <w:tc>
          <w:tcPr/>
          <w:p>
            <w:pPr>
              <w:pStyle w:val="Compact"/>
              <w:jc w:val="left"/>
            </w:pPr>
            <w:hyperlink r:id="rId58">
              <w:r>
                <w:rPr>
                  <w:rStyle w:val="Hyperlink"/>
                </w:rPr>
                <w:t xml:space="preserve">473</w:t>
              </w:r>
            </w:hyperlink>
          </w:p>
        </w:tc>
        <w:tc>
          <w:tcPr/>
          <w:p>
            <w:pPr>
              <w:pStyle w:val="Compact"/>
              <w:jc w:val="left"/>
            </w:pPr>
            <w:hyperlink r:id="rId59">
              <w:r>
                <w:rPr>
                  <w:rStyle w:val="Hyperlink"/>
                </w:rPr>
                <w:t xml:space="preserve">388</w:t>
              </w:r>
            </w:hyperlink>
          </w:p>
        </w:tc>
        <w:tc>
          <w:tcPr/>
          <w:p>
            <w:pPr>
              <w:pStyle w:val="Compact"/>
              <w:jc w:val="left"/>
            </w:pPr>
            <w:hyperlink r:id="rId60">
              <w:r>
                <w:rPr>
                  <w:rStyle w:val="Hyperlink"/>
                </w:rPr>
                <w:t xml:space="preserve">498</w:t>
              </w:r>
            </w:hyperlink>
          </w:p>
        </w:tc>
        <w:tc>
          <w:tcPr/>
          <w:p>
            <w:pPr>
              <w:pStyle w:val="Compact"/>
              <w:jc w:val="left"/>
            </w:pPr>
            <w:hyperlink r:id="rId20">
              <w:r>
                <w:rPr>
                  <w:rStyle w:val="Hyperlink"/>
                </w:rPr>
                <w:t xml:space="preserve">-603</w:t>
              </w:r>
            </w:hyperlink>
          </w:p>
        </w:tc>
        <w:tc>
          <w:tcPr/>
          <w:p>
            <w:pPr>
              <w:pStyle w:val="Compact"/>
              <w:jc w:val="left"/>
            </w:pPr>
            <w:r>
              <w:t xml:space="preserve">-1,117 [e]</w:t>
            </w:r>
          </w:p>
        </w:tc>
        <w:tc>
          <w:tcPr/>
          <w:p>
            <w:pPr>
              <w:pStyle w:val="Compact"/>
              <w:jc w:val="left"/>
            </w:pPr>
            <w:r>
              <w:t xml:space="preserve">529 [e]</w:t>
            </w:r>
          </w:p>
        </w:tc>
        <w:tc>
          <w:tcPr/>
          <w:p>
            <w:pPr>
              <w:pStyle w:val="Compact"/>
              <w:jc w:val="left"/>
            </w:pPr>
            <w:r>
              <w:t xml:space="preserve">1,225 [e]</w:t>
            </w:r>
          </w:p>
        </w:tc>
      </w:tr>
      <w:tr>
        <w:tc>
          <w:tcPr/>
          <w:p>
            <w:pPr>
              <w:pStyle w:val="Compact"/>
              <w:jc w:val="left"/>
            </w:pPr>
            <w:r>
              <w:t xml:space="preserve">Net income to CPNG</w:t>
            </w:r>
          </w:p>
        </w:tc>
        <w:tc>
          <w:tcPr/>
          <w:p>
            <w:pPr>
              <w:pStyle w:val="Compact"/>
              <w:jc w:val="left"/>
            </w:pPr>
            <w:hyperlink r:id="rId61">
              <w:r>
                <w:rPr>
                  <w:rStyle w:val="Hyperlink"/>
                </w:rPr>
                <w:t xml:space="preserve">1,360</w:t>
              </w:r>
            </w:hyperlink>
          </w:p>
        </w:tc>
        <w:tc>
          <w:tcPr/>
          <w:p>
            <w:pPr>
              <w:pStyle w:val="Compact"/>
              <w:jc w:val="left"/>
            </w:pPr>
            <w:hyperlink r:id="rId62">
              <w:r>
                <w:rPr>
                  <w:rStyle w:val="Hyperlink"/>
                </w:rPr>
                <w:t xml:space="preserve">154</w:t>
              </w:r>
            </w:hyperlink>
          </w:p>
        </w:tc>
        <w:tc>
          <w:tcPr/>
          <w:p>
            <w:pPr>
              <w:pStyle w:val="Compact"/>
              <w:jc w:val="left"/>
            </w:pPr>
            <w:hyperlink r:id="rId63">
              <w:r>
                <w:rPr>
                  <w:rStyle w:val="Hyperlink"/>
                </w:rPr>
                <w:t xml:space="preserve">208</w:t>
              </w:r>
            </w:hyperlink>
          </w:p>
        </w:tc>
        <w:tc>
          <w:tcPr/>
          <w:p>
            <w:pPr>
              <w:pStyle w:val="Compact"/>
              <w:jc w:val="left"/>
            </w:pPr>
            <w:hyperlink r:id="rId20">
              <w:r>
                <w:rPr>
                  <w:rStyle w:val="Hyperlink"/>
                </w:rPr>
                <w:t xml:space="preserve">-767</w:t>
              </w:r>
            </w:hyperlink>
          </w:p>
        </w:tc>
        <w:tc>
          <w:tcPr/>
          <w:p>
            <w:pPr>
              <w:pStyle w:val="Compact"/>
              <w:jc w:val="left"/>
            </w:pPr>
            <w:r>
              <w:t xml:space="preserve">-1,195 [e]</w:t>
            </w:r>
          </w:p>
        </w:tc>
        <w:tc>
          <w:tcPr/>
          <w:p>
            <w:pPr>
              <w:pStyle w:val="Compact"/>
              <w:jc w:val="left"/>
            </w:pPr>
            <w:r>
              <w:t xml:space="preserve">256 [e]</w:t>
            </w:r>
          </w:p>
        </w:tc>
        <w:tc>
          <w:tcPr/>
          <w:p>
            <w:pPr>
              <w:pStyle w:val="Compact"/>
              <w:jc w:val="left"/>
            </w:pPr>
            <w:r>
              <w:t xml:space="preserve">753 [e]</w:t>
            </w:r>
          </w:p>
        </w:tc>
      </w:tr>
      <w:tr>
        <w:tc>
          <w:tcPr/>
          <w:p>
            <w:pPr>
              <w:pStyle w:val="Compact"/>
              <w:jc w:val="left"/>
            </w:pPr>
            <w:r>
              <w:t xml:space="preserve">Diluted EPS (US$)</w:t>
            </w:r>
          </w:p>
        </w:tc>
        <w:tc>
          <w:tcPr/>
          <w:p>
            <w:pPr>
              <w:pStyle w:val="Compact"/>
              <w:jc w:val="left"/>
            </w:pPr>
            <w:hyperlink r:id="rId64">
              <w:r>
                <w:rPr>
                  <w:rStyle w:val="Hyperlink"/>
                </w:rPr>
                <w:t xml:space="preserve">0.75</w:t>
              </w:r>
            </w:hyperlink>
          </w:p>
        </w:tc>
        <w:tc>
          <w:tcPr/>
          <w:p>
            <w:pPr>
              <w:pStyle w:val="Compact"/>
              <w:jc w:val="left"/>
            </w:pPr>
            <w:hyperlink r:id="rId64">
              <w:r>
                <w:rPr>
                  <w:rStyle w:val="Hyperlink"/>
                </w:rPr>
                <w:t xml:space="preserve">0.08</w:t>
              </w:r>
            </w:hyperlink>
          </w:p>
        </w:tc>
        <w:tc>
          <w:tcPr/>
          <w:p>
            <w:pPr>
              <w:pStyle w:val="Compact"/>
              <w:jc w:val="left"/>
            </w:pPr>
            <w:hyperlink r:id="rId64">
              <w:r>
                <w:rPr>
                  <w:rStyle w:val="Hyperlink"/>
                </w:rPr>
                <w:t xml:space="preserve">0.11</w:t>
              </w:r>
            </w:hyperlink>
          </w:p>
        </w:tc>
        <w:tc>
          <w:tcPr/>
          <w:p>
            <w:pPr>
              <w:pStyle w:val="Compact"/>
              <w:jc w:val="left"/>
            </w:pPr>
            <w:r>
              <w:t xml:space="preserve">-0.43 [d]</w:t>
            </w:r>
          </w:p>
        </w:tc>
        <w:tc>
          <w:tcPr/>
          <w:p>
            <w:pPr>
              <w:pStyle w:val="Compact"/>
              <w:jc w:val="left"/>
            </w:pPr>
            <w:r>
              <w:t xml:space="preserve">-0.67 [e]</w:t>
            </w:r>
          </w:p>
        </w:tc>
        <w:tc>
          <w:tcPr/>
          <w:p>
            <w:pPr>
              <w:pStyle w:val="Compact"/>
              <w:jc w:val="left"/>
            </w:pPr>
            <w:r>
              <w:t xml:space="preserve">0.14 [e]</w:t>
            </w:r>
          </w:p>
        </w:tc>
        <w:tc>
          <w:tcPr/>
          <w:p>
            <w:pPr>
              <w:pStyle w:val="Compact"/>
              <w:jc w:val="left"/>
            </w:pPr>
            <w:r>
              <w:t xml:space="preserve">0.42 [e]</w:t>
            </w:r>
          </w:p>
        </w:tc>
      </w:tr>
      <w:tr>
        <w:tc>
          <w:tcPr/>
          <w:p>
            <w:pPr>
              <w:pStyle w:val="Compact"/>
              <w:jc w:val="left"/>
            </w:pPr>
            <w:r>
              <w:t xml:space="preserve">EV/Sales (x)</w:t>
            </w:r>
          </w:p>
        </w:tc>
        <w:tc>
          <w:tcPr/>
          <w:p>
            <w:pPr>
              <w:pStyle w:val="Compact"/>
              <w:jc w:val="left"/>
            </w:pPr>
            <w:r>
              <w:t xml:space="preserve">1.10 [d]</w:t>
            </w:r>
          </w:p>
        </w:tc>
        <w:tc>
          <w:tcPr/>
          <w:p>
            <w:pPr>
              <w:pStyle w:val="Compact"/>
              <w:jc w:val="left"/>
            </w:pPr>
            <w:r>
              <w:t xml:space="preserve">1.29 [d]</w:t>
            </w:r>
          </w:p>
        </w:tc>
        <w:tc>
          <w:tcPr/>
          <w:p>
            <w:pPr>
              <w:pStyle w:val="Compact"/>
              <w:jc w:val="left"/>
            </w:pPr>
            <w:r>
              <w:t xml:space="preserve">1.19 [d]</w:t>
            </w:r>
          </w:p>
        </w:tc>
        <w:tc>
          <w:tcPr/>
          <w:p>
            <w:pPr>
              <w:pStyle w:val="Compact"/>
              <w:jc w:val="left"/>
            </w:pPr>
            <w:r>
              <w:t xml:space="preserve">0.79 [d]</w:t>
            </w:r>
          </w:p>
        </w:tc>
        <w:tc>
          <w:tcPr/>
          <w:p>
            <w:pPr>
              <w:pStyle w:val="Compact"/>
              <w:jc w:val="left"/>
            </w:pPr>
            <w:r>
              <w:t xml:space="preserve">0.76 [e]</w:t>
            </w:r>
          </w:p>
        </w:tc>
        <w:tc>
          <w:tcPr/>
          <w:p>
            <w:pPr>
              <w:pStyle w:val="Compact"/>
              <w:jc w:val="left"/>
            </w:pPr>
            <w:r>
              <w:t xml:space="preserve">0.68 [e]</w:t>
            </w:r>
          </w:p>
        </w:tc>
        <w:tc>
          <w:tcPr/>
          <w:p>
            <w:pPr>
              <w:pStyle w:val="Compact"/>
              <w:jc w:val="left"/>
            </w:pPr>
            <w:r>
              <w:t xml:space="preserve">0.61 [e]</w:t>
            </w:r>
          </w:p>
        </w:tc>
      </w:tr>
      <w:tr>
        <w:tc>
          <w:tcPr/>
          <w:p>
            <w:pPr>
              <w:pStyle w:val="Compact"/>
              <w:jc w:val="left"/>
            </w:pPr>
            <w:r>
              <w:t xml:space="preserve">EV/Adj. EBITDA (x)</w:t>
            </w:r>
          </w:p>
        </w:tc>
        <w:tc>
          <w:tcPr/>
          <w:p>
            <w:pPr>
              <w:pStyle w:val="Compact"/>
              <w:jc w:val="left"/>
            </w:pPr>
            <w:r>
              <w:t xml:space="preserve">25.0 [d]</w:t>
            </w:r>
          </w:p>
        </w:tc>
        <w:tc>
          <w:tcPr/>
          <w:p>
            <w:pPr>
              <w:pStyle w:val="Compact"/>
              <w:jc w:val="left"/>
            </w:pPr>
            <w:r>
              <w:t xml:space="preserve">28.7 [d]</w:t>
            </w:r>
          </w:p>
        </w:tc>
        <w:tc>
          <w:tcPr/>
          <w:p>
            <w:pPr>
              <w:pStyle w:val="Compact"/>
              <w:jc w:val="left"/>
            </w:pPr>
            <w:r>
              <w:t xml:space="preserve">27.6 [d]</w:t>
            </w:r>
          </w:p>
        </w:tc>
        <w:tc>
          <w:tcPr/>
          <w:p>
            <w:pPr>
              <w:pStyle w:val="Compact"/>
              <w:jc w:val="left"/>
            </w:pPr>
            <w:r>
              <w:t xml:space="preserve">32.1 [d]</w:t>
            </w:r>
          </w:p>
        </w:tc>
        <w:tc>
          <w:tcPr/>
          <w:p>
            <w:pPr>
              <w:pStyle w:val="Compact"/>
              <w:jc w:val="left"/>
            </w:pPr>
            <w:r>
              <w:t xml:space="preserve">46.0 [e]</w:t>
            </w:r>
          </w:p>
        </w:tc>
        <w:tc>
          <w:tcPr/>
          <w:p>
            <w:pPr>
              <w:pStyle w:val="Compact"/>
              <w:jc w:val="left"/>
            </w:pPr>
            <w:r>
              <w:t xml:space="preserve">16.6 [e]</w:t>
            </w:r>
          </w:p>
        </w:tc>
        <w:tc>
          <w:tcPr/>
          <w:p>
            <w:pPr>
              <w:pStyle w:val="Compact"/>
              <w:jc w:val="left"/>
            </w:pPr>
            <w:r>
              <w:t xml:space="preserve">10.7 [e]</w:t>
            </w:r>
          </w:p>
        </w:tc>
      </w:tr>
    </w:tbl>
    <w:p>
      <w:pPr>
        <w:pStyle w:val="BodyText"/>
      </w:pPr>
      <w:r>
        <w:rPr>
          <w:iCs/>
          <w:i/>
        </w:rPr>
        <w:t xml:space="preserve">Historical EV multiples use year-end prices and S&amp;P diluted shares and net debt (incl. leases). Forward multiples use the current EV of ~US$28.0bn. 2023 net income includes a</w:t>
      </w:r>
      <w:r>
        <w:rPr>
          <w:iCs/>
          <w:i/>
        </w:rPr>
        <w:t xml:space="preserve"> </w:t>
      </w:r>
      <w:hyperlink r:id="rId65">
        <w:r>
          <w:rPr>
            <w:rStyle w:val="Hyperlink"/>
            <w:iCs/>
            <w:i/>
          </w:rPr>
          <w:t xml:space="preserve">US$905m</w:t>
        </w:r>
      </w:hyperlink>
      <w:r>
        <w:rPr>
          <w:iCs/>
          <w:i/>
        </w:rPr>
        <w:t xml:space="preserve"> </w:t>
      </w:r>
      <w:r>
        <w:rPr>
          <w:iCs/>
          <w:i/>
        </w:rPr>
        <w:t xml:space="preserve">valuation-allowance release.</w:t>
      </w:r>
    </w:p>
    <w:bookmarkEnd w:id="66"/>
    <w:bookmarkStart w:id="79" w:name="X74ee375041dcd38adce78b438fd08870791c672"/>
    <w:p>
      <w:pPr>
        <w:pStyle w:val="Heading1"/>
      </w:pPr>
      <w:r>
        <w:t xml:space="preserve">2. A layman’s guide: what Coupang does and how it makes money</w:t>
      </w:r>
    </w:p>
    <w:p>
      <w:pPr>
        <w:pStyle w:val="FirstParagraph"/>
      </w:pPr>
      <w:r>
        <w:rPr>
          <w:bCs/>
          <w:b/>
        </w:rPr>
        <w:t xml:space="preserve">In one sentence:</w:t>
      </w:r>
      <w:r>
        <w:t xml:space="preserve"> </w:t>
      </w:r>
      <w:r>
        <w:t xml:space="preserve">Coupang is</w:t>
      </w:r>
      <w:r>
        <w:t xml:space="preserve"> </w:t>
      </w:r>
      <w:r>
        <w:t xml:space="preserve">“</w:t>
      </w:r>
      <w:r>
        <w:t xml:space="preserve">the Amazon of South Korea</w:t>
      </w:r>
      <w:r>
        <w:t xml:space="preserve">”</w:t>
      </w:r>
      <w:r>
        <w:t xml:space="preserve">. It sells almost everything online and delivers it, usually overnight, through its own warehouses and drivers. Most of its loyal customers pay a monthly fee (WOW membership) for free, fast delivery and extras.</w:t>
      </w:r>
    </w:p>
    <w:p>
      <w:pPr>
        <w:pStyle w:val="BodyText"/>
      </w:pPr>
      <w:r>
        <w:rPr>
          <w:bCs/>
          <w:b/>
        </w:rPr>
        <w:t xml:space="preserve">How it makes money</w:t>
      </w:r>
    </w:p>
    <w:p>
      <w:pPr>
        <w:numPr>
          <w:ilvl w:val="0"/>
          <w:numId w:val="1009"/>
        </w:numPr>
        <w:pStyle w:val="Compact"/>
      </w:pPr>
      <w:r>
        <w:rPr>
          <w:bCs/>
          <w:b/>
        </w:rPr>
        <w:t xml:space="preserve">It buys products and resells them (first-party,</w:t>
      </w:r>
      <w:r>
        <w:rPr>
          <w:bCs/>
          <w:b/>
        </w:rPr>
        <w:t xml:space="preserve"> </w:t>
      </w:r>
      <w:r>
        <w:rPr>
          <w:bCs/>
          <w:b/>
        </w:rPr>
        <w:t xml:space="preserve">“</w:t>
      </w:r>
      <w:r>
        <w:rPr>
          <w:bCs/>
          <w:b/>
        </w:rPr>
        <w:t xml:space="preserve">1P</w:t>
      </w:r>
      <w:r>
        <w:rPr>
          <w:bCs/>
          <w:b/>
        </w:rPr>
        <w:t xml:space="preserve">”</w:t>
      </w:r>
      <w:r>
        <w:rPr>
          <w:bCs/>
          <w:b/>
        </w:rPr>
        <w:t xml:space="preserve">).</w:t>
      </w:r>
      <w:r>
        <w:t xml:space="preserve"> </w:t>
      </w:r>
      <w:r>
        <w:t xml:space="preserve">Coupang buys from brands such as CJ CheilJedang (</w:t>
      </w:r>
      <w:hyperlink r:id="rId67">
        <w:r>
          <w:rPr>
            <w:rStyle w:val="Hyperlink"/>
          </w:rPr>
          <w:t xml:space="preserve">#16</w:t>
        </w:r>
      </w:hyperlink>
      <w:r>
        <w:t xml:space="preserve">), stores the goods in its own fulfilment centres, and earns the gap between selling price and cost. This is gross revenue, so it is big revenue at a thin margin (</w:t>
      </w:r>
      <w:hyperlink r:id="rId68">
        <w:r>
          <w:rPr>
            <w:rStyle w:val="Hyperlink"/>
          </w:rPr>
          <w:t xml:space="preserve">#1745</w:t>
        </w:r>
      </w:hyperlink>
      <w:r>
        <w:t xml:space="preserve">).</w:t>
      </w:r>
    </w:p>
    <w:p>
      <w:pPr>
        <w:numPr>
          <w:ilvl w:val="0"/>
          <w:numId w:val="1009"/>
        </w:numPr>
        <w:pStyle w:val="Compact"/>
      </w:pPr>
      <w:r>
        <w:rPr>
          <w:bCs/>
          <w:b/>
        </w:rPr>
        <w:t xml:space="preserve">It rents its shop window and warehouses to other merchants (third-party,</w:t>
      </w:r>
      <w:r>
        <w:rPr>
          <w:bCs/>
          <w:b/>
        </w:rPr>
        <w:t xml:space="preserve"> </w:t>
      </w:r>
      <w:r>
        <w:rPr>
          <w:bCs/>
          <w:b/>
        </w:rPr>
        <w:t xml:space="preserve">“</w:t>
      </w:r>
      <w:r>
        <w:rPr>
          <w:bCs/>
          <w:b/>
        </w:rPr>
        <w:t xml:space="preserve">3P</w:t>
      </w:r>
      <w:r>
        <w:rPr>
          <w:bCs/>
          <w:b/>
        </w:rPr>
        <w:t xml:space="preserve">”</w:t>
      </w:r>
      <w:r>
        <w:rPr>
          <w:bCs/>
          <w:b/>
        </w:rPr>
        <w:t xml:space="preserve">, and Fulfilment &amp; Logistics by Coupang,</w:t>
      </w:r>
      <w:r>
        <w:rPr>
          <w:bCs/>
          <w:b/>
        </w:rPr>
        <w:t xml:space="preserve"> </w:t>
      </w:r>
      <w:r>
        <w:rPr>
          <w:bCs/>
          <w:b/>
        </w:rPr>
        <w:t xml:space="preserve">“</w:t>
      </w:r>
      <w:r>
        <w:rPr>
          <w:bCs/>
          <w:b/>
        </w:rPr>
        <w:t xml:space="preserve">FLC</w:t>
      </w:r>
      <w:r>
        <w:rPr>
          <w:bCs/>
          <w:b/>
        </w:rPr>
        <w:t xml:space="preserve">”</w:t>
      </w:r>
      <w:r>
        <w:rPr>
          <w:bCs/>
          <w:b/>
        </w:rPr>
        <w:t xml:space="preserve">).</w:t>
      </w:r>
      <w:r>
        <w:t xml:space="preserve"> </w:t>
      </w:r>
      <w:r>
        <w:t xml:space="preserve">It earns commissions and fulfilment fees. Only the fee is booked as revenue, so revenue is smaller but margins are higher (</w:t>
      </w:r>
      <w:hyperlink r:id="rId68">
        <w:r>
          <w:rPr>
            <w:rStyle w:val="Hyperlink"/>
          </w:rPr>
          <w:t xml:space="preserve">#1745</w:t>
        </w:r>
      </w:hyperlink>
      <w:r>
        <w:t xml:space="preserve">,</w:t>
      </w:r>
      <w:r>
        <w:t xml:space="preserve"> </w:t>
      </w:r>
      <w:hyperlink r:id="rId69">
        <w:r>
          <w:rPr>
            <w:rStyle w:val="Hyperlink"/>
          </w:rPr>
          <w:t xml:space="preserve">#145</w:t>
        </w:r>
      </w:hyperlink>
      <w:r>
        <w:t xml:space="preserve">).</w:t>
      </w:r>
    </w:p>
    <w:p>
      <w:pPr>
        <w:numPr>
          <w:ilvl w:val="0"/>
          <w:numId w:val="1009"/>
        </w:numPr>
        <w:pStyle w:val="Compact"/>
      </w:pPr>
      <w:r>
        <w:rPr>
          <w:bCs/>
          <w:b/>
        </w:rPr>
        <w:t xml:space="preserve">It sells advertising</w:t>
      </w:r>
      <w:r>
        <w:t xml:space="preserve"> </w:t>
      </w:r>
      <w:r>
        <w:t xml:space="preserve">to suppliers and merchants who want to appear higher in search. Much of the supplier ad money reduces cost of goods rather than counting as revenue (</w:t>
      </w:r>
      <w:hyperlink r:id="rId70">
        <w:r>
          <w:rPr>
            <w:rStyle w:val="Hyperlink"/>
          </w:rPr>
          <w:t xml:space="preserve">#1761</w:t>
        </w:r>
      </w:hyperlink>
      <w:r>
        <w:t xml:space="preserve">).</w:t>
      </w:r>
    </w:p>
    <w:p>
      <w:pPr>
        <w:numPr>
          <w:ilvl w:val="0"/>
          <w:numId w:val="1009"/>
        </w:numPr>
        <w:pStyle w:val="Compact"/>
      </w:pPr>
      <w:r>
        <w:rPr>
          <w:bCs/>
          <w:b/>
        </w:rPr>
        <w:t xml:space="preserve">It charges a membership fee (WOW).</w:t>
      </w:r>
      <w:r>
        <w:t xml:space="preserve"> </w:t>
      </w:r>
      <w:r>
        <w:t xml:space="preserve">WOW includes free Rocket Delivery and returns, Rocket Fresh grocery, Coupang Eats discounts and Coupang Play streaming (</w:t>
      </w:r>
      <w:hyperlink r:id="rId71">
        <w:r>
          <w:rPr>
            <w:rStyle w:val="Hyperlink"/>
          </w:rPr>
          <w:t xml:space="preserve">#1755</w:t>
        </w:r>
      </w:hyperlink>
      <w:r>
        <w:t xml:space="preserve">).</w:t>
      </w:r>
    </w:p>
    <w:p>
      <w:pPr>
        <w:numPr>
          <w:ilvl w:val="0"/>
          <w:numId w:val="1009"/>
        </w:numPr>
        <w:pStyle w:val="Compact"/>
      </w:pPr>
      <w:r>
        <w:rPr>
          <w:bCs/>
          <w:b/>
        </w:rPr>
        <w:t xml:space="preserve">It is incubating new businesses</w:t>
      </w:r>
      <w:r>
        <w:t xml:space="preserve"> </w:t>
      </w:r>
      <w:r>
        <w:t xml:space="preserve">(Developing Offerings): Coupang Eats (food delivery), Coupang Play (video), Coupang Pay (payments), Taiwan (a second Rocket Delivery country), Rocket Now (Japan food delivery) and Farfetch (global luxury marketplace) (</w:t>
      </w:r>
      <w:hyperlink r:id="rId72">
        <w:r>
          <w:rPr>
            <w:rStyle w:val="Hyperlink"/>
          </w:rPr>
          <w:t xml:space="preserve">#28</w:t>
        </w:r>
      </w:hyperlink>
      <w:r>
        <w:t xml:space="preserve">).</w:t>
      </w:r>
    </w:p>
    <w:p>
      <w:pPr>
        <w:pStyle w:val="FirstParagraph"/>
      </w:pPr>
      <w:r>
        <w:rPr>
          <w:bCs/>
          <w:b/>
        </w:rPr>
        <w:t xml:space="preserve">How each division contributes (FY2025)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Division</w:t>
            </w:r>
          </w:p>
        </w:tc>
        <w:tc>
          <w:tcPr/>
          <w:p>
            <w:pPr>
              <w:pStyle w:val="Compact"/>
              <w:jc w:val="left"/>
            </w:pPr>
            <w:r>
              <w:t xml:space="preserve">Revenue</w:t>
            </w:r>
          </w:p>
        </w:tc>
        <w:tc>
          <w:tcPr/>
          <w:p>
            <w:pPr>
              <w:pStyle w:val="Compact"/>
              <w:jc w:val="left"/>
            </w:pPr>
            <w:r>
              <w:t xml:space="preserve">Share of revenue</w:t>
            </w:r>
          </w:p>
        </w:tc>
        <w:tc>
          <w:tcPr/>
          <w:p>
            <w:pPr>
              <w:pStyle w:val="Compact"/>
              <w:jc w:val="left"/>
            </w:pPr>
            <w:r>
              <w:t xml:space="preserve">Adj. EBITDA</w:t>
            </w:r>
          </w:p>
        </w:tc>
        <w:tc>
          <w:tcPr/>
          <w:p>
            <w:pPr>
              <w:pStyle w:val="Compact"/>
              <w:jc w:val="left"/>
            </w:pPr>
            <w:r>
              <w:t xml:space="preserve">What it is</w:t>
            </w:r>
          </w:p>
        </w:tc>
      </w:tr>
      <w:tr>
        <w:tc>
          <w:tcPr/>
          <w:p>
            <w:pPr>
              <w:pStyle w:val="Compact"/>
              <w:jc w:val="left"/>
            </w:pPr>
            <w:r>
              <w:t xml:space="preserve">Product Commerce (Korea)</w:t>
            </w:r>
          </w:p>
        </w:tc>
        <w:tc>
          <w:tcPr/>
          <w:p>
            <w:pPr>
              <w:pStyle w:val="Compact"/>
              <w:jc w:val="left"/>
            </w:pPr>
            <w:hyperlink r:id="rId73">
              <w:r>
                <w:rPr>
                  <w:rStyle w:val="Hyperlink"/>
                </w:rPr>
                <w:t xml:space="preserve">US$29.6bn</w:t>
              </w:r>
            </w:hyperlink>
          </w:p>
        </w:tc>
        <w:tc>
          <w:tcPr/>
          <w:p>
            <w:pPr>
              <w:pStyle w:val="Compact"/>
              <w:jc w:val="left"/>
            </w:pPr>
            <w:r>
              <w:t xml:space="preserve">~86% [d]</w:t>
            </w:r>
          </w:p>
        </w:tc>
        <w:tc>
          <w:tcPr/>
          <w:p>
            <w:pPr>
              <w:pStyle w:val="Compact"/>
              <w:jc w:val="left"/>
            </w:pPr>
            <w:hyperlink r:id="rId74">
              <w:r>
                <w:rPr>
                  <w:rStyle w:val="Hyperlink"/>
                </w:rPr>
                <w:t xml:space="preserve">US$2.5bn, 8.4% margin</w:t>
              </w:r>
            </w:hyperlink>
          </w:p>
        </w:tc>
        <w:tc>
          <w:tcPr/>
          <w:p>
            <w:pPr>
              <w:pStyle w:val="Compact"/>
              <w:jc w:val="left"/>
            </w:pPr>
            <w:r>
              <w:t xml:space="preserve">The profit engine: retail, marketplace, Fresh, ads, WOW</w:t>
            </w:r>
          </w:p>
        </w:tc>
      </w:tr>
      <w:tr>
        <w:tc>
          <w:tcPr/>
          <w:p>
            <w:pPr>
              <w:pStyle w:val="Compact"/>
              <w:jc w:val="left"/>
            </w:pPr>
            <w:r>
              <w:t xml:space="preserve">Developing Offerings</w:t>
            </w:r>
          </w:p>
        </w:tc>
        <w:tc>
          <w:tcPr/>
          <w:p>
            <w:pPr>
              <w:pStyle w:val="Compact"/>
              <w:jc w:val="left"/>
            </w:pPr>
            <w:hyperlink r:id="rId75">
              <w:r>
                <w:rPr>
                  <w:rStyle w:val="Hyperlink"/>
                </w:rPr>
                <w:t xml:space="preserve">US$4.9bn</w:t>
              </w:r>
            </w:hyperlink>
          </w:p>
        </w:tc>
        <w:tc>
          <w:tcPr/>
          <w:p>
            <w:pPr>
              <w:pStyle w:val="Compact"/>
              <w:jc w:val="left"/>
            </w:pPr>
            <w:r>
              <w:t xml:space="preserve">~14% [d]</w:t>
            </w:r>
          </w:p>
        </w:tc>
        <w:tc>
          <w:tcPr/>
          <w:p>
            <w:pPr>
              <w:pStyle w:val="Compact"/>
              <w:jc w:val="left"/>
            </w:pPr>
            <w:hyperlink r:id="rId76">
              <w:r>
                <w:rPr>
                  <w:rStyle w:val="Hyperlink"/>
                </w:rPr>
                <w:t xml:space="preserve">-US$995m</w:t>
              </w:r>
            </w:hyperlink>
          </w:p>
        </w:tc>
        <w:tc>
          <w:tcPr/>
          <w:p>
            <w:pPr>
              <w:pStyle w:val="Compact"/>
              <w:jc w:val="left"/>
            </w:pPr>
            <w:r>
              <w:t xml:space="preserve">The investment arm, led by Taiwan, Eats and Farfetch</w:t>
            </w:r>
          </w:p>
        </w:tc>
      </w:tr>
      <w:tr>
        <w:tc>
          <w:tcPr/>
          <w:p>
            <w:pPr>
              <w:pStyle w:val="Compact"/>
              <w:jc w:val="left"/>
            </w:pPr>
            <w:r>
              <w:rPr>
                <w:bCs/>
                <w:b/>
              </w:rPr>
              <w:t xml:space="preserve">Group</w:t>
            </w:r>
          </w:p>
        </w:tc>
        <w:tc>
          <w:tcPr/>
          <w:p>
            <w:pPr>
              <w:pStyle w:val="Compact"/>
              <w:jc w:val="left"/>
            </w:pPr>
            <w:hyperlink r:id="rId77">
              <w:r>
                <w:rPr>
                  <w:rStyle w:val="Hyperlink"/>
                </w:rPr>
                <w:t xml:space="preserve">US$34.5bn</w:t>
              </w:r>
            </w:hyperlink>
          </w:p>
        </w:tc>
        <w:tc>
          <w:tcPr/>
          <w:p>
            <w:pPr>
              <w:pStyle w:val="Compact"/>
              <w:jc w:val="left"/>
            </w:pPr>
            <w:r>
              <w:t xml:space="preserve">100%</w:t>
            </w:r>
          </w:p>
        </w:tc>
        <w:tc>
          <w:tcPr/>
          <w:p>
            <w:pPr>
              <w:pStyle w:val="Compact"/>
              <w:jc w:val="left"/>
            </w:pPr>
            <w:hyperlink r:id="rId57">
              <w:r>
                <w:rPr>
                  <w:rStyle w:val="Hyperlink"/>
                </w:rPr>
                <w:t xml:space="preserve">~US$1.5bn, 4.3%</w:t>
              </w:r>
            </w:hyperlink>
          </w:p>
        </w:tc>
        <w:tc>
          <w:tcPr/>
          <w:p>
            <w:pPr>
              <w:pStyle w:val="Compact"/>
              <w:jc w:val="left"/>
            </w:pPr>
            <w:r>
              <w:t xml:space="preserve">Over 90% of revenue earned in Korea (</w:t>
            </w:r>
            <w:hyperlink r:id="rId78">
              <w:r>
                <w:rPr>
                  <w:rStyle w:val="Hyperlink"/>
                </w:rPr>
                <w:t xml:space="preserve">#1858</w:t>
              </w:r>
            </w:hyperlink>
            <w:r>
              <w:t xml:space="preserve">)</w:t>
            </w:r>
          </w:p>
        </w:tc>
      </w:tr>
    </w:tbl>
    <w:p>
      <w:pPr>
        <w:pStyle w:val="BodyText"/>
      </w:pPr>
      <w:r>
        <w:t xml:space="preserve">So the Korean core earns roughly US$2.5bn of adjusted EBITDA, and about 40% of that is reinvested in the new ventures. Investors are really debating two things: how profitable the Korean core can become, and whether Taiwan will repeat the Korean playbook.</w:t>
      </w:r>
    </w:p>
    <w:bookmarkEnd w:id="79"/>
    <w:bookmarkStart w:id="110" w:name="Xd7789995584fee69863181bd84c65f3657494ef"/>
    <w:p>
      <w:pPr>
        <w:pStyle w:val="Heading1"/>
      </w:pPr>
      <w:r>
        <w:t xml:space="preserve">3. Historical catalysts: moves of more than 10%</w:t>
      </w:r>
    </w:p>
    <w:p>
      <w:pPr>
        <w:pStyle w:val="CaptionedFigure"/>
      </w:pPr>
      <w:r>
        <w:drawing>
          <wp:inline>
            <wp:extent cx="6477000" cy="2714171"/>
            <wp:effectExtent b="0" l="0" r="0" t="0"/>
            <wp:docPr descr="Coupang share price since IPO with key catalysts (weekly close; ProntoNLP price series ‡)" title="" id="81" name="Picture"/>
            <a:graphic>
              <a:graphicData uri="http://schemas.openxmlformats.org/drawingml/2006/picture">
                <pic:pic>
                  <pic:nvPicPr>
                    <pic:cNvPr descr="out/charts/price.png" id="82" name="Picture"/>
                    <pic:cNvPicPr>
                      <a:picLocks noChangeArrowheads="1" noChangeAspect="1"/>
                    </pic:cNvPicPr>
                  </pic:nvPicPr>
                  <pic:blipFill>
                    <a:blip r:embed="rId80"/>
                    <a:stretch>
                      <a:fillRect/>
                    </a:stretch>
                  </pic:blipFill>
                  <pic:spPr bwMode="auto">
                    <a:xfrm>
                      <a:off x="0" y="0"/>
                      <a:ext cx="6477000" cy="2714171"/>
                    </a:xfrm>
                    <a:prstGeom prst="rect">
                      <a:avLst/>
                    </a:prstGeom>
                    <a:noFill/>
                    <a:ln w="9525">
                      <a:noFill/>
                      <a:headEnd/>
                      <a:tailEnd/>
                    </a:ln>
                  </pic:spPr>
                </pic:pic>
              </a:graphicData>
            </a:graphic>
          </wp:inline>
        </w:drawing>
      </w:r>
    </w:p>
    <w:p>
      <w:pPr>
        <w:pStyle w:val="ImageCaption"/>
      </w:pPr>
      <w:r>
        <w:t xml:space="preserve">Coupang share price since IPO with key catalysts (weekly close; ProntoNLP price series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 / window</w:t>
            </w:r>
          </w:p>
        </w:tc>
        <w:tc>
          <w:tcPr/>
          <w:p>
            <w:pPr>
              <w:pStyle w:val="Compact"/>
              <w:jc w:val="left"/>
            </w:pPr>
            <w:r>
              <w:t xml:space="preserve">Move ‡</w:t>
            </w:r>
          </w:p>
        </w:tc>
        <w:tc>
          <w:tcPr/>
          <w:p>
            <w:pPr>
              <w:pStyle w:val="Compact"/>
              <w:jc w:val="left"/>
            </w:pPr>
            <w:r>
              <w:t xml:space="preserve">Driver found in S&amp;P/ProntoNLP documents</w:t>
            </w:r>
          </w:p>
        </w:tc>
        <w:tc>
          <w:tcPr/>
          <w:p>
            <w:pPr>
              <w:pStyle w:val="Compact"/>
              <w:jc w:val="left"/>
            </w:pPr>
            <w:r>
              <w:t xml:space="preserve">Evidence</w:t>
            </w:r>
          </w:p>
        </w:tc>
      </w:tr>
      <w:tr>
        <w:tc>
          <w:tcPr/>
          <w:p>
            <w:pPr>
              <w:pStyle w:val="Compact"/>
              <w:jc w:val="left"/>
            </w:pPr>
            <w:r>
              <w:t xml:space="preserve">IPO, 11-Mar-2021</w:t>
            </w:r>
          </w:p>
        </w:tc>
        <w:tc>
          <w:tcPr/>
          <w:p>
            <w:pPr>
              <w:pStyle w:val="Compact"/>
              <w:jc w:val="left"/>
            </w:pPr>
            <w:r>
              <w:t xml:space="preserve">Priced US$35. Opened US$63.50, closed day 1 US$49.25 (+41%), first week -24% from the open</w:t>
            </w:r>
          </w:p>
        </w:tc>
        <w:tc>
          <w:tcPr/>
          <w:p>
            <w:pPr>
              <w:pStyle w:val="Compact"/>
              <w:jc w:val="left"/>
            </w:pPr>
            <w:r>
              <w:t xml:space="preserve">100m Class A shares at US$35; ~US$3.4bn net proceeds</w:t>
            </w:r>
          </w:p>
        </w:tc>
        <w:tc>
          <w:tcPr/>
          <w:p>
            <w:pPr>
              <w:pStyle w:val="Compact"/>
              <w:jc w:val="left"/>
            </w:pPr>
            <w:hyperlink r:id="rId83">
              <w:r>
                <w:rPr>
                  <w:rStyle w:val="Hyperlink"/>
                </w:rPr>
                <w:t xml:space="preserve">#1284</w:t>
              </w:r>
            </w:hyperlink>
          </w:p>
        </w:tc>
      </w:tr>
      <w:tr>
        <w:tc>
          <w:tcPr/>
          <w:p>
            <w:pPr>
              <w:pStyle w:val="Compact"/>
              <w:jc w:val="left"/>
            </w:pPr>
            <w:r>
              <w:t xml:space="preserve">Wk 9-Aug-2021</w:t>
            </w:r>
          </w:p>
        </w:tc>
        <w:tc>
          <w:tcPr/>
          <w:p>
            <w:pPr>
              <w:pStyle w:val="Compact"/>
              <w:jc w:val="left"/>
            </w:pPr>
            <w:r>
              <w:t xml:space="preserve">-12.7%</w:t>
            </w:r>
          </w:p>
        </w:tc>
        <w:tc>
          <w:tcPr/>
          <w:p>
            <w:pPr>
              <w:pStyle w:val="Compact"/>
              <w:jc w:val="left"/>
            </w:pPr>
            <w:r>
              <w:t xml:space="preserve">Q2’21 results absorbed the Deokpyeong fulfilment-centre fire (17-Jun-2021): US$158m inventory and US$138m asset write-offs</w:t>
            </w:r>
          </w:p>
        </w:tc>
        <w:tc>
          <w:tcPr/>
          <w:p>
            <w:pPr>
              <w:pStyle w:val="Compact"/>
              <w:jc w:val="left"/>
            </w:pPr>
            <w:hyperlink r:id="rId84">
              <w:r>
                <w:rPr>
                  <w:rStyle w:val="Hyperlink"/>
                </w:rPr>
                <w:t xml:space="preserve">#174</w:t>
              </w:r>
            </w:hyperlink>
            <w:r>
              <w:t xml:space="preserve">,</w:t>
            </w:r>
            <w:r>
              <w:t xml:space="preserve"> </w:t>
            </w:r>
            <w:hyperlink r:id="rId85">
              <w:r>
                <w:rPr>
                  <w:rStyle w:val="Hyperlink"/>
                </w:rPr>
                <w:t xml:space="preserve">#1724</w:t>
              </w:r>
            </w:hyperlink>
          </w:p>
        </w:tc>
      </w:tr>
      <w:tr>
        <w:tc>
          <w:tcPr/>
          <w:p>
            <w:pPr>
              <w:pStyle w:val="Compact"/>
              <w:jc w:val="left"/>
            </w:pPr>
            <w:r>
              <w:t xml:space="preserve">Wk 8-Nov-2021</w:t>
            </w:r>
          </w:p>
        </w:tc>
        <w:tc>
          <w:tcPr/>
          <w:p>
            <w:pPr>
              <w:pStyle w:val="Compact"/>
              <w:jc w:val="left"/>
            </w:pPr>
            <w:r>
              <w:t xml:space="preserve">-11.2%</w:t>
            </w:r>
          </w:p>
        </w:tc>
        <w:tc>
          <w:tcPr/>
          <w:p>
            <w:pPr>
              <w:pStyle w:val="Compact"/>
              <w:jc w:val="left"/>
            </w:pPr>
            <w:r>
              <w:t xml:space="preserve">Q3’21 adjusted EBITDA loss widened on ~US$95m of COVID labour and operating costs</w:t>
            </w:r>
          </w:p>
        </w:tc>
        <w:tc>
          <w:tcPr/>
          <w:p>
            <w:pPr>
              <w:pStyle w:val="Compact"/>
              <w:jc w:val="left"/>
            </w:pPr>
            <w:hyperlink r:id="rId86">
              <w:r>
                <w:rPr>
                  <w:rStyle w:val="Hyperlink"/>
                </w:rPr>
                <w:t xml:space="preserve">#117</w:t>
              </w:r>
            </w:hyperlink>
          </w:p>
        </w:tc>
      </w:tr>
      <w:tr>
        <w:tc>
          <w:tcPr/>
          <w:p>
            <w:pPr>
              <w:pStyle w:val="Compact"/>
              <w:jc w:val="left"/>
            </w:pPr>
            <w:r>
              <w:t xml:space="preserve">Jan-2022 (3 weeks)</w:t>
            </w:r>
          </w:p>
        </w:tc>
        <w:tc>
          <w:tcPr/>
          <w:p>
            <w:pPr>
              <w:pStyle w:val="Compact"/>
              <w:jc w:val="left"/>
            </w:pPr>
            <w:r>
              <w:t xml:space="preserve">-38%</w:t>
            </w:r>
          </w:p>
        </w:tc>
        <w:tc>
          <w:tcPr/>
          <w:p>
            <w:pPr>
              <w:pStyle w:val="Compact"/>
              <w:jc w:val="left"/>
            </w:pPr>
            <w:r>
              <w:t xml:space="preserve">No company document in the window. Likely the growth-stock de-rating [u]</w:t>
            </w:r>
          </w:p>
        </w:tc>
        <w:tc>
          <w:tcPr/>
          <w:p>
            <w:pPr>
              <w:pStyle w:val="Compact"/>
              <w:jc w:val="left"/>
            </w:pPr>
            <w:r>
              <w:t xml:space="preserve">n/a</w:t>
            </w:r>
          </w:p>
        </w:tc>
      </w:tr>
      <w:tr>
        <w:tc>
          <w:tcPr/>
          <w:p>
            <w:pPr>
              <w:pStyle w:val="Compact"/>
              <w:jc w:val="left"/>
            </w:pPr>
            <w:r>
              <w:t xml:space="preserve">28-Feb to 11-Mar-2022</w:t>
            </w:r>
          </w:p>
        </w:tc>
        <w:tc>
          <w:tcPr/>
          <w:p>
            <w:pPr>
              <w:pStyle w:val="Compact"/>
              <w:jc w:val="left"/>
            </w:pPr>
            <w:r>
              <w:t xml:space="preserve">-15.6%, then -17.4%</w:t>
            </w:r>
          </w:p>
        </w:tc>
        <w:tc>
          <w:tcPr/>
          <w:p>
            <w:pPr>
              <w:pStyle w:val="Compact"/>
              <w:jc w:val="left"/>
            </w:pPr>
            <w:r>
              <w:t xml:space="preserve">Q4’21: adjusted EBITDA loss widened to US$285m; FY22 guide</w:t>
            </w:r>
            <w:r>
              <w:t xml:space="preserve"> </w:t>
            </w:r>
            <w:r>
              <w:t xml:space="preserve">“</w:t>
            </w:r>
            <w:r>
              <w:t xml:space="preserve">below US$400m</w:t>
            </w:r>
            <w:r>
              <w:t xml:space="preserve">”</w:t>
            </w:r>
            <w:r>
              <w:t xml:space="preserve"> </w:t>
            </w:r>
            <w:r>
              <w:t xml:space="preserve">loss; material weaknesses reiterated</w:t>
            </w:r>
          </w:p>
        </w:tc>
        <w:tc>
          <w:tcPr/>
          <w:p>
            <w:pPr>
              <w:pStyle w:val="Compact"/>
              <w:jc w:val="left"/>
            </w:pPr>
            <w:hyperlink r:id="rId87">
              <w:r>
                <w:rPr>
                  <w:rStyle w:val="Hyperlink"/>
                </w:rPr>
                <w:t xml:space="preserve">#128</w:t>
              </w:r>
            </w:hyperlink>
            <w:r>
              <w:t xml:space="preserve">,</w:t>
            </w:r>
            <w:r>
              <w:t xml:space="preserve"> </w:t>
            </w:r>
            <w:hyperlink r:id="rId88">
              <w:r>
                <w:rPr>
                  <w:rStyle w:val="Hyperlink"/>
                </w:rPr>
                <w:t xml:space="preserve">#1671</w:t>
              </w:r>
            </w:hyperlink>
          </w:p>
        </w:tc>
      </w:tr>
      <w:tr>
        <w:tc>
          <w:tcPr/>
          <w:p>
            <w:pPr>
              <w:pStyle w:val="Compact"/>
              <w:jc w:val="left"/>
            </w:pPr>
            <w:r>
              <w:t xml:space="preserve">Apr-May-2022</w:t>
            </w:r>
          </w:p>
        </w:tc>
        <w:tc>
          <w:tcPr/>
          <w:p>
            <w:pPr>
              <w:pStyle w:val="Compact"/>
              <w:jc w:val="left"/>
            </w:pPr>
            <w:r>
              <w:t xml:space="preserve">-63% to US$8.98 low</w:t>
            </w:r>
          </w:p>
        </w:tc>
        <w:tc>
          <w:tcPr/>
          <w:p>
            <w:pPr>
              <w:pStyle w:val="Compact"/>
              <w:jc w:val="left"/>
            </w:pPr>
            <w:r>
              <w:t xml:space="preserve">No company document. Market-driven [u]</w:t>
            </w:r>
          </w:p>
        </w:tc>
        <w:tc>
          <w:tcPr/>
          <w:p>
            <w:pPr>
              <w:pStyle w:val="Compact"/>
              <w:jc w:val="left"/>
            </w:pPr>
            <w:r>
              <w:t xml:space="preserve">n/a</w:t>
            </w:r>
          </w:p>
        </w:tc>
      </w:tr>
      <w:tr>
        <w:tc>
          <w:tcPr/>
          <w:p>
            <w:pPr>
              <w:pStyle w:val="Compact"/>
              <w:jc w:val="left"/>
            </w:pPr>
            <w:r>
              <w:t xml:space="preserve">12-13 May 2022</w:t>
            </w:r>
          </w:p>
        </w:tc>
        <w:tc>
          <w:tcPr/>
          <w:p>
            <w:pPr>
              <w:pStyle w:val="Compact"/>
              <w:jc w:val="left"/>
            </w:pPr>
            <w:r>
              <w:t xml:space="preserve">+18.5%, +16.4%</w:t>
            </w:r>
          </w:p>
        </w:tc>
        <w:tc>
          <w:tcPr/>
          <w:p>
            <w:pPr>
              <w:pStyle w:val="Compact"/>
              <w:jc w:val="left"/>
            </w:pPr>
            <w:r>
              <w:t xml:space="preserve">Q1’22: adjusted EBITDA loss narrowed to US$91M (-1.8% margin); Product Commerce turned adjusted-EBITDA positive</w:t>
            </w:r>
          </w:p>
        </w:tc>
        <w:tc>
          <w:tcPr/>
          <w:p>
            <w:pPr>
              <w:pStyle w:val="Compact"/>
              <w:jc w:val="left"/>
            </w:pPr>
            <w:hyperlink r:id="rId89">
              <w:r>
                <w:rPr>
                  <w:rStyle w:val="Hyperlink"/>
                </w:rPr>
                <w:t xml:space="preserve">#92</w:t>
              </w:r>
            </w:hyperlink>
            <w:r>
              <w:t xml:space="preserve">,</w:t>
            </w:r>
            <w:r>
              <w:t xml:space="preserve"> </w:t>
            </w:r>
            <w:hyperlink r:id="rId90">
              <w:r>
                <w:rPr>
                  <w:rStyle w:val="Hyperlink"/>
                </w:rPr>
                <w:t xml:space="preserve">#103</w:t>
              </w:r>
            </w:hyperlink>
          </w:p>
        </w:tc>
      </w:tr>
      <w:tr>
        <w:tc>
          <w:tcPr/>
          <w:p>
            <w:pPr>
              <w:pStyle w:val="Compact"/>
              <w:jc w:val="left"/>
            </w:pPr>
            <w:r>
              <w:t xml:space="preserve">Jul-Aug 2022</w:t>
            </w:r>
          </w:p>
        </w:tc>
        <w:tc>
          <w:tcPr/>
          <w:p>
            <w:pPr>
              <w:pStyle w:val="Compact"/>
              <w:jc w:val="left"/>
            </w:pPr>
            <w:r>
              <w:t xml:space="preserve">+67%</w:t>
            </w:r>
          </w:p>
        </w:tc>
        <w:tc>
          <w:tcPr/>
          <w:p>
            <w:pPr>
              <w:pStyle w:val="Compact"/>
              <w:jc w:val="left"/>
            </w:pPr>
            <w:r>
              <w:t xml:space="preserve">Q2’22: first positive consolidated adjusted EBITDA; Product Commerce US$98m</w:t>
            </w:r>
          </w:p>
        </w:tc>
        <w:tc>
          <w:tcPr/>
          <w:p>
            <w:pPr>
              <w:pStyle w:val="Compact"/>
              <w:jc w:val="left"/>
            </w:pPr>
            <w:hyperlink r:id="rId91">
              <w:r>
                <w:rPr>
                  <w:rStyle w:val="Hyperlink"/>
                </w:rPr>
                <w:t xml:space="preserve">#46</w:t>
              </w:r>
            </w:hyperlink>
            <w:r>
              <w:t xml:space="preserve">,</w:t>
            </w:r>
            <w:r>
              <w:t xml:space="preserve"> </w:t>
            </w:r>
            <w:hyperlink r:id="rId92">
              <w:r>
                <w:rPr>
                  <w:rStyle w:val="Hyperlink"/>
                </w:rPr>
                <w:t xml:space="preserve">#156</w:t>
              </w:r>
            </w:hyperlink>
          </w:p>
        </w:tc>
      </w:tr>
      <w:tr>
        <w:tc>
          <w:tcPr/>
          <w:p>
            <w:pPr>
              <w:pStyle w:val="Compact"/>
              <w:jc w:val="left"/>
            </w:pPr>
            <w:r>
              <w:t xml:space="preserve">Wk 7-Nov-2022</w:t>
            </w:r>
          </w:p>
        </w:tc>
        <w:tc>
          <w:tcPr/>
          <w:p>
            <w:pPr>
              <w:pStyle w:val="Compact"/>
              <w:jc w:val="left"/>
            </w:pPr>
            <w:r>
              <w:t xml:space="preserve">+12.2%</w:t>
            </w:r>
          </w:p>
        </w:tc>
        <w:tc>
          <w:tcPr/>
          <w:p>
            <w:pPr>
              <w:pStyle w:val="Compact"/>
              <w:jc w:val="left"/>
            </w:pPr>
            <w:r>
              <w:t xml:space="preserve">Q3’22: first positive net income, US$91m</w:t>
            </w:r>
          </w:p>
        </w:tc>
        <w:tc>
          <w:tcPr/>
          <w:p>
            <w:pPr>
              <w:pStyle w:val="Compact"/>
              <w:jc w:val="left"/>
            </w:pPr>
            <w:hyperlink r:id="rId93">
              <w:r>
                <w:rPr>
                  <w:rStyle w:val="Hyperlink"/>
                </w:rPr>
                <w:t xml:space="preserve">#80</w:t>
              </w:r>
            </w:hyperlink>
          </w:p>
        </w:tc>
      </w:tr>
      <w:tr>
        <w:tc>
          <w:tcPr/>
          <w:p>
            <w:pPr>
              <w:pStyle w:val="Compact"/>
              <w:jc w:val="left"/>
            </w:pPr>
            <w:r>
              <w:t xml:space="preserve">Wk 26-Feb-2024</w:t>
            </w:r>
          </w:p>
        </w:tc>
        <w:tc>
          <w:tcPr/>
          <w:p>
            <w:pPr>
              <w:pStyle w:val="Compact"/>
              <w:jc w:val="left"/>
            </w:pPr>
            <w:r>
              <w:t xml:space="preserve">+15.5%</w:t>
            </w:r>
          </w:p>
        </w:tc>
        <w:tc>
          <w:tcPr/>
          <w:p>
            <w:pPr>
              <w:pStyle w:val="Compact"/>
              <w:jc w:val="left"/>
            </w:pPr>
            <w:r>
              <w:t xml:space="preserve">Q4’23: record net income and FCF; Farfetch acquisition closed 30-Jan-2024</w:t>
            </w:r>
          </w:p>
        </w:tc>
        <w:tc>
          <w:tcPr/>
          <w:p>
            <w:pPr>
              <w:pStyle w:val="Compact"/>
              <w:jc w:val="left"/>
            </w:pPr>
            <w:hyperlink r:id="rId94">
              <w:r>
                <w:rPr>
                  <w:rStyle w:val="Hyperlink"/>
                </w:rPr>
                <w:t xml:space="preserve">#30</w:t>
              </w:r>
            </w:hyperlink>
            <w:r>
              <w:t xml:space="preserve">,</w:t>
            </w:r>
            <w:r>
              <w:t xml:space="preserve"> </w:t>
            </w:r>
            <w:hyperlink r:id="rId95">
              <w:r>
                <w:rPr>
                  <w:rStyle w:val="Hyperlink"/>
                </w:rPr>
                <w:t xml:space="preserve">#2035</w:t>
              </w:r>
            </w:hyperlink>
          </w:p>
        </w:tc>
      </w:tr>
      <w:tr>
        <w:tc>
          <w:tcPr/>
          <w:p>
            <w:pPr>
              <w:pStyle w:val="Compact"/>
              <w:jc w:val="left"/>
            </w:pPr>
            <w:r>
              <w:t xml:space="preserve">Wk 8-Apr-2024</w:t>
            </w:r>
          </w:p>
        </w:tc>
        <w:tc>
          <w:tcPr/>
          <w:p>
            <w:pPr>
              <w:pStyle w:val="Compact"/>
              <w:jc w:val="left"/>
            </w:pPr>
            <w:r>
              <w:t xml:space="preserve">+16.5%</w:t>
            </w:r>
          </w:p>
        </w:tc>
        <w:tc>
          <w:tcPr/>
          <w:p>
            <w:pPr>
              <w:pStyle w:val="Compact"/>
              <w:jc w:val="left"/>
            </w:pPr>
            <w:r>
              <w:t xml:space="preserve">10m-share private buyback from Maverick at US$17.79 the prior week; cause of the 12-Apr jump unverified</w:t>
            </w:r>
          </w:p>
        </w:tc>
        <w:tc>
          <w:tcPr/>
          <w:p>
            <w:pPr>
              <w:pStyle w:val="Compact"/>
              <w:jc w:val="left"/>
            </w:pPr>
            <w:hyperlink r:id="rId96">
              <w:r>
                <w:rPr>
                  <w:rStyle w:val="Hyperlink"/>
                </w:rPr>
                <w:t xml:space="preserve">#0</w:t>
              </w:r>
            </w:hyperlink>
          </w:p>
        </w:tc>
      </w:tr>
      <w:tr>
        <w:tc>
          <w:tcPr/>
          <w:p>
            <w:pPr>
              <w:pStyle w:val="Compact"/>
              <w:jc w:val="left"/>
            </w:pPr>
            <w:r>
              <w:t xml:space="preserve">Wk 5-Aug-2024</w:t>
            </w:r>
          </w:p>
        </w:tc>
        <w:tc>
          <w:tcPr/>
          <w:p>
            <w:pPr>
              <w:pStyle w:val="Compact"/>
              <w:jc w:val="left"/>
            </w:pPr>
            <w:r>
              <w:t xml:space="preserve">+11.4%</w:t>
            </w:r>
          </w:p>
        </w:tc>
        <w:tc>
          <w:tcPr/>
          <w:p>
            <w:pPr>
              <w:pStyle w:val="Compact"/>
              <w:jc w:val="left"/>
            </w:pPr>
            <w:r>
              <w:t xml:space="preserve">Q2’24: constant-currency revenue +30%; KFTC fine confirmed at US$121m</w:t>
            </w:r>
            <w:r>
              <w:t xml:space="preserve"> </w:t>
            </w:r>
            <w:r>
              <w:t xml:space="preserve">“</w:t>
            </w:r>
            <w:r>
              <w:t xml:space="preserve">as expected</w:t>
            </w:r>
            <w:r>
              <w:t xml:space="preserve">”</w:t>
            </w:r>
          </w:p>
        </w:tc>
        <w:tc>
          <w:tcPr/>
          <w:p>
            <w:pPr>
              <w:pStyle w:val="Compact"/>
              <w:jc w:val="left"/>
            </w:pPr>
            <w:hyperlink r:id="rId97">
              <w:r>
                <w:rPr>
                  <w:rStyle w:val="Hyperlink"/>
                </w:rPr>
                <w:t xml:space="preserve">#36</w:t>
              </w:r>
            </w:hyperlink>
            <w:r>
              <w:t xml:space="preserve">,</w:t>
            </w:r>
            <w:r>
              <w:t xml:space="preserve"> </w:t>
            </w:r>
            <w:hyperlink r:id="rId98">
              <w:r>
                <w:rPr>
                  <w:rStyle w:val="Hyperlink"/>
                </w:rPr>
                <w:t xml:space="preserve">#1</w:t>
              </w:r>
            </w:hyperlink>
          </w:p>
        </w:tc>
      </w:tr>
      <w:tr>
        <w:tc>
          <w:tcPr/>
          <w:p>
            <w:pPr>
              <w:pStyle w:val="Compact"/>
              <w:jc w:val="left"/>
            </w:pPr>
            <w:r>
              <w:t xml:space="preserve">7-May-2025</w:t>
            </w:r>
          </w:p>
        </w:tc>
        <w:tc>
          <w:tcPr/>
          <w:p>
            <w:pPr>
              <w:pStyle w:val="Compact"/>
              <w:jc w:val="left"/>
            </w:pPr>
            <w:r>
              <w:t xml:space="preserve">+10.8% (day)</w:t>
            </w:r>
          </w:p>
        </w:tc>
        <w:tc>
          <w:tcPr/>
          <w:p>
            <w:pPr>
              <w:pStyle w:val="Compact"/>
              <w:jc w:val="left"/>
            </w:pPr>
            <w:r>
              <w:t xml:space="preserve">Q1’25: +21% cc revenue; first US$1bn buyback authorised</w:t>
            </w:r>
          </w:p>
        </w:tc>
        <w:tc>
          <w:tcPr/>
          <w:p>
            <w:pPr>
              <w:pStyle w:val="Compact"/>
              <w:jc w:val="left"/>
            </w:pPr>
            <w:hyperlink r:id="rId99">
              <w:r>
                <w:rPr>
                  <w:rStyle w:val="Hyperlink"/>
                </w:rPr>
                <w:t xml:space="preserve">#23</w:t>
              </w:r>
            </w:hyperlink>
            <w:r>
              <w:t xml:space="preserve">,</w:t>
            </w:r>
            <w:r>
              <w:t xml:space="preserve"> </w:t>
            </w:r>
            <w:hyperlink r:id="rId100">
              <w:r>
                <w:rPr>
                  <w:rStyle w:val="Hyperlink"/>
                </w:rPr>
                <w:t xml:space="preserve">#296</w:t>
              </w:r>
            </w:hyperlink>
          </w:p>
        </w:tc>
      </w:tr>
      <w:tr>
        <w:tc>
          <w:tcPr/>
          <w:p>
            <w:pPr>
              <w:pStyle w:val="Compact"/>
              <w:jc w:val="left"/>
            </w:pPr>
            <w:r>
              <w:t xml:space="preserve">Wk 8-Sep-2025</w:t>
            </w:r>
          </w:p>
        </w:tc>
        <w:tc>
          <w:tcPr/>
          <w:p>
            <w:pPr>
              <w:pStyle w:val="Compact"/>
              <w:jc w:val="left"/>
            </w:pPr>
            <w:r>
              <w:t xml:space="preserve">+12.1% (to the US$34.08 high)</w:t>
            </w:r>
          </w:p>
        </w:tc>
        <w:tc>
          <w:tcPr/>
          <w:p>
            <w:pPr>
              <w:pStyle w:val="Compact"/>
              <w:jc w:val="left"/>
            </w:pPr>
            <w:r>
              <w:t xml:space="preserve">No company document [u]</w:t>
            </w:r>
          </w:p>
        </w:tc>
        <w:tc>
          <w:tcPr/>
          <w:p>
            <w:pPr>
              <w:pStyle w:val="Compact"/>
              <w:jc w:val="left"/>
            </w:pPr>
            <w:r>
              <w:t xml:space="preserve">n/a</w:t>
            </w:r>
          </w:p>
        </w:tc>
      </w:tr>
      <w:tr>
        <w:tc>
          <w:tcPr/>
          <w:p>
            <w:pPr>
              <w:pStyle w:val="Compact"/>
              <w:jc w:val="left"/>
            </w:pPr>
            <w:r>
              <w:t xml:space="preserve">Wk 3-Nov-2025</w:t>
            </w:r>
          </w:p>
        </w:tc>
        <w:tc>
          <w:tcPr/>
          <w:p>
            <w:pPr>
              <w:pStyle w:val="Compact"/>
              <w:jc w:val="left"/>
            </w:pPr>
            <w:r>
              <w:t xml:space="preserve">-9.7%</w:t>
            </w:r>
          </w:p>
        </w:tc>
        <w:tc>
          <w:tcPr/>
          <w:p>
            <w:pPr>
              <w:pStyle w:val="Compact"/>
              <w:jc w:val="left"/>
            </w:pPr>
            <w:r>
              <w:t xml:space="preserve">Q3’25: Developing Offerings loss of US$292m; FY guide moved to the high end of US$900-950m on Taiwan</w:t>
            </w:r>
          </w:p>
        </w:tc>
        <w:tc>
          <w:tcPr/>
          <w:p>
            <w:pPr>
              <w:pStyle w:val="Compact"/>
              <w:jc w:val="left"/>
            </w:pPr>
            <w:hyperlink r:id="rId101">
              <w:r>
                <w:rPr>
                  <w:rStyle w:val="Hyperlink"/>
                </w:rPr>
                <w:t xml:space="preserve">#97</w:t>
              </w:r>
            </w:hyperlink>
            <w:r>
              <w:t xml:space="preserve">,</w:t>
            </w:r>
            <w:r>
              <w:t xml:space="preserve"> </w:t>
            </w:r>
            <w:hyperlink r:id="rId102">
              <w:r>
                <w:rPr>
                  <w:rStyle w:val="Hyperlink"/>
                </w:rPr>
                <w:t xml:space="preserve">#98</w:t>
              </w:r>
            </w:hyperlink>
          </w:p>
        </w:tc>
      </w:tr>
      <w:tr>
        <w:tc>
          <w:tcPr/>
          <w:p>
            <w:pPr>
              <w:pStyle w:val="Compact"/>
              <w:jc w:val="left"/>
            </w:pPr>
            <w:r>
              <w:t xml:space="preserve">Wk 15-Dec-2025</w:t>
            </w:r>
          </w:p>
        </w:tc>
        <w:tc>
          <w:tcPr/>
          <w:p>
            <w:pPr>
              <w:pStyle w:val="Compact"/>
              <w:jc w:val="left"/>
            </w:pPr>
            <w:r>
              <w:t xml:space="preserve">-9.5%</w:t>
            </w:r>
          </w:p>
        </w:tc>
        <w:tc>
          <w:tcPr/>
          <w:p>
            <w:pPr>
              <w:pStyle w:val="Compact"/>
              <w:jc w:val="left"/>
            </w:pPr>
            <w:r>
              <w:t xml:space="preserve">8-K on the data incident (up to 33m accounts); Korea CEO resigned 10-Dec; ~US$1.2bn of vouchers</w:t>
            </w:r>
          </w:p>
        </w:tc>
        <w:tc>
          <w:tcPr/>
          <w:p>
            <w:pPr>
              <w:pStyle w:val="Compact"/>
              <w:jc w:val="left"/>
            </w:pPr>
            <w:hyperlink r:id="rId25">
              <w:r>
                <w:rPr>
                  <w:rStyle w:val="Hyperlink"/>
                </w:rPr>
                <w:t xml:space="preserve">#2</w:t>
              </w:r>
            </w:hyperlink>
            <w:r>
              <w:t xml:space="preserve">,</w:t>
            </w:r>
            <w:r>
              <w:t xml:space="preserve"> </w:t>
            </w:r>
            <w:hyperlink r:id="rId103">
              <w:r>
                <w:rPr>
                  <w:rStyle w:val="Hyperlink"/>
                </w:rPr>
                <w:t xml:space="preserve">#10</w:t>
              </w:r>
            </w:hyperlink>
          </w:p>
        </w:tc>
      </w:tr>
      <w:tr>
        <w:tc>
          <w:tcPr/>
          <w:p>
            <w:pPr>
              <w:pStyle w:val="Compact"/>
              <w:jc w:val="left"/>
            </w:pPr>
            <w:r>
              <w:t xml:space="preserve">Jan-Feb 2026</w:t>
            </w:r>
          </w:p>
        </w:tc>
        <w:tc>
          <w:tcPr/>
          <w:p>
            <w:pPr>
              <w:pStyle w:val="Compact"/>
              <w:jc w:val="left"/>
            </w:pPr>
            <w:r>
              <w:t xml:space="preserve">-27%</w:t>
            </w:r>
          </w:p>
        </w:tc>
        <w:tc>
          <w:tcPr/>
          <w:p>
            <w:pPr>
              <w:pStyle w:val="Compact"/>
              <w:jc w:val="left"/>
            </w:pPr>
            <w:r>
              <w:t xml:space="preserve">National Assembly hearings, prosecution referrals, regulator investigations; US class action filed 6-Jan-2026</w:t>
            </w:r>
          </w:p>
        </w:tc>
        <w:tc>
          <w:tcPr/>
          <w:p>
            <w:pPr>
              <w:pStyle w:val="Compact"/>
              <w:jc w:val="left"/>
            </w:pPr>
            <w:hyperlink r:id="rId104">
              <w:r>
                <w:rPr>
                  <w:rStyle w:val="Hyperlink"/>
                </w:rPr>
                <w:t xml:space="preserve">#225</w:t>
              </w:r>
            </w:hyperlink>
            <w:r>
              <w:t xml:space="preserve">,</w:t>
            </w:r>
            <w:r>
              <w:t xml:space="preserve"> </w:t>
            </w:r>
            <w:hyperlink r:id="rId105">
              <w:r>
                <w:rPr>
                  <w:rStyle w:val="Hyperlink"/>
                </w:rPr>
                <w:t xml:space="preserve">#415</w:t>
              </w:r>
            </w:hyperlink>
          </w:p>
        </w:tc>
      </w:tr>
      <w:tr>
        <w:tc>
          <w:tcPr/>
          <w:p>
            <w:pPr>
              <w:pStyle w:val="Compact"/>
              <w:jc w:val="left"/>
            </w:pPr>
            <w:r>
              <w:t xml:space="preserve">6-May-2026</w:t>
            </w:r>
          </w:p>
        </w:tc>
        <w:tc>
          <w:tcPr/>
          <w:p>
            <w:pPr>
              <w:pStyle w:val="Compact"/>
              <w:jc w:val="left"/>
            </w:pPr>
            <w:r>
              <w:t xml:space="preserve">-13.8% (day)</w:t>
            </w:r>
          </w:p>
        </w:tc>
        <w:tc>
          <w:tcPr/>
          <w:p>
            <w:pPr>
              <w:pStyle w:val="Compact"/>
              <w:jc w:val="left"/>
            </w:pPr>
            <w:r>
              <w:t xml:space="preserve">Q1’26: operating loss of US$242m; adjusted EBITDA margin 0.3%; Q2 margin guide -300 to -400bp</w:t>
            </w:r>
          </w:p>
        </w:tc>
        <w:tc>
          <w:tcPr/>
          <w:p>
            <w:pPr>
              <w:pStyle w:val="Compact"/>
              <w:jc w:val="left"/>
            </w:pPr>
            <w:hyperlink r:id="rId106">
              <w:r>
                <w:rPr>
                  <w:rStyle w:val="Hyperlink"/>
                </w:rPr>
                <w:t xml:space="preserve">#132</w:t>
              </w:r>
            </w:hyperlink>
            <w:r>
              <w:t xml:space="preserve">,</w:t>
            </w:r>
            <w:r>
              <w:t xml:space="preserve"> </w:t>
            </w:r>
            <w:hyperlink r:id="rId107">
              <w:r>
                <w:rPr>
                  <w:rStyle w:val="Hyperlink"/>
                </w:rPr>
                <w:t xml:space="preserve">#145</w:t>
              </w:r>
            </w:hyperlink>
          </w:p>
        </w:tc>
      </w:tr>
      <w:tr>
        <w:tc>
          <w:tcPr/>
          <w:p>
            <w:pPr>
              <w:pStyle w:val="Compact"/>
              <w:jc w:val="left"/>
            </w:pPr>
            <w:r>
              <w:t xml:space="preserve">Wk 8-Jun-2026</w:t>
            </w:r>
          </w:p>
        </w:tc>
        <w:tc>
          <w:tcPr/>
          <w:p>
            <w:pPr>
              <w:pStyle w:val="Compact"/>
              <w:jc w:val="left"/>
            </w:pPr>
            <w:r>
              <w:t xml:space="preserve">+11.0%</w:t>
            </w:r>
          </w:p>
        </w:tc>
        <w:tc>
          <w:tcPr/>
          <w:p>
            <w:pPr>
              <w:pStyle w:val="Compact"/>
              <w:jc w:val="left"/>
            </w:pPr>
            <w:r>
              <w:t xml:space="preserve">PIPC fines of ~US$410m announced (uncertainty removed? [u])</w:t>
            </w:r>
          </w:p>
        </w:tc>
        <w:tc>
          <w:tcPr/>
          <w:p>
            <w:pPr>
              <w:pStyle w:val="Compact"/>
              <w:jc w:val="left"/>
            </w:pPr>
            <w:hyperlink r:id="rId108">
              <w:r>
                <w:rPr>
                  <w:rStyle w:val="Hyperlink"/>
                </w:rPr>
                <w:t xml:space="preserve">#0</w:t>
              </w:r>
            </w:hyperlink>
          </w:p>
        </w:tc>
      </w:tr>
      <w:tr>
        <w:tc>
          <w:tcPr/>
          <w:p>
            <w:pPr>
              <w:pStyle w:val="Compact"/>
              <w:jc w:val="left"/>
            </w:pPr>
            <w:r>
              <w:t xml:space="preserve">Wk 13-Jul-2026</w:t>
            </w:r>
          </w:p>
        </w:tc>
        <w:tc>
          <w:tcPr/>
          <w:p>
            <w:pPr>
              <w:pStyle w:val="Compact"/>
              <w:jc w:val="left"/>
            </w:pPr>
            <w:r>
              <w:t xml:space="preserve">-11.6%</w:t>
            </w:r>
          </w:p>
        </w:tc>
        <w:tc>
          <w:tcPr/>
          <w:p>
            <w:pPr>
              <w:pStyle w:val="Compact"/>
              <w:jc w:val="left"/>
            </w:pPr>
            <w:r>
              <w:t xml:space="preserve">Incheon fulfilment-centre fire; ~US$246m of assets and obligations at the site</w:t>
            </w:r>
          </w:p>
        </w:tc>
        <w:tc>
          <w:tcPr/>
          <w:p>
            <w:pPr>
              <w:pStyle w:val="Compact"/>
              <w:jc w:val="left"/>
            </w:pPr>
            <w:hyperlink r:id="rId109">
              <w:r>
                <w:rPr>
                  <w:rStyle w:val="Hyperlink"/>
                </w:rPr>
                <w:t xml:space="preserve">#470</w:t>
              </w:r>
            </w:hyperlink>
          </w:p>
        </w:tc>
      </w:tr>
      <w:tr>
        <w:tc>
          <w:tcPr/>
          <w:p>
            <w:pPr>
              <w:pStyle w:val="Compact"/>
              <w:jc w:val="left"/>
            </w:pPr>
            <w:r>
              <w:t xml:space="preserve">Wk 5-Oct-2026</w:t>
            </w:r>
          </w:p>
        </w:tc>
        <w:tc>
          <w:tcPr/>
          <w:p>
            <w:pPr>
              <w:pStyle w:val="Compact"/>
              <w:jc w:val="left"/>
            </w:pPr>
            <w:r>
              <w:t xml:space="preserve">+14.8% (five up days)</w:t>
            </w:r>
          </w:p>
        </w:tc>
        <w:tc>
          <w:tcPr/>
          <w:p>
            <w:pPr>
              <w:pStyle w:val="Compact"/>
              <w:jc w:val="left"/>
            </w:pPr>
            <w:r>
              <w:t xml:space="preserve">No company document in the window [u]</w:t>
            </w:r>
          </w:p>
        </w:tc>
        <w:tc>
          <w:tcPr/>
          <w:p>
            <w:pPr>
              <w:pStyle w:val="Compact"/>
              <w:jc w:val="left"/>
            </w:pPr>
            <w:r>
              <w:t xml:space="preserve">n/a</w:t>
            </w:r>
          </w:p>
        </w:tc>
      </w:tr>
    </w:tbl>
    <w:p>
      <w:pPr>
        <w:pStyle w:val="BodyText"/>
      </w:pPr>
      <w:r>
        <w:rPr>
          <w:bCs/>
          <w:b/>
        </w:rPr>
        <w:t xml:space="preserve">Read-across.</w:t>
      </w:r>
      <w:r>
        <w:t xml:space="preserve"> </w:t>
      </w:r>
      <w:r>
        <w:t xml:space="preserve">Results have been the dominant driver of the stock’s large moves, especially the profitability inflection (2022) and its reversal (Q1’26). Several of the steepest falls (Jan-2022, Apr-May 2022, Sep-Oct 2026) have no company-specific trigger in the filings. That fits a stock that trades as a high-beta growth proxy.</w:t>
      </w:r>
    </w:p>
    <w:bookmarkEnd w:id="110"/>
    <w:bookmarkStart w:id="156" w:name="Xac1a3317271edd04137b8759810b09a5f69a3b3"/>
    <w:p>
      <w:pPr>
        <w:pStyle w:val="Heading1"/>
      </w:pPr>
      <w:r>
        <w:t xml:space="preserve">4. Business model, key drivers, customers, suppliers, competitors and geographies</w:t>
      </w:r>
    </w:p>
    <w:bookmarkStart w:id="119" w:name="business-model-in-simple-terms"/>
    <w:p>
      <w:pPr>
        <w:pStyle w:val="Heading2"/>
      </w:pPr>
      <w:r>
        <w:t xml:space="preserve">4.1 Business model in simple terms</w:t>
      </w:r>
    </w:p>
    <w:p>
      <w:pPr>
        <w:pStyle w:val="FirstParagraph"/>
      </w:pPr>
      <w:r>
        <w:t xml:space="preserve">Coupang runs</w:t>
      </w:r>
      <w:r>
        <w:t xml:space="preserve"> </w:t>
      </w:r>
      <w:r>
        <w:rPr>
          <w:bCs/>
          <w:b/>
        </w:rPr>
        <w:t xml:space="preserve">an owned, vertically integrated network</w:t>
      </w:r>
      <w:r>
        <w:t xml:space="preserve"> </w:t>
      </w:r>
      <w:r>
        <w:t xml:space="preserve">of more than</w:t>
      </w:r>
      <w:r>
        <w:t xml:space="preserve"> </w:t>
      </w:r>
      <w:hyperlink r:id="rId111">
        <w:r>
          <w:rPr>
            <w:rStyle w:val="Hyperlink"/>
          </w:rPr>
          <w:t xml:space="preserve">78m sq ft</w:t>
        </w:r>
      </w:hyperlink>
      <w:r>
        <w:t xml:space="preserve"> </w:t>
      </w:r>
      <w:r>
        <w:t xml:space="preserve">of fulfilment, sortation and delivery space, up from 67m a year earlier (</w:t>
      </w:r>
      <w:hyperlink r:id="rId112">
        <w:r>
          <w:rPr>
            <w:rStyle w:val="Hyperlink"/>
          </w:rPr>
          <w:t xml:space="preserve">#1145</w:t>
        </w:r>
      </w:hyperlink>
      <w:r>
        <w:t xml:space="preserve">). It is staffed largely by direct employees plus</w:t>
      </w:r>
      <w:r>
        <w:t xml:space="preserve"> </w:t>
      </w:r>
      <w:r>
        <w:t xml:space="preserve">“</w:t>
      </w:r>
      <w:r>
        <w:t xml:space="preserve">tens of thousands</w:t>
      </w:r>
      <w:r>
        <w:t xml:space="preserve">”</w:t>
      </w:r>
      <w:r>
        <w:t xml:space="preserve"> </w:t>
      </w:r>
      <w:r>
        <w:t xml:space="preserve">of independent delivery partners (</w:t>
      </w:r>
      <w:hyperlink r:id="rId113">
        <w:r>
          <w:rPr>
            <w:rStyle w:val="Hyperlink"/>
          </w:rPr>
          <w:t xml:space="preserve">#88</w:t>
        </w:r>
      </w:hyperlink>
      <w:r>
        <w:t xml:space="preserve">). Free next-day</w:t>
      </w:r>
      <w:r>
        <w:t xml:space="preserve"> </w:t>
      </w:r>
      <w:r>
        <w:t xml:space="preserve">“</w:t>
      </w:r>
      <w:r>
        <w:t xml:space="preserve">Rocket Delivery</w:t>
      </w:r>
      <w:r>
        <w:t xml:space="preserve">”</w:t>
      </w:r>
      <w:r>
        <w:t xml:space="preserve">, launched</w:t>
      </w:r>
      <w:r>
        <w:t xml:space="preserve"> </w:t>
      </w:r>
      <w:r>
        <w:t xml:space="preserve">“</w:t>
      </w:r>
      <w:r>
        <w:t xml:space="preserve">over 10 years ago</w:t>
      </w:r>
      <w:r>
        <w:t xml:space="preserve">”</w:t>
      </w:r>
      <w:r>
        <w:t xml:space="preserve"> </w:t>
      </w:r>
      <w:r>
        <w:t xml:space="preserve">(</w:t>
      </w:r>
      <w:hyperlink r:id="rId114">
        <w:r>
          <w:rPr>
            <w:rStyle w:val="Hyperlink"/>
          </w:rPr>
          <w:t xml:space="preserve">#31</w:t>
        </w:r>
      </w:hyperlink>
      <w:r>
        <w:t xml:space="preserve">), is the customer proposition. The economic loop works like this:</w:t>
      </w:r>
    </w:p>
    <w:p>
      <w:pPr>
        <w:numPr>
          <w:ilvl w:val="0"/>
          <w:numId w:val="1010"/>
        </w:numPr>
        <w:pStyle w:val="Compact"/>
      </w:pPr>
      <w:r>
        <w:t xml:space="preserve">Selection, speed and price bring in customers.</w:t>
      </w:r>
    </w:p>
    <w:p>
      <w:pPr>
        <w:numPr>
          <w:ilvl w:val="0"/>
          <w:numId w:val="1010"/>
        </w:numPr>
        <w:pStyle w:val="Compact"/>
      </w:pPr>
      <w:r>
        <w:t xml:space="preserve">Customers raise purchase frequency and spend.</w:t>
      </w:r>
    </w:p>
    <w:p>
      <w:pPr>
        <w:numPr>
          <w:ilvl w:val="0"/>
          <w:numId w:val="1010"/>
        </w:numPr>
        <w:pStyle w:val="Compact"/>
      </w:pPr>
      <w:r>
        <w:t xml:space="preserve">Each cohort’s spend rises year after year (</w:t>
      </w:r>
      <w:hyperlink r:id="rId115">
        <w:r>
          <w:rPr>
            <w:rStyle w:val="Hyperlink"/>
          </w:rPr>
          <w:t xml:space="preserve">#69</w:t>
        </w:r>
      </w:hyperlink>
      <w:r>
        <w:t xml:space="preserve">).</w:t>
      </w:r>
    </w:p>
    <w:p>
      <w:pPr>
        <w:numPr>
          <w:ilvl w:val="0"/>
          <w:numId w:val="1010"/>
        </w:numPr>
        <w:pStyle w:val="Compact"/>
      </w:pPr>
      <w:r>
        <w:t xml:space="preserve">Higher volume lowers cost per unit on the fixed network (</w:t>
      </w:r>
      <w:hyperlink r:id="rId116">
        <w:r>
          <w:rPr>
            <w:rStyle w:val="Hyperlink"/>
          </w:rPr>
          <w:t xml:space="preserve">#54</w:t>
        </w:r>
      </w:hyperlink>
      <w:r>
        <w:t xml:space="preserve">).</w:t>
      </w:r>
    </w:p>
    <w:p>
      <w:pPr>
        <w:numPr>
          <w:ilvl w:val="0"/>
          <w:numId w:val="1010"/>
        </w:numPr>
        <w:pStyle w:val="Compact"/>
      </w:pPr>
      <w:r>
        <w:t xml:space="preserve">Lower unit cost funds lower prices.</w:t>
      </w:r>
    </w:p>
    <w:p>
      <w:pPr>
        <w:pStyle w:val="FirstParagraph"/>
      </w:pPr>
      <w:r>
        <w:t xml:space="preserve">The weakness of the model is the flip side of that loop. Much of the cost base is fixed and sized ahead of demand, so a demand shock shows up directly in margins (</w:t>
      </w:r>
      <w:hyperlink r:id="rId117">
        <w:r>
          <w:rPr>
            <w:rStyle w:val="Hyperlink"/>
          </w:rPr>
          <w:t xml:space="preserve">#166</w:t>
        </w:r>
      </w:hyperlink>
      <w:r>
        <w:t xml:space="preserve">,</w:t>
      </w:r>
      <w:r>
        <w:t xml:space="preserve"> </w:t>
      </w:r>
      <w:hyperlink r:id="rId118">
        <w:r>
          <w:rPr>
            <w:rStyle w:val="Hyperlink"/>
          </w:rPr>
          <w:t xml:space="preserve">#58</w:t>
        </w:r>
      </w:hyperlink>
      <w:r>
        <w:t xml:space="preserve">). That is exactly what happened in 2026.</w:t>
      </w:r>
    </w:p>
    <w:bookmarkEnd w:id="119"/>
    <w:bookmarkStart w:id="129" w:name="key-business-drivers"/>
    <w:p>
      <w:pPr>
        <w:pStyle w:val="Heading2"/>
      </w:pPr>
      <w:r>
        <w:t xml:space="preserve">4.2 Key business drivers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Driver</w:t>
            </w:r>
          </w:p>
        </w:tc>
        <w:tc>
          <w:tcPr/>
          <w:p>
            <w:pPr>
              <w:pStyle w:val="Compact"/>
              <w:jc w:val="left"/>
            </w:pPr>
            <w:r>
              <w:t xml:space="preserve">How it works at Coupang</w:t>
            </w:r>
          </w:p>
        </w:tc>
        <w:tc>
          <w:tcPr/>
          <w:p>
            <w:pPr>
              <w:pStyle w:val="Compact"/>
              <w:jc w:val="left"/>
            </w:pPr>
            <w:r>
              <w:t xml:space="preserve">Current direction</w:t>
            </w:r>
          </w:p>
        </w:tc>
      </w:tr>
      <w:tr>
        <w:tc>
          <w:tcPr/>
          <w:p>
            <w:pPr>
              <w:pStyle w:val="Compact"/>
              <w:jc w:val="left"/>
            </w:pPr>
            <w:r>
              <w:rPr>
                <w:bCs/>
                <w:b/>
              </w:rPr>
              <w:t xml:space="preserve">Volume</w:t>
            </w:r>
            <w:r>
              <w:t xml:space="preserve"> </w:t>
            </w:r>
            <w:r>
              <w:t xml:space="preserve">(active customers × spend per customer)</w:t>
            </w:r>
          </w:p>
        </w:tc>
        <w:tc>
          <w:tcPr/>
          <w:p>
            <w:pPr>
              <w:pStyle w:val="Compact"/>
              <w:jc w:val="left"/>
            </w:pPr>
            <w:r>
              <w:t xml:space="preserve">24.7m active customers in Q2’26 (</w:t>
            </w:r>
            <w:hyperlink r:id="rId120">
              <w:r>
                <w:rPr>
                  <w:rStyle w:val="Hyperlink"/>
                </w:rPr>
                <w:t xml:space="preserve">#160</w:t>
              </w:r>
            </w:hyperlink>
            <w:r>
              <w:t xml:space="preserve">); revenue per active customer +5% cc (</w:t>
            </w:r>
            <w:hyperlink r:id="rId121">
              <w:r>
                <w:rPr>
                  <w:rStyle w:val="Hyperlink"/>
                </w:rPr>
                <w:t xml:space="preserve">#59</w:t>
              </w:r>
            </w:hyperlink>
            <w:r>
              <w:t xml:space="preserve">)</w:t>
            </w:r>
          </w:p>
        </w:tc>
        <w:tc>
          <w:tcPr/>
          <w:p>
            <w:pPr>
              <w:pStyle w:val="Compact"/>
              <w:jc w:val="left"/>
            </w:pPr>
            <w:r>
              <w:t xml:space="preserve">Recovering. Customers are back, but a lower-spending non-returning cohort persists (</w:t>
            </w:r>
            <w:hyperlink r:id="rId122">
              <w:r>
                <w:rPr>
                  <w:rStyle w:val="Hyperlink"/>
                </w:rPr>
                <w:t xml:space="preserve">#329</w:t>
              </w:r>
            </w:hyperlink>
            <w:r>
              <w:t xml:space="preserve">)</w:t>
            </w:r>
          </w:p>
        </w:tc>
      </w:tr>
      <w:tr>
        <w:tc>
          <w:tcPr/>
          <w:p>
            <w:pPr>
              <w:pStyle w:val="Compact"/>
              <w:jc w:val="left"/>
            </w:pPr>
            <w:r>
              <w:rPr>
                <w:bCs/>
                <w:b/>
              </w:rPr>
              <w:t xml:space="preserve">Pricing</w:t>
            </w:r>
          </w:p>
        </w:tc>
        <w:tc>
          <w:tcPr/>
          <w:p>
            <w:pPr>
              <w:pStyle w:val="Compact"/>
              <w:jc w:val="left"/>
            </w:pPr>
            <w:r>
              <w:t xml:space="preserve">1P retail price discipline; WOW fee raised in 2024 (</w:t>
            </w:r>
            <w:hyperlink r:id="rId123">
              <w:r>
                <w:rPr>
                  <w:rStyle w:val="Hyperlink"/>
                </w:rPr>
                <w:t xml:space="preserve">#248</w:t>
              </w:r>
            </w:hyperlink>
            <w:r>
              <w:t xml:space="preserve">); temporary promotions in 2026 (</w:t>
            </w:r>
            <w:hyperlink r:id="rId124">
              <w:r>
                <w:rPr>
                  <w:rStyle w:val="Hyperlink"/>
                </w:rPr>
                <w:t xml:space="preserve">#167</w:t>
              </w:r>
            </w:hyperlink>
            <w:r>
              <w:t xml:space="preserve">)</w:t>
            </w:r>
          </w:p>
        </w:tc>
        <w:tc>
          <w:tcPr/>
          <w:p>
            <w:pPr>
              <w:pStyle w:val="Compact"/>
              <w:jc w:val="left"/>
            </w:pPr>
            <w:r>
              <w:t xml:space="preserve">Promotional intensity elevated through 2026</w:t>
            </w:r>
          </w:p>
        </w:tc>
      </w:tr>
      <w:tr>
        <w:tc>
          <w:tcPr/>
          <w:p>
            <w:pPr>
              <w:pStyle w:val="Compact"/>
              <w:jc w:val="left"/>
            </w:pPr>
            <w:r>
              <w:rPr>
                <w:bCs/>
                <w:b/>
              </w:rPr>
              <w:t xml:space="preserve">Mix</w:t>
            </w:r>
          </w:p>
        </w:tc>
        <w:tc>
          <w:tcPr/>
          <w:p>
            <w:pPr>
              <w:pStyle w:val="Compact"/>
              <w:jc w:val="left"/>
            </w:pPr>
            <w:r>
              <w:t xml:space="preserve">3P marketplace and FLC are margin-accretive (</w:t>
            </w:r>
            <w:hyperlink r:id="rId69">
              <w:r>
                <w:rPr>
                  <w:rStyle w:val="Hyperlink"/>
                </w:rPr>
                <w:t xml:space="preserve">#145</w:t>
              </w:r>
            </w:hyperlink>
            <w:r>
              <w:t xml:space="preserve">); ads are high-margin; Fresh grows above the group (</w:t>
            </w:r>
            <w:hyperlink r:id="rId125">
              <w:r>
                <w:rPr>
                  <w:rStyle w:val="Hyperlink"/>
                </w:rPr>
                <w:t xml:space="preserve">#148</w:t>
              </w:r>
            </w:hyperlink>
            <w:r>
              <w:t xml:space="preserve">)</w:t>
            </w:r>
          </w:p>
        </w:tc>
        <w:tc>
          <w:tcPr/>
          <w:p>
            <w:pPr>
              <w:pStyle w:val="Compact"/>
              <w:jc w:val="left"/>
            </w:pPr>
            <w:r>
              <w:t xml:space="preserve">Positive structurally</w:t>
            </w:r>
          </w:p>
        </w:tc>
      </w:tr>
      <w:tr>
        <w:tc>
          <w:tcPr/>
          <w:p>
            <w:pPr>
              <w:pStyle w:val="Compact"/>
              <w:jc w:val="left"/>
            </w:pPr>
            <w:r>
              <w:rPr>
                <w:bCs/>
                <w:b/>
              </w:rPr>
              <w:t xml:space="preserve">Network utilisation / capex cycle</w:t>
            </w:r>
          </w:p>
        </w:tc>
        <w:tc>
          <w:tcPr/>
          <w:p>
            <w:pPr>
              <w:pStyle w:val="Compact"/>
              <w:jc w:val="left"/>
            </w:pPr>
            <w:r>
              <w:t xml:space="preserve">Capex/revenue: 3.7% (FY21), 4.0%, 3.7%, 2.9%, 3.6% (FY25) [d];</w:t>
            </w:r>
            <w:r>
              <w:t xml:space="preserve"> </w:t>
            </w:r>
            <w:r>
              <w:t xml:space="preserve">“</w:t>
            </w:r>
            <w:r>
              <w:t xml:space="preserve">several billion dollars</w:t>
            </w:r>
            <w:r>
              <w:t xml:space="preserve">”</w:t>
            </w:r>
            <w:r>
              <w:t xml:space="preserve"> </w:t>
            </w:r>
            <w:r>
              <w:t xml:space="preserve">of future infrastructure and workforce spend (</w:t>
            </w:r>
            <w:hyperlink r:id="rId126">
              <w:r>
                <w:rPr>
                  <w:rStyle w:val="Hyperlink"/>
                </w:rPr>
                <w:t xml:space="preserve">#138</w:t>
              </w:r>
            </w:hyperlink>
            <w:r>
              <w:t xml:space="preserve">)</w:t>
            </w:r>
          </w:p>
        </w:tc>
        <w:tc>
          <w:tcPr/>
          <w:p>
            <w:pPr>
              <w:pStyle w:val="Compact"/>
              <w:jc w:val="left"/>
            </w:pPr>
            <w:r>
              <w:t xml:space="preserve">Under-utilised in 2026 after the demand shock</w:t>
            </w:r>
          </w:p>
        </w:tc>
      </w:tr>
      <w:tr>
        <w:tc>
          <w:tcPr/>
          <w:p>
            <w:pPr>
              <w:pStyle w:val="Compact"/>
              <w:jc w:val="left"/>
            </w:pPr>
            <w:r>
              <w:rPr>
                <w:bCs/>
                <w:b/>
              </w:rPr>
              <w:t xml:space="preserve">Regulation</w:t>
            </w:r>
          </w:p>
        </w:tc>
        <w:tc>
          <w:tcPr/>
          <w:p>
            <w:pPr>
              <w:pStyle w:val="Compact"/>
              <w:jc w:val="left"/>
            </w:pPr>
            <w:r>
              <w:t xml:space="preserve">KFTC (rankings, bundling), PIPC (privacy), labour, settlement periods, night-delivery proposal</w:t>
            </w:r>
          </w:p>
        </w:tc>
        <w:tc>
          <w:tcPr/>
          <w:p>
            <w:pPr>
              <w:pStyle w:val="Compact"/>
              <w:jc w:val="left"/>
            </w:pPr>
            <w:r>
              <w:t xml:space="preserve">Rising headwind</w:t>
            </w:r>
          </w:p>
        </w:tc>
      </w:tr>
      <w:tr>
        <w:tc>
          <w:tcPr/>
          <w:p>
            <w:pPr>
              <w:pStyle w:val="Compact"/>
              <w:jc w:val="left"/>
            </w:pPr>
            <w:r>
              <w:rPr>
                <w:bCs/>
                <w:b/>
              </w:rPr>
              <w:t xml:space="preserve">FX (KRW/USD)</w:t>
            </w:r>
          </w:p>
        </w:tc>
        <w:tc>
          <w:tcPr/>
          <w:p>
            <w:pPr>
              <w:pStyle w:val="Compact"/>
              <w:jc w:val="left"/>
            </w:pPr>
            <w:r>
              <w:t xml:space="preserve">Over 90% of revenue in KRW; a 10% adverse move cut 2025 revenue by US$3.0bn and net income by US$173m (</w:t>
            </w:r>
            <w:hyperlink r:id="rId127">
              <w:r>
                <w:rPr>
                  <w:rStyle w:val="Hyperlink"/>
                </w:rPr>
                <w:t xml:space="preserve">#1624</w:t>
              </w:r>
            </w:hyperlink>
            <w:r>
              <w:t xml:space="preserve">)</w:t>
            </w:r>
          </w:p>
        </w:tc>
        <w:tc>
          <w:tcPr/>
          <w:p>
            <w:pPr>
              <w:pStyle w:val="Compact"/>
              <w:jc w:val="left"/>
            </w:pPr>
            <w:r>
              <w:t xml:space="preserve">Headwind at the KRW’s 15-year low; upside if it mean-reverts</w:t>
            </w:r>
          </w:p>
        </w:tc>
      </w:tr>
      <w:tr>
        <w:tc>
          <w:tcPr/>
          <w:p>
            <w:pPr>
              <w:pStyle w:val="Compact"/>
              <w:jc w:val="left"/>
            </w:pPr>
            <w:r>
              <w:rPr>
                <w:bCs/>
                <w:b/>
              </w:rPr>
              <w:t xml:space="preserve">Labour cost</w:t>
            </w:r>
          </w:p>
        </w:tc>
        <w:tc>
          <w:tcPr/>
          <w:p>
            <w:pPr>
              <w:pStyle w:val="Compact"/>
              <w:jc w:val="left"/>
            </w:pPr>
            <w:r>
              <w:t xml:space="preserve">Direct-employment model; Korean labour costs rising under workplace-condition scrutiny (</w:t>
            </w:r>
            <w:hyperlink r:id="rId128">
              <w:r>
                <w:rPr>
                  <w:rStyle w:val="Hyperlink"/>
                </w:rPr>
                <w:t xml:space="preserve">#915</w:t>
              </w:r>
            </w:hyperlink>
            <w:r>
              <w:t xml:space="preserve">)</w:t>
            </w:r>
          </w:p>
        </w:tc>
        <w:tc>
          <w:tcPr/>
          <w:p>
            <w:pPr>
              <w:pStyle w:val="Compact"/>
              <w:jc w:val="left"/>
            </w:pPr>
            <w:r>
              <w:t xml:space="preserve">Headwind</w:t>
            </w:r>
          </w:p>
        </w:tc>
      </w:tr>
    </w:tbl>
    <w:bookmarkEnd w:id="129"/>
    <w:bookmarkStart w:id="138" w:name="products-and-services"/>
    <w:p>
      <w:pPr>
        <w:pStyle w:val="Heading2"/>
      </w:pPr>
      <w:r>
        <w:t xml:space="preserve">4.3 Products and services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Offering</w:t>
            </w:r>
          </w:p>
        </w:tc>
        <w:tc>
          <w:tcPr/>
          <w:p>
            <w:pPr>
              <w:pStyle w:val="Compact"/>
              <w:jc w:val="left"/>
            </w:pPr>
            <w:r>
              <w:t xml:space="preserve">Description</w:t>
            </w:r>
          </w:p>
        </w:tc>
        <w:tc>
          <w:tcPr/>
          <w:p>
            <w:pPr>
              <w:pStyle w:val="Compact"/>
              <w:jc w:val="left"/>
            </w:pPr>
            <w:r>
              <w:t xml:space="preserve">Evidence</w:t>
            </w:r>
          </w:p>
        </w:tc>
      </w:tr>
      <w:tr>
        <w:tc>
          <w:tcPr/>
          <w:p>
            <w:pPr>
              <w:pStyle w:val="Compact"/>
              <w:jc w:val="left"/>
            </w:pPr>
            <w:r>
              <w:t xml:space="preserve">Rocket Delivery / Dawn / Same-day</w:t>
            </w:r>
          </w:p>
        </w:tc>
        <w:tc>
          <w:tcPr/>
          <w:p>
            <w:pPr>
              <w:pStyle w:val="Compact"/>
              <w:jc w:val="left"/>
            </w:pPr>
            <w:r>
              <w:t xml:space="preserve">Free next-day delivery, order up to midnight; dawn delivery by 7am</w:t>
            </w:r>
          </w:p>
        </w:tc>
        <w:tc>
          <w:tcPr/>
          <w:p>
            <w:pPr>
              <w:pStyle w:val="Compact"/>
              <w:jc w:val="left"/>
            </w:pPr>
            <w:hyperlink r:id="rId130">
              <w:r>
                <w:rPr>
                  <w:rStyle w:val="Hyperlink"/>
                </w:rPr>
                <w:t xml:space="preserve">#331</w:t>
              </w:r>
            </w:hyperlink>
          </w:p>
        </w:tc>
      </w:tr>
      <w:tr>
        <w:tc>
          <w:tcPr/>
          <w:p>
            <w:pPr>
              <w:pStyle w:val="Compact"/>
              <w:jc w:val="left"/>
            </w:pPr>
            <w:r>
              <w:t xml:space="preserve">Rocket Fresh</w:t>
            </w:r>
          </w:p>
        </w:tc>
        <w:tc>
          <w:tcPr/>
          <w:p>
            <w:pPr>
              <w:pStyle w:val="Compact"/>
              <w:jc w:val="left"/>
            </w:pPr>
            <w:r>
              <w:t xml:space="preserve">Fresh grocery, growing above the group average</w:t>
            </w:r>
          </w:p>
        </w:tc>
        <w:tc>
          <w:tcPr/>
          <w:p>
            <w:pPr>
              <w:pStyle w:val="Compact"/>
              <w:jc w:val="left"/>
            </w:pPr>
            <w:hyperlink r:id="rId125">
              <w:r>
                <w:rPr>
                  <w:rStyle w:val="Hyperlink"/>
                </w:rPr>
                <w:t xml:space="preserve">#148</w:t>
              </w:r>
            </w:hyperlink>
          </w:p>
        </w:tc>
      </w:tr>
      <w:tr>
        <w:tc>
          <w:tcPr/>
          <w:p>
            <w:pPr>
              <w:pStyle w:val="Compact"/>
              <w:jc w:val="left"/>
            </w:pPr>
            <w:r>
              <w:t xml:space="preserve">Marketplace + FLC (Rocket Growth)</w:t>
            </w:r>
          </w:p>
        </w:tc>
        <w:tc>
          <w:tcPr/>
          <w:p>
            <w:pPr>
              <w:pStyle w:val="Compact"/>
              <w:jc w:val="left"/>
            </w:pPr>
            <w:r>
              <w:t xml:space="preserve">3P selection with Coupang fulfilment;</w:t>
            </w:r>
            <w:r>
              <w:t xml:space="preserve"> </w:t>
            </w:r>
            <w:r>
              <w:t xml:space="preserve">“</w:t>
            </w:r>
            <w:r>
              <w:t xml:space="preserve">path to tens of millions of products</w:t>
            </w:r>
            <w:r>
              <w:t xml:space="preserve">”</w:t>
            </w:r>
          </w:p>
        </w:tc>
        <w:tc>
          <w:tcPr/>
          <w:p>
            <w:pPr>
              <w:pStyle w:val="Compact"/>
              <w:jc w:val="left"/>
            </w:pPr>
            <w:hyperlink r:id="rId131">
              <w:r>
                <w:rPr>
                  <w:rStyle w:val="Hyperlink"/>
                </w:rPr>
                <w:t xml:space="preserve">#94</w:t>
              </w:r>
            </w:hyperlink>
          </w:p>
        </w:tc>
      </w:tr>
      <w:tr>
        <w:tc>
          <w:tcPr/>
          <w:p>
            <w:pPr>
              <w:pStyle w:val="Compact"/>
              <w:jc w:val="left"/>
            </w:pPr>
            <w:r>
              <w:t xml:space="preserve">Advertising</w:t>
            </w:r>
          </w:p>
        </w:tc>
        <w:tc>
          <w:tcPr/>
          <w:p>
            <w:pPr>
              <w:pStyle w:val="Compact"/>
              <w:jc w:val="left"/>
            </w:pPr>
            <w:r>
              <w:t xml:space="preserve">Per click and per impression</w:t>
            </w:r>
          </w:p>
        </w:tc>
        <w:tc>
          <w:tcPr/>
          <w:p>
            <w:pPr>
              <w:pStyle w:val="Compact"/>
              <w:jc w:val="left"/>
            </w:pPr>
            <w:hyperlink r:id="rId132">
              <w:r>
                <w:rPr>
                  <w:rStyle w:val="Hyperlink"/>
                </w:rPr>
                <w:t xml:space="preserve">#1754</w:t>
              </w:r>
            </w:hyperlink>
          </w:p>
        </w:tc>
      </w:tr>
      <w:tr>
        <w:tc>
          <w:tcPr/>
          <w:p>
            <w:pPr>
              <w:pStyle w:val="Compact"/>
              <w:jc w:val="left"/>
            </w:pPr>
            <w:r>
              <w:t xml:space="preserve">WOW membership</w:t>
            </w:r>
          </w:p>
        </w:tc>
        <w:tc>
          <w:tcPr/>
          <w:p>
            <w:pPr>
              <w:pStyle w:val="Compact"/>
              <w:jc w:val="left"/>
            </w:pPr>
            <w:r>
              <w:t xml:space="preserve">Bundle of delivery, returns, Fresh, Eats and Play benefits</w:t>
            </w:r>
          </w:p>
        </w:tc>
        <w:tc>
          <w:tcPr/>
          <w:p>
            <w:pPr>
              <w:pStyle w:val="Compact"/>
              <w:jc w:val="left"/>
            </w:pPr>
            <w:hyperlink r:id="rId71">
              <w:r>
                <w:rPr>
                  <w:rStyle w:val="Hyperlink"/>
                </w:rPr>
                <w:t xml:space="preserve">#1755</w:t>
              </w:r>
            </w:hyperlink>
          </w:p>
        </w:tc>
      </w:tr>
      <w:tr>
        <w:tc>
          <w:tcPr/>
          <w:p>
            <w:pPr>
              <w:pStyle w:val="Compact"/>
              <w:jc w:val="left"/>
            </w:pPr>
            <w:r>
              <w:t xml:space="preserve">Coupang Eats / Rocket Now (Japan)</w:t>
            </w:r>
          </w:p>
        </w:tc>
        <w:tc>
          <w:tcPr/>
          <w:p>
            <w:pPr>
              <w:pStyle w:val="Compact"/>
              <w:jc w:val="left"/>
            </w:pPr>
            <w:r>
              <w:t xml:space="preserve">Food and on-demand delivery;</w:t>
            </w:r>
            <w:r>
              <w:t xml:space="preserve"> </w:t>
            </w:r>
            <w:r>
              <w:t xml:space="preserve">“</w:t>
            </w:r>
            <w:r>
              <w:t xml:space="preserve">self-sustaining</w:t>
            </w:r>
            <w:r>
              <w:t xml:space="preserve">”</w:t>
            </w:r>
            <w:r>
              <w:t xml:space="preserve"> </w:t>
            </w:r>
            <w:r>
              <w:t xml:space="preserve">on a combined basis</w:t>
            </w:r>
          </w:p>
        </w:tc>
        <w:tc>
          <w:tcPr/>
          <w:p>
            <w:pPr>
              <w:pStyle w:val="Compact"/>
              <w:jc w:val="left"/>
            </w:pPr>
            <w:hyperlink r:id="rId133">
              <w:r>
                <w:rPr>
                  <w:rStyle w:val="Hyperlink"/>
                </w:rPr>
                <w:t xml:space="preserve">#129</w:t>
              </w:r>
            </w:hyperlink>
          </w:p>
        </w:tc>
      </w:tr>
      <w:tr>
        <w:tc>
          <w:tcPr/>
          <w:p>
            <w:pPr>
              <w:pStyle w:val="Compact"/>
              <w:jc w:val="left"/>
            </w:pPr>
            <w:r>
              <w:t xml:space="preserve">Coupang Play</w:t>
            </w:r>
          </w:p>
        </w:tc>
        <w:tc>
          <w:tcPr/>
          <w:p>
            <w:pPr>
              <w:pStyle w:val="Compact"/>
              <w:jc w:val="left"/>
            </w:pPr>
            <w:r>
              <w:t xml:space="preserve">Streaming, including sports</w:t>
            </w:r>
          </w:p>
        </w:tc>
        <w:tc>
          <w:tcPr/>
          <w:p>
            <w:pPr>
              <w:pStyle w:val="Compact"/>
              <w:jc w:val="left"/>
            </w:pPr>
            <w:hyperlink r:id="rId134">
              <w:r>
                <w:rPr>
                  <w:rStyle w:val="Hyperlink"/>
                </w:rPr>
                <w:t xml:space="preserve">#530</w:t>
              </w:r>
            </w:hyperlink>
          </w:p>
        </w:tc>
      </w:tr>
      <w:tr>
        <w:tc>
          <w:tcPr/>
          <w:p>
            <w:pPr>
              <w:pStyle w:val="Compact"/>
              <w:jc w:val="left"/>
            </w:pPr>
            <w:r>
              <w:t xml:space="preserve">Coupang Pay</w:t>
            </w:r>
          </w:p>
        </w:tc>
        <w:tc>
          <w:tcPr/>
          <w:p>
            <w:pPr>
              <w:pStyle w:val="Compact"/>
              <w:jc w:val="left"/>
            </w:pPr>
            <w:r>
              <w:t xml:space="preserve">Payments and fintech</w:t>
            </w:r>
          </w:p>
        </w:tc>
        <w:tc>
          <w:tcPr/>
          <w:p>
            <w:pPr>
              <w:pStyle w:val="Compact"/>
              <w:jc w:val="left"/>
            </w:pPr>
            <w:hyperlink r:id="rId135">
              <w:r>
                <w:rPr>
                  <w:rStyle w:val="Hyperlink"/>
                </w:rPr>
                <w:t xml:space="preserve">#526</w:t>
              </w:r>
            </w:hyperlink>
          </w:p>
        </w:tc>
      </w:tr>
      <w:tr>
        <w:tc>
          <w:tcPr/>
          <w:p>
            <w:pPr>
              <w:pStyle w:val="Compact"/>
              <w:jc w:val="left"/>
            </w:pPr>
            <w:r>
              <w:t xml:space="preserve">Taiwan</w:t>
            </w:r>
          </w:p>
        </w:tc>
        <w:tc>
          <w:tcPr/>
          <w:p>
            <w:pPr>
              <w:pStyle w:val="Compact"/>
              <w:jc w:val="left"/>
            </w:pPr>
            <w:r>
              <w:t xml:space="preserve">Rocket Delivery replicated; triple-digit growth</w:t>
            </w:r>
          </w:p>
        </w:tc>
        <w:tc>
          <w:tcPr/>
          <w:p>
            <w:pPr>
              <w:pStyle w:val="Compact"/>
              <w:jc w:val="left"/>
            </w:pPr>
            <w:hyperlink r:id="rId136">
              <w:r>
                <w:rPr>
                  <w:rStyle w:val="Hyperlink"/>
                </w:rPr>
                <w:t xml:space="preserve">#94</w:t>
              </w:r>
            </w:hyperlink>
          </w:p>
        </w:tc>
      </w:tr>
      <w:tr>
        <w:tc>
          <w:tcPr/>
          <w:p>
            <w:pPr>
              <w:pStyle w:val="Compact"/>
              <w:jc w:val="left"/>
            </w:pPr>
            <w:r>
              <w:t xml:space="preserve">Farfetch</w:t>
            </w:r>
          </w:p>
        </w:tc>
        <w:tc>
          <w:tcPr/>
          <w:p>
            <w:pPr>
              <w:pStyle w:val="Compact"/>
              <w:jc w:val="left"/>
            </w:pPr>
            <w:r>
              <w:t xml:space="preserve">Global luxury marketplace (acquired Jan-2024)</w:t>
            </w:r>
          </w:p>
        </w:tc>
        <w:tc>
          <w:tcPr/>
          <w:p>
            <w:pPr>
              <w:pStyle w:val="Compact"/>
              <w:jc w:val="left"/>
            </w:pPr>
            <w:hyperlink r:id="rId137">
              <w:r>
                <w:rPr>
                  <w:rStyle w:val="Hyperlink"/>
                </w:rPr>
                <w:t xml:space="preserve">#1342</w:t>
              </w:r>
            </w:hyperlink>
          </w:p>
        </w:tc>
      </w:tr>
    </w:tbl>
    <w:bookmarkEnd w:id="138"/>
    <w:bookmarkStart w:id="147" w:name="customers-suppliers-competitors"/>
    <w:p>
      <w:pPr>
        <w:pStyle w:val="Heading2"/>
      </w:pPr>
      <w:r>
        <w:t xml:space="preserve">4.4 Customers, suppliers, competitors</w:t>
      </w:r>
    </w:p>
    <w:p>
      <w:pPr>
        <w:numPr>
          <w:ilvl w:val="0"/>
          <w:numId w:val="1011"/>
        </w:numPr>
        <w:pStyle w:val="Compact"/>
      </w:pPr>
      <w:r>
        <w:rPr>
          <w:bCs/>
          <w:b/>
        </w:rPr>
        <w:t xml:space="preserve">Customers.</w:t>
      </w:r>
      <w:r>
        <w:t xml:space="preserve"> </w:t>
      </w:r>
      <w:r>
        <w:t xml:space="preserve">Mass-market Korean consumers: 24.7m active customers. WOW membership was 14m at end-2023, the last count disclosed (</w:t>
      </w:r>
      <w:hyperlink r:id="rId139">
        <w:r>
          <w:rPr>
            <w:rStyle w:val="Hyperlink"/>
          </w:rPr>
          <w:t xml:space="preserve">#41</w:t>
        </w:r>
      </w:hyperlink>
      <w:r>
        <w:t xml:space="preserve">), and is now above pre-incident levels. No customer concentration exists.</w:t>
      </w:r>
    </w:p>
    <w:p>
      <w:pPr>
        <w:numPr>
          <w:ilvl w:val="0"/>
          <w:numId w:val="1011"/>
        </w:numPr>
        <w:pStyle w:val="Compact"/>
      </w:pPr>
      <w:r>
        <w:rPr>
          <w:bCs/>
          <w:b/>
        </w:rPr>
        <w:t xml:space="preserve">Suppliers.</w:t>
      </w:r>
      <w:r>
        <w:t xml:space="preserve"> </w:t>
      </w:r>
      <w:r>
        <w:t xml:space="preserve">A broad 1P vendor base. The only named supplier verified in the tools is CJ CheilJedang, which reported record</w:t>
      </w:r>
      <w:r>
        <w:t xml:space="preserve"> </w:t>
      </w:r>
      <w:r>
        <w:t xml:space="preserve">“</w:t>
      </w:r>
      <w:r>
        <w:t xml:space="preserve">Coupang 1P sales</w:t>
      </w:r>
      <w:r>
        <w:t xml:space="preserve">”</w:t>
      </w:r>
      <w:r>
        <w:t xml:space="preserve"> </w:t>
      </w:r>
      <w:r>
        <w:t xml:space="preserve">after resuming supply (</w:t>
      </w:r>
      <w:hyperlink r:id="rId67">
        <w:r>
          <w:rPr>
            <w:rStyle w:val="Hyperlink"/>
          </w:rPr>
          <w:t xml:space="preserve">#16</w:t>
        </w:r>
      </w:hyperlink>
      <w:r>
        <w:t xml:space="preserve">,</w:t>
      </w:r>
      <w:r>
        <w:t xml:space="preserve"> </w:t>
      </w:r>
      <w:hyperlink r:id="rId140">
        <w:r>
          <w:rPr>
            <w:rStyle w:val="Hyperlink"/>
          </w:rPr>
          <w:t xml:space="preserve">#98</w:t>
        </w:r>
      </w:hyperlink>
      <w:r>
        <w:t xml:space="preserve">). Other named suppliers are AWS for cloud (</w:t>
      </w:r>
      <w:hyperlink r:id="rId141">
        <w:r>
          <w:rPr>
            <w:rStyle w:val="Hyperlink"/>
          </w:rPr>
          <w:t xml:space="preserve">#695</w:t>
        </w:r>
      </w:hyperlink>
      <w:r>
        <w:t xml:space="preserve">) and Samil PwC as auditor. Large brands (Samsung, LG, P&amp;G and others) are not named for Coupang in the tools [u].</w:t>
      </w:r>
    </w:p>
    <w:p>
      <w:pPr>
        <w:numPr>
          <w:ilvl w:val="0"/>
          <w:numId w:val="1011"/>
        </w:numPr>
        <w:pStyle w:val="Compact"/>
      </w:pPr>
      <w:r>
        <w:rPr>
          <w:bCs/>
          <w:b/>
        </w:rPr>
        <w:t xml:space="preserve">Competitors.</w:t>
      </w:r>
      <w:r>
        <w:t xml:space="preserve"> </w:t>
      </w:r>
      <w:r>
        <w:t xml:space="preserve">Naver (marketplace plus Plus membership, Kurly N Mart, CJ Logistics fulfilment alliance) (</w:t>
      </w:r>
      <w:hyperlink r:id="rId142">
        <w:r>
          <w:rPr>
            <w:rStyle w:val="Hyperlink"/>
          </w:rPr>
          <w:t xml:space="preserve">#321</w:t>
        </w:r>
      </w:hyperlink>
      <w:r>
        <w:t xml:space="preserve">,</w:t>
      </w:r>
      <w:r>
        <w:t xml:space="preserve"> </w:t>
      </w:r>
      <w:hyperlink r:id="rId143">
        <w:r>
          <w:rPr>
            <w:rStyle w:val="Hyperlink"/>
          </w:rPr>
          <w:t xml:space="preserve">#326</w:t>
        </w:r>
      </w:hyperlink>
      <w:r>
        <w:t xml:space="preserve">). AliExpress and Temu entered Korea in earnest in 2024 (</w:t>
      </w:r>
      <w:hyperlink r:id="rId144">
        <w:r>
          <w:rPr>
            <w:rStyle w:val="Hyperlink"/>
          </w:rPr>
          <w:t xml:space="preserve">#308</w:t>
        </w:r>
      </w:hyperlink>
      <w:r>
        <w:t xml:space="preserve">). Lotte ON (</w:t>
      </w:r>
      <w:hyperlink r:id="rId145">
        <w:r>
          <w:rPr>
            <w:rStyle w:val="Hyperlink"/>
          </w:rPr>
          <w:t xml:space="preserve">#92</w:t>
        </w:r>
      </w:hyperlink>
      <w:r>
        <w:t xml:space="preserve">). Shinsegae/Gmarket/SSG, 11st and Kurly [u as named rivals]. In food delivery: Baemin (Delivery Hero, subject to a pending Uber offer (</w:t>
      </w:r>
      <w:hyperlink r:id="rId146">
        <w:r>
          <w:rPr>
            <w:rStyle w:val="Hyperlink"/>
          </w:rPr>
          <w:t xml:space="preserve">#1089</w:t>
        </w:r>
      </w:hyperlink>
      <w:r>
        <w:t xml:space="preserve">)). In Taiwan: momo.com and others.</w:t>
      </w:r>
    </w:p>
    <w:bookmarkEnd w:id="147"/>
    <w:bookmarkStart w:id="151" w:name="key-markets-and-geographies"/>
    <w:p>
      <w:pPr>
        <w:pStyle w:val="Heading2"/>
      </w:pPr>
      <w:r>
        <w:t xml:space="preserve">4.5 Key markets and geographies</w:t>
      </w:r>
    </w:p>
    <w:p>
      <w:pPr>
        <w:numPr>
          <w:ilvl w:val="0"/>
          <w:numId w:val="1012"/>
        </w:numPr>
        <w:pStyle w:val="Compact"/>
      </w:pPr>
      <w:r>
        <w:t xml:space="preserve">Over 90% of revenue is booked by Korean entities (</w:t>
      </w:r>
      <w:hyperlink r:id="rId78">
        <w:r>
          <w:rPr>
            <w:rStyle w:val="Hyperlink"/>
          </w:rPr>
          <w:t xml:space="preserve">#1858</w:t>
        </w:r>
      </w:hyperlink>
      <w:r>
        <w:t xml:space="preserve">). The rest comes mainly from the US, UK (Farfetch), Taiwan, Europe and APAC.</w:t>
      </w:r>
    </w:p>
    <w:p>
      <w:pPr>
        <w:numPr>
          <w:ilvl w:val="0"/>
          <w:numId w:val="1012"/>
        </w:numPr>
        <w:pStyle w:val="Compact"/>
      </w:pPr>
      <w:r>
        <w:t xml:space="preserve">Korean online retail sales were KRW272.0tn in 2025 (+4.9%). Online’s share of retail rose to 41.5%, from 34.6% in 2022 (Statistics Korea, quoted by Naver;</w:t>
      </w:r>
      <w:r>
        <w:t xml:space="preserve"> </w:t>
      </w:r>
      <w:hyperlink r:id="rId148">
        <w:r>
          <w:rPr>
            <w:rStyle w:val="Hyperlink"/>
          </w:rPr>
          <w:t xml:space="preserve">#305</w:t>
        </w:r>
      </w:hyperlink>
      <w:r>
        <w:t xml:space="preserve">).</w:t>
      </w:r>
    </w:p>
    <w:p>
      <w:pPr>
        <w:numPr>
          <w:ilvl w:val="0"/>
          <w:numId w:val="1012"/>
        </w:numPr>
        <w:pStyle w:val="Compact"/>
      </w:pPr>
      <w:r>
        <w:t xml:space="preserve">The newsletter’s claim of a ~28% Coupang share of Korean e-commerce is</w:t>
      </w:r>
      <w:r>
        <w:t xml:space="preserve"> </w:t>
      </w:r>
      <w:r>
        <w:rPr>
          <w:bCs/>
          <w:b/>
        </w:rPr>
        <w:t xml:space="preserve">not verifiable</w:t>
      </w:r>
      <w:r>
        <w:t xml:space="preserve"> </w:t>
      </w:r>
      <w:r>
        <w:t xml:space="preserve">in S&amp;P/ProntoNLP [u]. The CEO describes</w:t>
      </w:r>
      <w:r>
        <w:t xml:space="preserve"> </w:t>
      </w:r>
      <w:r>
        <w:t xml:space="preserve">“</w:t>
      </w:r>
      <w:r>
        <w:t xml:space="preserve">just a small share</w:t>
      </w:r>
      <w:r>
        <w:t xml:space="preserve">”</w:t>
      </w:r>
      <w:r>
        <w:t xml:space="preserve"> </w:t>
      </w:r>
      <w:r>
        <w:t xml:space="preserve">of the markets Coupang competes in (</w:t>
      </w:r>
      <w:hyperlink r:id="rId149">
        <w:r>
          <w:rPr>
            <w:rStyle w:val="Hyperlink"/>
          </w:rPr>
          <w:t xml:space="preserve">#355</w:t>
        </w:r>
      </w:hyperlink>
      <w:r>
        <w:t xml:space="preserve">), and wallet share below US peer levels (</w:t>
      </w:r>
      <w:hyperlink r:id="rId150">
        <w:r>
          <w:rPr>
            <w:rStyle w:val="Hyperlink"/>
          </w:rPr>
          <w:t xml:space="preserve">#80</w:t>
        </w:r>
      </w:hyperlink>
      <w:r>
        <w:t xml:space="preserve">).</w:t>
      </w:r>
    </w:p>
    <w:bookmarkEnd w:id="151"/>
    <w:bookmarkStart w:id="155" w:name="contracts-and-payment-terms-as-disclosed"/>
    <w:p>
      <w:pPr>
        <w:pStyle w:val="Heading2"/>
      </w:pPr>
      <w:r>
        <w:t xml:space="preserve">4.6 Contracts and payment terms (as disclosed)</w:t>
      </w:r>
    </w:p>
    <w:p>
      <w:pPr>
        <w:numPr>
          <w:ilvl w:val="0"/>
          <w:numId w:val="1013"/>
        </w:numPr>
        <w:pStyle w:val="Compact"/>
      </w:pPr>
      <w:r>
        <w:rPr>
          <w:bCs/>
          <w:b/>
        </w:rPr>
        <w:t xml:space="preserve">Supplier payments.</w:t>
      </w:r>
      <w:r>
        <w:t xml:space="preserve"> </w:t>
      </w:r>
      <w:r>
        <w:t xml:space="preserve">Accounts payable were 94 days of COGS at FY25 [d], against inventory of 34 days. The cash conversion cycle has been negative for four years: -42, -64, -54 and -57 days for FY22-25 [d].</w:t>
      </w:r>
    </w:p>
    <w:p>
      <w:pPr>
        <w:numPr>
          <w:ilvl w:val="0"/>
          <w:numId w:val="1013"/>
        </w:numPr>
        <w:pStyle w:val="Compact"/>
      </w:pPr>
      <w:r>
        <w:rPr>
          <w:bCs/>
          <w:b/>
        </w:rPr>
        <w:t xml:space="preserve">Payables flatter the true terms.</w:t>
      </w:r>
      <w:r>
        <w:t xml:space="preserve"> </w:t>
      </w:r>
      <w:r>
        <w:t xml:space="preserve">Payables include money collected on behalf of 3P merchants (</w:t>
      </w:r>
      <w:hyperlink r:id="rId68">
        <w:r>
          <w:rPr>
            <w:rStyle w:val="Hyperlink"/>
          </w:rPr>
          <w:t xml:space="preserve">#1745</w:t>
        </w:r>
      </w:hyperlink>
      <w:r>
        <w:t xml:space="preserve">), so the true supplier terms are shorter than the reported days.</w:t>
      </w:r>
    </w:p>
    <w:p>
      <w:pPr>
        <w:numPr>
          <w:ilvl w:val="0"/>
          <w:numId w:val="1013"/>
        </w:numPr>
        <w:pStyle w:val="Compact"/>
      </w:pPr>
      <w:r>
        <w:rPr>
          <w:bCs/>
          <w:b/>
        </w:rPr>
        <w:t xml:space="preserve">Supplier finance.</w:t>
      </w:r>
      <w:r>
        <w:t xml:space="preserve"> </w:t>
      </w:r>
      <w:r>
        <w:t xml:space="preserve">US$485m (Dec-25) and US$430m (Mar-26) of confirmed invoices sat in a supplier-finance programme on original terms (</w:t>
      </w:r>
      <w:hyperlink r:id="rId152">
        <w:r>
          <w:rPr>
            <w:rStyle w:val="Hyperlink"/>
          </w:rPr>
          <w:t xml:space="preserve">#366</w:t>
        </w:r>
      </w:hyperlink>
      <w:r>
        <w:t xml:space="preserve">,</w:t>
      </w:r>
      <w:r>
        <w:t xml:space="preserve"> </w:t>
      </w:r>
      <w:hyperlink r:id="rId153">
        <w:r>
          <w:rPr>
            <w:rStyle w:val="Hyperlink"/>
          </w:rPr>
          <w:t xml:space="preserve">#1939</w:t>
        </w:r>
      </w:hyperlink>
      <w:r>
        <w:t xml:space="preserve">).</w:t>
      </w:r>
    </w:p>
    <w:p>
      <w:pPr>
        <w:numPr>
          <w:ilvl w:val="0"/>
          <w:numId w:val="1013"/>
        </w:numPr>
        <w:pStyle w:val="Compact"/>
      </w:pPr>
      <w:r>
        <w:rPr>
          <w:bCs/>
          <w:b/>
        </w:rPr>
        <w:t xml:space="preserve">Regulatory change from Dec-2026.</w:t>
      </w:r>
      <w:r>
        <w:t xml:space="preserve"> </w:t>
      </w:r>
      <w:r>
        <w:t xml:space="preserve">The EFTA amendment and a proposed Large-Scale Retail Business Act change will shorten merchant settlement periods. Management says this</w:t>
      </w:r>
      <w:r>
        <w:t xml:space="preserve"> </w:t>
      </w:r>
      <w:r>
        <w:t xml:space="preserve">“</w:t>
      </w:r>
      <w:r>
        <w:t xml:space="preserve">may reduce our accounts payable balances and cash on hand</w:t>
      </w:r>
      <w:r>
        <w:t xml:space="preserve">”</w:t>
      </w:r>
      <w:r>
        <w:t xml:space="preserve"> </w:t>
      </w:r>
      <w:r>
        <w:t xml:space="preserve">(</w:t>
      </w:r>
      <w:hyperlink r:id="rId50">
        <w:r>
          <w:rPr>
            <w:rStyle w:val="Hyperlink"/>
          </w:rPr>
          <w:t xml:space="preserve">#619</w:t>
        </w:r>
      </w:hyperlink>
      <w:r>
        <w:t xml:space="preserve">).</w:t>
      </w:r>
    </w:p>
    <w:p>
      <w:pPr>
        <w:numPr>
          <w:ilvl w:val="0"/>
          <w:numId w:val="1013"/>
        </w:numPr>
        <w:pStyle w:val="Compact"/>
      </w:pPr>
      <w:r>
        <w:rPr>
          <w:bCs/>
          <w:b/>
        </w:rPr>
        <w:t xml:space="preserve">Other contracts.</w:t>
      </w:r>
      <w:r>
        <w:t xml:space="preserve"> </w:t>
      </w:r>
      <w:r>
        <w:t xml:space="preserve">WOW is a monthly subscription recognised over time (</w:t>
      </w:r>
      <w:hyperlink r:id="rId70">
        <w:r>
          <w:rPr>
            <w:rStyle w:val="Hyperlink"/>
          </w:rPr>
          <w:t xml:space="preserve">#1761</w:t>
        </w:r>
      </w:hyperlink>
      <w:r>
        <w:t xml:space="preserve">). Open purchase orders are generally cancellable (</w:t>
      </w:r>
      <w:hyperlink r:id="rId154">
        <w:r>
          <w:rPr>
            <w:rStyle w:val="Hyperlink"/>
          </w:rPr>
          <w:t xml:space="preserve">#1507</w:t>
        </w:r>
      </w:hyperlink>
      <w:r>
        <w:t xml:space="preserve">). No long-term supply contracts are disclosed.</w:t>
      </w:r>
    </w:p>
    <w:bookmarkEnd w:id="155"/>
    <w:bookmarkEnd w:id="156"/>
    <w:bookmarkStart w:id="168" w:name="X8380dafc01e0f9aa568d67b6f125a80e7b51943"/>
    <w:p>
      <w:pPr>
        <w:pStyle w:val="Heading1"/>
      </w:pPr>
      <w:r>
        <w:t xml:space="preserve">5. Macro and micro factors: tailwinds and headwinds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Type</w:t>
            </w:r>
          </w:p>
        </w:tc>
        <w:tc>
          <w:tcPr/>
          <w:p>
            <w:pPr>
              <w:pStyle w:val="Compact"/>
              <w:jc w:val="left"/>
            </w:pPr>
            <w:r>
              <w:t xml:space="preserve">Assessment</w:t>
            </w:r>
          </w:p>
        </w:tc>
      </w:tr>
      <w:tr>
        <w:tc>
          <w:tcPr/>
          <w:p>
            <w:pPr>
              <w:pStyle w:val="Compact"/>
              <w:jc w:val="left"/>
            </w:pPr>
            <w:r>
              <w:t xml:space="preserve">Online penetration rising (41.5% of Korean retail)</w:t>
            </w:r>
          </w:p>
        </w:tc>
        <w:tc>
          <w:tcPr/>
          <w:p>
            <w:pPr>
              <w:pStyle w:val="Compact"/>
              <w:jc w:val="left"/>
            </w:pPr>
            <w:r>
              <w:t xml:space="preserve">Macro tailwind</w:t>
            </w:r>
          </w:p>
        </w:tc>
        <w:tc>
          <w:tcPr/>
          <w:p>
            <w:pPr>
              <w:pStyle w:val="Compact"/>
              <w:jc w:val="left"/>
            </w:pPr>
            <w:r>
              <w:t xml:space="preserve">Structural share shift continues (</w:t>
            </w:r>
            <w:hyperlink r:id="rId148">
              <w:r>
                <w:rPr>
                  <w:rStyle w:val="Hyperlink"/>
                </w:rPr>
                <w:t xml:space="preserve">#305</w:t>
              </w:r>
            </w:hyperlink>
            <w:r>
              <w:t xml:space="preserve">)</w:t>
            </w:r>
          </w:p>
        </w:tc>
      </w:tr>
      <w:tr>
        <w:tc>
          <w:tcPr/>
          <w:p>
            <w:pPr>
              <w:pStyle w:val="Compact"/>
              <w:jc w:val="left"/>
            </w:pPr>
            <w:r>
              <w:t xml:space="preserve">Coupang wallet share still below US peers</w:t>
            </w:r>
          </w:p>
        </w:tc>
        <w:tc>
          <w:tcPr/>
          <w:p>
            <w:pPr>
              <w:pStyle w:val="Compact"/>
              <w:jc w:val="left"/>
            </w:pPr>
            <w:r>
              <w:t xml:space="preserve">Micro tailwind</w:t>
            </w:r>
          </w:p>
        </w:tc>
        <w:tc>
          <w:tcPr/>
          <w:p>
            <w:pPr>
              <w:pStyle w:val="Compact"/>
              <w:jc w:val="left"/>
            </w:pPr>
            <w:r>
              <w:t xml:space="preserve">Runway for frequency and categories (</w:t>
            </w:r>
            <w:hyperlink r:id="rId150">
              <w:r>
                <w:rPr>
                  <w:rStyle w:val="Hyperlink"/>
                </w:rPr>
                <w:t xml:space="preserve">#80</w:t>
              </w:r>
            </w:hyperlink>
            <w:r>
              <w:t xml:space="preserve">)</w:t>
            </w:r>
          </w:p>
        </w:tc>
      </w:tr>
      <w:tr>
        <w:tc>
          <w:tcPr/>
          <w:p>
            <w:pPr>
              <w:pStyle w:val="Compact"/>
              <w:jc w:val="left"/>
            </w:pPr>
            <w:r>
              <w:t xml:space="preserve">Korean consumer weak, inflation and rates</w:t>
            </w:r>
          </w:p>
        </w:tc>
        <w:tc>
          <w:tcPr/>
          <w:p>
            <w:pPr>
              <w:pStyle w:val="Compact"/>
              <w:jc w:val="left"/>
            </w:pPr>
            <w:r>
              <w:t xml:space="preserve">Macro headwind</w:t>
            </w:r>
          </w:p>
        </w:tc>
        <w:tc>
          <w:tcPr/>
          <w:p>
            <w:pPr>
              <w:pStyle w:val="Compact"/>
              <w:jc w:val="left"/>
            </w:pPr>
            <w:r>
              <w:t xml:space="preserve">Risk factor (</w:t>
            </w:r>
            <w:hyperlink r:id="rId157">
              <w:r>
                <w:rPr>
                  <w:rStyle w:val="Hyperlink"/>
                </w:rPr>
                <w:t xml:space="preserve">#824</w:t>
              </w:r>
            </w:hyperlink>
            <w:r>
              <w:t xml:space="preserve">); management argues experience matters more than macro (</w:t>
            </w:r>
            <w:hyperlink r:id="rId158">
              <w:r>
                <w:rPr>
                  <w:rStyle w:val="Hyperlink"/>
                </w:rPr>
                <w:t xml:space="preserve">#302</w:t>
              </w:r>
            </w:hyperlink>
            <w:r>
              <w:t xml:space="preserve">)</w:t>
            </w:r>
          </w:p>
        </w:tc>
      </w:tr>
      <w:tr>
        <w:tc>
          <w:tcPr/>
          <w:p>
            <w:pPr>
              <w:pStyle w:val="Compact"/>
              <w:jc w:val="left"/>
            </w:pPr>
            <w:r>
              <w:t xml:space="preserve">Demographics: ageing, shrinking population</w:t>
            </w:r>
          </w:p>
        </w:tc>
        <w:tc>
          <w:tcPr/>
          <w:p>
            <w:pPr>
              <w:pStyle w:val="Compact"/>
              <w:jc w:val="left"/>
            </w:pPr>
            <w:r>
              <w:t xml:space="preserve">Macro headwind</w:t>
            </w:r>
          </w:p>
        </w:tc>
        <w:tc>
          <w:tcPr/>
          <w:p>
            <w:pPr>
              <w:pStyle w:val="Compact"/>
              <w:jc w:val="left"/>
            </w:pPr>
            <w:hyperlink r:id="rId159">
              <w:r>
                <w:rPr>
                  <w:rStyle w:val="Hyperlink"/>
                </w:rPr>
                <w:t xml:space="preserve">#843</w:t>
              </w:r>
            </w:hyperlink>
          </w:p>
        </w:tc>
      </w:tr>
      <w:tr>
        <w:tc>
          <w:tcPr/>
          <w:p>
            <w:pPr>
              <w:pStyle w:val="Compact"/>
              <w:jc w:val="left"/>
            </w:pPr>
            <w:r>
              <w:t xml:space="preserve">KRW at a 15-year-plus low</w:t>
            </w:r>
          </w:p>
        </w:tc>
        <w:tc>
          <w:tcPr/>
          <w:p>
            <w:pPr>
              <w:pStyle w:val="Compact"/>
              <w:jc w:val="left"/>
            </w:pPr>
            <w:r>
              <w:t xml:space="preserve">Macro headwind (translation); optionality</w:t>
            </w:r>
          </w:p>
        </w:tc>
        <w:tc>
          <w:tcPr/>
          <w:p>
            <w:pPr>
              <w:pStyle w:val="Compact"/>
              <w:jc w:val="left"/>
            </w:pPr>
            <w:hyperlink r:id="rId39">
              <w:r>
                <w:rPr>
                  <w:rStyle w:val="Hyperlink"/>
                </w:rPr>
                <w:t xml:space="preserve">#150</w:t>
              </w:r>
            </w:hyperlink>
          </w:p>
        </w:tc>
      </w:tr>
      <w:tr>
        <w:tc>
          <w:tcPr/>
          <w:p>
            <w:pPr>
              <w:pStyle w:val="Compact"/>
              <w:jc w:val="left"/>
            </w:pPr>
            <w:r>
              <w:t xml:space="preserve">Labour costs and safety scrutiny (Serious Accidents Act)</w:t>
            </w:r>
          </w:p>
        </w:tc>
        <w:tc>
          <w:tcPr/>
          <w:p>
            <w:pPr>
              <w:pStyle w:val="Compact"/>
              <w:jc w:val="left"/>
            </w:pPr>
            <w:r>
              <w:t xml:space="preserve">Micro headwind</w:t>
            </w:r>
          </w:p>
        </w:tc>
        <w:tc>
          <w:tcPr/>
          <w:p>
            <w:pPr>
              <w:pStyle w:val="Compact"/>
              <w:jc w:val="left"/>
            </w:pPr>
            <w:hyperlink r:id="rId128">
              <w:r>
                <w:rPr>
                  <w:rStyle w:val="Hyperlink"/>
                </w:rPr>
                <w:t xml:space="preserve">#915</w:t>
              </w:r>
            </w:hyperlink>
            <w:r>
              <w:t xml:space="preserve">,</w:t>
            </w:r>
            <w:r>
              <w:t xml:space="preserve"> </w:t>
            </w:r>
            <w:hyperlink r:id="rId160">
              <w:r>
                <w:rPr>
                  <w:rStyle w:val="Hyperlink"/>
                </w:rPr>
                <w:t xml:space="preserve">#869</w:t>
              </w:r>
            </w:hyperlink>
          </w:p>
        </w:tc>
      </w:tr>
      <w:tr>
        <w:tc>
          <w:tcPr/>
          <w:p>
            <w:pPr>
              <w:pStyle w:val="Compact"/>
              <w:jc w:val="left"/>
            </w:pPr>
            <w:r>
              <w:t xml:space="preserve">Corporate tax rate +1pt from 2026</w:t>
            </w:r>
          </w:p>
        </w:tc>
        <w:tc>
          <w:tcPr/>
          <w:p>
            <w:pPr>
              <w:pStyle w:val="Compact"/>
              <w:jc w:val="left"/>
            </w:pPr>
            <w:r>
              <w:t xml:space="preserve">Macro headwind</w:t>
            </w:r>
          </w:p>
        </w:tc>
        <w:tc>
          <w:tcPr/>
          <w:p>
            <w:pPr>
              <w:pStyle w:val="Compact"/>
              <w:jc w:val="left"/>
            </w:pPr>
            <w:hyperlink r:id="rId161">
              <w:r>
                <w:rPr>
                  <w:rStyle w:val="Hyperlink"/>
                </w:rPr>
                <w:t xml:space="preserve">#1413</w:t>
              </w:r>
            </w:hyperlink>
          </w:p>
        </w:tc>
      </w:tr>
      <w:tr>
        <w:tc>
          <w:tcPr/>
          <w:p>
            <w:pPr>
              <w:pStyle w:val="Compact"/>
              <w:jc w:val="left"/>
            </w:pPr>
            <w:r>
              <w:t xml:space="preserve">Chinese cross-border platforms (AliExpress, Temu; &gt;10m users)</w:t>
            </w:r>
          </w:p>
        </w:tc>
        <w:tc>
          <w:tcPr/>
          <w:p>
            <w:pPr>
              <w:pStyle w:val="Compact"/>
              <w:jc w:val="left"/>
            </w:pPr>
            <w:r>
              <w:t xml:space="preserve">Competitive headwind</w:t>
            </w:r>
          </w:p>
        </w:tc>
        <w:tc>
          <w:tcPr/>
          <w:p>
            <w:pPr>
              <w:pStyle w:val="Compact"/>
              <w:jc w:val="left"/>
            </w:pPr>
            <w:hyperlink r:id="rId144">
              <w:r>
                <w:rPr>
                  <w:rStyle w:val="Hyperlink"/>
                </w:rPr>
                <w:t xml:space="preserve">#308</w:t>
              </w:r>
            </w:hyperlink>
            <w:r>
              <w:t xml:space="preserve">,</w:t>
            </w:r>
            <w:r>
              <w:t xml:space="preserve"> </w:t>
            </w:r>
            <w:hyperlink r:id="rId162">
              <w:r>
                <w:rPr>
                  <w:rStyle w:val="Hyperlink"/>
                </w:rPr>
                <w:t xml:space="preserve">#344</w:t>
              </w:r>
            </w:hyperlink>
          </w:p>
        </w:tc>
      </w:tr>
      <w:tr>
        <w:tc>
          <w:tcPr/>
          <w:p>
            <w:pPr>
              <w:pStyle w:val="Compact"/>
              <w:jc w:val="left"/>
            </w:pPr>
            <w:r>
              <w:t xml:space="preserve">Data-incident trust deficit</w:t>
            </w:r>
          </w:p>
        </w:tc>
        <w:tc>
          <w:tcPr/>
          <w:p>
            <w:pPr>
              <w:pStyle w:val="Compact"/>
              <w:jc w:val="left"/>
            </w:pPr>
            <w:r>
              <w:t xml:space="preserve">Temporary headwind</w:t>
            </w:r>
          </w:p>
        </w:tc>
        <w:tc>
          <w:tcPr/>
          <w:p>
            <w:pPr>
              <w:pStyle w:val="Compact"/>
              <w:jc w:val="left"/>
            </w:pPr>
            <w:r>
              <w:t xml:space="preserve">Lingering trust issues among non-returners (</w:t>
            </w:r>
            <w:hyperlink r:id="rId163">
              <w:r>
                <w:rPr>
                  <w:rStyle w:val="Hyperlink"/>
                </w:rPr>
                <w:t xml:space="preserve">#478</w:t>
              </w:r>
            </w:hyperlink>
            <w:r>
              <w:t xml:space="preserve">)</w:t>
            </w:r>
          </w:p>
        </w:tc>
      </w:tr>
      <w:tr>
        <w:tc>
          <w:tcPr/>
          <w:p>
            <w:pPr>
              <w:pStyle w:val="Compact"/>
              <w:jc w:val="left"/>
            </w:pPr>
            <w:r>
              <w:t xml:space="preserve">AI and automation in fulfilment</w:t>
            </w:r>
          </w:p>
        </w:tc>
        <w:tc>
          <w:tcPr/>
          <w:p>
            <w:pPr>
              <w:pStyle w:val="Compact"/>
              <w:jc w:val="left"/>
            </w:pPr>
            <w:r>
              <w:t xml:space="preserve">Micro tailwind</w:t>
            </w:r>
          </w:p>
        </w:tc>
        <w:tc>
          <w:tcPr/>
          <w:p>
            <w:pPr>
              <w:pStyle w:val="Compact"/>
              <w:jc w:val="left"/>
            </w:pPr>
            <w:r>
              <w:t xml:space="preserve">Lower cost to serve (</w:t>
            </w:r>
            <w:hyperlink r:id="rId164">
              <w:r>
                <w:rPr>
                  <w:rStyle w:val="Hyperlink"/>
                </w:rPr>
                <w:t xml:space="preserve">#90</w:t>
              </w:r>
            </w:hyperlink>
            <w:r>
              <w:t xml:space="preserve">,</w:t>
            </w:r>
            <w:r>
              <w:t xml:space="preserve"> </w:t>
            </w:r>
            <w:hyperlink r:id="rId165">
              <w:r>
                <w:rPr>
                  <w:rStyle w:val="Hyperlink"/>
                </w:rPr>
                <w:t xml:space="preserve">#390</w:t>
              </w:r>
            </w:hyperlink>
            <w:r>
              <w:t xml:space="preserve">)</w:t>
            </w:r>
          </w:p>
        </w:tc>
      </w:tr>
      <w:tr>
        <w:tc>
          <w:tcPr/>
          <w:p>
            <w:pPr>
              <w:pStyle w:val="Compact"/>
              <w:jc w:val="left"/>
            </w:pPr>
            <w:r>
              <w:t xml:space="preserve">Settlement-period rules (Dec-26); night-delivery proposal</w:t>
            </w:r>
          </w:p>
        </w:tc>
        <w:tc>
          <w:tcPr/>
          <w:p>
            <w:pPr>
              <w:pStyle w:val="Compact"/>
              <w:jc w:val="left"/>
            </w:pPr>
            <w:r>
              <w:t xml:space="preserve">Regulatory headwind</w:t>
            </w:r>
          </w:p>
        </w:tc>
        <w:tc>
          <w:tcPr/>
          <w:p>
            <w:pPr>
              <w:pStyle w:val="Compact"/>
              <w:jc w:val="left"/>
            </w:pPr>
            <w:hyperlink r:id="rId50">
              <w:r>
                <w:rPr>
                  <w:rStyle w:val="Hyperlink"/>
                </w:rPr>
                <w:t xml:space="preserve">#619</w:t>
              </w:r>
            </w:hyperlink>
            <w:r>
              <w:t xml:space="preserve">,</w:t>
            </w:r>
            <w:r>
              <w:t xml:space="preserve"> </w:t>
            </w:r>
            <w:hyperlink r:id="rId166">
              <w:r>
                <w:rPr>
                  <w:rStyle w:val="Hyperlink"/>
                </w:rPr>
                <w:t xml:space="preserve">#861</w:t>
              </w:r>
            </w:hyperlink>
          </w:p>
        </w:tc>
      </w:tr>
      <w:tr>
        <w:tc>
          <w:tcPr/>
          <w:p>
            <w:pPr>
              <w:pStyle w:val="Compact"/>
              <w:jc w:val="left"/>
            </w:pPr>
            <w:r>
              <w:t xml:space="preserve">Taiwan hyper-growth</w:t>
            </w:r>
          </w:p>
        </w:tc>
        <w:tc>
          <w:tcPr/>
          <w:p>
            <w:pPr>
              <w:pStyle w:val="Compact"/>
              <w:jc w:val="left"/>
            </w:pPr>
            <w:r>
              <w:t xml:space="preserve">Micro tailwind for revenue, headwind for losses</w:t>
            </w:r>
          </w:p>
        </w:tc>
        <w:tc>
          <w:tcPr/>
          <w:p>
            <w:pPr>
              <w:pStyle w:val="Compact"/>
              <w:jc w:val="left"/>
            </w:pPr>
            <w:hyperlink r:id="rId136">
              <w:r>
                <w:rPr>
                  <w:rStyle w:val="Hyperlink"/>
                </w:rPr>
                <w:t xml:space="preserve">#94</w:t>
              </w:r>
            </w:hyperlink>
            <w:r>
              <w:t xml:space="preserve">,</w:t>
            </w:r>
            <w:r>
              <w:t xml:space="preserve"> </w:t>
            </w:r>
            <w:hyperlink r:id="rId167">
              <w:r>
                <w:rPr>
                  <w:rStyle w:val="Hyperlink"/>
                </w:rPr>
                <w:t xml:space="preserve">#224</w:t>
              </w:r>
            </w:hyperlink>
          </w:p>
        </w:tc>
      </w:tr>
    </w:tbl>
    <w:p>
      <w:pPr>
        <w:pStyle w:val="BodyText"/>
      </w:pPr>
      <w:r>
        <w:rPr>
          <w:bCs/>
          <w:b/>
        </w:rPr>
        <w:t xml:space="preserve">Summary.</w:t>
      </w:r>
    </w:p>
    <w:p>
      <w:pPr>
        <w:numPr>
          <w:ilvl w:val="0"/>
          <w:numId w:val="1014"/>
        </w:numPr>
        <w:pStyle w:val="Compact"/>
      </w:pPr>
      <w:r>
        <w:rPr>
          <w:bCs/>
          <w:b/>
        </w:rPr>
        <w:t xml:space="preserve">Tailwinds:</w:t>
      </w:r>
      <w:r>
        <w:t xml:space="preserve"> </w:t>
      </w:r>
      <w:r>
        <w:t xml:space="preserve">structural online penetration; mix shift to 3P, FLC and ads; automation; operating leverage on the fixed network once volumes recover; KRW mean-reversion.</w:t>
      </w:r>
    </w:p>
    <w:p>
      <w:pPr>
        <w:numPr>
          <w:ilvl w:val="0"/>
          <w:numId w:val="1014"/>
        </w:numPr>
        <w:pStyle w:val="Compact"/>
      </w:pPr>
      <w:r>
        <w:rPr>
          <w:bCs/>
          <w:b/>
        </w:rPr>
        <w:t xml:space="preserve">Headwinds:</w:t>
      </w:r>
      <w:r>
        <w:t xml:space="preserve"> </w:t>
      </w:r>
      <w:r>
        <w:t xml:space="preserve">a regulatory overhang that is getting broader, not narrower; labour costs; the Chinese cross-border entrants; a weak Korean consumer; the cost of the Taiwan build-out.</w:t>
      </w:r>
    </w:p>
    <w:bookmarkEnd w:id="168"/>
    <w:bookmarkStart w:id="185" w:name="Xf45367dd10304e3b5ffe89b120ca4f3c374affa"/>
    <w:p>
      <w:pPr>
        <w:pStyle w:val="Heading1"/>
      </w:pPr>
      <w:r>
        <w:t xml:space="preserve">6. Strength of products and services; competitive advantages (moats)</w:t>
      </w:r>
    </w:p>
    <w:bookmarkStart w:id="177" w:name="Xca04a381b1c94d8dafeaac0cf3ef36ad6bc3bc3"/>
    <w:p>
      <w:pPr>
        <w:pStyle w:val="Heading2"/>
      </w:pPr>
      <w:r>
        <w:t xml:space="preserve">6.1 Perceived value, branding and marketing versus competitors</w:t>
      </w:r>
    </w:p>
    <w:p>
      <w:pPr>
        <w:numPr>
          <w:ilvl w:val="0"/>
          <w:numId w:val="1015"/>
        </w:numPr>
        <w:pStyle w:val="Compact"/>
      </w:pPr>
      <w:r>
        <w:rPr>
          <w:bCs/>
          <w:b/>
        </w:rPr>
        <w:t xml:space="preserve">Value proposition.</w:t>
      </w:r>
      <w:r>
        <w:t xml:space="preserve"> </w:t>
      </w:r>
      <w:r>
        <w:t xml:space="preserve">Management’s description is</w:t>
      </w:r>
      <w:r>
        <w:t xml:space="preserve"> </w:t>
      </w:r>
      <w:r>
        <w:t xml:space="preserve">“</w:t>
      </w:r>
      <w:r>
        <w:t xml:space="preserve">the combination of selection, price and delivery that no one else offers</w:t>
      </w:r>
      <w:r>
        <w:t xml:space="preserve">”</w:t>
      </w:r>
      <w:r>
        <w:t xml:space="preserve"> </w:t>
      </w:r>
      <w:r>
        <w:t xml:space="preserve">(</w:t>
      </w:r>
      <w:hyperlink r:id="rId169">
        <w:r>
          <w:rPr>
            <w:rStyle w:val="Hyperlink"/>
          </w:rPr>
          <w:t xml:space="preserve">#356</w:t>
        </w:r>
      </w:hyperlink>
      <w:r>
        <w:t xml:space="preserve">).</w:t>
      </w:r>
    </w:p>
    <w:p>
      <w:pPr>
        <w:numPr>
          <w:ilvl w:val="1"/>
          <w:numId w:val="1016"/>
        </w:numPr>
        <w:pStyle w:val="Compact"/>
      </w:pPr>
      <w:r>
        <w:t xml:space="preserve">The WOW bundle is priced at roughly the cost of two deliveries a month, against 14 benefits (Q2’24 call,</w:t>
      </w:r>
      <w:r>
        <w:t xml:space="preserve"> </w:t>
      </w:r>
      <w:hyperlink r:id="rId170">
        <w:r>
          <w:rPr>
            <w:rStyle w:val="Hyperlink"/>
          </w:rPr>
          <w:t xml:space="preserve">#261</w:t>
        </w:r>
      </w:hyperlink>
      <w:r>
        <w:t xml:space="preserve">).</w:t>
      </w:r>
    </w:p>
    <w:p>
      <w:pPr>
        <w:numPr>
          <w:ilvl w:val="1"/>
          <w:numId w:val="1016"/>
        </w:numPr>
        <w:pStyle w:val="Compact"/>
      </w:pPr>
      <w:r>
        <w:t xml:space="preserve">The newsletter cites a KRW7,890 monthly fee. The 2024 increase is confirmed (</w:t>
      </w:r>
      <w:hyperlink r:id="rId123">
        <w:r>
          <w:rPr>
            <w:rStyle w:val="Hyperlink"/>
          </w:rPr>
          <w:t xml:space="preserve">#248</w:t>
        </w:r>
      </w:hyperlink>
      <w:r>
        <w:t xml:space="preserve">), but the KRW amount is [u].</w:t>
      </w:r>
    </w:p>
    <w:p>
      <w:pPr>
        <w:numPr>
          <w:ilvl w:val="0"/>
          <w:numId w:val="1015"/>
        </w:numPr>
        <w:pStyle w:val="Compact"/>
      </w:pPr>
      <w:r>
        <w:rPr>
          <w:bCs/>
          <w:b/>
        </w:rPr>
        <w:t xml:space="preserve">Revealed preference.</w:t>
      </w:r>
    </w:p>
    <w:p>
      <w:pPr>
        <w:numPr>
          <w:ilvl w:val="1"/>
          <w:numId w:val="1017"/>
        </w:numPr>
        <w:pStyle w:val="Compact"/>
      </w:pPr>
      <w:r>
        <w:t xml:space="preserve">Each annual customer cohort keeps spending more over time (</w:t>
      </w:r>
      <w:hyperlink r:id="rId115">
        <w:r>
          <w:rPr>
            <w:rStyle w:val="Hyperlink"/>
          </w:rPr>
          <w:t xml:space="preserve">#69</w:t>
        </w:r>
      </w:hyperlink>
      <w:r>
        <w:t xml:space="preserve">).</w:t>
      </w:r>
    </w:p>
    <w:p>
      <w:pPr>
        <w:numPr>
          <w:ilvl w:val="1"/>
          <w:numId w:val="1017"/>
        </w:numPr>
        <w:pStyle w:val="Compact"/>
      </w:pPr>
      <w:r>
        <w:t xml:space="preserve">After the incident, nearly 80% of the WOW decline had been recovered by end-April 2026 (</w:t>
      </w:r>
      <w:hyperlink r:id="rId171">
        <w:r>
          <w:rPr>
            <w:rStyle w:val="Hyperlink"/>
          </w:rPr>
          <w:t xml:space="preserve">#36</w:t>
        </w:r>
      </w:hyperlink>
      <w:r>
        <w:t xml:space="preserve">). Membership has since passed pre-incident levels (</w:t>
      </w:r>
      <w:hyperlink r:id="rId27">
        <w:r>
          <w:rPr>
            <w:rStyle w:val="Hyperlink"/>
          </w:rPr>
          <w:t xml:space="preserve">#39</w:t>
        </w:r>
      </w:hyperlink>
      <w:r>
        <w:t xml:space="preserve">).</w:t>
      </w:r>
    </w:p>
    <w:p>
      <w:pPr>
        <w:numPr>
          <w:ilvl w:val="0"/>
          <w:numId w:val="1015"/>
        </w:numPr>
        <w:pStyle w:val="Compact"/>
      </w:pPr>
      <w:r>
        <w:rPr>
          <w:bCs/>
          <w:b/>
        </w:rPr>
        <w:t xml:space="preserve">Brand.</w:t>
      </w:r>
      <w:r>
        <w:t xml:space="preserve"> </w:t>
      </w:r>
      <w:r>
        <w:t xml:space="preserve">The brand is built on delivery reliability rather than advertising. The 2026 marketing step-up is described as a</w:t>
      </w:r>
      <w:r>
        <w:t xml:space="preserve"> </w:t>
      </w:r>
      <w:r>
        <w:t xml:space="preserve">“</w:t>
      </w:r>
      <w:r>
        <w:t xml:space="preserve">onetime investment to accelerate reacquisition</w:t>
      </w:r>
      <w:r>
        <w:t xml:space="preserve">”</w:t>
      </w:r>
      <w:r>
        <w:t xml:space="preserve">, to be reduced in 2027 (</w:t>
      </w:r>
      <w:hyperlink r:id="rId172">
        <w:r>
          <w:rPr>
            <w:rStyle w:val="Hyperlink"/>
          </w:rPr>
          <w:t xml:space="preserve">#420</w:t>
        </w:r>
      </w:hyperlink>
      <w:r>
        <w:t xml:space="preserve">,</w:t>
      </w:r>
      <w:r>
        <w:t xml:space="preserve"> </w:t>
      </w:r>
      <w:hyperlink r:id="rId173">
        <w:r>
          <w:rPr>
            <w:rStyle w:val="Hyperlink"/>
          </w:rPr>
          <w:t xml:space="preserve">#55</w:t>
        </w:r>
      </w:hyperlink>
      <w:r>
        <w:t xml:space="preserve">). The data incident damaged trust, and</w:t>
      </w:r>
      <w:r>
        <w:t xml:space="preserve"> </w:t>
      </w:r>
      <w:r>
        <w:t xml:space="preserve">“</w:t>
      </w:r>
      <w:r>
        <w:t xml:space="preserve">some trust issues remain</w:t>
      </w:r>
      <w:r>
        <w:t xml:space="preserve">”</w:t>
      </w:r>
      <w:r>
        <w:t xml:space="preserve"> </w:t>
      </w:r>
      <w:r>
        <w:t xml:space="preserve">among non-returners (</w:t>
      </w:r>
      <w:hyperlink r:id="rId163">
        <w:r>
          <w:rPr>
            <w:rStyle w:val="Hyperlink"/>
          </w:rPr>
          <w:t xml:space="preserve">#478</w:t>
        </w:r>
      </w:hyperlink>
      <w:r>
        <w:t xml:space="preserve">).</w:t>
      </w:r>
    </w:p>
    <w:p>
      <w:pPr>
        <w:numPr>
          <w:ilvl w:val="0"/>
          <w:numId w:val="1015"/>
        </w:numPr>
        <w:pStyle w:val="Compact"/>
      </w:pPr>
      <w:r>
        <w:rPr>
          <w:bCs/>
          <w:b/>
        </w:rPr>
        <w:t xml:space="preserve">Competitors’ propositions.</w:t>
      </w:r>
    </w:p>
    <w:p>
      <w:pPr>
        <w:numPr>
          <w:ilvl w:val="1"/>
          <w:numId w:val="1018"/>
        </w:numPr>
        <w:pStyle w:val="Compact"/>
      </w:pPr>
      <w:r>
        <w:rPr>
          <w:bCs/>
          <w:b/>
        </w:rPr>
        <w:t xml:space="preserve">Naver:</w:t>
      </w:r>
      <w:r>
        <w:t xml:space="preserve"> </w:t>
      </w:r>
      <w:r>
        <w:t xml:space="preserve">marketplace aggregator plus Plus membership (Netflix, Game Pass and Uber benefits;</w:t>
      </w:r>
      <w:r>
        <w:t xml:space="preserve"> </w:t>
      </w:r>
      <w:hyperlink r:id="rId174">
        <w:r>
          <w:rPr>
            <w:rStyle w:val="Hyperlink"/>
          </w:rPr>
          <w:t xml:space="preserve">#93</w:t>
        </w:r>
      </w:hyperlink>
      <w:r>
        <w:t xml:space="preserve">,</w:t>
      </w:r>
      <w:r>
        <w:t xml:space="preserve"> </w:t>
      </w:r>
      <w:hyperlink r:id="rId175">
        <w:r>
          <w:rPr>
            <w:rStyle w:val="Hyperlink"/>
          </w:rPr>
          <w:t xml:space="preserve">#78</w:t>
        </w:r>
      </w:hyperlink>
      <w:r>
        <w:t xml:space="preserve">) and Kurly N Mart dawn delivery (</w:t>
      </w:r>
      <w:hyperlink r:id="rId142">
        <w:r>
          <w:rPr>
            <w:rStyle w:val="Hyperlink"/>
          </w:rPr>
          <w:t xml:space="preserve">#321</w:t>
        </w:r>
      </w:hyperlink>
      <w:r>
        <w:t xml:space="preserve">). Logistics are asset-light via CJ Logistics and the NFA alliance (</w:t>
      </w:r>
      <w:hyperlink r:id="rId143">
        <w:r>
          <w:rPr>
            <w:rStyle w:val="Hyperlink"/>
          </w:rPr>
          <w:t xml:space="preserve">#326</w:t>
        </w:r>
      </w:hyperlink>
      <w:r>
        <w:t xml:space="preserve">).</w:t>
      </w:r>
    </w:p>
    <w:p>
      <w:pPr>
        <w:numPr>
          <w:ilvl w:val="1"/>
          <w:numId w:val="1018"/>
        </w:numPr>
        <w:pStyle w:val="Compact"/>
      </w:pPr>
      <w:r>
        <w:rPr>
          <w:bCs/>
          <w:b/>
        </w:rPr>
        <w:t xml:space="preserve">Chinese cross-border platforms:</w:t>
      </w:r>
      <w:r>
        <w:t xml:space="preserve"> </w:t>
      </w:r>
      <w:r>
        <w:t xml:space="preserve">compete on price, not speed. Combined users exceed 10m (</w:t>
      </w:r>
      <w:hyperlink r:id="rId162">
        <w:r>
          <w:rPr>
            <w:rStyle w:val="Hyperlink"/>
          </w:rPr>
          <w:t xml:space="preserve">#344</w:t>
        </w:r>
      </w:hyperlink>
      <w:r>
        <w:t xml:space="preserve">).</w:t>
      </w:r>
    </w:p>
    <w:p>
      <w:pPr>
        <w:numPr>
          <w:ilvl w:val="1"/>
          <w:numId w:val="1018"/>
        </w:numPr>
        <w:pStyle w:val="Compact"/>
      </w:pPr>
      <w:r>
        <w:t xml:space="preserve">Naver reported gains in commerce GMV and new members after Coupang’s breach (</w:t>
      </w:r>
      <w:hyperlink r:id="rId176">
        <w:r>
          <w:rPr>
            <w:rStyle w:val="Hyperlink"/>
          </w:rPr>
          <w:t xml:space="preserve">#298</w:t>
        </w:r>
      </w:hyperlink>
      <w:r>
        <w:t xml:space="preserve">). This is the clearest evidence the moat leaked, at least temporarily.</w:t>
      </w:r>
    </w:p>
    <w:bookmarkEnd w:id="177"/>
    <w:bookmarkStart w:id="184" w:name="moat-scorecard"/>
    <w:p>
      <w:pPr>
        <w:pStyle w:val="Heading2"/>
      </w:pPr>
      <w:r>
        <w:t xml:space="preserve">6.2 Moat scorecard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Rating (1 = none, 5 = very strong)</w:t>
            </w:r>
          </w:p>
        </w:tc>
        <w:tc>
          <w:tcPr/>
          <w:p>
            <w:pPr>
              <w:pStyle w:val="Compact"/>
              <w:jc w:val="left"/>
            </w:pPr>
            <w:r>
              <w:t xml:space="preserve">Assessment and evidence</w:t>
            </w:r>
          </w:p>
        </w:tc>
      </w:tr>
      <w:tr>
        <w:tc>
          <w:tcPr/>
          <w:p>
            <w:pPr>
              <w:pStyle w:val="Compact"/>
              <w:jc w:val="left"/>
            </w:pPr>
            <w:r>
              <w:rPr>
                <w:bCs/>
                <w:b/>
              </w:rPr>
              <w:t xml:space="preserve">Brand</w:t>
            </w:r>
          </w:p>
        </w:tc>
        <w:tc>
          <w:tcPr/>
          <w:p>
            <w:pPr>
              <w:pStyle w:val="Compact"/>
              <w:jc w:val="left"/>
            </w:pPr>
            <w:r>
              <w:t xml:space="preserve">3 (down from 4)</w:t>
            </w:r>
          </w:p>
        </w:tc>
        <w:tc>
          <w:tcPr/>
          <w:p>
            <w:pPr>
              <w:pStyle w:val="Compact"/>
              <w:jc w:val="left"/>
            </w:pPr>
            <w:r>
              <w:t xml:space="preserve">“</w:t>
            </w:r>
            <w:r>
              <w:t xml:space="preserve">Rocket</w:t>
            </w:r>
            <w:r>
              <w:t xml:space="preserve">”</w:t>
            </w:r>
            <w:r>
              <w:t xml:space="preserve"> </w:t>
            </w:r>
            <w:r>
              <w:t xml:space="preserve">and WOW are synonymous with next-day delivery in Korea. The breach dented trust (</w:t>
            </w:r>
            <w:hyperlink r:id="rId163">
              <w:r>
                <w:rPr>
                  <w:rStyle w:val="Hyperlink"/>
                </w:rPr>
                <w:t xml:space="preserve">#478</w:t>
              </w:r>
            </w:hyperlink>
            <w:r>
              <w:t xml:space="preserve">), but WOW is at an all-time high (</w:t>
            </w:r>
            <w:hyperlink r:id="rId28">
              <w:r>
                <w:rPr>
                  <w:rStyle w:val="Hyperlink"/>
                </w:rPr>
                <w:t xml:space="preserve">#271</w:t>
              </w:r>
            </w:hyperlink>
            <w:r>
              <w:t xml:space="preserve">)</w:t>
            </w:r>
          </w:p>
        </w:tc>
      </w:tr>
      <w:tr>
        <w:tc>
          <w:tcPr/>
          <w:p>
            <w:pPr>
              <w:pStyle w:val="Compact"/>
              <w:jc w:val="left"/>
            </w:pPr>
            <w:r>
              <w:rPr>
                <w:bCs/>
                <w:b/>
              </w:rPr>
              <w:t xml:space="preserve">Hard assets</w:t>
            </w:r>
          </w:p>
        </w:tc>
        <w:tc>
          <w:tcPr/>
          <w:p>
            <w:pPr>
              <w:pStyle w:val="Compact"/>
              <w:jc w:val="left"/>
            </w:pPr>
            <w:r>
              <w:t xml:space="preserve">5</w:t>
            </w:r>
          </w:p>
        </w:tc>
        <w:tc>
          <w:tcPr/>
          <w:p>
            <w:pPr>
              <w:pStyle w:val="Compact"/>
              <w:jc w:val="left"/>
            </w:pPr>
            <w:r>
              <w:t xml:space="preserve">Over 78m sq ft owned or leased network (</w:t>
            </w:r>
            <w:hyperlink r:id="rId111">
              <w:r>
                <w:rPr>
                  <w:rStyle w:val="Hyperlink"/>
                </w:rPr>
                <w:t xml:space="preserve">#1295</w:t>
              </w:r>
            </w:hyperlink>
            <w:r>
              <w:t xml:space="preserve">); multi-billion capex over years (</w:t>
            </w:r>
            <w:hyperlink r:id="rId126">
              <w:r>
                <w:rPr>
                  <w:rStyle w:val="Hyperlink"/>
                </w:rPr>
                <w:t xml:space="preserve">#138</w:t>
              </w:r>
            </w:hyperlink>
            <w:r>
              <w:t xml:space="preserve">); hard and slow to replicate. Naver chose an asset-light alliance instead</w:t>
            </w:r>
          </w:p>
        </w:tc>
      </w:tr>
      <w:tr>
        <w:tc>
          <w:tcPr/>
          <w:p>
            <w:pPr>
              <w:pStyle w:val="Compact"/>
              <w:jc w:val="left"/>
            </w:pPr>
            <w:r>
              <w:rPr>
                <w:bCs/>
                <w:b/>
              </w:rPr>
              <w:t xml:space="preserve">Long-term contracts</w:t>
            </w:r>
          </w:p>
        </w:tc>
        <w:tc>
          <w:tcPr/>
          <w:p>
            <w:pPr>
              <w:pStyle w:val="Compact"/>
              <w:jc w:val="left"/>
            </w:pPr>
            <w:r>
              <w:t xml:space="preserve">1</w:t>
            </w:r>
          </w:p>
        </w:tc>
        <w:tc>
          <w:tcPr/>
          <w:p>
            <w:pPr>
              <w:pStyle w:val="Compact"/>
              <w:jc w:val="left"/>
            </w:pPr>
            <w:r>
              <w:t xml:space="preserve">None disclosed with suppliers or customers; POs cancellable (</w:t>
            </w:r>
            <w:hyperlink r:id="rId154">
              <w:r>
                <w:rPr>
                  <w:rStyle w:val="Hyperlink"/>
                </w:rPr>
                <w:t xml:space="preserve">#1507</w:t>
              </w:r>
            </w:hyperlink>
            <w:r>
              <w:t xml:space="preserve">)</w:t>
            </w:r>
          </w:p>
        </w:tc>
      </w:tr>
      <w:tr>
        <w:tc>
          <w:tcPr/>
          <w:p>
            <w:pPr>
              <w:pStyle w:val="Compact"/>
              <w:jc w:val="left"/>
            </w:pPr>
            <w:r>
              <w:rPr>
                <w:bCs/>
                <w:b/>
              </w:rPr>
              <w:t xml:space="preserve">Network effects</w:t>
            </w:r>
          </w:p>
        </w:tc>
        <w:tc>
          <w:tcPr/>
          <w:p>
            <w:pPr>
              <w:pStyle w:val="Compact"/>
              <w:jc w:val="left"/>
            </w:pPr>
            <w:r>
              <w:t xml:space="preserve">3</w:t>
            </w:r>
          </w:p>
        </w:tc>
        <w:tc>
          <w:tcPr/>
          <w:p>
            <w:pPr>
              <w:pStyle w:val="Compact"/>
              <w:jc w:val="left"/>
            </w:pPr>
            <w:r>
              <w:t xml:space="preserve">Two-sided marketplace plus FLC and ads: more buyers bring more 3P selection, and more selection brings more buyers (</w:t>
            </w:r>
            <w:hyperlink r:id="rId131">
              <w:r>
                <w:rPr>
                  <w:rStyle w:val="Hyperlink"/>
                </w:rPr>
                <w:t xml:space="preserve">#94</w:t>
              </w:r>
            </w:hyperlink>
            <w:r>
              <w:t xml:space="preserve">). Weaker than a pure platform because 1P dominates revenue</w:t>
            </w:r>
          </w:p>
        </w:tc>
      </w:tr>
      <w:tr>
        <w:tc>
          <w:tcPr/>
          <w:p>
            <w:pPr>
              <w:pStyle w:val="Compact"/>
              <w:jc w:val="left"/>
            </w:pPr>
            <w:r>
              <w:rPr>
                <w:bCs/>
                <w:b/>
              </w:rPr>
              <w:t xml:space="preserve">Regulatory protection / switching costs</w:t>
            </w:r>
          </w:p>
        </w:tc>
        <w:tc>
          <w:tcPr/>
          <w:p>
            <w:pPr>
              <w:pStyle w:val="Compact"/>
              <w:jc w:val="left"/>
            </w:pPr>
            <w:r>
              <w:t xml:space="preserve">2</w:t>
            </w:r>
          </w:p>
        </w:tc>
        <w:tc>
          <w:tcPr/>
          <w:p>
            <w:pPr>
              <w:pStyle w:val="Compact"/>
              <w:jc w:val="left"/>
            </w:pPr>
            <w:r>
              <w:t xml:space="preserve">No regulatory protection; regulation is a net negative. Switching costs are behavioural (WOW bundle, habit): returners did not split wallet (</w:t>
            </w:r>
            <w:hyperlink r:id="rId29">
              <w:r>
                <w:rPr>
                  <w:rStyle w:val="Hyperlink"/>
                </w:rPr>
                <w:t xml:space="preserve">#268</w:t>
              </w:r>
            </w:hyperlink>
            <w:r>
              <w:t xml:space="preserve">). But consumers multi-home easily, and the KFTC may unbundle Eats from WOW (</w:t>
            </w:r>
            <w:hyperlink r:id="rId178">
              <w:r>
                <w:rPr>
                  <w:rStyle w:val="Hyperlink"/>
                </w:rPr>
                <w:t xml:space="preserve">#2009</w:t>
              </w:r>
            </w:hyperlink>
            <w:r>
              <w:t xml:space="preserve">)</w:t>
            </w:r>
          </w:p>
        </w:tc>
      </w:tr>
      <w:tr>
        <w:tc>
          <w:tcPr/>
          <w:p>
            <w:pPr>
              <w:pStyle w:val="Compact"/>
              <w:jc w:val="left"/>
            </w:pPr>
            <w:r>
              <w:rPr>
                <w:bCs/>
                <w:b/>
              </w:rPr>
              <w:t xml:space="preserve">Oligopolistic / monopolistic industry</w:t>
            </w:r>
          </w:p>
        </w:tc>
        <w:tc>
          <w:tcPr/>
          <w:p>
            <w:pPr>
              <w:pStyle w:val="Compact"/>
              <w:jc w:val="left"/>
            </w:pPr>
            <w:r>
              <w:t xml:space="preserve">2</w:t>
            </w:r>
          </w:p>
        </w:tc>
        <w:tc>
          <w:tcPr/>
          <w:p>
            <w:pPr>
              <w:pStyle w:val="Compact"/>
              <w:jc w:val="left"/>
            </w:pPr>
            <w:r>
              <w:t xml:space="preserve">Korean e-commerce is competitive: Naver, Chinese entrants, Lotte, Shinsegae and others. Coupang claims</w:t>
            </w:r>
            <w:r>
              <w:t xml:space="preserve"> </w:t>
            </w:r>
            <w:r>
              <w:t xml:space="preserve">“</w:t>
            </w:r>
            <w:r>
              <w:t xml:space="preserve">a small share</w:t>
            </w:r>
            <w:r>
              <w:t xml:space="preserve">”</w:t>
            </w:r>
            <w:r>
              <w:t xml:space="preserve"> </w:t>
            </w:r>
            <w:r>
              <w:t xml:space="preserve">of retail (</w:t>
            </w:r>
            <w:hyperlink r:id="rId149">
              <w:r>
                <w:rPr>
                  <w:rStyle w:val="Hyperlink"/>
                </w:rPr>
                <w:t xml:space="preserve">#355</w:t>
              </w:r>
            </w:hyperlink>
            <w:r>
              <w:t xml:space="preserve">); share of the top few platforms</w:t>
            </w:r>
            <w:r>
              <w:t xml:space="preserve"> </w:t>
            </w:r>
            <w:r>
              <w:t xml:space="preserve">“</w:t>
            </w:r>
            <w:r>
              <w:t xml:space="preserve">gradually increasing</w:t>
            </w:r>
            <w:r>
              <w:t xml:space="preserve">”</w:t>
            </w:r>
            <w:r>
              <w:t xml:space="preserve"> </w:t>
            </w:r>
            <w:r>
              <w:t xml:space="preserve">(Naver,</w:t>
            </w:r>
            <w:r>
              <w:t xml:space="preserve"> </w:t>
            </w:r>
            <w:hyperlink r:id="rId179">
              <w:r>
                <w:rPr>
                  <w:rStyle w:val="Hyperlink"/>
                </w:rPr>
                <w:t xml:space="preserve">#310</w:t>
              </w:r>
            </w:hyperlink>
            <w:r>
              <w:t xml:space="preserve">)</w:t>
            </w:r>
          </w:p>
        </w:tc>
      </w:tr>
      <w:tr>
        <w:tc>
          <w:tcPr/>
          <w:p>
            <w:pPr>
              <w:pStyle w:val="Compact"/>
              <w:jc w:val="left"/>
            </w:pPr>
            <w:r>
              <w:rPr>
                <w:bCs/>
                <w:b/>
              </w:rPr>
              <w:t xml:space="preserve">Cash-flow predictability</w:t>
            </w:r>
          </w:p>
        </w:tc>
        <w:tc>
          <w:tcPr/>
          <w:p>
            <w:pPr>
              <w:pStyle w:val="Compact"/>
              <w:jc w:val="left"/>
            </w:pPr>
            <w:r>
              <w:t xml:space="preserve">2</w:t>
            </w:r>
          </w:p>
        </w:tc>
        <w:tc>
          <w:tcPr/>
          <w:p>
            <w:pPr>
              <w:pStyle w:val="Compact"/>
              <w:jc w:val="left"/>
            </w:pPr>
            <w:r>
              <w:t xml:space="preserve">FCF: US$1.76bn (FY23), US$1.01bn (FY24), US$0.52bn (FY25), ~US$0.10bn LTM [d]. Highly sensitive to working capital and capex</w:t>
            </w:r>
          </w:p>
        </w:tc>
      </w:tr>
      <w:tr>
        <w:tc>
          <w:tcPr/>
          <w:p>
            <w:pPr>
              <w:pStyle w:val="Compact"/>
              <w:jc w:val="left"/>
            </w:pPr>
            <w:r>
              <w:rPr>
                <w:bCs/>
                <w:b/>
              </w:rPr>
              <w:t xml:space="preserve">Scalability</w:t>
            </w:r>
          </w:p>
        </w:tc>
        <w:tc>
          <w:tcPr/>
          <w:p>
            <w:pPr>
              <w:pStyle w:val="Compact"/>
              <w:jc w:val="left"/>
            </w:pPr>
            <w:r>
              <w:t xml:space="preserve">4</w:t>
            </w:r>
          </w:p>
        </w:tc>
        <w:tc>
          <w:tcPr/>
          <w:p>
            <w:pPr>
              <w:pStyle w:val="Compact"/>
              <w:jc w:val="left"/>
            </w:pPr>
            <w:r>
              <w:t xml:space="preserve">Fixed-cost network gives strong operating leverage on volume (</w:t>
            </w:r>
            <w:hyperlink r:id="rId116">
              <w:r>
                <w:rPr>
                  <w:rStyle w:val="Hyperlink"/>
                </w:rPr>
                <w:t xml:space="preserve">#54</w:t>
              </w:r>
            </w:hyperlink>
            <w:r>
              <w:t xml:space="preserve">); FLC and ads are margin-accretive (</w:t>
            </w:r>
            <w:hyperlink r:id="rId69">
              <w:r>
                <w:rPr>
                  <w:rStyle w:val="Hyperlink"/>
                </w:rPr>
                <w:t xml:space="preserve">#145</w:t>
              </w:r>
            </w:hyperlink>
            <w:r>
              <w:t xml:space="preserve">). The same leverage works in reverse (</w:t>
            </w:r>
            <w:hyperlink r:id="rId118">
              <w:r>
                <w:rPr>
                  <w:rStyle w:val="Hyperlink"/>
                </w:rPr>
                <w:t xml:space="preserve">#58</w:t>
              </w:r>
            </w:hyperlink>
            <w:r>
              <w:t xml:space="preserve">)</w:t>
            </w:r>
          </w:p>
        </w:tc>
      </w:tr>
      <w:tr>
        <w:tc>
          <w:tcPr/>
          <w:p>
            <w:pPr>
              <w:pStyle w:val="Compact"/>
              <w:jc w:val="left"/>
            </w:pPr>
            <w:r>
              <w:rPr>
                <w:bCs/>
                <w:b/>
              </w:rPr>
              <w:t xml:space="preserve">Risk / history of government interference</w:t>
            </w:r>
          </w:p>
        </w:tc>
        <w:tc>
          <w:tcPr/>
          <w:p>
            <w:pPr>
              <w:pStyle w:val="Compact"/>
              <w:jc w:val="left"/>
            </w:pPr>
            <w:r>
              <w:t xml:space="preserve">1 (high risk)</w:t>
            </w:r>
          </w:p>
        </w:tc>
        <w:tc>
          <w:tcPr/>
          <w:p>
            <w:pPr>
              <w:pStyle w:val="Compact"/>
              <w:jc w:val="left"/>
            </w:pPr>
            <w:r>
              <w:t xml:space="preserve">KFTC US$121m fine and criminal case (</w:t>
            </w:r>
            <w:hyperlink r:id="rId180">
              <w:r>
                <w:rPr>
                  <w:rStyle w:val="Hyperlink"/>
                </w:rPr>
                <w:t xml:space="preserve">#1064</w:t>
              </w:r>
            </w:hyperlink>
            <w:r>
              <w:t xml:space="preserve">,</w:t>
            </w:r>
            <w:r>
              <w:t xml:space="preserve"> </w:t>
            </w:r>
            <w:hyperlink r:id="rId181">
              <w:r>
                <w:rPr>
                  <w:rStyle w:val="Hyperlink"/>
                </w:rPr>
                <w:t xml:space="preserve">#440</w:t>
              </w:r>
            </w:hyperlink>
            <w:r>
              <w:t xml:space="preserve">); PIPC ~US$410m (</w:t>
            </w:r>
            <w:hyperlink r:id="rId37">
              <w:r>
                <w:rPr>
                  <w:rStyle w:val="Hyperlink"/>
                </w:rPr>
                <w:t xml:space="preserve">#8</w:t>
              </w:r>
            </w:hyperlink>
            <w:r>
              <w:t xml:space="preserve">); NTS ~US$208m claim (</w:t>
            </w:r>
            <w:hyperlink r:id="rId182">
              <w:r>
                <w:rPr>
                  <w:rStyle w:val="Hyperlink"/>
                </w:rPr>
                <w:t xml:space="preserve">#345</w:t>
              </w:r>
            </w:hyperlink>
            <w:r>
              <w:t xml:space="preserve">); National Assembly and prosecution referrals (</w:t>
            </w:r>
            <w:hyperlink r:id="rId104">
              <w:r>
                <w:rPr>
                  <w:rStyle w:val="Hyperlink"/>
                </w:rPr>
                <w:t xml:space="preserve">#225</w:t>
              </w:r>
            </w:hyperlink>
            <w:r>
              <w:t xml:space="preserve">); night-delivery ban push (</w:t>
            </w:r>
            <w:hyperlink r:id="rId166">
              <w:r>
                <w:rPr>
                  <w:rStyle w:val="Hyperlink"/>
                </w:rPr>
                <w:t xml:space="preserve">#861</w:t>
              </w:r>
            </w:hyperlink>
            <w:r>
              <w:t xml:space="preserve">); business-group designation (</w:t>
            </w:r>
            <w:hyperlink r:id="rId183">
              <w:r>
                <w:rPr>
                  <w:rStyle w:val="Hyperlink"/>
                </w:rPr>
                <w:t xml:space="preserve">#1007</w:t>
              </w:r>
            </w:hyperlink>
            <w:r>
              <w:t xml:space="preserve">)</w:t>
            </w:r>
          </w:p>
        </w:tc>
      </w:tr>
      <w:tr>
        <w:tc>
          <w:tcPr/>
          <w:p>
            <w:pPr>
              <w:pStyle w:val="Compact"/>
              <w:jc w:val="left"/>
            </w:pPr>
            <w:r>
              <w:rPr>
                <w:bCs/>
                <w:b/>
              </w:rPr>
              <w:t xml:space="preserve">Bargaining power over stakeholders</w:t>
            </w:r>
          </w:p>
        </w:tc>
        <w:tc>
          <w:tcPr/>
          <w:p>
            <w:pPr>
              <w:pStyle w:val="Compact"/>
              <w:jc w:val="left"/>
            </w:pPr>
            <w:r>
              <w:t xml:space="preserve">4 vs suppliers; 2 vs regulators and labour</w:t>
            </w:r>
          </w:p>
        </w:tc>
        <w:tc>
          <w:tcPr/>
          <w:p>
            <w:pPr>
              <w:pStyle w:val="Compact"/>
              <w:jc w:val="left"/>
            </w:pPr>
            <w:r>
              <w:t xml:space="preserve">Scale buyer: CJ CheilJedang returned to record 1P sales after a supply pause (</w:t>
            </w:r>
            <w:hyperlink r:id="rId140">
              <w:r>
                <w:rPr>
                  <w:rStyle w:val="Hyperlink"/>
                </w:rPr>
                <w:t xml:space="preserve">#98</w:t>
              </w:r>
            </w:hyperlink>
            <w:r>
              <w:t xml:space="preserve">,</w:t>
            </w:r>
            <w:r>
              <w:t xml:space="preserve"> </w:t>
            </w:r>
            <w:hyperlink r:id="rId67">
              <w:r>
                <w:rPr>
                  <w:rStyle w:val="Hyperlink"/>
                </w:rPr>
                <w:t xml:space="preserve">#16</w:t>
              </w:r>
            </w:hyperlink>
            <w:r>
              <w:t xml:space="preserve">); supplier ad payments reduce COGS (</w:t>
            </w:r>
            <w:hyperlink r:id="rId70">
              <w:r>
                <w:rPr>
                  <w:rStyle w:val="Hyperlink"/>
                </w:rPr>
                <w:t xml:space="preserve">#1761</w:t>
              </w:r>
            </w:hyperlink>
            <w:r>
              <w:t xml:space="preserve">). Labour costs are rising (</w:t>
            </w:r>
            <w:hyperlink r:id="rId128">
              <w:r>
                <w:rPr>
                  <w:rStyle w:val="Hyperlink"/>
                </w:rPr>
                <w:t xml:space="preserve">#915</w:t>
              </w:r>
            </w:hyperlink>
            <w:r>
              <w:t xml:space="preserve">) and the regulator is assertive</w:t>
            </w:r>
          </w:p>
        </w:tc>
      </w:tr>
    </w:tbl>
    <w:p>
      <w:pPr>
        <w:pStyle w:val="BodyText"/>
      </w:pPr>
      <w:r>
        <w:rPr>
          <w:bCs/>
          <w:b/>
        </w:rPr>
        <w:t xml:space="preserve">Moat verdict.</w:t>
      </w:r>
      <w:r>
        <w:t xml:space="preserve"> </w:t>
      </w:r>
      <w:r>
        <w:t xml:space="preserve">The moat is narrow but real. It rests on the physical network, the habit and bundle economics, and supplier scale. It does not rest on regulation, contracts or market structure. The incident showed the moat can leak (Naver GMV gains) but not drain (customers returned with full wallets). The biggest threats to the moat are regulatory rather than competitive: forced Eats unbundling, a night-delivery ban, and settlement-period rules.</w:t>
      </w:r>
    </w:p>
    <w:bookmarkEnd w:id="184"/>
    <w:bookmarkEnd w:id="185"/>
    <w:bookmarkStart w:id="195" w:name="Xbf4e4ef395f41491a5e06791989394c0603aaf3"/>
    <w:p>
      <w:pPr>
        <w:pStyle w:val="Heading1"/>
      </w:pPr>
      <w:r>
        <w:t xml:space="preserve">7. Supply chain map: from upstream inputs to the end customer</w:t>
      </w:r>
    </w:p>
    <w:p>
      <w:pPr>
        <w:pStyle w:val="CaptionedFigure"/>
      </w:pPr>
      <w:r>
        <w:drawing>
          <wp:inline>
            <wp:extent cx="6477000" cy="2413762"/>
            <wp:effectExtent b="0" l="0" r="0" t="0"/>
            <wp:docPr descr="Coupang value chain with named stakeholders (✓ = cited in S&amp;P/ProntoNLP; [u] = not named in tools)" title="" id="187" name="Picture"/>
            <a:graphic>
              <a:graphicData uri="http://schemas.openxmlformats.org/drawingml/2006/picture">
                <pic:pic>
                  <pic:nvPicPr>
                    <pic:cNvPr descr="out/charts/supplychain.png" id="188" name="Picture"/>
                    <pic:cNvPicPr>
                      <a:picLocks noChangeArrowheads="1" noChangeAspect="1"/>
                    </pic:cNvPicPr>
                  </pic:nvPicPr>
                  <pic:blipFill>
                    <a:blip r:embed="rId186"/>
                    <a:stretch>
                      <a:fillRect/>
                    </a:stretch>
                  </pic:blipFill>
                  <pic:spPr bwMode="auto">
                    <a:xfrm>
                      <a:off x="0" y="0"/>
                      <a:ext cx="6477000" cy="2413762"/>
                    </a:xfrm>
                    <a:prstGeom prst="rect">
                      <a:avLst/>
                    </a:prstGeom>
                    <a:noFill/>
                    <a:ln w="9525">
                      <a:noFill/>
                      <a:headEnd/>
                      <a:tailEnd/>
                    </a:ln>
                  </pic:spPr>
                </pic:pic>
              </a:graphicData>
            </a:graphic>
          </wp:inline>
        </w:drawing>
      </w:r>
    </w:p>
    <w:p>
      <w:pPr>
        <w:pStyle w:val="ImageCaption"/>
      </w:pPr>
      <w:r>
        <w:t xml:space="preserve">Coupang value chain with named stakeholders (✓ = cited in S&amp;P/ProntoNLP; [u] = not named in tools)</w:t>
      </w:r>
    </w:p>
    <w:p>
      <w:pPr>
        <w:pStyle w:val="BodyText"/>
      </w:pPr>
      <w:r>
        <w:rPr>
          <w:bCs/>
          <w:b/>
        </w:rPr>
        <w:t xml:space="preserve">Where Coupang sits.</w:t>
      </w:r>
      <w:r>
        <w:t xml:space="preserve"> </w:t>
      </w:r>
      <w:r>
        <w:t xml:space="preserve">Coupang is unusually vertically integrated for a retailer. It spans procurement (1P buying and private label via CPLB,</w:t>
      </w:r>
      <w:r>
        <w:t xml:space="preserve"> </w:t>
      </w:r>
      <w:hyperlink r:id="rId189">
        <w:r>
          <w:rPr>
            <w:rStyle w:val="Hyperlink"/>
          </w:rPr>
          <w:t xml:space="preserve">#74</w:t>
        </w:r>
      </w:hyperlink>
      <w:r>
        <w:t xml:space="preserve">), warehousing and fulfilment (own network, including fulfilment for 3P sellers), last-mile delivery (direct-employment drivers plus independent partners,</w:t>
      </w:r>
      <w:r>
        <w:t xml:space="preserve"> </w:t>
      </w:r>
      <w:hyperlink r:id="rId113">
        <w:r>
          <w:rPr>
            <w:rStyle w:val="Hyperlink"/>
          </w:rPr>
          <w:t xml:space="preserve">#88</w:t>
        </w:r>
      </w:hyperlink>
      <w:r>
        <w:t xml:space="preserve">), the consumer interface (app, WOW), and payments (Coupang Pay).</w:t>
      </w:r>
    </w:p>
    <w:p>
      <w:pPr>
        <w:pStyle w:val="BodyText"/>
      </w:pPr>
      <w:r>
        <w:rPr>
          <w:bCs/>
          <w:b/>
        </w:rPr>
        <w:t xml:space="preserve">Key external dependencies:</w:t>
      </w:r>
    </w:p>
    <w:p>
      <w:pPr>
        <w:numPr>
          <w:ilvl w:val="0"/>
          <w:numId w:val="1019"/>
        </w:numPr>
        <w:pStyle w:val="Compact"/>
      </w:pPr>
      <w:r>
        <w:t xml:space="preserve">AWS cloud:</w:t>
      </w:r>
      <w:r>
        <w:t xml:space="preserve"> </w:t>
      </w:r>
      <w:r>
        <w:t xml:space="preserve">“</w:t>
      </w:r>
      <w:r>
        <w:t xml:space="preserve">we cannot quickly or easily switch</w:t>
      </w:r>
      <w:r>
        <w:t xml:space="preserve">”</w:t>
      </w:r>
      <w:r>
        <w:t xml:space="preserve"> </w:t>
      </w:r>
      <w:r>
        <w:t xml:space="preserve">(</w:t>
      </w:r>
      <w:hyperlink r:id="rId190">
        <w:r>
          <w:rPr>
            <w:rStyle w:val="Hyperlink"/>
          </w:rPr>
          <w:t xml:space="preserve">#696</w:t>
        </w:r>
      </w:hyperlink>
      <w:r>
        <w:t xml:space="preserve">).</w:t>
      </w:r>
    </w:p>
    <w:p>
      <w:pPr>
        <w:numPr>
          <w:ilvl w:val="0"/>
          <w:numId w:val="1019"/>
        </w:numPr>
        <w:pStyle w:val="Compact"/>
      </w:pPr>
      <w:r>
        <w:t xml:space="preserve">Korean banks for working-capital lines and supplier finance.</w:t>
      </w:r>
    </w:p>
    <w:p>
      <w:pPr>
        <w:numPr>
          <w:ilvl w:val="0"/>
          <w:numId w:val="1019"/>
        </w:numPr>
        <w:pStyle w:val="Compact"/>
      </w:pPr>
      <w:r>
        <w:t xml:space="preserve">Landlords: US$3.0bn of lease liabilities and US$689m of signed leases not yet commenced (</w:t>
      </w:r>
      <w:hyperlink r:id="rId191">
        <w:r>
          <w:rPr>
            <w:rStyle w:val="Hyperlink"/>
          </w:rPr>
          <w:t xml:space="preserve">#1931</w:t>
        </w:r>
      </w:hyperlink>
      <w:r>
        <w:t xml:space="preserve">).</w:t>
      </w:r>
    </w:p>
    <w:p>
      <w:pPr>
        <w:numPr>
          <w:ilvl w:val="0"/>
          <w:numId w:val="1019"/>
        </w:numPr>
        <w:pStyle w:val="Compact"/>
      </w:pPr>
      <w:r>
        <w:t xml:space="preserve">Card networks: competitors</w:t>
      </w:r>
      <w:r>
        <w:t xml:space="preserve"> </w:t>
      </w:r>
      <w:r>
        <w:t xml:space="preserve">“</w:t>
      </w:r>
      <w:r>
        <w:t xml:space="preserve">control… credit card interchange</w:t>
      </w:r>
      <w:r>
        <w:t xml:space="preserve">”</w:t>
      </w:r>
      <w:r>
        <w:t xml:space="preserve"> </w:t>
      </w:r>
      <w:r>
        <w:t xml:space="preserve">(</w:t>
      </w:r>
      <w:hyperlink r:id="rId192">
        <w:r>
          <w:rPr>
            <w:rStyle w:val="Hyperlink"/>
          </w:rPr>
          <w:t xml:space="preserve">#368</w:t>
        </w:r>
      </w:hyperlink>
      <w:r>
        <w:t xml:space="preserve">).</w:t>
      </w:r>
    </w:p>
    <w:p>
      <w:pPr>
        <w:pStyle w:val="FirstParagraph"/>
      </w:pPr>
      <w:r>
        <w:rPr>
          <w:bCs/>
          <w:b/>
        </w:rPr>
        <w:t xml:space="preserve">Named counterparties verified in the tools.</w:t>
      </w:r>
      <w:r>
        <w:t xml:space="preserve"> </w:t>
      </w:r>
      <w:r>
        <w:t xml:space="preserve">CJ CheilJedang (supplier), Amazon Web Services (cloud), Mandiant and Palo Alto Networks (incident forensics,</w:t>
      </w:r>
      <w:r>
        <w:t xml:space="preserve"> </w:t>
      </w:r>
      <w:hyperlink r:id="rId193">
        <w:r>
          <w:rPr>
            <w:rStyle w:val="Hyperlink"/>
          </w:rPr>
          <w:t xml:space="preserve">#36</w:t>
        </w:r>
      </w:hyperlink>
      <w:r>
        <w:t xml:space="preserve">), Samil PwC (auditor), Greenoaks (co-investor in Farfetch and a related party,</w:t>
      </w:r>
      <w:r>
        <w:t xml:space="preserve"> </w:t>
      </w:r>
      <w:hyperlink r:id="rId194">
        <w:r>
          <w:rPr>
            <w:rStyle w:val="Hyperlink"/>
          </w:rPr>
          <w:t xml:space="preserve">#2050</w:t>
        </w:r>
      </w:hyperlink>
      <w:r>
        <w:t xml:space="preserve">), and Farfetch boutiques and brands. Brand names such as Samsung, LG, Nongshim, Amorepacific, P&amp;G and Unilever, and carriers such as CJ Logistics and Hanjin, are commonly cited as part of Korea’s e-commerce supply chain.</w:t>
      </w:r>
      <w:r>
        <w:t xml:space="preserve"> </w:t>
      </w:r>
      <w:r>
        <w:rPr>
          <w:bCs/>
          <w:b/>
        </w:rPr>
        <w:t xml:space="preserve">None is named for Coupang in S&amp;P/ProntoNLP [u].</w:t>
      </w:r>
    </w:p>
    <w:bookmarkEnd w:id="195"/>
    <w:bookmarkStart w:id="287" w:name="X94c2474c0f72f1ae7f39dceb9c64150bedf9860"/>
    <w:p>
      <w:pPr>
        <w:pStyle w:val="Heading1"/>
      </w:pPr>
      <w:r>
        <w:t xml:space="preserve">8. Financial performance by division and geography (FY2021-FY2025)</w:t>
      </w:r>
    </w:p>
    <w:bookmarkStart w:id="222" w:name="consolidated-pl-sp-capital-iq-usm"/>
    <w:p>
      <w:pPr>
        <w:pStyle w:val="Heading2"/>
      </w:pPr>
      <w:r>
        <w:t xml:space="preserve">8.1 Consolidated P&amp;L (S&amp;P Capital IQ, US$m)</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w:t>
            </w:r>
          </w:p>
        </w:tc>
        <w:tc>
          <w:tcPr/>
          <w:p>
            <w:pPr>
              <w:pStyle w:val="Compact"/>
              <w:jc w:val="left"/>
            </w:pPr>
            <w:r>
              <w:t xml:space="preserve">LTM Jun-26</w:t>
            </w:r>
          </w:p>
        </w:tc>
      </w:tr>
      <w:tr>
        <w:tc>
          <w:tcPr/>
          <w:p>
            <w:pPr>
              <w:pStyle w:val="Compact"/>
              <w:jc w:val="left"/>
            </w:pPr>
            <w:r>
              <w:t xml:space="preserve">Revenue</w:t>
            </w:r>
          </w:p>
        </w:tc>
        <w:tc>
          <w:tcPr/>
          <w:p>
            <w:pPr>
              <w:pStyle w:val="Compact"/>
              <w:jc w:val="left"/>
            </w:pPr>
            <w:hyperlink r:id="rId196">
              <w:r>
                <w:rPr>
                  <w:rStyle w:val="Hyperlink"/>
                </w:rPr>
                <w:t xml:space="preserve">18,406</w:t>
              </w:r>
            </w:hyperlink>
          </w:p>
        </w:tc>
        <w:tc>
          <w:tcPr/>
          <w:p>
            <w:pPr>
              <w:pStyle w:val="Compact"/>
              <w:jc w:val="left"/>
            </w:pPr>
            <w:hyperlink r:id="rId197">
              <w:r>
                <w:rPr>
                  <w:rStyle w:val="Hyperlink"/>
                </w:rPr>
                <w:t xml:space="preserve">20,583</w:t>
              </w:r>
            </w:hyperlink>
          </w:p>
        </w:tc>
        <w:tc>
          <w:tcPr/>
          <w:p>
            <w:pPr>
              <w:pStyle w:val="Compact"/>
              <w:jc w:val="left"/>
            </w:pPr>
            <w:hyperlink r:id="rId52">
              <w:r>
                <w:rPr>
                  <w:rStyle w:val="Hyperlink"/>
                </w:rPr>
                <w:t xml:space="preserve">24,383</w:t>
              </w:r>
            </w:hyperlink>
          </w:p>
        </w:tc>
        <w:tc>
          <w:tcPr/>
          <w:p>
            <w:pPr>
              <w:pStyle w:val="Compact"/>
              <w:jc w:val="left"/>
            </w:pPr>
            <w:hyperlink r:id="rId53">
              <w:r>
                <w:rPr>
                  <w:rStyle w:val="Hyperlink"/>
                </w:rPr>
                <w:t xml:space="preserve">30,268</w:t>
              </w:r>
            </w:hyperlink>
          </w:p>
        </w:tc>
        <w:tc>
          <w:tcPr/>
          <w:p>
            <w:pPr>
              <w:pStyle w:val="Compact"/>
              <w:jc w:val="left"/>
            </w:pPr>
            <w:hyperlink r:id="rId54">
              <w:r>
                <w:rPr>
                  <w:rStyle w:val="Hyperlink"/>
                </w:rPr>
                <w:t xml:space="preserve">34,534</w:t>
              </w:r>
            </w:hyperlink>
          </w:p>
        </w:tc>
        <w:tc>
          <w:tcPr/>
          <w:p>
            <w:pPr>
              <w:pStyle w:val="Compact"/>
              <w:jc w:val="left"/>
            </w:pPr>
            <w:hyperlink r:id="rId20">
              <w:r>
                <w:rPr>
                  <w:rStyle w:val="Hyperlink"/>
                </w:rPr>
                <w:t xml:space="preserve">35,462</w:t>
              </w:r>
            </w:hyperlink>
          </w:p>
        </w:tc>
      </w:tr>
      <w:tr>
        <w:tc>
          <w:tcPr/>
          <w:p>
            <w:pPr>
              <w:pStyle w:val="Compact"/>
              <w:jc w:val="left"/>
            </w:pPr>
            <w:r>
              <w:t xml:space="preserve">Growth (reported / cc)</w:t>
            </w:r>
          </w:p>
        </w:tc>
        <w:tc>
          <w:tcPr/>
          <w:p>
            <w:pPr>
              <w:pStyle w:val="Compact"/>
              <w:jc w:val="left"/>
            </w:pPr>
            <w:r>
              <w:t xml:space="preserve">+54% [d] / n.a.</w:t>
            </w:r>
          </w:p>
        </w:tc>
        <w:tc>
          <w:tcPr/>
          <w:p>
            <w:pPr>
              <w:pStyle w:val="Compact"/>
              <w:jc w:val="left"/>
            </w:pPr>
            <w:r>
              <w:t xml:space="preserve">+11.8% /</w:t>
            </w:r>
            <w:r>
              <w:t xml:space="preserve"> </w:t>
            </w:r>
            <w:hyperlink r:id="rId198">
              <w:r>
                <w:rPr>
                  <w:rStyle w:val="Hyperlink"/>
                </w:rPr>
                <w:t xml:space="preserve">+26%</w:t>
              </w:r>
            </w:hyperlink>
          </w:p>
        </w:tc>
        <w:tc>
          <w:tcPr/>
          <w:p>
            <w:pPr>
              <w:pStyle w:val="Compact"/>
              <w:jc w:val="left"/>
            </w:pPr>
            <w:r>
              <w:t xml:space="preserve">+18.5% /</w:t>
            </w:r>
            <w:r>
              <w:t xml:space="preserve"> </w:t>
            </w:r>
            <w:hyperlink r:id="rId199">
              <w:r>
                <w:rPr>
                  <w:rStyle w:val="Hyperlink"/>
                </w:rPr>
                <w:t xml:space="preserve">+20%</w:t>
              </w:r>
            </w:hyperlink>
          </w:p>
        </w:tc>
        <w:tc>
          <w:tcPr/>
          <w:p>
            <w:pPr>
              <w:pStyle w:val="Compact"/>
              <w:jc w:val="left"/>
            </w:pPr>
            <w:r>
              <w:t xml:space="preserve">+24.1% /</w:t>
            </w:r>
            <w:r>
              <w:t xml:space="preserve"> </w:t>
            </w:r>
            <w:hyperlink r:id="rId200">
              <w:r>
                <w:rPr>
                  <w:rStyle w:val="Hyperlink"/>
                </w:rPr>
                <w:t xml:space="preserve">+29%</w:t>
              </w:r>
            </w:hyperlink>
          </w:p>
        </w:tc>
        <w:tc>
          <w:tcPr/>
          <w:p>
            <w:pPr>
              <w:pStyle w:val="Compact"/>
              <w:jc w:val="left"/>
            </w:pPr>
            <w:r>
              <w:t xml:space="preserve">+14.1% /</w:t>
            </w:r>
            <w:r>
              <w:t xml:space="preserve"> </w:t>
            </w:r>
            <w:hyperlink r:id="rId77">
              <w:r>
                <w:rPr>
                  <w:rStyle w:val="Hyperlink"/>
                </w:rPr>
                <w:t xml:space="preserve">+18%</w:t>
              </w:r>
            </w:hyperlink>
          </w:p>
        </w:tc>
        <w:tc>
          <w:tcPr/>
          <w:p>
            <w:pPr>
              <w:pStyle w:val="Compact"/>
              <w:jc w:val="left"/>
            </w:pPr>
            <w:r>
              <w:t xml:space="preserve">+9.9% [d]</w:t>
            </w:r>
          </w:p>
        </w:tc>
      </w:tr>
      <w:tr>
        <w:tc>
          <w:tcPr/>
          <w:p>
            <w:pPr>
              <w:pStyle w:val="Compact"/>
              <w:jc w:val="left"/>
            </w:pPr>
            <w:r>
              <w:t xml:space="preserve">Gross profit</w:t>
            </w:r>
          </w:p>
        </w:tc>
        <w:tc>
          <w:tcPr/>
          <w:p>
            <w:pPr>
              <w:pStyle w:val="Compact"/>
              <w:jc w:val="left"/>
            </w:pPr>
            <w:hyperlink r:id="rId201">
              <w:r>
                <w:rPr>
                  <w:rStyle w:val="Hyperlink"/>
                </w:rPr>
                <w:t xml:space="preserve">3,109</w:t>
              </w:r>
            </w:hyperlink>
          </w:p>
        </w:tc>
        <w:tc>
          <w:tcPr/>
          <w:p>
            <w:pPr>
              <w:pStyle w:val="Compact"/>
              <w:jc w:val="left"/>
            </w:pPr>
            <w:hyperlink r:id="rId202">
              <w:r>
                <w:rPr>
                  <w:rStyle w:val="Hyperlink"/>
                </w:rPr>
                <w:t xml:space="preserve">4,710</w:t>
              </w:r>
            </w:hyperlink>
          </w:p>
        </w:tc>
        <w:tc>
          <w:tcPr/>
          <w:p>
            <w:pPr>
              <w:pStyle w:val="Compact"/>
              <w:jc w:val="left"/>
            </w:pPr>
            <w:hyperlink r:id="rId203">
              <w:r>
                <w:rPr>
                  <w:rStyle w:val="Hyperlink"/>
                </w:rPr>
                <w:t xml:space="preserve">6,190</w:t>
              </w:r>
            </w:hyperlink>
          </w:p>
        </w:tc>
        <w:tc>
          <w:tcPr/>
          <w:p>
            <w:pPr>
              <w:pStyle w:val="Compact"/>
              <w:jc w:val="left"/>
            </w:pPr>
            <w:hyperlink r:id="rId204">
              <w:r>
                <w:rPr>
                  <w:rStyle w:val="Hyperlink"/>
                </w:rPr>
                <w:t xml:space="preserve">8,715</w:t>
              </w:r>
            </w:hyperlink>
          </w:p>
        </w:tc>
        <w:tc>
          <w:tcPr/>
          <w:p>
            <w:pPr>
              <w:pStyle w:val="Compact"/>
              <w:jc w:val="left"/>
            </w:pPr>
            <w:hyperlink r:id="rId205">
              <w:r>
                <w:rPr>
                  <w:rStyle w:val="Hyperlink"/>
                </w:rPr>
                <w:t xml:space="preserve">10,141</w:t>
              </w:r>
            </w:hyperlink>
          </w:p>
        </w:tc>
        <w:tc>
          <w:tcPr/>
          <w:p>
            <w:pPr>
              <w:pStyle w:val="Compact"/>
              <w:jc w:val="left"/>
            </w:pPr>
            <w:r>
              <w:t xml:space="preserve">10,055 [d]</w:t>
            </w:r>
          </w:p>
        </w:tc>
      </w:tr>
      <w:tr>
        <w:tc>
          <w:tcPr/>
          <w:p>
            <w:pPr>
              <w:pStyle w:val="Compact"/>
              <w:jc w:val="left"/>
            </w:pPr>
            <w:r>
              <w:t xml:space="preserve">Gross margin</w:t>
            </w:r>
          </w:p>
        </w:tc>
        <w:tc>
          <w:tcPr/>
          <w:p>
            <w:pPr>
              <w:pStyle w:val="Compact"/>
              <w:jc w:val="left"/>
            </w:pPr>
            <w:r>
              <w:t xml:space="preserve">16.9%</w:t>
            </w:r>
          </w:p>
        </w:tc>
        <w:tc>
          <w:tcPr/>
          <w:p>
            <w:pPr>
              <w:pStyle w:val="Compact"/>
              <w:jc w:val="left"/>
            </w:pPr>
            <w:r>
              <w:t xml:space="preserve">22.9%</w:t>
            </w:r>
          </w:p>
        </w:tc>
        <w:tc>
          <w:tcPr/>
          <w:p>
            <w:pPr>
              <w:pStyle w:val="Compact"/>
              <w:jc w:val="left"/>
            </w:pPr>
            <w:r>
              <w:t xml:space="preserve">25.4%</w:t>
            </w:r>
          </w:p>
        </w:tc>
        <w:tc>
          <w:tcPr/>
          <w:p>
            <w:pPr>
              <w:pStyle w:val="Compact"/>
              <w:jc w:val="left"/>
            </w:pPr>
            <w:r>
              <w:t xml:space="preserve">28.8%</w:t>
            </w:r>
          </w:p>
        </w:tc>
        <w:tc>
          <w:tcPr/>
          <w:p>
            <w:pPr>
              <w:pStyle w:val="Compact"/>
              <w:jc w:val="left"/>
            </w:pPr>
            <w:r>
              <w:t xml:space="preserve">29.4%</w:t>
            </w:r>
          </w:p>
        </w:tc>
        <w:tc>
          <w:tcPr/>
          <w:p>
            <w:pPr>
              <w:pStyle w:val="Compact"/>
              <w:jc w:val="left"/>
            </w:pPr>
            <w:r>
              <w:t xml:space="preserve">28.4%</w:t>
            </w:r>
          </w:p>
        </w:tc>
      </w:tr>
      <w:tr>
        <w:tc>
          <w:tcPr/>
          <w:p>
            <w:pPr>
              <w:pStyle w:val="Compact"/>
              <w:jc w:val="left"/>
            </w:pPr>
            <w:r>
              <w:t xml:space="preserve">EBITDA (S&amp;P, reported)</w:t>
            </w:r>
          </w:p>
        </w:tc>
        <w:tc>
          <w:tcPr/>
          <w:p>
            <w:pPr>
              <w:pStyle w:val="Compact"/>
              <w:jc w:val="left"/>
            </w:pPr>
            <w:hyperlink r:id="rId206">
              <w:r>
                <w:rPr>
                  <w:rStyle w:val="Hyperlink"/>
                </w:rPr>
                <w:t xml:space="preserve">-997</w:t>
              </w:r>
            </w:hyperlink>
          </w:p>
        </w:tc>
        <w:tc>
          <w:tcPr/>
          <w:p>
            <w:pPr>
              <w:pStyle w:val="Compact"/>
              <w:jc w:val="left"/>
            </w:pPr>
            <w:hyperlink r:id="rId207">
              <w:r>
                <w:rPr>
                  <w:rStyle w:val="Hyperlink"/>
                </w:rPr>
                <w:t xml:space="preserve">119</w:t>
              </w:r>
            </w:hyperlink>
          </w:p>
        </w:tc>
        <w:tc>
          <w:tcPr/>
          <w:p>
            <w:pPr>
              <w:pStyle w:val="Compact"/>
              <w:jc w:val="left"/>
            </w:pPr>
            <w:hyperlink r:id="rId208">
              <w:r>
                <w:rPr>
                  <w:rStyle w:val="Hyperlink"/>
                </w:rPr>
                <w:t xml:space="preserve">748</w:t>
              </w:r>
            </w:hyperlink>
          </w:p>
        </w:tc>
        <w:tc>
          <w:tcPr/>
          <w:p>
            <w:pPr>
              <w:pStyle w:val="Compact"/>
              <w:jc w:val="left"/>
            </w:pPr>
            <w:hyperlink r:id="rId209">
              <w:r>
                <w:rPr>
                  <w:rStyle w:val="Hyperlink"/>
                </w:rPr>
                <w:t xml:space="preserve">821</w:t>
              </w:r>
            </w:hyperlink>
          </w:p>
        </w:tc>
        <w:tc>
          <w:tcPr/>
          <w:p>
            <w:pPr>
              <w:pStyle w:val="Compact"/>
              <w:jc w:val="left"/>
            </w:pPr>
            <w:hyperlink r:id="rId210">
              <w:r>
                <w:rPr>
                  <w:rStyle w:val="Hyperlink"/>
                </w:rPr>
                <w:t xml:space="preserve">1,015</w:t>
              </w:r>
            </w:hyperlink>
          </w:p>
        </w:tc>
        <w:tc>
          <w:tcPr/>
          <w:p>
            <w:pPr>
              <w:pStyle w:val="Compact"/>
              <w:jc w:val="left"/>
            </w:pPr>
            <w:hyperlink r:id="rId20">
              <w:r>
                <w:rPr>
                  <w:rStyle w:val="Hyperlink"/>
                </w:rPr>
                <w:t xml:space="preserve">-46</w:t>
              </w:r>
            </w:hyperlink>
          </w:p>
        </w:tc>
      </w:tr>
      <w:tr>
        <w:tc>
          <w:tcPr/>
          <w:p>
            <w:pPr>
              <w:pStyle w:val="Compact"/>
              <w:jc w:val="left"/>
            </w:pPr>
            <w:r>
              <w:t xml:space="preserve">Adj. EBITDA (company)</w:t>
            </w:r>
          </w:p>
        </w:tc>
        <w:tc>
          <w:tcPr/>
          <w:p>
            <w:pPr>
              <w:pStyle w:val="Compact"/>
              <w:jc w:val="left"/>
            </w:pPr>
            <w:r>
              <w:t xml:space="preserve">n.a. (</w:t>
            </w:r>
            <w:hyperlink r:id="rId211">
              <w:r>
                <w:rPr>
                  <w:rStyle w:val="Hyperlink"/>
                </w:rPr>
                <w:t xml:space="preserve">Q4’21: -285</w:t>
              </w:r>
            </w:hyperlink>
            <w:r>
              <w:t xml:space="preserve">)</w:t>
            </w:r>
          </w:p>
        </w:tc>
        <w:tc>
          <w:tcPr/>
          <w:p>
            <w:pPr>
              <w:pStyle w:val="Compact"/>
              <w:jc w:val="left"/>
            </w:pPr>
            <w:hyperlink r:id="rId212">
              <w:r>
                <w:rPr>
                  <w:rStyle w:val="Hyperlink"/>
                </w:rPr>
                <w:t xml:space="preserve">381</w:t>
              </w:r>
            </w:hyperlink>
          </w:p>
        </w:tc>
        <w:tc>
          <w:tcPr/>
          <w:p>
            <w:pPr>
              <w:pStyle w:val="Compact"/>
              <w:jc w:val="left"/>
            </w:pPr>
            <w:hyperlink r:id="rId55">
              <w:r>
                <w:rPr>
                  <w:rStyle w:val="Hyperlink"/>
                </w:rPr>
                <w:t xml:space="preserve">~1,100 (4.4%)</w:t>
              </w:r>
            </w:hyperlink>
          </w:p>
        </w:tc>
        <w:tc>
          <w:tcPr/>
          <w:p>
            <w:pPr>
              <w:pStyle w:val="Compact"/>
              <w:jc w:val="left"/>
            </w:pPr>
            <w:hyperlink r:id="rId56">
              <w:r>
                <w:rPr>
                  <w:rStyle w:val="Hyperlink"/>
                </w:rPr>
                <w:t xml:space="preserve">~1,400 (4.5%)</w:t>
              </w:r>
            </w:hyperlink>
          </w:p>
        </w:tc>
        <w:tc>
          <w:tcPr/>
          <w:p>
            <w:pPr>
              <w:pStyle w:val="Compact"/>
              <w:jc w:val="left"/>
            </w:pPr>
            <w:hyperlink r:id="rId57">
              <w:r>
                <w:rPr>
                  <w:rStyle w:val="Hyperlink"/>
                </w:rPr>
                <w:t xml:space="preserve">~1,500 (4.3%)</w:t>
              </w:r>
            </w:hyperlink>
          </w:p>
        </w:tc>
        <w:tc>
          <w:tcPr/>
          <w:p>
            <w:pPr>
              <w:pStyle w:val="Compact"/>
              <w:jc w:val="left"/>
            </w:pPr>
            <w:r>
              <w:t xml:space="preserve">872 [d] (2.5%)</w:t>
            </w:r>
          </w:p>
        </w:tc>
      </w:tr>
      <w:tr>
        <w:tc>
          <w:tcPr/>
          <w:p>
            <w:pPr>
              <w:pStyle w:val="Compact"/>
              <w:jc w:val="left"/>
            </w:pPr>
            <w:r>
              <w:t xml:space="preserve">Operating income (EBIT)</w:t>
            </w:r>
          </w:p>
        </w:tc>
        <w:tc>
          <w:tcPr/>
          <w:p>
            <w:pPr>
              <w:pStyle w:val="Compact"/>
              <w:jc w:val="left"/>
            </w:pPr>
            <w:hyperlink r:id="rId213">
              <w:r>
                <w:rPr>
                  <w:rStyle w:val="Hyperlink"/>
                </w:rPr>
                <w:t xml:space="preserve">-1,198</w:t>
              </w:r>
            </w:hyperlink>
          </w:p>
        </w:tc>
        <w:tc>
          <w:tcPr/>
          <w:p>
            <w:pPr>
              <w:pStyle w:val="Compact"/>
              <w:jc w:val="left"/>
            </w:pPr>
            <w:hyperlink r:id="rId214">
              <w:r>
                <w:rPr>
                  <w:rStyle w:val="Hyperlink"/>
                </w:rPr>
                <w:t xml:space="preserve">-112</w:t>
              </w:r>
            </w:hyperlink>
          </w:p>
        </w:tc>
        <w:tc>
          <w:tcPr/>
          <w:p>
            <w:pPr>
              <w:pStyle w:val="Compact"/>
              <w:jc w:val="left"/>
            </w:pPr>
            <w:hyperlink r:id="rId58">
              <w:r>
                <w:rPr>
                  <w:rStyle w:val="Hyperlink"/>
                </w:rPr>
                <w:t xml:space="preserve">473</w:t>
              </w:r>
            </w:hyperlink>
          </w:p>
        </w:tc>
        <w:tc>
          <w:tcPr/>
          <w:p>
            <w:pPr>
              <w:pStyle w:val="Compact"/>
              <w:jc w:val="left"/>
            </w:pPr>
            <w:hyperlink r:id="rId59">
              <w:r>
                <w:rPr>
                  <w:rStyle w:val="Hyperlink"/>
                </w:rPr>
                <w:t xml:space="preserve">388</w:t>
              </w:r>
            </w:hyperlink>
          </w:p>
        </w:tc>
        <w:tc>
          <w:tcPr/>
          <w:p>
            <w:pPr>
              <w:pStyle w:val="Compact"/>
              <w:jc w:val="left"/>
            </w:pPr>
            <w:hyperlink r:id="rId60">
              <w:r>
                <w:rPr>
                  <w:rStyle w:val="Hyperlink"/>
                </w:rPr>
                <w:t xml:space="preserve">498</w:t>
              </w:r>
            </w:hyperlink>
          </w:p>
        </w:tc>
        <w:tc>
          <w:tcPr/>
          <w:p>
            <w:pPr>
              <w:pStyle w:val="Compact"/>
              <w:jc w:val="left"/>
            </w:pPr>
            <w:hyperlink r:id="rId20">
              <w:r>
                <w:rPr>
                  <w:rStyle w:val="Hyperlink"/>
                </w:rPr>
                <w:t xml:space="preserve">-603</w:t>
              </w:r>
            </w:hyperlink>
          </w:p>
        </w:tc>
      </w:tr>
      <w:tr>
        <w:tc>
          <w:tcPr/>
          <w:p>
            <w:pPr>
              <w:pStyle w:val="Compact"/>
              <w:jc w:val="left"/>
            </w:pPr>
            <w:r>
              <w:t xml:space="preserve">EBIT margin</w:t>
            </w:r>
          </w:p>
        </w:tc>
        <w:tc>
          <w:tcPr/>
          <w:p>
            <w:pPr>
              <w:pStyle w:val="Compact"/>
              <w:jc w:val="left"/>
            </w:pPr>
            <w:r>
              <w:t xml:space="preserve">-6.5%</w:t>
            </w:r>
          </w:p>
        </w:tc>
        <w:tc>
          <w:tcPr/>
          <w:p>
            <w:pPr>
              <w:pStyle w:val="Compact"/>
              <w:jc w:val="left"/>
            </w:pPr>
            <w:r>
              <w:t xml:space="preserve">-0.5%</w:t>
            </w:r>
          </w:p>
        </w:tc>
        <w:tc>
          <w:tcPr/>
          <w:p>
            <w:pPr>
              <w:pStyle w:val="Compact"/>
              <w:jc w:val="left"/>
            </w:pPr>
            <w:r>
              <w:t xml:space="preserve">1.9%</w:t>
            </w:r>
          </w:p>
        </w:tc>
        <w:tc>
          <w:tcPr/>
          <w:p>
            <w:pPr>
              <w:pStyle w:val="Compact"/>
              <w:jc w:val="left"/>
            </w:pPr>
            <w:r>
              <w:t xml:space="preserve">1.3%</w:t>
            </w:r>
          </w:p>
        </w:tc>
        <w:tc>
          <w:tcPr/>
          <w:p>
            <w:pPr>
              <w:pStyle w:val="Compact"/>
              <w:jc w:val="left"/>
            </w:pPr>
            <w:r>
              <w:t xml:space="preserve">1.4%</w:t>
            </w:r>
          </w:p>
        </w:tc>
        <w:tc>
          <w:tcPr/>
          <w:p>
            <w:pPr>
              <w:pStyle w:val="Compact"/>
              <w:jc w:val="left"/>
            </w:pPr>
            <w:r>
              <w:t xml:space="preserve">-1.7%</w:t>
            </w:r>
          </w:p>
        </w:tc>
      </w:tr>
      <w:tr>
        <w:tc>
          <w:tcPr/>
          <w:p>
            <w:pPr>
              <w:pStyle w:val="Compact"/>
              <w:jc w:val="left"/>
            </w:pPr>
            <w:r>
              <w:t xml:space="preserve">Net income to CPNG</w:t>
            </w:r>
          </w:p>
        </w:tc>
        <w:tc>
          <w:tcPr/>
          <w:p>
            <w:pPr>
              <w:pStyle w:val="Compact"/>
              <w:jc w:val="left"/>
            </w:pPr>
            <w:hyperlink r:id="rId215">
              <w:r>
                <w:rPr>
                  <w:rStyle w:val="Hyperlink"/>
                </w:rPr>
                <w:t xml:space="preserve">-1,543</w:t>
              </w:r>
            </w:hyperlink>
          </w:p>
        </w:tc>
        <w:tc>
          <w:tcPr/>
          <w:p>
            <w:pPr>
              <w:pStyle w:val="Compact"/>
              <w:jc w:val="left"/>
            </w:pPr>
            <w:hyperlink r:id="rId216">
              <w:r>
                <w:rPr>
                  <w:rStyle w:val="Hyperlink"/>
                </w:rPr>
                <w:t xml:space="preserve">-92</w:t>
              </w:r>
            </w:hyperlink>
          </w:p>
        </w:tc>
        <w:tc>
          <w:tcPr/>
          <w:p>
            <w:pPr>
              <w:pStyle w:val="Compact"/>
              <w:jc w:val="left"/>
            </w:pPr>
            <w:hyperlink r:id="rId61">
              <w:r>
                <w:rPr>
                  <w:rStyle w:val="Hyperlink"/>
                </w:rPr>
                <w:t xml:space="preserve">1,360</w:t>
              </w:r>
            </w:hyperlink>
          </w:p>
        </w:tc>
        <w:tc>
          <w:tcPr/>
          <w:p>
            <w:pPr>
              <w:pStyle w:val="Compact"/>
              <w:jc w:val="left"/>
            </w:pPr>
            <w:hyperlink r:id="rId62">
              <w:r>
                <w:rPr>
                  <w:rStyle w:val="Hyperlink"/>
                </w:rPr>
                <w:t xml:space="preserve">154</w:t>
              </w:r>
            </w:hyperlink>
          </w:p>
        </w:tc>
        <w:tc>
          <w:tcPr/>
          <w:p>
            <w:pPr>
              <w:pStyle w:val="Compact"/>
              <w:jc w:val="left"/>
            </w:pPr>
            <w:hyperlink r:id="rId63">
              <w:r>
                <w:rPr>
                  <w:rStyle w:val="Hyperlink"/>
                </w:rPr>
                <w:t xml:space="preserve">208</w:t>
              </w:r>
            </w:hyperlink>
          </w:p>
        </w:tc>
        <w:tc>
          <w:tcPr/>
          <w:p>
            <w:pPr>
              <w:pStyle w:val="Compact"/>
              <w:jc w:val="left"/>
            </w:pPr>
            <w:hyperlink r:id="rId20">
              <w:r>
                <w:rPr>
                  <w:rStyle w:val="Hyperlink"/>
                </w:rPr>
                <w:t xml:space="preserve">-767</w:t>
              </w:r>
            </w:hyperlink>
          </w:p>
        </w:tc>
      </w:tr>
      <w:tr>
        <w:tc>
          <w:tcPr/>
          <w:p>
            <w:pPr>
              <w:pStyle w:val="Compact"/>
              <w:jc w:val="left"/>
            </w:pPr>
            <w:r>
              <w:t xml:space="preserve">Net margin</w:t>
            </w:r>
          </w:p>
        </w:tc>
        <w:tc>
          <w:tcPr/>
          <w:p>
            <w:pPr>
              <w:pStyle w:val="Compact"/>
              <w:jc w:val="left"/>
            </w:pPr>
            <w:r>
              <w:t xml:space="preserve">-8.4%</w:t>
            </w:r>
          </w:p>
        </w:tc>
        <w:tc>
          <w:tcPr/>
          <w:p>
            <w:pPr>
              <w:pStyle w:val="Compact"/>
              <w:jc w:val="left"/>
            </w:pPr>
            <w:r>
              <w:t xml:space="preserve">-0.4%</w:t>
            </w:r>
          </w:p>
        </w:tc>
        <w:tc>
          <w:tcPr/>
          <w:p>
            <w:pPr>
              <w:pStyle w:val="Compact"/>
              <w:jc w:val="left"/>
            </w:pPr>
            <w:r>
              <w:t xml:space="preserve">5.6%</w:t>
            </w:r>
          </w:p>
        </w:tc>
        <w:tc>
          <w:tcPr/>
          <w:p>
            <w:pPr>
              <w:pStyle w:val="Compact"/>
              <w:jc w:val="left"/>
            </w:pPr>
            <w:r>
              <w:t xml:space="preserve">0.5%</w:t>
            </w:r>
          </w:p>
        </w:tc>
        <w:tc>
          <w:tcPr/>
          <w:p>
            <w:pPr>
              <w:pStyle w:val="Compact"/>
              <w:jc w:val="left"/>
            </w:pPr>
            <w:r>
              <w:t xml:space="preserve">0.6%</w:t>
            </w:r>
          </w:p>
        </w:tc>
        <w:tc>
          <w:tcPr/>
          <w:p>
            <w:pPr>
              <w:pStyle w:val="Compact"/>
              <w:jc w:val="left"/>
            </w:pPr>
            <w:r>
              <w:t xml:space="preserve">-2.2%</w:t>
            </w:r>
          </w:p>
        </w:tc>
      </w:tr>
    </w:tbl>
    <w:p>
      <w:pPr>
        <w:pStyle w:val="BodyText"/>
      </w:pPr>
      <w:r>
        <w:rPr>
          <w:iCs/>
          <w:i/>
        </w:rPr>
        <w:t xml:space="preserve">S&amp;P EBITDA = EBIT + D&amp;A. Company adjusted EBITDA also adds back stock-based compensation and excludes certain items (2026:</w:t>
      </w:r>
      <w:r>
        <w:rPr>
          <w:iCs/>
          <w:i/>
        </w:rPr>
        <w:t xml:space="preserve"> </w:t>
      </w:r>
      <w:r>
        <w:rPr>
          <w:iCs/>
          <w:i/>
        </w:rPr>
        <w:t xml:space="preserve">“</w:t>
      </w:r>
      <w:r>
        <w:rPr>
          <w:iCs/>
          <w:i/>
        </w:rPr>
        <w:t xml:space="preserve">administrative fines</w:t>
      </w:r>
      <w:r>
        <w:rPr>
          <w:iCs/>
          <w:i/>
        </w:rPr>
        <w:t xml:space="preserve">”</w:t>
      </w:r>
      <w:r>
        <w:rPr>
          <w:iCs/>
          <w:i/>
        </w:rPr>
        <w:t xml:space="preserve">,</w:t>
      </w:r>
      <w:r>
        <w:rPr>
          <w:iCs/>
          <w:i/>
        </w:rPr>
        <w:t xml:space="preserve"> </w:t>
      </w:r>
      <w:hyperlink r:id="rId217">
        <w:r>
          <w:rPr>
            <w:rStyle w:val="Hyperlink"/>
            <w:iCs/>
            <w:i/>
          </w:rPr>
          <w:t xml:space="preserve">#339</w:t>
        </w:r>
      </w:hyperlink>
      <w:r>
        <w:rPr>
          <w:iCs/>
          <w:i/>
        </w:rPr>
        <w:t xml:space="preserve">). The S&amp;P FY2025 operating income of US$498m differs from the company’s US$473m (</w:t>
      </w:r>
      <w:hyperlink r:id="rId218">
        <w:r>
          <w:rPr>
            <w:rStyle w:val="Hyperlink"/>
            <w:iCs/>
            <w:i/>
          </w:rPr>
          <w:t xml:space="preserve">#42</w:t>
        </w:r>
      </w:hyperlink>
      <w:r>
        <w:rPr>
          <w:iCs/>
          <w:i/>
        </w:rPr>
        <w:t xml:space="preserve">) because S&amp;P reclassifies US$25m of restructuring below EBIT. LTM gross profit is the sum of the last four quarters ‡.</w:t>
      </w:r>
    </w:p>
    <w:p>
      <w:pPr>
        <w:pStyle w:val="CaptionedFigure"/>
      </w:pPr>
      <w:r>
        <w:drawing>
          <wp:inline>
            <wp:extent cx="6477000" cy="2072640"/>
            <wp:effectExtent b="0" l="0" r="0" t="0"/>
            <wp:docPr descr="Annual revenue, gross margin and EBITDA/EBIT margins" title="" id="220" name="Picture"/>
            <a:graphic>
              <a:graphicData uri="http://schemas.openxmlformats.org/drawingml/2006/picture">
                <pic:pic>
                  <pic:nvPicPr>
                    <pic:cNvPr descr="out/charts/annual.png" id="221" name="Picture"/>
                    <pic:cNvPicPr>
                      <a:picLocks noChangeArrowheads="1" noChangeAspect="1"/>
                    </pic:cNvPicPr>
                  </pic:nvPicPr>
                  <pic:blipFill>
                    <a:blip r:embed="rId219"/>
                    <a:stretch>
                      <a:fillRect/>
                    </a:stretch>
                  </pic:blipFill>
                  <pic:spPr bwMode="auto">
                    <a:xfrm>
                      <a:off x="0" y="0"/>
                      <a:ext cx="6477000" cy="2072640"/>
                    </a:xfrm>
                    <a:prstGeom prst="rect">
                      <a:avLst/>
                    </a:prstGeom>
                    <a:noFill/>
                    <a:ln w="9525">
                      <a:noFill/>
                      <a:headEnd/>
                      <a:tailEnd/>
                    </a:ln>
                  </pic:spPr>
                </pic:pic>
              </a:graphicData>
            </a:graphic>
          </wp:inline>
        </w:drawing>
      </w:r>
    </w:p>
    <w:p>
      <w:pPr>
        <w:pStyle w:val="ImageCaption"/>
      </w:pPr>
      <w:r>
        <w:t xml:space="preserve">Annual revenue, gross margin and EBITDA/EBIT margins</w:t>
      </w:r>
    </w:p>
    <w:bookmarkEnd w:id="222"/>
    <w:bookmarkStart w:id="262" w:name="X3f0987fcefc854fc8d7e43808289332d583ef24"/>
    <w:p>
      <w:pPr>
        <w:pStyle w:val="Heading2"/>
      </w:pPr>
      <w:r>
        <w:t xml:space="preserve">8.2 By division (segments; company disclosures via ProntoNLP)</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US$m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w:t>
            </w:r>
          </w:p>
        </w:tc>
      </w:tr>
      <w:tr>
        <w:tc>
          <w:tcPr/>
          <w:p>
            <w:pPr>
              <w:pStyle w:val="Compact"/>
              <w:jc w:val="left"/>
            </w:pPr>
            <w:r>
              <w:rPr>
                <w:bCs/>
                <w:b/>
              </w:rPr>
              <w:t xml:space="preserve">Product Commerce revenue</w:t>
            </w:r>
          </w:p>
        </w:tc>
        <w:tc>
          <w:tcPr/>
          <w:p>
            <w:pPr>
              <w:pStyle w:val="Compact"/>
              <w:jc w:val="left"/>
            </w:pPr>
            <w:r>
              <w:t xml:space="preserve">n.d. (segments introduced 2022,</w:t>
            </w:r>
            <w:r>
              <w:t xml:space="preserve"> </w:t>
            </w:r>
            <w:hyperlink r:id="rId223">
              <w:r>
                <w:rPr>
                  <w:rStyle w:val="Hyperlink"/>
                </w:rPr>
                <w:t xml:space="preserve">#38</w:t>
              </w:r>
            </w:hyperlink>
            <w:r>
              <w:t xml:space="preserve">)</w:t>
            </w:r>
          </w:p>
        </w:tc>
        <w:tc>
          <w:tcPr/>
          <w:p>
            <w:pPr>
              <w:pStyle w:val="Compact"/>
              <w:jc w:val="left"/>
            </w:pPr>
            <w:hyperlink r:id="rId224">
              <w:r>
                <w:rPr>
                  <w:rStyle w:val="Hyperlink"/>
                </w:rPr>
                <w:t xml:space="preserve">20,000 (+12%; +26% cc)</w:t>
              </w:r>
            </w:hyperlink>
          </w:p>
        </w:tc>
        <w:tc>
          <w:tcPr/>
          <w:p>
            <w:pPr>
              <w:pStyle w:val="Compact"/>
              <w:jc w:val="left"/>
            </w:pPr>
            <w:hyperlink r:id="rId225">
              <w:r>
                <w:rPr>
                  <w:rStyle w:val="Hyperlink"/>
                </w:rPr>
                <w:t xml:space="preserve">23,600 (+18%; +19% cc)</w:t>
              </w:r>
            </w:hyperlink>
          </w:p>
        </w:tc>
        <w:tc>
          <w:tcPr/>
          <w:p>
            <w:pPr>
              <w:pStyle w:val="Compact"/>
              <w:jc w:val="left"/>
            </w:pPr>
            <w:hyperlink r:id="rId226">
              <w:r>
                <w:rPr>
                  <w:rStyle w:val="Hyperlink"/>
                </w:rPr>
                <w:t xml:space="preserve">26,700 (+13%; +18% cc)</w:t>
              </w:r>
            </w:hyperlink>
          </w:p>
        </w:tc>
        <w:tc>
          <w:tcPr/>
          <w:p>
            <w:pPr>
              <w:pStyle w:val="Compact"/>
              <w:jc w:val="left"/>
            </w:pPr>
            <w:hyperlink r:id="rId73">
              <w:r>
                <w:rPr>
                  <w:rStyle w:val="Hyperlink"/>
                </w:rPr>
                <w:t xml:space="preserve">29,600 (+11%; +16% cc)</w:t>
              </w:r>
            </w:hyperlink>
          </w:p>
        </w:tc>
      </w:tr>
      <w:tr>
        <w:tc>
          <w:tcPr/>
          <w:p>
            <w:pPr>
              <w:pStyle w:val="Compact"/>
              <w:jc w:val="left"/>
            </w:pPr>
            <w:r>
              <w:t xml:space="preserve">PC adj. EBITDA (margin)</w:t>
            </w:r>
          </w:p>
        </w:tc>
        <w:tc>
          <w:tcPr/>
          <w:p>
            <w:pPr>
              <w:pStyle w:val="Compact"/>
              <w:jc w:val="left"/>
            </w:pPr>
            <w:r>
              <w:t xml:space="preserve">n.d. (</w:t>
            </w:r>
            <w:hyperlink r:id="rId227">
              <w:r>
                <w:rPr>
                  <w:rStyle w:val="Hyperlink"/>
                </w:rPr>
                <w:t xml:space="preserve">Q4’21 margin -2.6%</w:t>
              </w:r>
            </w:hyperlink>
            <w:r>
              <w:t xml:space="preserve">)</w:t>
            </w:r>
          </w:p>
        </w:tc>
        <w:tc>
          <w:tcPr/>
          <w:p>
            <w:pPr>
              <w:pStyle w:val="Compact"/>
              <w:jc w:val="left"/>
            </w:pPr>
            <w:r>
              <w:t xml:space="preserve">~600 [d] (</w:t>
            </w:r>
            <w:hyperlink r:id="rId228">
              <w:r>
                <w:rPr>
                  <w:rStyle w:val="Hyperlink"/>
                </w:rPr>
                <w:t xml:space="preserve">3.0%</w:t>
              </w:r>
            </w:hyperlink>
            <w:r>
              <w:t xml:space="preserve">)</w:t>
            </w:r>
          </w:p>
        </w:tc>
        <w:tc>
          <w:tcPr/>
          <w:p>
            <w:pPr>
              <w:pStyle w:val="Compact"/>
              <w:jc w:val="left"/>
            </w:pPr>
            <w:hyperlink r:id="rId229">
              <w:r>
                <w:rPr>
                  <w:rStyle w:val="Hyperlink"/>
                </w:rPr>
                <w:t xml:space="preserve">1,500 (6.5%)</w:t>
              </w:r>
            </w:hyperlink>
          </w:p>
        </w:tc>
        <w:tc>
          <w:tcPr/>
          <w:p>
            <w:pPr>
              <w:pStyle w:val="Compact"/>
              <w:jc w:val="left"/>
            </w:pPr>
            <w:hyperlink r:id="rId230">
              <w:r>
                <w:rPr>
                  <w:rStyle w:val="Hyperlink"/>
                </w:rPr>
                <w:t xml:space="preserve">2,000 (7.5%)</w:t>
              </w:r>
            </w:hyperlink>
          </w:p>
        </w:tc>
        <w:tc>
          <w:tcPr/>
          <w:p>
            <w:pPr>
              <w:pStyle w:val="Compact"/>
              <w:jc w:val="left"/>
            </w:pPr>
            <w:hyperlink r:id="rId74">
              <w:r>
                <w:rPr>
                  <w:rStyle w:val="Hyperlink"/>
                </w:rPr>
                <w:t xml:space="preserve">2,500 (8.4%)</w:t>
              </w:r>
            </w:hyperlink>
          </w:p>
        </w:tc>
      </w:tr>
      <w:tr>
        <w:tc>
          <w:tcPr/>
          <w:p>
            <w:pPr>
              <w:pStyle w:val="Compact"/>
              <w:jc w:val="left"/>
            </w:pPr>
            <w:r>
              <w:rPr>
                <w:bCs/>
                <w:b/>
              </w:rPr>
              <w:t xml:space="preserve">Developing Offerings revenue</w:t>
            </w:r>
          </w:p>
        </w:tc>
        <w:tc>
          <w:tcPr/>
          <w:p>
            <w:pPr>
              <w:pStyle w:val="Compact"/>
              <w:jc w:val="left"/>
            </w:pPr>
            <w:r>
              <w:t xml:space="preserve">n.d.</w:t>
            </w:r>
          </w:p>
        </w:tc>
        <w:tc>
          <w:tcPr/>
          <w:p>
            <w:pPr>
              <w:pStyle w:val="Compact"/>
              <w:jc w:val="left"/>
            </w:pPr>
            <w:r>
              <w:t xml:space="preserve">~580 [d]</w:t>
            </w:r>
          </w:p>
        </w:tc>
        <w:tc>
          <w:tcPr/>
          <w:p>
            <w:pPr>
              <w:pStyle w:val="Compact"/>
              <w:jc w:val="left"/>
            </w:pPr>
            <w:hyperlink r:id="rId231">
              <w:r>
                <w:rPr>
                  <w:rStyle w:val="Hyperlink"/>
                </w:rPr>
                <w:t xml:space="preserve">789</w:t>
              </w:r>
            </w:hyperlink>
          </w:p>
        </w:tc>
        <w:tc>
          <w:tcPr/>
          <w:p>
            <w:pPr>
              <w:pStyle w:val="Compact"/>
              <w:jc w:val="left"/>
            </w:pPr>
            <w:hyperlink r:id="rId232">
              <w:r>
                <w:rPr>
                  <w:rStyle w:val="Hyperlink"/>
                </w:rPr>
                <w:t xml:space="preserve">3,600 (+352%, Farfetch)</w:t>
              </w:r>
            </w:hyperlink>
          </w:p>
        </w:tc>
        <w:tc>
          <w:tcPr/>
          <w:p>
            <w:pPr>
              <w:pStyle w:val="Compact"/>
              <w:jc w:val="left"/>
            </w:pPr>
            <w:hyperlink r:id="rId75">
              <w:r>
                <w:rPr>
                  <w:rStyle w:val="Hyperlink"/>
                </w:rPr>
                <w:t xml:space="preserve">4,900 (+38%; +40% cc)</w:t>
              </w:r>
            </w:hyperlink>
          </w:p>
        </w:tc>
      </w:tr>
      <w:tr>
        <w:tc>
          <w:tcPr/>
          <w:p>
            <w:pPr>
              <w:pStyle w:val="Compact"/>
              <w:jc w:val="left"/>
            </w:pPr>
            <w:r>
              <w:t xml:space="preserve">DO adj. EBITDA</w:t>
            </w:r>
          </w:p>
        </w:tc>
        <w:tc>
          <w:tcPr/>
          <w:p>
            <w:pPr>
              <w:pStyle w:val="Compact"/>
              <w:jc w:val="left"/>
            </w:pPr>
            <w:r>
              <w:t xml:space="preserve">n.d.</w:t>
            </w:r>
          </w:p>
        </w:tc>
        <w:tc>
          <w:tcPr/>
          <w:p>
            <w:pPr>
              <w:pStyle w:val="Compact"/>
              <w:jc w:val="left"/>
            </w:pPr>
            <w:hyperlink r:id="rId233">
              <w:r>
                <w:rPr>
                  <w:rStyle w:val="Hyperlink"/>
                </w:rPr>
                <w:t xml:space="preserve">-225</w:t>
              </w:r>
            </w:hyperlink>
          </w:p>
        </w:tc>
        <w:tc>
          <w:tcPr/>
          <w:p>
            <w:pPr>
              <w:pStyle w:val="Compact"/>
              <w:jc w:val="left"/>
            </w:pPr>
            <w:hyperlink r:id="rId233">
              <w:r>
                <w:rPr>
                  <w:rStyle w:val="Hyperlink"/>
                </w:rPr>
                <w:t xml:space="preserve">-466</w:t>
              </w:r>
            </w:hyperlink>
          </w:p>
        </w:tc>
        <w:tc>
          <w:tcPr/>
          <w:p>
            <w:pPr>
              <w:pStyle w:val="Compact"/>
              <w:jc w:val="left"/>
            </w:pPr>
            <w:hyperlink r:id="rId234">
              <w:r>
                <w:rPr>
                  <w:rStyle w:val="Hyperlink"/>
                </w:rPr>
                <w:t xml:space="preserve">-631</w:t>
              </w:r>
            </w:hyperlink>
          </w:p>
        </w:tc>
        <w:tc>
          <w:tcPr/>
          <w:p>
            <w:pPr>
              <w:pStyle w:val="Compact"/>
              <w:jc w:val="left"/>
            </w:pPr>
            <w:hyperlink r:id="rId76">
              <w:r>
                <w:rPr>
                  <w:rStyle w:val="Hyperlink"/>
                </w:rPr>
                <w:t xml:space="preserve">-995</w:t>
              </w:r>
            </w:hyperlink>
          </w:p>
        </w:tc>
      </w:tr>
      <w:tr>
        <w:tc>
          <w:tcPr/>
          <w:p>
            <w:pPr>
              <w:pStyle w:val="Compact"/>
              <w:jc w:val="left"/>
            </w:pPr>
            <w:r>
              <w:rPr>
                <w:bCs/>
                <w:b/>
              </w:rPr>
              <w:t xml:space="preserve">Segment EBIT / net income</w:t>
            </w:r>
          </w:p>
        </w:tc>
        <w:tc>
          <w:tcPr/>
          <w:p>
            <w:pPr>
              <w:pStyle w:val="Compact"/>
              <w:jc w:val="left"/>
            </w:pPr>
            <w:r>
              <w:t xml:space="preserve">Not disclosed. The chief operating decision maker (CODM) measure is segment adjusted EBITDA only; no segment D&amp;A, EBIT or net income is reported (</w:t>
            </w:r>
            <w:hyperlink r:id="rId235">
              <w:r>
                <w:rPr>
                  <w:rStyle w:val="Hyperlink"/>
                </w:rPr>
                <w:t xml:space="preserve">#1868</w:t>
              </w:r>
            </w:hyperlink>
            <w:r>
              <w:t xml:space="preserve">)</w:t>
            </w: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6477000" cy="2137410"/>
            <wp:effectExtent b="0" l="0" r="0" t="0"/>
            <wp:docPr descr="Segment revenue and adjusted EBITDA" title="" id="237" name="Picture"/>
            <a:graphic>
              <a:graphicData uri="http://schemas.openxmlformats.org/drawingml/2006/picture">
                <pic:pic>
                  <pic:nvPicPr>
                    <pic:cNvPr descr="out/charts/segments.png" id="238" name="Picture"/>
                    <pic:cNvPicPr>
                      <a:picLocks noChangeArrowheads="1" noChangeAspect="1"/>
                    </pic:cNvPicPr>
                  </pic:nvPicPr>
                  <pic:blipFill>
                    <a:blip r:embed="rId236"/>
                    <a:stretch>
                      <a:fillRect/>
                    </a:stretch>
                  </pic:blipFill>
                  <pic:spPr bwMode="auto">
                    <a:xfrm>
                      <a:off x="0" y="0"/>
                      <a:ext cx="6477000" cy="2137410"/>
                    </a:xfrm>
                    <a:prstGeom prst="rect">
                      <a:avLst/>
                    </a:prstGeom>
                    <a:noFill/>
                    <a:ln w="9525">
                      <a:noFill/>
                      <a:headEnd/>
                      <a:tailEnd/>
                    </a:ln>
                  </pic:spPr>
                </pic:pic>
              </a:graphicData>
            </a:graphic>
          </wp:inline>
        </w:drawing>
      </w:r>
    </w:p>
    <w:p>
      <w:pPr>
        <w:pStyle w:val="ImageCaption"/>
      </w:pPr>
      <w:r>
        <w:t xml:space="preserve">Segment revenue and adjusted EBITDA</w:t>
      </w:r>
    </w:p>
    <w:p>
      <w:pPr>
        <w:pStyle w:val="BodyText"/>
      </w:pPr>
      <w:r>
        <w:rPr>
          <w:bCs/>
          <w:b/>
        </w:rPr>
        <w:t xml:space="preserve">Quarterly segment trend (last four quarters)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Q3’25</w:t>
            </w:r>
          </w:p>
        </w:tc>
        <w:tc>
          <w:tcPr/>
          <w:p>
            <w:pPr>
              <w:pStyle w:val="Compact"/>
              <w:jc w:val="left"/>
            </w:pPr>
            <w:r>
              <w:t xml:space="preserve">Q4’25</w:t>
            </w:r>
          </w:p>
        </w:tc>
        <w:tc>
          <w:tcPr/>
          <w:p>
            <w:pPr>
              <w:pStyle w:val="Compact"/>
              <w:jc w:val="left"/>
            </w:pPr>
            <w:r>
              <w:t xml:space="preserve">Q1’26</w:t>
            </w:r>
          </w:p>
        </w:tc>
        <w:tc>
          <w:tcPr/>
          <w:p>
            <w:pPr>
              <w:pStyle w:val="Compact"/>
              <w:jc w:val="left"/>
            </w:pPr>
            <w:r>
              <w:t xml:space="preserve">Q2’26</w:t>
            </w:r>
          </w:p>
        </w:tc>
      </w:tr>
      <w:tr>
        <w:tc>
          <w:tcPr/>
          <w:p>
            <w:pPr>
              <w:pStyle w:val="Compact"/>
              <w:jc w:val="left"/>
            </w:pPr>
            <w:r>
              <w:t xml:space="preserve">PC revenue (reported / cc growth)</w:t>
            </w:r>
          </w:p>
        </w:tc>
        <w:tc>
          <w:tcPr/>
          <w:p>
            <w:pPr>
              <w:pStyle w:val="Compact"/>
              <w:jc w:val="left"/>
            </w:pPr>
            <w:hyperlink r:id="rId239">
              <w:r>
                <w:rPr>
                  <w:rStyle w:val="Hyperlink"/>
                </w:rPr>
                <w:t xml:space="preserve">US$8.0bn, +16% / +18%</w:t>
              </w:r>
            </w:hyperlink>
          </w:p>
        </w:tc>
        <w:tc>
          <w:tcPr/>
          <w:p>
            <w:pPr>
              <w:pStyle w:val="Compact"/>
              <w:jc w:val="left"/>
            </w:pPr>
            <w:hyperlink r:id="rId240">
              <w:r>
                <w:rPr>
                  <w:rStyle w:val="Hyperlink"/>
                </w:rPr>
                <w:t xml:space="preserve">US$7.4bn, +8% / +12%</w:t>
              </w:r>
            </w:hyperlink>
          </w:p>
        </w:tc>
        <w:tc>
          <w:tcPr/>
          <w:p>
            <w:pPr>
              <w:pStyle w:val="Compact"/>
              <w:jc w:val="left"/>
            </w:pPr>
            <w:hyperlink r:id="rId241">
              <w:r>
                <w:rPr>
                  <w:rStyle w:val="Hyperlink"/>
                </w:rPr>
                <w:t xml:space="preserve">US$7.2bn, +4% / +5%</w:t>
              </w:r>
            </w:hyperlink>
          </w:p>
        </w:tc>
        <w:tc>
          <w:tcPr/>
          <w:p>
            <w:pPr>
              <w:pStyle w:val="Compact"/>
              <w:jc w:val="left"/>
            </w:pPr>
            <w:hyperlink r:id="rId242">
              <w:r>
                <w:rPr>
                  <w:rStyle w:val="Hyperlink"/>
                </w:rPr>
                <w:t xml:space="preserve">US$7.4bn, +1% / +8%</w:t>
              </w:r>
            </w:hyperlink>
          </w:p>
        </w:tc>
      </w:tr>
      <w:tr>
        <w:tc>
          <w:tcPr/>
          <w:p>
            <w:pPr>
              <w:pStyle w:val="Compact"/>
              <w:jc w:val="left"/>
            </w:pPr>
            <w:r>
              <w:t xml:space="preserve">PC gross margin</w:t>
            </w:r>
          </w:p>
        </w:tc>
        <w:tc>
          <w:tcPr/>
          <w:p>
            <w:pPr>
              <w:pStyle w:val="Compact"/>
              <w:jc w:val="left"/>
            </w:pPr>
            <w:hyperlink r:id="rId243">
              <w:r>
                <w:rPr>
                  <w:rStyle w:val="Hyperlink"/>
                </w:rPr>
                <w:t xml:space="preserve">32.1%</w:t>
              </w:r>
            </w:hyperlink>
          </w:p>
        </w:tc>
        <w:tc>
          <w:tcPr/>
          <w:p>
            <w:pPr>
              <w:pStyle w:val="Compact"/>
              <w:jc w:val="left"/>
            </w:pPr>
            <w:hyperlink r:id="rId244">
              <w:r>
                <w:rPr>
                  <w:rStyle w:val="Hyperlink"/>
                </w:rPr>
                <w:t xml:space="preserve">31.9%</w:t>
              </w:r>
            </w:hyperlink>
          </w:p>
        </w:tc>
        <w:tc>
          <w:tcPr/>
          <w:p>
            <w:pPr>
              <w:pStyle w:val="Compact"/>
              <w:jc w:val="left"/>
            </w:pPr>
            <w:hyperlink r:id="rId245">
              <w:r>
                <w:rPr>
                  <w:rStyle w:val="Hyperlink"/>
                </w:rPr>
                <w:t xml:space="preserve">30.3%</w:t>
              </w:r>
            </w:hyperlink>
          </w:p>
        </w:tc>
        <w:tc>
          <w:tcPr/>
          <w:p>
            <w:pPr>
              <w:pStyle w:val="Compact"/>
              <w:jc w:val="left"/>
            </w:pPr>
            <w:hyperlink r:id="rId246">
              <w:r>
                <w:rPr>
                  <w:rStyle w:val="Hyperlink"/>
                </w:rPr>
                <w:t xml:space="preserve">30.5%</w:t>
              </w:r>
            </w:hyperlink>
          </w:p>
        </w:tc>
      </w:tr>
      <w:tr>
        <w:tc>
          <w:tcPr/>
          <w:p>
            <w:pPr>
              <w:pStyle w:val="Compact"/>
              <w:jc w:val="left"/>
            </w:pPr>
            <w:r>
              <w:t xml:space="preserve">PC adj. EBITDA (margin)</w:t>
            </w:r>
          </w:p>
        </w:tc>
        <w:tc>
          <w:tcPr/>
          <w:p>
            <w:pPr>
              <w:pStyle w:val="Compact"/>
              <w:jc w:val="left"/>
            </w:pPr>
            <w:hyperlink r:id="rId31">
              <w:r>
                <w:rPr>
                  <w:rStyle w:val="Hyperlink"/>
                </w:rPr>
                <w:t xml:space="preserve">US$705m (8.8%)</w:t>
              </w:r>
            </w:hyperlink>
          </w:p>
        </w:tc>
        <w:tc>
          <w:tcPr/>
          <w:p>
            <w:pPr>
              <w:pStyle w:val="Compact"/>
              <w:jc w:val="left"/>
            </w:pPr>
            <w:hyperlink r:id="rId247">
              <w:r>
                <w:rPr>
                  <w:rStyle w:val="Hyperlink"/>
                </w:rPr>
                <w:t xml:space="preserve">US$567m (7.7%)</w:t>
              </w:r>
            </w:hyperlink>
          </w:p>
        </w:tc>
        <w:tc>
          <w:tcPr/>
          <w:p>
            <w:pPr>
              <w:pStyle w:val="Compact"/>
              <w:jc w:val="left"/>
            </w:pPr>
            <w:hyperlink r:id="rId248">
              <w:r>
                <w:rPr>
                  <w:rStyle w:val="Hyperlink"/>
                </w:rPr>
                <w:t xml:space="preserve">US$358m (5.0%)</w:t>
              </w:r>
            </w:hyperlink>
          </w:p>
        </w:tc>
        <w:tc>
          <w:tcPr/>
          <w:p>
            <w:pPr>
              <w:pStyle w:val="Compact"/>
              <w:jc w:val="left"/>
            </w:pPr>
            <w:hyperlink r:id="rId32">
              <w:r>
                <w:rPr>
                  <w:rStyle w:val="Hyperlink"/>
                </w:rPr>
                <w:t xml:space="preserve">US$382m (5.1%)</w:t>
              </w:r>
            </w:hyperlink>
          </w:p>
        </w:tc>
      </w:tr>
      <w:tr>
        <w:tc>
          <w:tcPr/>
          <w:p>
            <w:pPr>
              <w:pStyle w:val="Compact"/>
              <w:jc w:val="left"/>
            </w:pPr>
            <w:r>
              <w:t xml:space="preserve">DO revenue (reported / cc)</w:t>
            </w:r>
          </w:p>
        </w:tc>
        <w:tc>
          <w:tcPr/>
          <w:p>
            <w:pPr>
              <w:pStyle w:val="Compact"/>
              <w:jc w:val="left"/>
            </w:pPr>
            <w:hyperlink r:id="rId249">
              <w:r>
                <w:rPr>
                  <w:rStyle w:val="Hyperlink"/>
                </w:rPr>
                <w:t xml:space="preserve">US$1.3bn, +32% / +31%</w:t>
              </w:r>
            </w:hyperlink>
          </w:p>
        </w:tc>
        <w:tc>
          <w:tcPr/>
          <w:p>
            <w:pPr>
              <w:pStyle w:val="Compact"/>
              <w:jc w:val="left"/>
            </w:pPr>
            <w:hyperlink r:id="rId250">
              <w:r>
                <w:rPr>
                  <w:rStyle w:val="Hyperlink"/>
                </w:rPr>
                <w:t xml:space="preserve">US$1.4bn, +32% / +31%</w:t>
              </w:r>
            </w:hyperlink>
          </w:p>
        </w:tc>
        <w:tc>
          <w:tcPr/>
          <w:p>
            <w:pPr>
              <w:pStyle w:val="Compact"/>
              <w:jc w:val="left"/>
            </w:pPr>
            <w:hyperlink r:id="rId251">
              <w:r>
                <w:rPr>
                  <w:rStyle w:val="Hyperlink"/>
                </w:rPr>
                <w:t xml:space="preserve">US$1.3bn, +28% / +25%</w:t>
              </w:r>
            </w:hyperlink>
          </w:p>
        </w:tc>
        <w:tc>
          <w:tcPr/>
          <w:p>
            <w:pPr>
              <w:pStyle w:val="Compact"/>
              <w:jc w:val="left"/>
            </w:pPr>
            <w:hyperlink r:id="rId252">
              <w:r>
                <w:rPr>
                  <w:rStyle w:val="Hyperlink"/>
                </w:rPr>
                <w:t xml:space="preserve">US$1.4bn, +20% / +24%</w:t>
              </w:r>
            </w:hyperlink>
          </w:p>
        </w:tc>
      </w:tr>
      <w:tr>
        <w:tc>
          <w:tcPr/>
          <w:p>
            <w:pPr>
              <w:pStyle w:val="Compact"/>
              <w:jc w:val="left"/>
            </w:pPr>
            <w:r>
              <w:t xml:space="preserve">DO adj. EBITDA</w:t>
            </w:r>
          </w:p>
        </w:tc>
        <w:tc>
          <w:tcPr/>
          <w:p>
            <w:pPr>
              <w:pStyle w:val="Compact"/>
              <w:jc w:val="left"/>
            </w:pPr>
            <w:hyperlink r:id="rId101">
              <w:r>
                <w:rPr>
                  <w:rStyle w:val="Hyperlink"/>
                </w:rPr>
                <w:t xml:space="preserve">-US$292m</w:t>
              </w:r>
            </w:hyperlink>
          </w:p>
        </w:tc>
        <w:tc>
          <w:tcPr/>
          <w:p>
            <w:pPr>
              <w:pStyle w:val="Compact"/>
              <w:jc w:val="left"/>
            </w:pPr>
            <w:hyperlink r:id="rId253">
              <w:r>
                <w:rPr>
                  <w:rStyle w:val="Hyperlink"/>
                </w:rPr>
                <w:t xml:space="preserve">-US$300m</w:t>
              </w:r>
            </w:hyperlink>
          </w:p>
        </w:tc>
        <w:tc>
          <w:tcPr/>
          <w:p>
            <w:pPr>
              <w:pStyle w:val="Compact"/>
              <w:jc w:val="left"/>
            </w:pPr>
            <w:hyperlink r:id="rId254">
              <w:r>
                <w:rPr>
                  <w:rStyle w:val="Hyperlink"/>
                </w:rPr>
                <w:t xml:space="preserve">-US$329m</w:t>
              </w:r>
            </w:hyperlink>
          </w:p>
        </w:tc>
        <w:tc>
          <w:tcPr/>
          <w:p>
            <w:pPr>
              <w:pStyle w:val="Compact"/>
              <w:jc w:val="left"/>
            </w:pPr>
            <w:hyperlink r:id="rId255">
              <w:r>
                <w:rPr>
                  <w:rStyle w:val="Hyperlink"/>
                </w:rPr>
                <w:t xml:space="preserve">-US$219m</w:t>
              </w:r>
            </w:hyperlink>
          </w:p>
        </w:tc>
      </w:tr>
      <w:tr>
        <w:tc>
          <w:tcPr/>
          <w:p>
            <w:pPr>
              <w:pStyle w:val="Compact"/>
              <w:jc w:val="left"/>
            </w:pPr>
            <w:r>
              <w:t xml:space="preserve">Consolidated adj. EBITDA (margin)</w:t>
            </w:r>
          </w:p>
        </w:tc>
        <w:tc>
          <w:tcPr/>
          <w:p>
            <w:pPr>
              <w:pStyle w:val="Compact"/>
              <w:jc w:val="left"/>
            </w:pPr>
            <w:hyperlink r:id="rId33">
              <w:r>
                <w:rPr>
                  <w:rStyle w:val="Hyperlink"/>
                </w:rPr>
                <w:t xml:space="preserve">US$413m (4.5%)</w:t>
              </w:r>
            </w:hyperlink>
          </w:p>
        </w:tc>
        <w:tc>
          <w:tcPr/>
          <w:p>
            <w:pPr>
              <w:pStyle w:val="Compact"/>
              <w:jc w:val="left"/>
            </w:pPr>
            <w:hyperlink r:id="rId256">
              <w:r>
                <w:rPr>
                  <w:rStyle w:val="Hyperlink"/>
                </w:rPr>
                <w:t xml:space="preserve">US$267m (3.0%)</w:t>
              </w:r>
            </w:hyperlink>
          </w:p>
        </w:tc>
        <w:tc>
          <w:tcPr/>
          <w:p>
            <w:pPr>
              <w:pStyle w:val="Compact"/>
              <w:jc w:val="left"/>
            </w:pPr>
            <w:hyperlink r:id="rId257">
              <w:r>
                <w:rPr>
                  <w:rStyle w:val="Hyperlink"/>
                </w:rPr>
                <w:t xml:space="preserve">US$29m (0.3%)</w:t>
              </w:r>
            </w:hyperlink>
          </w:p>
        </w:tc>
        <w:tc>
          <w:tcPr/>
          <w:p>
            <w:pPr>
              <w:pStyle w:val="Compact"/>
              <w:jc w:val="left"/>
            </w:pPr>
            <w:hyperlink r:id="rId34">
              <w:r>
                <w:rPr>
                  <w:rStyle w:val="Hyperlink"/>
                </w:rPr>
                <w:t xml:space="preserve">US$163m (1.8%)</w:t>
              </w:r>
            </w:hyperlink>
          </w:p>
        </w:tc>
      </w:tr>
      <w:tr>
        <w:tc>
          <w:tcPr/>
          <w:p>
            <w:pPr>
              <w:pStyle w:val="Compact"/>
              <w:jc w:val="left"/>
            </w:pPr>
            <w:r>
              <w:t xml:space="preserve">GAAP operating income</w:t>
            </w:r>
          </w:p>
        </w:tc>
        <w:tc>
          <w:tcPr/>
          <w:p>
            <w:pPr>
              <w:pStyle w:val="Compact"/>
              <w:jc w:val="left"/>
            </w:pPr>
            <w:hyperlink r:id="rId258">
              <w:r>
                <w:rPr>
                  <w:rStyle w:val="Hyperlink"/>
                </w:rPr>
                <w:t xml:space="preserve">162</w:t>
              </w:r>
            </w:hyperlink>
          </w:p>
        </w:tc>
        <w:tc>
          <w:tcPr/>
          <w:p>
            <w:pPr>
              <w:pStyle w:val="Compact"/>
              <w:jc w:val="left"/>
            </w:pPr>
            <w:hyperlink r:id="rId64">
              <w:r>
                <w:rPr>
                  <w:rStyle w:val="Hyperlink"/>
                </w:rPr>
                <w:t xml:space="preserve">8</w:t>
              </w:r>
            </w:hyperlink>
          </w:p>
        </w:tc>
        <w:tc>
          <w:tcPr/>
          <w:p>
            <w:pPr>
              <w:pStyle w:val="Compact"/>
              <w:jc w:val="left"/>
            </w:pPr>
            <w:hyperlink r:id="rId35">
              <w:r>
                <w:rPr>
                  <w:rStyle w:val="Hyperlink"/>
                </w:rPr>
                <w:t xml:space="preserve">-242</w:t>
              </w:r>
            </w:hyperlink>
          </w:p>
        </w:tc>
        <w:tc>
          <w:tcPr/>
          <w:p>
            <w:pPr>
              <w:pStyle w:val="Compact"/>
              <w:jc w:val="left"/>
            </w:pPr>
            <w:hyperlink r:id="rId36">
              <w:r>
                <w:rPr>
                  <w:rStyle w:val="Hyperlink"/>
                </w:rPr>
                <w:t xml:space="preserve">-556</w:t>
              </w:r>
            </w:hyperlink>
          </w:p>
        </w:tc>
      </w:tr>
    </w:tbl>
    <w:p>
      <w:pPr>
        <w:pStyle w:val="CaptionedFigure"/>
      </w:pPr>
      <w:r>
        <w:drawing>
          <wp:inline>
            <wp:extent cx="4533900" cy="2193822"/>
            <wp:effectExtent b="0" l="0" r="0" t="0"/>
            <wp:docPr descr="Margin reset after the data incident" title="" id="260" name="Picture"/>
            <a:graphic>
              <a:graphicData uri="http://schemas.openxmlformats.org/drawingml/2006/picture">
                <pic:pic>
                  <pic:nvPicPr>
                    <pic:cNvPr descr="out/charts/margins_q.png" id="261" name="Picture"/>
                    <pic:cNvPicPr>
                      <a:picLocks noChangeArrowheads="1" noChangeAspect="1"/>
                    </pic:cNvPicPr>
                  </pic:nvPicPr>
                  <pic:blipFill>
                    <a:blip r:embed="rId259"/>
                    <a:stretch>
                      <a:fillRect/>
                    </a:stretch>
                  </pic:blipFill>
                  <pic:spPr bwMode="auto">
                    <a:xfrm>
                      <a:off x="0" y="0"/>
                      <a:ext cx="4533900" cy="2193822"/>
                    </a:xfrm>
                    <a:prstGeom prst="rect">
                      <a:avLst/>
                    </a:prstGeom>
                    <a:noFill/>
                    <a:ln w="9525">
                      <a:noFill/>
                      <a:headEnd/>
                      <a:tailEnd/>
                    </a:ln>
                  </pic:spPr>
                </pic:pic>
              </a:graphicData>
            </a:graphic>
          </wp:inline>
        </w:drawing>
      </w:r>
    </w:p>
    <w:p>
      <w:pPr>
        <w:pStyle w:val="ImageCaption"/>
      </w:pPr>
      <w:r>
        <w:t xml:space="preserve">Margin reset after the data incident</w:t>
      </w:r>
    </w:p>
    <w:bookmarkEnd w:id="262"/>
    <w:bookmarkStart w:id="266" w:name="by-geography"/>
    <w:p>
      <w:pPr>
        <w:pStyle w:val="Heading2"/>
      </w:pPr>
      <w:r>
        <w:t xml:space="preserve">8.3 By geography</w:t>
      </w:r>
    </w:p>
    <w:p>
      <w:pPr>
        <w:pStyle w:val="FirstParagraph"/>
      </w:pPr>
      <w:r>
        <w:t xml:space="preserve">Coupang does not publish a geographic P&amp;L in prose that ProntoNLP indexes; the geographic table is not retrievable. The disclosed facts:</w:t>
      </w:r>
    </w:p>
    <w:p>
      <w:pPr>
        <w:numPr>
          <w:ilvl w:val="0"/>
          <w:numId w:val="1020"/>
        </w:numPr>
        <w:pStyle w:val="Compact"/>
      </w:pPr>
      <w:r>
        <w:t xml:space="preserve">Over 90% of net revenue is earned by Korean entities (</w:t>
      </w:r>
      <w:hyperlink r:id="rId78">
        <w:r>
          <w:rPr>
            <w:rStyle w:val="Hyperlink"/>
          </w:rPr>
          <w:t xml:space="preserve">#1858</w:t>
        </w:r>
      </w:hyperlink>
      <w:r>
        <w:t xml:space="preserve">). The remainder comes from the US, UK, Taiwan, Europe and APAC (</w:t>
      </w:r>
      <w:hyperlink r:id="rId263">
        <w:r>
          <w:rPr>
            <w:rStyle w:val="Hyperlink"/>
          </w:rPr>
          <w:t xml:space="preserve">#1859</w:t>
        </w:r>
      </w:hyperlink>
      <w:r>
        <w:t xml:space="preserve">).</w:t>
      </w:r>
    </w:p>
    <w:p>
      <w:pPr>
        <w:numPr>
          <w:ilvl w:val="0"/>
          <w:numId w:val="1020"/>
        </w:numPr>
        <w:pStyle w:val="Compact"/>
      </w:pPr>
      <w:r>
        <w:t xml:space="preserve">Product Commerce is entirely Korean.</w:t>
      </w:r>
    </w:p>
    <w:p>
      <w:pPr>
        <w:numPr>
          <w:ilvl w:val="0"/>
          <w:numId w:val="1020"/>
        </w:numPr>
        <w:pStyle w:val="Compact"/>
      </w:pPr>
      <w:r>
        <w:t xml:space="preserve">Taiwan sits in Developing Offerings and is growing at triple-digit rates (</w:t>
      </w:r>
      <w:hyperlink r:id="rId136">
        <w:r>
          <w:rPr>
            <w:rStyle w:val="Hyperlink"/>
          </w:rPr>
          <w:t xml:space="preserve">#94</w:t>
        </w:r>
      </w:hyperlink>
      <w:r>
        <w:t xml:space="preserve">,</w:t>
      </w:r>
      <w:r>
        <w:t xml:space="preserve"> </w:t>
      </w:r>
      <w:hyperlink r:id="rId264">
        <w:r>
          <w:rPr>
            <w:rStyle w:val="Hyperlink"/>
          </w:rPr>
          <w:t xml:space="preserve">#98</w:t>
        </w:r>
      </w:hyperlink>
      <w:r>
        <w:t xml:space="preserve">). It is</w:t>
      </w:r>
      <w:r>
        <w:t xml:space="preserve"> </w:t>
      </w:r>
      <w:r>
        <w:t xml:space="preserve">“</w:t>
      </w:r>
      <w:r>
        <w:t xml:space="preserve">the largest contributor</w:t>
      </w:r>
      <w:r>
        <w:t xml:space="preserve">”</w:t>
      </w:r>
      <w:r>
        <w:t xml:space="preserve"> </w:t>
      </w:r>
      <w:r>
        <w:t xml:space="preserve">to Developing Offerings losses (</w:t>
      </w:r>
      <w:hyperlink r:id="rId167">
        <w:r>
          <w:rPr>
            <w:rStyle w:val="Hyperlink"/>
          </w:rPr>
          <w:t xml:space="preserve">#224</w:t>
        </w:r>
      </w:hyperlink>
      <w:r>
        <w:t xml:space="preserve">).</w:t>
      </w:r>
    </w:p>
    <w:p>
      <w:pPr>
        <w:numPr>
          <w:ilvl w:val="0"/>
          <w:numId w:val="1020"/>
        </w:numPr>
        <w:pStyle w:val="Compact"/>
      </w:pPr>
      <w:r>
        <w:t xml:space="preserve">Farfetch’s revenue is global. It was 5% of FY24 revenue and 7% of assets (</w:t>
      </w:r>
      <w:hyperlink r:id="rId265">
        <w:r>
          <w:rPr>
            <w:rStyle w:val="Hyperlink"/>
          </w:rPr>
          <w:t xml:space="preserve">#1525</w:t>
        </w:r>
      </w:hyperlink>
      <w:r>
        <w:t xml:space="preserve">).</w:t>
      </w:r>
    </w:p>
    <w:p>
      <w:pPr>
        <w:pStyle w:val="FirstParagraph"/>
      </w:pPr>
      <w:r>
        <w:t xml:space="preserve">Geographic EBITDA, EBIT and net income are</w:t>
      </w:r>
      <w:r>
        <w:t xml:space="preserve"> </w:t>
      </w:r>
      <w:r>
        <w:rPr>
          <w:bCs/>
          <w:b/>
        </w:rPr>
        <w:t xml:space="preserve">not disclosed</w:t>
      </w:r>
      <w:r>
        <w:t xml:space="preserve"> </w:t>
      </w:r>
      <w:r>
        <w:t xml:space="preserve">‡.</w:t>
      </w:r>
    </w:p>
    <w:bookmarkEnd w:id="266"/>
    <w:bookmarkStart w:id="273" w:name="trends-growth-and-margins-and-why"/>
    <w:p>
      <w:pPr>
        <w:pStyle w:val="Heading2"/>
      </w:pPr>
      <w:r>
        <w:t xml:space="preserve">8.4 Trends: growth and margins, and why</w:t>
      </w:r>
    </w:p>
    <w:p>
      <w:pPr>
        <w:numPr>
          <w:ilvl w:val="0"/>
          <w:numId w:val="1021"/>
        </w:numPr>
        <w:pStyle w:val="Compact"/>
      </w:pPr>
      <w:r>
        <w:rPr>
          <w:bCs/>
          <w:b/>
        </w:rPr>
        <w:t xml:space="preserve">Growth decelerated from hyper-growth to mid-teens before the incident.</w:t>
      </w:r>
      <w:r>
        <w:t xml:space="preserve"> </w:t>
      </w:r>
      <w:r>
        <w:t xml:space="preserve">Revenue compounded at ~17% a year over FY21-25 [d], with constant-currency growth above reported growth in every year.</w:t>
      </w:r>
    </w:p>
    <w:p>
      <w:pPr>
        <w:numPr>
          <w:ilvl w:val="1"/>
          <w:numId w:val="1022"/>
        </w:numPr>
        <w:pStyle w:val="Compact"/>
      </w:pPr>
      <w:r>
        <w:t xml:space="preserve">FY2023 reported growth was depressed by ~520bp when FLC revenue moved to a net basis (</w:t>
      </w:r>
      <w:hyperlink r:id="rId267">
        <w:r>
          <w:rPr>
            <w:rStyle w:val="Hyperlink"/>
          </w:rPr>
          <w:t xml:space="preserve">#28</w:t>
        </w:r>
      </w:hyperlink>
      <w:r>
        <w:t xml:space="preserve">).</w:t>
      </w:r>
    </w:p>
    <w:p>
      <w:pPr>
        <w:numPr>
          <w:ilvl w:val="1"/>
          <w:numId w:val="1022"/>
        </w:numPr>
        <w:pStyle w:val="Compact"/>
      </w:pPr>
      <w:r>
        <w:t xml:space="preserve">FY2024 was boosted by Farfetch; growth ex-Farfetch was 17% against 24% reported (</w:t>
      </w:r>
      <w:hyperlink r:id="rId268">
        <w:r>
          <w:rPr>
            <w:rStyle w:val="Hyperlink"/>
          </w:rPr>
          <w:t xml:space="preserve">#36</w:t>
        </w:r>
      </w:hyperlink>
      <w:r>
        <w:t xml:space="preserve">).</w:t>
      </w:r>
    </w:p>
    <w:p>
      <w:pPr>
        <w:numPr>
          <w:ilvl w:val="1"/>
          <w:numId w:val="1022"/>
        </w:numPr>
        <w:pStyle w:val="Compact"/>
      </w:pPr>
      <w:r>
        <w:t xml:space="preserve">The 2025 USD figures absorbed a 5pt FX drag on Product Commerce (</w:t>
      </w:r>
      <w:hyperlink r:id="rId269">
        <w:r>
          <w:rPr>
            <w:rStyle w:val="Hyperlink"/>
          </w:rPr>
          <w:t xml:space="preserve">#1389</w:t>
        </w:r>
      </w:hyperlink>
      <w:r>
        <w:t xml:space="preserve">).</w:t>
      </w:r>
    </w:p>
    <w:p>
      <w:pPr>
        <w:numPr>
          <w:ilvl w:val="0"/>
          <w:numId w:val="1021"/>
        </w:numPr>
        <w:pStyle w:val="Compact"/>
      </w:pPr>
      <w:r>
        <w:rPr>
          <w:bCs/>
          <w:b/>
        </w:rPr>
        <w:t xml:space="preserve">Gross margin expanded by 12.5pts in four years</w:t>
      </w:r>
      <w:r>
        <w:t xml:space="preserve"> </w:t>
      </w:r>
      <w:r>
        <w:t xml:space="preserve">(16.9% to 29.4%). The drivers were mix (3P/FLC and ads), procurement scale and automation, and Farfetch’s higher-margin marketplace model. The incident reversed about 1-2pts in H1’26 through vouchers, promotions and supply-chain inefficiency (</w:t>
      </w:r>
      <w:hyperlink r:id="rId270">
        <w:r>
          <w:rPr>
            <w:rStyle w:val="Hyperlink"/>
          </w:rPr>
          <w:t xml:space="preserve">#102</w:t>
        </w:r>
      </w:hyperlink>
      <w:r>
        <w:t xml:space="preserve">,</w:t>
      </w:r>
      <w:r>
        <w:t xml:space="preserve"> </w:t>
      </w:r>
      <w:hyperlink r:id="rId124">
        <w:r>
          <w:rPr>
            <w:rStyle w:val="Hyperlink"/>
          </w:rPr>
          <w:t xml:space="preserve">#167</w:t>
        </w:r>
      </w:hyperlink>
      <w:r>
        <w:t xml:space="preserve">).</w:t>
      </w:r>
    </w:p>
    <w:p>
      <w:pPr>
        <w:numPr>
          <w:ilvl w:val="0"/>
          <w:numId w:val="1021"/>
        </w:numPr>
        <w:pStyle w:val="Compact"/>
      </w:pPr>
      <w:r>
        <w:rPr>
          <w:bCs/>
          <w:b/>
        </w:rPr>
        <w:t xml:space="preserve">Product Commerce profitability is the real story.</w:t>
      </w:r>
      <w:r>
        <w:t xml:space="preserve"> </w:t>
      </w:r>
      <w:r>
        <w:t xml:space="preserve">PC adjusted EBITDA margin climbed from ~3% (FY22) to 8.4% (FY25), and 8.8% in Q3’25. Developing Offerings losses grew from US$225m to US$995m over the same years, consuming about 40% of PC EBITDA in FY25.</w:t>
      </w:r>
    </w:p>
    <w:p>
      <w:pPr>
        <w:numPr>
          <w:ilvl w:val="0"/>
          <w:numId w:val="1021"/>
        </w:numPr>
        <w:pStyle w:val="Compact"/>
      </w:pPr>
      <w:r>
        <w:rPr>
          <w:bCs/>
          <w:b/>
        </w:rPr>
        <w:t xml:space="preserve">The GAAP bottom line is noisy.</w:t>
      </w:r>
      <w:r>
        <w:t xml:space="preserve"> </w:t>
      </w:r>
      <w:r>
        <w:t xml:space="preserve">Items include a US$905m valuation-allowance release in FY23 (</w:t>
      </w:r>
      <w:hyperlink r:id="rId65">
        <w:r>
          <w:rPr>
            <w:rStyle w:val="Hyperlink"/>
          </w:rPr>
          <w:t xml:space="preserve">#1901</w:t>
        </w:r>
      </w:hyperlink>
      <w:r>
        <w:t xml:space="preserve">) and a US$175m fire-insurance gain and US$121m KFTC fine in FY24 (</w:t>
      </w:r>
      <w:hyperlink r:id="rId271">
        <w:r>
          <w:rPr>
            <w:rStyle w:val="Hyperlink"/>
          </w:rPr>
          <w:t xml:space="preserve">#1360</w:t>
        </w:r>
      </w:hyperlink>
      <w:r>
        <w:t xml:space="preserve">). Effective tax rates were 86% in FY24 and 64% in FY25 [d], because losses in Taiwan, the US and Farfetch get no tax benefit (</w:t>
      </w:r>
      <w:hyperlink r:id="rId161">
        <w:r>
          <w:rPr>
            <w:rStyle w:val="Hyperlink"/>
          </w:rPr>
          <w:t xml:space="preserve">#1413</w:t>
        </w:r>
      </w:hyperlink>
      <w:r>
        <w:t xml:space="preserve">).</w:t>
      </w:r>
    </w:p>
    <w:p>
      <w:pPr>
        <w:numPr>
          <w:ilvl w:val="0"/>
          <w:numId w:val="1021"/>
        </w:numPr>
        <w:pStyle w:val="Compact"/>
      </w:pPr>
      <w:r>
        <w:rPr>
          <w:bCs/>
          <w:b/>
        </w:rPr>
        <w:t xml:space="preserve">2026 broke the margin trajectory.</w:t>
      </w:r>
      <w:r>
        <w:t xml:space="preserve"> </w:t>
      </w:r>
      <w:r>
        <w:t xml:space="preserve">Revenue held up, at +8% to +10% constant currency. But fixed costs sized for pre-incident demand, extra marketing and vouchers cut the PC margin to ~5% (</w:t>
      </w:r>
      <w:hyperlink r:id="rId272">
        <w:r>
          <w:rPr>
            <w:rStyle w:val="Hyperlink"/>
          </w:rPr>
          <w:t xml:space="preserve">#170</w:t>
        </w:r>
      </w:hyperlink>
      <w:r>
        <w:t xml:space="preserve">).</w:t>
      </w:r>
    </w:p>
    <w:bookmarkEnd w:id="273"/>
    <w:bookmarkStart w:id="286" w:name="operational-kpis-and-recent-trends"/>
    <w:p>
      <w:pPr>
        <w:pStyle w:val="Heading2"/>
      </w:pPr>
      <w:r>
        <w:t xml:space="preserve">8.5 Operational KPIs and recent trends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History</w:t>
            </w:r>
          </w:p>
        </w:tc>
        <w:tc>
          <w:tcPr/>
          <w:p>
            <w:pPr>
              <w:pStyle w:val="Compact"/>
              <w:jc w:val="left"/>
            </w:pPr>
            <w:r>
              <w:t xml:space="preserve">Latest</w:t>
            </w:r>
          </w:p>
        </w:tc>
        <w:tc>
          <w:tcPr/>
          <w:p>
            <w:pPr>
              <w:pStyle w:val="Compact"/>
              <w:jc w:val="left"/>
            </w:pPr>
            <w:r>
              <w:t xml:space="preserve">Trend / comment</w:t>
            </w:r>
          </w:p>
        </w:tc>
      </w:tr>
      <w:tr>
        <w:tc>
          <w:tcPr/>
          <w:p>
            <w:pPr>
              <w:pStyle w:val="Compact"/>
              <w:jc w:val="left"/>
            </w:pPr>
            <w:r>
              <w:t xml:space="preserve">Active customers (PC, m)</w:t>
            </w:r>
          </w:p>
        </w:tc>
        <w:tc>
          <w:tcPr/>
          <w:p>
            <w:pPr>
              <w:pStyle w:val="Compact"/>
              <w:jc w:val="left"/>
            </w:pPr>
            <w:hyperlink r:id="rId274">
              <w:r>
                <w:rPr>
                  <w:rStyle w:val="Hyperlink"/>
                </w:rPr>
                <w:t xml:space="preserve">~18 (FY21)</w:t>
              </w:r>
            </w:hyperlink>
            <w:r>
              <w:t xml:space="preserve">,</w:t>
            </w:r>
            <w:r>
              <w:t xml:space="preserve"> </w:t>
            </w:r>
            <w:hyperlink r:id="rId275">
              <w:r>
                <w:rPr>
                  <w:rStyle w:val="Hyperlink"/>
                </w:rPr>
                <w:t xml:space="preserve">&gt;21 (FY23)</w:t>
              </w:r>
            </w:hyperlink>
            <w:r>
              <w:t xml:space="preserve">,</w:t>
            </w:r>
            <w:r>
              <w:t xml:space="preserve"> </w:t>
            </w:r>
            <w:hyperlink r:id="rId276">
              <w:r>
                <w:rPr>
                  <w:rStyle w:val="Hyperlink"/>
                </w:rPr>
                <w:t xml:space="preserve">22.8 (FY24)</w:t>
              </w:r>
            </w:hyperlink>
            <w:r>
              <w:t xml:space="preserve">,</w:t>
            </w:r>
            <w:r>
              <w:t xml:space="preserve"> </w:t>
            </w:r>
            <w:hyperlink r:id="rId277">
              <w:r>
                <w:rPr>
                  <w:rStyle w:val="Hyperlink"/>
                </w:rPr>
                <w:t xml:space="preserve">24.6 (FY25)</w:t>
              </w:r>
            </w:hyperlink>
          </w:p>
        </w:tc>
        <w:tc>
          <w:tcPr/>
          <w:p>
            <w:pPr>
              <w:pStyle w:val="Compact"/>
              <w:jc w:val="left"/>
            </w:pPr>
            <w:hyperlink r:id="rId278">
              <w:r>
                <w:rPr>
                  <w:rStyle w:val="Hyperlink"/>
                </w:rPr>
                <w:t xml:space="preserve">23.9 (Q1’26)</w:t>
              </w:r>
            </w:hyperlink>
            <w:r>
              <w:t xml:space="preserve"> </w:t>
            </w:r>
            <w:r>
              <w:t xml:space="preserve">→</w:t>
            </w:r>
            <w:r>
              <w:t xml:space="preserve"> </w:t>
            </w:r>
            <w:hyperlink r:id="rId120">
              <w:r>
                <w:rPr>
                  <w:rStyle w:val="Hyperlink"/>
                </w:rPr>
                <w:t xml:space="preserve">24.7 (Q2’26)</w:t>
              </w:r>
            </w:hyperlink>
          </w:p>
        </w:tc>
        <w:tc>
          <w:tcPr/>
          <w:p>
            <w:pPr>
              <w:pStyle w:val="Compact"/>
              <w:jc w:val="left"/>
            </w:pPr>
            <w:r>
              <w:t xml:space="preserve">Recovered. The trailing three-month definition lagged the dip (</w:t>
            </w:r>
            <w:hyperlink r:id="rId279">
              <w:r>
                <w:rPr>
                  <w:rStyle w:val="Hyperlink"/>
                </w:rPr>
                <w:t xml:space="preserve">#93</w:t>
              </w:r>
            </w:hyperlink>
            <w:r>
              <w:t xml:space="preserve">)</w:t>
            </w:r>
          </w:p>
        </w:tc>
      </w:tr>
      <w:tr>
        <w:tc>
          <w:tcPr/>
          <w:p>
            <w:pPr>
              <w:pStyle w:val="Compact"/>
              <w:jc w:val="left"/>
            </w:pPr>
            <w:r>
              <w:t xml:space="preserve">Revenue per active customer (cc)</w:t>
            </w:r>
          </w:p>
        </w:tc>
        <w:tc>
          <w:tcPr/>
          <w:p>
            <w:pPr>
              <w:pStyle w:val="Compact"/>
              <w:jc w:val="left"/>
            </w:pPr>
            <w:r>
              <w:t xml:space="preserve">+3% to +7% a quarter in 2025 (</w:t>
            </w:r>
            <w:hyperlink r:id="rId280">
              <w:r>
                <w:rPr>
                  <w:rStyle w:val="Hyperlink"/>
                </w:rPr>
                <w:t xml:space="preserve">#1386</w:t>
              </w:r>
            </w:hyperlink>
            <w:r>
              <w:t xml:space="preserve">)</w:t>
            </w:r>
          </w:p>
        </w:tc>
        <w:tc>
          <w:tcPr/>
          <w:p>
            <w:pPr>
              <w:pStyle w:val="Compact"/>
              <w:jc w:val="left"/>
            </w:pPr>
            <w:hyperlink r:id="rId121">
              <w:r>
                <w:rPr>
                  <w:rStyle w:val="Hyperlink"/>
                </w:rPr>
                <w:t xml:space="preserve">+5% (Q2’26)</w:t>
              </w:r>
            </w:hyperlink>
          </w:p>
        </w:tc>
        <w:tc>
          <w:tcPr/>
          <w:p>
            <w:pPr>
              <w:pStyle w:val="Compact"/>
              <w:jc w:val="left"/>
            </w:pPr>
            <w:r>
              <w:t xml:space="preserve">Stable</w:t>
            </w:r>
          </w:p>
        </w:tc>
      </w:tr>
      <w:tr>
        <w:tc>
          <w:tcPr/>
          <w:p>
            <w:pPr>
              <w:pStyle w:val="Compact"/>
              <w:jc w:val="left"/>
            </w:pPr>
            <w:r>
              <w:t xml:space="preserve">WOW paid members (m)</w:t>
            </w:r>
          </w:p>
        </w:tc>
        <w:tc>
          <w:tcPr/>
          <w:p>
            <w:pPr>
              <w:pStyle w:val="Compact"/>
              <w:jc w:val="left"/>
            </w:pPr>
            <w:hyperlink r:id="rId281">
              <w:r>
                <w:rPr>
                  <w:rStyle w:val="Hyperlink"/>
                </w:rPr>
                <w:t xml:space="preserve">6 (2020), ~9 (2021)</w:t>
              </w:r>
            </w:hyperlink>
            <w:r>
              <w:t xml:space="preserve">,</w:t>
            </w:r>
            <w:r>
              <w:t xml:space="preserve"> </w:t>
            </w:r>
            <w:hyperlink r:id="rId282">
              <w:r>
                <w:rPr>
                  <w:rStyle w:val="Hyperlink"/>
                </w:rPr>
                <w:t xml:space="preserve">11 (2022)</w:t>
              </w:r>
            </w:hyperlink>
            <w:r>
              <w:t xml:space="preserve">,</w:t>
            </w:r>
            <w:r>
              <w:t xml:space="preserve"> </w:t>
            </w:r>
            <w:hyperlink r:id="rId139">
              <w:r>
                <w:rPr>
                  <w:rStyle w:val="Hyperlink"/>
                </w:rPr>
                <w:t xml:space="preserve">14 (2023)</w:t>
              </w:r>
            </w:hyperlink>
          </w:p>
        </w:tc>
        <w:tc>
          <w:tcPr/>
          <w:p>
            <w:pPr>
              <w:pStyle w:val="Compact"/>
              <w:jc w:val="left"/>
            </w:pPr>
            <w:r>
              <w:t xml:space="preserve">Above pre-incident; all-time high (</w:t>
            </w:r>
            <w:hyperlink r:id="rId28">
              <w:r>
                <w:rPr>
                  <w:rStyle w:val="Hyperlink"/>
                </w:rPr>
                <w:t xml:space="preserve">#271</w:t>
              </w:r>
            </w:hyperlink>
            <w:r>
              <w:t xml:space="preserve">)</w:t>
            </w:r>
          </w:p>
        </w:tc>
        <w:tc>
          <w:tcPr/>
          <w:p>
            <w:pPr>
              <w:pStyle w:val="Compact"/>
              <w:jc w:val="left"/>
            </w:pPr>
            <w:r>
              <w:t xml:space="preserve">No count since 2023 [u]</w:t>
            </w:r>
          </w:p>
        </w:tc>
      </w:tr>
      <w:tr>
        <w:tc>
          <w:tcPr/>
          <w:p>
            <w:pPr>
              <w:pStyle w:val="Compact"/>
              <w:jc w:val="left"/>
            </w:pPr>
            <w:r>
              <w:t xml:space="preserve">PC gross margin</w:t>
            </w:r>
          </w:p>
        </w:tc>
        <w:tc>
          <w:tcPr/>
          <w:p>
            <w:pPr>
              <w:pStyle w:val="Compact"/>
              <w:jc w:val="left"/>
            </w:pPr>
            <w:hyperlink r:id="rId283">
              <w:r>
                <w:rPr>
                  <w:rStyle w:val="Hyperlink"/>
                </w:rPr>
                <w:t xml:space="preserve">32.0% (FY25)</w:t>
              </w:r>
            </w:hyperlink>
          </w:p>
        </w:tc>
        <w:tc>
          <w:tcPr/>
          <w:p>
            <w:pPr>
              <w:pStyle w:val="Compact"/>
              <w:jc w:val="left"/>
            </w:pPr>
            <w:hyperlink r:id="rId246">
              <w:r>
                <w:rPr>
                  <w:rStyle w:val="Hyperlink"/>
                </w:rPr>
                <w:t xml:space="preserve">30.5% (Q2’26)</w:t>
              </w:r>
            </w:hyperlink>
          </w:p>
        </w:tc>
        <w:tc>
          <w:tcPr/>
          <w:p>
            <w:pPr>
              <w:pStyle w:val="Compact"/>
              <w:jc w:val="left"/>
            </w:pPr>
            <w:r>
              <w:t xml:space="preserve">-210bp YoY</w:t>
            </w:r>
          </w:p>
        </w:tc>
      </w:tr>
      <w:tr>
        <w:tc>
          <w:tcPr/>
          <w:p>
            <w:pPr>
              <w:pStyle w:val="Compact"/>
              <w:jc w:val="left"/>
            </w:pPr>
            <w:r>
              <w:t xml:space="preserve">PC adj. EBITDA margin</w:t>
            </w:r>
          </w:p>
        </w:tc>
        <w:tc>
          <w:tcPr/>
          <w:p>
            <w:pPr>
              <w:pStyle w:val="Compact"/>
              <w:jc w:val="left"/>
            </w:pPr>
            <w:r>
              <w:t xml:space="preserve">3.0% → 6.5% → 7.5% → 8.4% (FY22-25)</w:t>
            </w:r>
          </w:p>
        </w:tc>
        <w:tc>
          <w:tcPr/>
          <w:p>
            <w:pPr>
              <w:pStyle w:val="Compact"/>
              <w:jc w:val="left"/>
            </w:pPr>
            <w:r>
              <w:t xml:space="preserve">5.1% (Q2’26)</w:t>
            </w:r>
          </w:p>
        </w:tc>
        <w:tc>
          <w:tcPr/>
          <w:p>
            <w:pPr>
              <w:pStyle w:val="Compact"/>
              <w:jc w:val="left"/>
            </w:pPr>
            <w:r>
              <w:t xml:space="preserve">Target: pre-incident by mid-2027 (</w:t>
            </w:r>
            <w:hyperlink r:id="rId38">
              <w:r>
                <w:rPr>
                  <w:rStyle w:val="Hyperlink"/>
                </w:rPr>
                <w:t xml:space="preserve">#220</w:t>
              </w:r>
            </w:hyperlink>
            <w:r>
              <w:t xml:space="preserve">)</w:t>
            </w:r>
          </w:p>
        </w:tc>
      </w:tr>
      <w:tr>
        <w:tc>
          <w:tcPr/>
          <w:p>
            <w:pPr>
              <w:pStyle w:val="Compact"/>
              <w:jc w:val="left"/>
            </w:pPr>
            <w:r>
              <w:t xml:space="preserve">DO adj. EBITDA loss</w:t>
            </w:r>
          </w:p>
        </w:tc>
        <w:tc>
          <w:tcPr/>
          <w:p>
            <w:pPr>
              <w:pStyle w:val="Compact"/>
              <w:jc w:val="left"/>
            </w:pPr>
            <w:r>
              <w:t xml:space="preserve">-225 → -466 → -631 → -995 (FY22-25)</w:t>
            </w:r>
          </w:p>
        </w:tc>
        <w:tc>
          <w:tcPr/>
          <w:p>
            <w:pPr>
              <w:pStyle w:val="Compact"/>
              <w:jc w:val="left"/>
            </w:pPr>
            <w:r>
              <w:t xml:space="preserve">-219 (Q2’26)</w:t>
            </w:r>
          </w:p>
        </w:tc>
        <w:tc>
          <w:tcPr/>
          <w:p>
            <w:pPr>
              <w:pStyle w:val="Compact"/>
              <w:jc w:val="left"/>
            </w:pPr>
            <w:r>
              <w:t xml:space="preserve">FY26 guide -950 to -1,000 (</w:t>
            </w:r>
            <w:hyperlink r:id="rId49">
              <w:r>
                <w:rPr>
                  <w:rStyle w:val="Hyperlink"/>
                </w:rPr>
                <w:t xml:space="preserve">#223</w:t>
              </w:r>
            </w:hyperlink>
            <w:r>
              <w:t xml:space="preserve">)</w:t>
            </w:r>
          </w:p>
        </w:tc>
      </w:tr>
      <w:tr>
        <w:tc>
          <w:tcPr/>
          <w:p>
            <w:pPr>
              <w:pStyle w:val="Compact"/>
              <w:jc w:val="left"/>
            </w:pPr>
            <w:r>
              <w:t xml:space="preserve">Fulfilment footprint</w:t>
            </w:r>
          </w:p>
        </w:tc>
        <w:tc>
          <w:tcPr/>
          <w:p>
            <w:pPr>
              <w:pStyle w:val="Compact"/>
              <w:jc w:val="left"/>
            </w:pPr>
            <w:r>
              <w:t xml:space="preserve">&gt;67m sq ft (FY24,</w:t>
            </w:r>
            <w:r>
              <w:t xml:space="preserve"> </w:t>
            </w:r>
            <w:hyperlink r:id="rId112">
              <w:r>
                <w:rPr>
                  <w:rStyle w:val="Hyperlink"/>
                </w:rPr>
                <w:t xml:space="preserve">#1145</w:t>
              </w:r>
            </w:hyperlink>
            <w:r>
              <w:t xml:space="preserve">)</w:t>
            </w:r>
          </w:p>
        </w:tc>
        <w:tc>
          <w:tcPr/>
          <w:p>
            <w:pPr>
              <w:pStyle w:val="Compact"/>
              <w:jc w:val="left"/>
            </w:pPr>
            <w:r>
              <w:t xml:space="preserve">&gt;78m sq ft (FY25,</w:t>
            </w:r>
            <w:r>
              <w:t xml:space="preserve"> </w:t>
            </w:r>
            <w:hyperlink r:id="rId111">
              <w:r>
                <w:rPr>
                  <w:rStyle w:val="Hyperlink"/>
                </w:rPr>
                <w:t xml:space="preserve">#1295</w:t>
              </w:r>
            </w:hyperlink>
            <w:r>
              <w:t xml:space="preserve">)</w:t>
            </w:r>
          </w:p>
        </w:tc>
        <w:tc>
          <w:tcPr/>
          <w:p>
            <w:pPr>
              <w:pStyle w:val="Compact"/>
              <w:jc w:val="left"/>
            </w:pPr>
            <w:r>
              <w:t xml:space="preserve">+16%</w:t>
            </w:r>
          </w:p>
        </w:tc>
      </w:tr>
      <w:tr>
        <w:tc>
          <w:tcPr/>
          <w:p>
            <w:pPr>
              <w:pStyle w:val="Compact"/>
              <w:jc w:val="left"/>
            </w:pPr>
            <w:r>
              <w:t xml:space="preserve">Capex intensity (capex / revenue)</w:t>
            </w:r>
          </w:p>
        </w:tc>
        <w:tc>
          <w:tcPr/>
          <w:p>
            <w:pPr>
              <w:pStyle w:val="Compact"/>
              <w:jc w:val="left"/>
            </w:pPr>
            <w:r>
              <w:t xml:space="preserve">3.7%, 4.0%, 3.7%, 2.9%, 3.6% (FY21-25) [d]</w:t>
            </w:r>
          </w:p>
        </w:tc>
        <w:tc>
          <w:tcPr/>
          <w:p>
            <w:pPr>
              <w:pStyle w:val="Compact"/>
              <w:jc w:val="left"/>
            </w:pPr>
            <w:r>
              <w:t xml:space="preserve">3.7% LTM [d]</w:t>
            </w:r>
          </w:p>
        </w:tc>
        <w:tc>
          <w:tcPr/>
          <w:p>
            <w:pPr>
              <w:pStyle w:val="Compact"/>
              <w:jc w:val="left"/>
            </w:pPr>
            <w:r>
              <w:t xml:space="preserve">Re-accelerating;</w:t>
            </w:r>
            <w:r>
              <w:t xml:space="preserve"> </w:t>
            </w:r>
            <w:r>
              <w:t xml:space="preserve">“</w:t>
            </w:r>
            <w:r>
              <w:t xml:space="preserve">several billion</w:t>
            </w:r>
            <w:r>
              <w:t xml:space="preserve">”</w:t>
            </w:r>
            <w:r>
              <w:t xml:space="preserve"> </w:t>
            </w:r>
            <w:r>
              <w:t xml:space="preserve">ahead</w:t>
            </w:r>
          </w:p>
        </w:tc>
      </w:tr>
      <w:tr>
        <w:tc>
          <w:tcPr/>
          <w:p>
            <w:pPr>
              <w:pStyle w:val="Compact"/>
              <w:jc w:val="left"/>
            </w:pPr>
            <w:r>
              <w:t xml:space="preserve">Cash conversion cycle (days)</w:t>
            </w:r>
          </w:p>
        </w:tc>
        <w:tc>
          <w:tcPr/>
          <w:p>
            <w:pPr>
              <w:pStyle w:val="Compact"/>
              <w:jc w:val="left"/>
            </w:pPr>
            <w:r>
              <w:t xml:space="preserve">-42, -64, -54, -57 (FY22-25) [d]</w:t>
            </w:r>
          </w:p>
        </w:tc>
        <w:tc>
          <w:tcPr/>
          <w:p>
            <w:pPr>
              <w:pStyle w:val="Compact"/>
              <w:jc w:val="left"/>
            </w:pPr>
            <w:r>
              <w:t xml:space="preserve">n.a.</w:t>
            </w:r>
          </w:p>
        </w:tc>
        <w:tc>
          <w:tcPr/>
          <w:p>
            <w:pPr>
              <w:pStyle w:val="Compact"/>
              <w:jc w:val="left"/>
            </w:pPr>
            <w:r>
              <w:t xml:space="preserve">Negative working capital at risk from settlement rules (</w:t>
            </w:r>
            <w:hyperlink r:id="rId50">
              <w:r>
                <w:rPr>
                  <w:rStyle w:val="Hyperlink"/>
                </w:rPr>
                <w:t xml:space="preserve">#619</w:t>
              </w:r>
            </w:hyperlink>
            <w:r>
              <w:t xml:space="preserve">)</w:t>
            </w:r>
          </w:p>
        </w:tc>
      </w:tr>
      <w:tr>
        <w:tc>
          <w:tcPr/>
          <w:p>
            <w:pPr>
              <w:pStyle w:val="Compact"/>
              <w:jc w:val="left"/>
            </w:pPr>
            <w:r>
              <w:t xml:space="preserve">Free cash flow (US$m)</w:t>
            </w:r>
          </w:p>
        </w:tc>
        <w:tc>
          <w:tcPr/>
          <w:p>
            <w:pPr>
              <w:pStyle w:val="Compact"/>
              <w:jc w:val="left"/>
            </w:pPr>
            <w:r>
              <w:t xml:space="preserve">-1,085, -259, 1,756, 1,007, 522 (FY21-25) [d]</w:t>
            </w:r>
          </w:p>
        </w:tc>
        <w:tc>
          <w:tcPr/>
          <w:p>
            <w:pPr>
              <w:pStyle w:val="Compact"/>
              <w:jc w:val="left"/>
            </w:pPr>
            <w:r>
              <w:t xml:space="preserve">~99 LTM [d]</w:t>
            </w:r>
          </w:p>
        </w:tc>
        <w:tc>
          <w:tcPr/>
          <w:p>
            <w:pPr>
              <w:pStyle w:val="Compact"/>
              <w:jc w:val="left"/>
            </w:pPr>
            <w:r>
              <w:t xml:space="preserve">Collapsing</w:t>
            </w:r>
          </w:p>
        </w:tc>
      </w:tr>
      <w:tr>
        <w:tc>
          <w:tcPr/>
          <w:p>
            <w:pPr>
              <w:pStyle w:val="Compact"/>
              <w:jc w:val="left"/>
            </w:pPr>
            <w:r>
              <w:t xml:space="preserve">SBC (% of revenue)</w:t>
            </w:r>
          </w:p>
        </w:tc>
        <w:tc>
          <w:tcPr/>
          <w:p>
            <w:pPr>
              <w:pStyle w:val="Compact"/>
              <w:jc w:val="left"/>
            </w:pPr>
            <w:r>
              <w:t xml:space="preserve">1.3%-1.4% (FY22-25) [d]</w:t>
            </w:r>
          </w:p>
        </w:tc>
        <w:tc>
          <w:tcPr/>
          <w:p>
            <w:pPr>
              <w:pStyle w:val="Compact"/>
              <w:jc w:val="left"/>
            </w:pPr>
            <w:r>
              <w:t xml:space="preserve">1.8% (Q2’26) [d]</w:t>
            </w:r>
          </w:p>
        </w:tc>
        <w:tc>
          <w:tcPr/>
          <w:p>
            <w:pPr>
              <w:pStyle w:val="Compact"/>
              <w:jc w:val="left"/>
            </w:pPr>
            <w:r>
              <w:t xml:space="preserve">Rising</w:t>
            </w:r>
          </w:p>
        </w:tc>
      </w:tr>
      <w:tr>
        <w:tc>
          <w:tcPr/>
          <w:p>
            <w:pPr>
              <w:pStyle w:val="Compact"/>
              <w:jc w:val="left"/>
            </w:pPr>
            <w:r>
              <w:t xml:space="preserve">Backlog / installed base / churn</w:t>
            </w:r>
          </w:p>
        </w:tc>
        <w:tc>
          <w:tcPr/>
          <w:p>
            <w:pPr>
              <w:pStyle w:val="Compact"/>
              <w:jc w:val="left"/>
            </w:pPr>
            <w:r>
              <w:t xml:space="preserve">Not applicable / not disclosed</w:t>
            </w:r>
          </w:p>
        </w:tc>
        <w:tc>
          <w:tcPr/>
          <w:p>
            <w:pPr>
              <w:pStyle w:val="Compact"/>
              <w:jc w:val="left"/>
            </w:pPr>
            <w:r>
              <w:t xml:space="preserve">WOW churn elevated in Dec-25, then normalised (</w:t>
            </w:r>
            <w:hyperlink r:id="rId284">
              <w:r>
                <w:rPr>
                  <w:rStyle w:val="Hyperlink"/>
                </w:rPr>
                <w:t xml:space="preserve">#139</w:t>
              </w:r>
            </w:hyperlink>
            <w:r>
              <w:t xml:space="preserve">,</w:t>
            </w:r>
            <w:r>
              <w:t xml:space="preserve"> </w:t>
            </w:r>
            <w:hyperlink r:id="rId285">
              <w:r>
                <w:rPr>
                  <w:rStyle w:val="Hyperlink"/>
                </w:rPr>
                <w:t xml:space="preserve">#140</w:t>
              </w:r>
            </w:hyperlink>
            <w:r>
              <w:t xml:space="preserve">)</w:t>
            </w:r>
          </w:p>
        </w:tc>
        <w:tc>
          <w:tcPr/>
          <w:p>
            <w:pPr>
              <w:pStyle w:val="Compact"/>
            </w:pPr>
          </w:p>
        </w:tc>
      </w:tr>
    </w:tbl>
    <w:bookmarkEnd w:id="286"/>
    <w:bookmarkEnd w:id="287"/>
    <w:bookmarkStart w:id="327" w:name="Xb5da2f6fabe8090bb5d90cea897b445b4dbc8ca"/>
    <w:p>
      <w:pPr>
        <w:pStyle w:val="Heading1"/>
      </w:pPr>
      <w:r>
        <w:t xml:space="preserve">9. Earnings calls: what management is focused on, and how sentiment has shifted</w:t>
      </w:r>
    </w:p>
    <w:bookmarkStart w:id="305" w:name="summary-of-the-last-four-calls"/>
    <w:p>
      <w:pPr>
        <w:pStyle w:val="Heading2"/>
      </w:pPr>
      <w:r>
        <w:t xml:space="preserve">9.1 Summary of the last four calls</w:t>
      </w:r>
    </w:p>
    <w:p>
      <w:pPr>
        <w:numPr>
          <w:ilvl w:val="0"/>
          <w:numId w:val="1023"/>
        </w:numPr>
        <w:pStyle w:val="Compact"/>
      </w:pPr>
      <w:hyperlink r:id="rId288">
        <w:r>
          <w:rPr>
            <w:rStyle w:val="Hyperlink"/>
            <w:bCs/>
            <w:b/>
          </w:rPr>
          <w:t xml:space="preserve">Q3’25, 4-Nov-2025</w:t>
        </w:r>
      </w:hyperlink>
      <w:r>
        <w:rPr>
          <w:bCs/>
          <w:b/>
        </w:rPr>
        <w:t xml:space="preserve">, before the incident.</w:t>
      </w:r>
      <w:r>
        <w:t xml:space="preserve"> </w:t>
      </w:r>
      <w:r>
        <w:t xml:space="preserve">Confident and growth-led:</w:t>
      </w:r>
      <w:r>
        <w:t xml:space="preserve"> </w:t>
      </w:r>
      <w:r>
        <w:t xml:space="preserve">“</w:t>
      </w:r>
      <w:r>
        <w:t xml:space="preserve">growth and expanding margins yet again</w:t>
      </w:r>
      <w:r>
        <w:t xml:space="preserve">”</w:t>
      </w:r>
      <w:r>
        <w:t xml:space="preserve"> </w:t>
      </w:r>
      <w:r>
        <w:t xml:space="preserve">(</w:t>
      </w:r>
      <w:hyperlink r:id="rId289">
        <w:r>
          <w:rPr>
            <w:rStyle w:val="Hyperlink"/>
          </w:rPr>
          <w:t xml:space="preserve">#22</w:t>
        </w:r>
      </w:hyperlink>
      <w:r>
        <w:t xml:space="preserve">).</w:t>
      </w:r>
    </w:p>
    <w:p>
      <w:pPr>
        <w:numPr>
          <w:ilvl w:val="1"/>
          <w:numId w:val="1024"/>
        </w:numPr>
        <w:pStyle w:val="Compact"/>
      </w:pPr>
      <w:r>
        <w:t xml:space="preserve">Product Commerce margin 8.8%. Consolidated margins expanding annually</w:t>
      </w:r>
      <w:r>
        <w:t xml:space="preserve"> </w:t>
      </w:r>
      <w:r>
        <w:t xml:space="preserve">“</w:t>
      </w:r>
      <w:r>
        <w:t xml:space="preserve">for the foreseeable future</w:t>
      </w:r>
      <w:r>
        <w:t xml:space="preserve">”</w:t>
      </w:r>
      <w:r>
        <w:t xml:space="preserve"> </w:t>
      </w:r>
      <w:r>
        <w:t xml:space="preserve">(</w:t>
      </w:r>
      <w:hyperlink r:id="rId290">
        <w:r>
          <w:rPr>
            <w:rStyle w:val="Hyperlink"/>
          </w:rPr>
          <w:t xml:space="preserve">#126</w:t>
        </w:r>
      </w:hyperlink>
      <w:r>
        <w:t xml:space="preserve">). PC margins to move</w:t>
      </w:r>
      <w:r>
        <w:t xml:space="preserve"> </w:t>
      </w:r>
      <w:r>
        <w:t xml:space="preserve">“</w:t>
      </w:r>
      <w:r>
        <w:t xml:space="preserve">well past the 10%</w:t>
      </w:r>
      <w:r>
        <w:t xml:space="preserve">”</w:t>
      </w:r>
      <w:r>
        <w:t xml:space="preserve"> </w:t>
      </w:r>
      <w:r>
        <w:t xml:space="preserve">level (</w:t>
      </w:r>
      <w:hyperlink r:id="rId291">
        <w:r>
          <w:rPr>
            <w:rStyle w:val="Hyperlink"/>
          </w:rPr>
          <w:t xml:space="preserve">#271</w:t>
        </w:r>
      </w:hyperlink>
      <w:r>
        <w:t xml:space="preserve">).</w:t>
      </w:r>
    </w:p>
    <w:p>
      <w:pPr>
        <w:numPr>
          <w:ilvl w:val="1"/>
          <w:numId w:val="1024"/>
        </w:numPr>
        <w:pStyle w:val="Compact"/>
      </w:pPr>
      <w:r>
        <w:t xml:space="preserve">The worry was Developing Offerings losses: guided to the high end of US$900-950m on Taiwan (</w:t>
      </w:r>
      <w:hyperlink r:id="rId102">
        <w:r>
          <w:rPr>
            <w:rStyle w:val="Hyperlink"/>
          </w:rPr>
          <w:t xml:space="preserve">#98</w:t>
        </w:r>
      </w:hyperlink>
      <w:r>
        <w:t xml:space="preserve">).</w:t>
      </w:r>
    </w:p>
    <w:p>
      <w:pPr>
        <w:numPr>
          <w:ilvl w:val="0"/>
          <w:numId w:val="1023"/>
        </w:numPr>
        <w:pStyle w:val="Compact"/>
      </w:pPr>
      <w:hyperlink r:id="rId292">
        <w:r>
          <w:rPr>
            <w:rStyle w:val="Hyperlink"/>
            <w:bCs/>
            <w:b/>
          </w:rPr>
          <w:t xml:space="preserve">Q4’25, 26-Feb-2026</w:t>
        </w:r>
      </w:hyperlink>
      <w:r>
        <w:rPr>
          <w:bCs/>
          <w:b/>
        </w:rPr>
        <w:t xml:space="preserve">.</w:t>
      </w:r>
      <w:r>
        <w:t xml:space="preserve"> </w:t>
      </w:r>
      <w:r>
        <w:t xml:space="preserve">Opened with an apology (</w:t>
      </w:r>
      <w:hyperlink r:id="rId293">
        <w:r>
          <w:rPr>
            <w:rStyle w:val="Hyperlink"/>
          </w:rPr>
          <w:t xml:space="preserve">#26</w:t>
        </w:r>
      </w:hyperlink>
      <w:r>
        <w:t xml:space="preserve">) and an incident review by the General Counsel (</w:t>
      </w:r>
      <w:hyperlink r:id="rId294">
        <w:r>
          <w:rPr>
            <w:rStyle w:val="Hyperlink"/>
          </w:rPr>
          <w:t xml:space="preserve">#35</w:t>
        </w:r>
      </w:hyperlink>
      <w:r>
        <w:t xml:space="preserve">). Palo Alto Networks called it a targeted insider attack, not a systemic failure (</w:t>
      </w:r>
      <w:hyperlink r:id="rId295">
        <w:r>
          <w:rPr>
            <w:rStyle w:val="Hyperlink"/>
          </w:rPr>
          <w:t xml:space="preserve">#53</w:t>
        </w:r>
      </w:hyperlink>
      <w:r>
        <w:t xml:space="preserve">).</w:t>
      </w:r>
    </w:p>
    <w:p>
      <w:pPr>
        <w:numPr>
          <w:ilvl w:val="1"/>
          <w:numId w:val="1025"/>
        </w:numPr>
        <w:pStyle w:val="Compact"/>
      </w:pPr>
      <w:r>
        <w:t xml:space="preserve">Guidance: margin expansion</w:t>
      </w:r>
      <w:r>
        <w:t xml:space="preserve"> </w:t>
      </w:r>
      <w:r>
        <w:t xml:space="preserve">“</w:t>
      </w:r>
      <w:r>
        <w:t xml:space="preserve">disrupted</w:t>
      </w:r>
      <w:r>
        <w:t xml:space="preserve">”</w:t>
      </w:r>
      <w:r>
        <w:t xml:space="preserve"> </w:t>
      </w:r>
      <w:r>
        <w:t xml:space="preserve">in 2026 but not structurally (</w:t>
      </w:r>
      <w:hyperlink r:id="rId296">
        <w:r>
          <w:rPr>
            <w:rStyle w:val="Hyperlink"/>
          </w:rPr>
          <w:t xml:space="preserve">#199</w:t>
        </w:r>
      </w:hyperlink>
      <w:r>
        <w:t xml:space="preserve">,</w:t>
      </w:r>
      <w:r>
        <w:t xml:space="preserve"> </w:t>
      </w:r>
      <w:hyperlink r:id="rId297">
        <w:r>
          <w:rPr>
            <w:rStyle w:val="Hyperlink"/>
          </w:rPr>
          <w:t xml:space="preserve">#200</w:t>
        </w:r>
      </w:hyperlink>
      <w:r>
        <w:t xml:space="preserve">). Developing Offerings loss guided at US$950m-1bn (</w:t>
      </w:r>
      <w:hyperlink r:id="rId298">
        <w:r>
          <w:rPr>
            <w:rStyle w:val="Hyperlink"/>
          </w:rPr>
          <w:t xml:space="preserve">#202</w:t>
        </w:r>
      </w:hyperlink>
      <w:r>
        <w:t xml:space="preserve">). No full-year revenue guide (</w:t>
      </w:r>
      <w:hyperlink r:id="rId299">
        <w:r>
          <w:rPr>
            <w:rStyle w:val="Hyperlink"/>
          </w:rPr>
          <w:t xml:space="preserve">#197</w:t>
        </w:r>
      </w:hyperlink>
      <w:r>
        <w:t xml:space="preserve">).</w:t>
      </w:r>
    </w:p>
    <w:p>
      <w:pPr>
        <w:numPr>
          <w:ilvl w:val="0"/>
          <w:numId w:val="1023"/>
        </w:numPr>
        <w:pStyle w:val="Compact"/>
      </w:pPr>
      <w:hyperlink r:id="rId300">
        <w:r>
          <w:rPr>
            <w:rStyle w:val="Hyperlink"/>
            <w:bCs/>
            <w:b/>
          </w:rPr>
          <w:t xml:space="preserve">Q1’26, 5-May-2026</w:t>
        </w:r>
      </w:hyperlink>
      <w:r>
        <w:rPr>
          <w:bCs/>
          <w:b/>
        </w:rPr>
        <w:t xml:space="preserve">.</w:t>
      </w:r>
      <w:r>
        <w:t xml:space="preserve"> </w:t>
      </w:r>
      <w:r>
        <w:t xml:space="preserve">The recovery case: active customers dipped 3% QoQ on a lagged definition, but nearly 80% of the lost WOW members were back by April (</w:t>
      </w:r>
      <w:hyperlink r:id="rId171">
        <w:r>
          <w:rPr>
            <w:rStyle w:val="Hyperlink"/>
          </w:rPr>
          <w:t xml:space="preserve">#36</w:t>
        </w:r>
      </w:hyperlink>
      <w:r>
        <w:t xml:space="preserve">).</w:t>
      </w:r>
    </w:p>
    <w:p>
      <w:pPr>
        <w:numPr>
          <w:ilvl w:val="1"/>
          <w:numId w:val="1026"/>
        </w:numPr>
        <w:pStyle w:val="Compact"/>
      </w:pPr>
      <w:r>
        <w:t xml:space="preserve">Management explained the fixed-cost structure and chose not to cut capacity (</w:t>
      </w:r>
      <w:hyperlink r:id="rId301">
        <w:r>
          <w:rPr>
            <w:rStyle w:val="Hyperlink"/>
          </w:rPr>
          <w:t xml:space="preserve">#186</w:t>
        </w:r>
      </w:hyperlink>
      <w:r>
        <w:t xml:space="preserve">).</w:t>
      </w:r>
    </w:p>
    <w:p>
      <w:pPr>
        <w:numPr>
          <w:ilvl w:val="1"/>
          <w:numId w:val="1026"/>
        </w:numPr>
        <w:pStyle w:val="Compact"/>
      </w:pPr>
      <w:r>
        <w:t xml:space="preserve">Q2 margin guided -300 to -400bp; annual expansion to resume in 2027 (</w:t>
      </w:r>
      <w:hyperlink r:id="rId302">
        <w:r>
          <w:rPr>
            <w:rStyle w:val="Hyperlink"/>
          </w:rPr>
          <w:t xml:space="preserve">#147</w:t>
        </w:r>
      </w:hyperlink>
      <w:r>
        <w:t xml:space="preserve">). A further US$1bn buyback was authorised.</w:t>
      </w:r>
    </w:p>
    <w:p>
      <w:pPr>
        <w:numPr>
          <w:ilvl w:val="0"/>
          <w:numId w:val="1023"/>
        </w:numPr>
        <w:pStyle w:val="Compact"/>
      </w:pPr>
      <w:hyperlink r:id="rId303">
        <w:r>
          <w:rPr>
            <w:rStyle w:val="Hyperlink"/>
            <w:bCs/>
            <w:b/>
          </w:rPr>
          <w:t xml:space="preserve">Q2’26, 4-Aug-2026</w:t>
        </w:r>
      </w:hyperlink>
      <w:r>
        <w:rPr>
          <w:bCs/>
          <w:b/>
        </w:rPr>
        <w:t xml:space="preserve">.</w:t>
      </w:r>
      <w:r>
        <w:t xml:space="preserve"> </w:t>
      </w:r>
      <w:r>
        <w:t xml:space="preserve">More confident on customers: WOW above pre-incident levels, and underlying spend +16% (</w:t>
      </w:r>
      <w:hyperlink r:id="rId30">
        <w:r>
          <w:rPr>
            <w:rStyle w:val="Hyperlink"/>
          </w:rPr>
          <w:t xml:space="preserve">#43</w:t>
        </w:r>
      </w:hyperlink>
      <w:r>
        <w:t xml:space="preserve">).</w:t>
      </w:r>
    </w:p>
    <w:p>
      <w:pPr>
        <w:numPr>
          <w:ilvl w:val="1"/>
          <w:numId w:val="1027"/>
        </w:numPr>
        <w:pStyle w:val="Compact"/>
      </w:pPr>
      <w:r>
        <w:t xml:space="preserve">The margin recovery date slipped to</w:t>
      </w:r>
      <w:r>
        <w:t xml:space="preserve"> </w:t>
      </w:r>
      <w:r>
        <w:t xml:space="preserve">“</w:t>
      </w:r>
      <w:r>
        <w:t xml:space="preserve">mid-2027</w:t>
      </w:r>
      <w:r>
        <w:t xml:space="preserve">”</w:t>
      </w:r>
      <w:r>
        <w:t xml:space="preserve"> </w:t>
      </w:r>
      <w:r>
        <w:t xml:space="preserve">(</w:t>
      </w:r>
      <w:hyperlink r:id="rId38">
        <w:r>
          <w:rPr>
            <w:rStyle w:val="Hyperlink"/>
          </w:rPr>
          <w:t xml:space="preserve">#220</w:t>
        </w:r>
      </w:hyperlink>
      <w:r>
        <w:t xml:space="preserve">).</w:t>
      </w:r>
      <w:r>
        <w:t xml:space="preserve"> </w:t>
      </w:r>
      <w:r>
        <w:t xml:space="preserve">“</w:t>
      </w:r>
      <w:r>
        <w:t xml:space="preserve">Nothing has structurally changed</w:t>
      </w:r>
      <w:r>
        <w:t xml:space="preserve">”</w:t>
      </w:r>
      <w:r>
        <w:t xml:space="preserve"> </w:t>
      </w:r>
      <w:r>
        <w:t xml:space="preserve">(</w:t>
      </w:r>
      <w:hyperlink r:id="rId304">
        <w:r>
          <w:rPr>
            <w:rStyle w:val="Hyperlink"/>
          </w:rPr>
          <w:t xml:space="preserve">#252</w:t>
        </w:r>
      </w:hyperlink>
      <w:r>
        <w:t xml:space="preserve">). Marketing to step down in 2027 (</w:t>
      </w:r>
      <w:hyperlink r:id="rId173">
        <w:r>
          <w:rPr>
            <w:rStyle w:val="Hyperlink"/>
          </w:rPr>
          <w:t xml:space="preserve">#55</w:t>
        </w:r>
      </w:hyperlink>
      <w:r>
        <w:t xml:space="preserve">).</w:t>
      </w:r>
    </w:p>
    <w:p>
      <w:pPr>
        <w:numPr>
          <w:ilvl w:val="1"/>
          <w:numId w:val="1027"/>
        </w:numPr>
        <w:pStyle w:val="Compact"/>
      </w:pPr>
      <w:r>
        <w:t xml:space="preserve">Focus areas: cohort economics, Taiwan’s playbook, and AI across operations (</w:t>
      </w:r>
      <w:hyperlink r:id="rId165">
        <w:r>
          <w:rPr>
            <w:rStyle w:val="Hyperlink"/>
          </w:rPr>
          <w:t xml:space="preserve">#390</w:t>
        </w:r>
      </w:hyperlink>
      <w:r>
        <w:t xml:space="preserve">).</w:t>
      </w:r>
    </w:p>
    <w:p>
      <w:pPr>
        <w:pStyle w:val="FirstParagraph"/>
      </w:pPr>
      <w:r>
        <w:rPr>
          <w:bCs/>
          <w:b/>
        </w:rPr>
        <w:t xml:space="preserve">Where management’s attention has moved.</w:t>
      </w:r>
      <w:r>
        <w:t xml:space="preserve"> </w:t>
      </w:r>
      <w:r>
        <w:t xml:space="preserve">Before the incident it was selection, FLC, automation and Taiwan. After it, the focus is customer retention and trust, the fixed-cost and margin bridge, the regulatory and legal process, and capital return.</w:t>
      </w:r>
    </w:p>
    <w:bookmarkEnd w:id="305"/>
    <w:bookmarkStart w:id="326" w:name="sentiment-analysis-prontonlp"/>
    <w:p>
      <w:pPr>
        <w:pStyle w:val="Heading2"/>
      </w:pPr>
      <w:r>
        <w:t xml:space="preserve">9.2 Sentiment analysis (ProntoNLP)</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Call</w:t>
            </w:r>
          </w:p>
        </w:tc>
        <w:tc>
          <w:tcPr/>
          <w:p>
            <w:pPr>
              <w:pStyle w:val="Compact"/>
              <w:jc w:val="left"/>
            </w:pPr>
            <w:r>
              <w:t xml:space="preserve">ProntoNLP document sentiment (-1 to +1)</w:t>
            </w:r>
          </w:p>
        </w:tc>
        <w:tc>
          <w:tcPr/>
          <w:p>
            <w:pPr>
              <w:pStyle w:val="Compact"/>
              <w:jc w:val="left"/>
            </w:pPr>
            <w:r>
              <w:t xml:space="preserve">Positive events</w:t>
            </w:r>
          </w:p>
        </w:tc>
        <w:tc>
          <w:tcPr/>
          <w:p>
            <w:pPr>
              <w:pStyle w:val="Compact"/>
              <w:jc w:val="left"/>
            </w:pPr>
            <w:r>
              <w:t xml:space="preserve">Negative events</w:t>
            </w:r>
          </w:p>
        </w:tc>
        <w:tc>
          <w:tcPr/>
          <w:p>
            <w:pPr>
              <w:pStyle w:val="Compact"/>
              <w:jc w:val="left"/>
            </w:pPr>
            <w:r>
              <w:t xml:space="preserve">Net polarity [d]</w:t>
            </w:r>
          </w:p>
        </w:tc>
        <w:tc>
          <w:tcPr/>
          <w:p>
            <w:pPr>
              <w:pStyle w:val="Compact"/>
              <w:jc w:val="left"/>
            </w:pPr>
            <w:r>
              <w:t xml:space="preserve">Tone</w:t>
            </w:r>
          </w:p>
        </w:tc>
      </w:tr>
      <w:tr>
        <w:tc>
          <w:tcPr/>
          <w:p>
            <w:pPr>
              <w:pStyle w:val="Compact"/>
              <w:jc w:val="left"/>
            </w:pPr>
            <w:hyperlink r:id="rId306">
              <w:r>
                <w:rPr>
                  <w:rStyle w:val="Hyperlink"/>
                </w:rPr>
                <w:t xml:space="preserve">Q4’23</w:t>
              </w:r>
            </w:hyperlink>
          </w:p>
        </w:tc>
        <w:tc>
          <w:tcPr/>
          <w:p>
            <w:pPr>
              <w:pStyle w:val="Compact"/>
              <w:jc w:val="left"/>
            </w:pPr>
            <w:r>
              <w:t xml:space="preserve">0.85</w:t>
            </w:r>
          </w:p>
        </w:tc>
        <w:tc>
          <w:tcPr/>
          <w:p>
            <w:pPr>
              <w:pStyle w:val="Compact"/>
              <w:jc w:val="left"/>
            </w:pPr>
            <w:r>
              <w:t xml:space="preserve">211</w:t>
            </w:r>
          </w:p>
        </w:tc>
        <w:tc>
          <w:tcPr/>
          <w:p>
            <w:pPr>
              <w:pStyle w:val="Compact"/>
              <w:jc w:val="left"/>
            </w:pPr>
            <w:r>
              <w:t xml:space="preserve">15</w:t>
            </w:r>
          </w:p>
        </w:tc>
        <w:tc>
          <w:tcPr/>
          <w:p>
            <w:pPr>
              <w:pStyle w:val="Compact"/>
              <w:jc w:val="left"/>
            </w:pPr>
            <w:r>
              <w:t xml:space="preserve">0.87</w:t>
            </w:r>
          </w:p>
        </w:tc>
        <w:tc>
          <w:tcPr/>
          <w:p>
            <w:pPr>
              <w:pStyle w:val="Compact"/>
              <w:jc w:val="left"/>
            </w:pPr>
            <w:r>
              <w:t xml:space="preserve">Upbeat</w:t>
            </w:r>
          </w:p>
        </w:tc>
      </w:tr>
      <w:tr>
        <w:tc>
          <w:tcPr/>
          <w:p>
            <w:pPr>
              <w:pStyle w:val="Compact"/>
              <w:jc w:val="left"/>
            </w:pPr>
            <w:hyperlink r:id="rId307">
              <w:r>
                <w:rPr>
                  <w:rStyle w:val="Hyperlink"/>
                </w:rPr>
                <w:t xml:space="preserve">Q1’24</w:t>
              </w:r>
            </w:hyperlink>
          </w:p>
        </w:tc>
        <w:tc>
          <w:tcPr/>
          <w:p>
            <w:pPr>
              <w:pStyle w:val="Compact"/>
              <w:jc w:val="left"/>
            </w:pPr>
            <w:r>
              <w:t xml:space="preserve">0.87</w:t>
            </w:r>
          </w:p>
        </w:tc>
        <w:tc>
          <w:tcPr/>
          <w:p>
            <w:pPr>
              <w:pStyle w:val="Compact"/>
              <w:jc w:val="left"/>
            </w:pPr>
            <w:r>
              <w:t xml:space="preserve">187</w:t>
            </w:r>
          </w:p>
        </w:tc>
        <w:tc>
          <w:tcPr/>
          <w:p>
            <w:pPr>
              <w:pStyle w:val="Compact"/>
              <w:jc w:val="left"/>
            </w:pPr>
            <w:r>
              <w:t xml:space="preserve">10</w:t>
            </w:r>
          </w:p>
        </w:tc>
        <w:tc>
          <w:tcPr/>
          <w:p>
            <w:pPr>
              <w:pStyle w:val="Compact"/>
              <w:jc w:val="left"/>
            </w:pPr>
            <w:r>
              <w:t xml:space="preserve">0.90</w:t>
            </w:r>
          </w:p>
        </w:tc>
        <w:tc>
          <w:tcPr/>
          <w:p>
            <w:pPr>
              <w:pStyle w:val="Compact"/>
              <w:jc w:val="left"/>
            </w:pPr>
            <w:r>
              <w:t xml:space="preserve">Upbeat</w:t>
            </w:r>
          </w:p>
        </w:tc>
      </w:tr>
      <w:tr>
        <w:tc>
          <w:tcPr/>
          <w:p>
            <w:pPr>
              <w:pStyle w:val="Compact"/>
              <w:jc w:val="left"/>
            </w:pPr>
            <w:hyperlink r:id="rId308">
              <w:r>
                <w:rPr>
                  <w:rStyle w:val="Hyperlink"/>
                </w:rPr>
                <w:t xml:space="preserve">Q2’24</w:t>
              </w:r>
            </w:hyperlink>
          </w:p>
        </w:tc>
        <w:tc>
          <w:tcPr/>
          <w:p>
            <w:pPr>
              <w:pStyle w:val="Compact"/>
              <w:jc w:val="left"/>
            </w:pPr>
            <w:r>
              <w:t xml:space="preserve">0.80</w:t>
            </w:r>
          </w:p>
        </w:tc>
        <w:tc>
          <w:tcPr/>
          <w:p>
            <w:pPr>
              <w:pStyle w:val="Compact"/>
              <w:jc w:val="left"/>
            </w:pPr>
            <w:r>
              <w:t xml:space="preserve">175</w:t>
            </w:r>
          </w:p>
        </w:tc>
        <w:tc>
          <w:tcPr/>
          <w:p>
            <w:pPr>
              <w:pStyle w:val="Compact"/>
              <w:jc w:val="left"/>
            </w:pPr>
            <w:r>
              <w:t xml:space="preserve">20</w:t>
            </w:r>
          </w:p>
        </w:tc>
        <w:tc>
          <w:tcPr/>
          <w:p>
            <w:pPr>
              <w:pStyle w:val="Compact"/>
              <w:jc w:val="left"/>
            </w:pPr>
            <w:r>
              <w:t xml:space="preserve">0.79</w:t>
            </w:r>
          </w:p>
        </w:tc>
        <w:tc>
          <w:tcPr/>
          <w:p>
            <w:pPr>
              <w:pStyle w:val="Compact"/>
              <w:jc w:val="left"/>
            </w:pPr>
            <w:r>
              <w:t xml:space="preserve">Upbeat</w:t>
            </w:r>
          </w:p>
        </w:tc>
      </w:tr>
      <w:tr>
        <w:tc>
          <w:tcPr/>
          <w:p>
            <w:pPr>
              <w:pStyle w:val="Compact"/>
              <w:jc w:val="left"/>
            </w:pPr>
            <w:hyperlink r:id="rId309">
              <w:r>
                <w:rPr>
                  <w:rStyle w:val="Hyperlink"/>
                </w:rPr>
                <w:t xml:space="preserve">Q3’24</w:t>
              </w:r>
            </w:hyperlink>
          </w:p>
        </w:tc>
        <w:tc>
          <w:tcPr/>
          <w:p>
            <w:pPr>
              <w:pStyle w:val="Compact"/>
              <w:jc w:val="left"/>
            </w:pPr>
            <w:r>
              <w:t xml:space="preserve">0.81</w:t>
            </w:r>
          </w:p>
        </w:tc>
        <w:tc>
          <w:tcPr/>
          <w:p>
            <w:pPr>
              <w:pStyle w:val="Compact"/>
              <w:jc w:val="left"/>
            </w:pPr>
            <w:hyperlink r:id="rId310">
              <w:r>
                <w:rPr>
                  <w:rStyle w:val="Hyperlink"/>
                </w:rPr>
                <w:t xml:space="preserve">164</w:t>
              </w:r>
            </w:hyperlink>
          </w:p>
        </w:tc>
        <w:tc>
          <w:tcPr/>
          <w:p>
            <w:pPr>
              <w:pStyle w:val="Compact"/>
              <w:jc w:val="left"/>
            </w:pPr>
            <w:r>
              <w:t xml:space="preserve">17</w:t>
            </w:r>
          </w:p>
        </w:tc>
        <w:tc>
          <w:tcPr/>
          <w:p>
            <w:pPr>
              <w:pStyle w:val="Compact"/>
              <w:jc w:val="left"/>
            </w:pPr>
            <w:r>
              <w:t xml:space="preserve">0.81</w:t>
            </w:r>
          </w:p>
        </w:tc>
        <w:tc>
          <w:tcPr/>
          <w:p>
            <w:pPr>
              <w:pStyle w:val="Compact"/>
              <w:jc w:val="left"/>
            </w:pPr>
            <w:r>
              <w:t xml:space="preserve">Upbeat</w:t>
            </w:r>
          </w:p>
        </w:tc>
      </w:tr>
      <w:tr>
        <w:tc>
          <w:tcPr/>
          <w:p>
            <w:pPr>
              <w:pStyle w:val="Compact"/>
              <w:jc w:val="left"/>
            </w:pPr>
            <w:hyperlink r:id="rId311">
              <w:r>
                <w:rPr>
                  <w:rStyle w:val="Hyperlink"/>
                </w:rPr>
                <w:t xml:space="preserve">Q4’24</w:t>
              </w:r>
            </w:hyperlink>
          </w:p>
        </w:tc>
        <w:tc>
          <w:tcPr/>
          <w:p>
            <w:pPr>
              <w:pStyle w:val="Compact"/>
              <w:jc w:val="left"/>
            </w:pPr>
            <w:r>
              <w:t xml:space="preserve">0.83</w:t>
            </w:r>
          </w:p>
        </w:tc>
        <w:tc>
          <w:tcPr/>
          <w:p>
            <w:pPr>
              <w:pStyle w:val="Compact"/>
              <w:jc w:val="left"/>
            </w:pPr>
            <w:hyperlink r:id="rId312">
              <w:r>
                <w:rPr>
                  <w:rStyle w:val="Hyperlink"/>
                </w:rPr>
                <w:t xml:space="preserve">249</w:t>
              </w:r>
            </w:hyperlink>
          </w:p>
        </w:tc>
        <w:tc>
          <w:tcPr/>
          <w:p>
            <w:pPr>
              <w:pStyle w:val="Compact"/>
              <w:jc w:val="left"/>
            </w:pPr>
            <w:r>
              <w:t xml:space="preserve">24</w:t>
            </w:r>
          </w:p>
        </w:tc>
        <w:tc>
          <w:tcPr/>
          <w:p>
            <w:pPr>
              <w:pStyle w:val="Compact"/>
              <w:jc w:val="left"/>
            </w:pPr>
            <w:r>
              <w:t xml:space="preserve">0.82</w:t>
            </w:r>
          </w:p>
        </w:tc>
        <w:tc>
          <w:tcPr/>
          <w:p>
            <w:pPr>
              <w:pStyle w:val="Compact"/>
              <w:jc w:val="left"/>
            </w:pPr>
            <w:r>
              <w:t xml:space="preserve">Upbeat</w:t>
            </w:r>
          </w:p>
        </w:tc>
      </w:tr>
      <w:tr>
        <w:tc>
          <w:tcPr/>
          <w:p>
            <w:pPr>
              <w:pStyle w:val="Compact"/>
              <w:jc w:val="left"/>
            </w:pPr>
            <w:hyperlink r:id="rId313">
              <w:r>
                <w:rPr>
                  <w:rStyle w:val="Hyperlink"/>
                </w:rPr>
                <w:t xml:space="preserve">Q1’25</w:t>
              </w:r>
            </w:hyperlink>
          </w:p>
        </w:tc>
        <w:tc>
          <w:tcPr/>
          <w:p>
            <w:pPr>
              <w:pStyle w:val="Compact"/>
              <w:jc w:val="left"/>
            </w:pPr>
            <w:r>
              <w:t xml:space="preserve">0.85</w:t>
            </w:r>
          </w:p>
        </w:tc>
        <w:tc>
          <w:tcPr/>
          <w:p>
            <w:pPr>
              <w:pStyle w:val="Compact"/>
              <w:jc w:val="left"/>
            </w:pPr>
            <w:r>
              <w:t xml:space="preserve">189</w:t>
            </w:r>
          </w:p>
        </w:tc>
        <w:tc>
          <w:tcPr/>
          <w:p>
            <w:pPr>
              <w:pStyle w:val="Compact"/>
              <w:jc w:val="left"/>
            </w:pPr>
            <w:r>
              <w:t xml:space="preserve">13</w:t>
            </w:r>
          </w:p>
        </w:tc>
        <w:tc>
          <w:tcPr/>
          <w:p>
            <w:pPr>
              <w:pStyle w:val="Compact"/>
              <w:jc w:val="left"/>
            </w:pPr>
            <w:r>
              <w:t xml:space="preserve">0.87</w:t>
            </w:r>
          </w:p>
        </w:tc>
        <w:tc>
          <w:tcPr/>
          <w:p>
            <w:pPr>
              <w:pStyle w:val="Compact"/>
              <w:jc w:val="left"/>
            </w:pPr>
            <w:r>
              <w:t xml:space="preserve">Upbeat</w:t>
            </w:r>
          </w:p>
        </w:tc>
      </w:tr>
      <w:tr>
        <w:tc>
          <w:tcPr/>
          <w:p>
            <w:pPr>
              <w:pStyle w:val="Compact"/>
              <w:jc w:val="left"/>
            </w:pPr>
            <w:hyperlink r:id="rId314">
              <w:r>
                <w:rPr>
                  <w:rStyle w:val="Hyperlink"/>
                </w:rPr>
                <w:t xml:space="preserve">Q2’25</w:t>
              </w:r>
            </w:hyperlink>
          </w:p>
        </w:tc>
        <w:tc>
          <w:tcPr/>
          <w:p>
            <w:pPr>
              <w:pStyle w:val="Compact"/>
              <w:jc w:val="left"/>
            </w:pPr>
            <w:r>
              <w:t xml:space="preserve">0.86</w:t>
            </w:r>
          </w:p>
        </w:tc>
        <w:tc>
          <w:tcPr/>
          <w:p>
            <w:pPr>
              <w:pStyle w:val="Compact"/>
              <w:jc w:val="left"/>
            </w:pPr>
            <w:r>
              <w:t xml:space="preserve">210</w:t>
            </w:r>
          </w:p>
        </w:tc>
        <w:tc>
          <w:tcPr/>
          <w:p>
            <w:pPr>
              <w:pStyle w:val="Compact"/>
              <w:jc w:val="left"/>
            </w:pPr>
            <w:r>
              <w:t xml:space="preserve">14</w:t>
            </w:r>
          </w:p>
        </w:tc>
        <w:tc>
          <w:tcPr/>
          <w:p>
            <w:pPr>
              <w:pStyle w:val="Compact"/>
              <w:jc w:val="left"/>
            </w:pPr>
            <w:r>
              <w:t xml:space="preserve">0.88</w:t>
            </w:r>
          </w:p>
        </w:tc>
        <w:tc>
          <w:tcPr/>
          <w:p>
            <w:pPr>
              <w:pStyle w:val="Compact"/>
              <w:jc w:val="left"/>
            </w:pPr>
            <w:r>
              <w:t xml:space="preserve">Upbeat</w:t>
            </w:r>
          </w:p>
        </w:tc>
      </w:tr>
      <w:tr>
        <w:tc>
          <w:tcPr/>
          <w:p>
            <w:pPr>
              <w:pStyle w:val="Compact"/>
              <w:jc w:val="left"/>
            </w:pPr>
            <w:hyperlink r:id="rId288">
              <w:r>
                <w:rPr>
                  <w:rStyle w:val="Hyperlink"/>
                </w:rPr>
                <w:t xml:space="preserve">Q3’25</w:t>
              </w:r>
            </w:hyperlink>
          </w:p>
        </w:tc>
        <w:tc>
          <w:tcPr/>
          <w:p>
            <w:pPr>
              <w:pStyle w:val="Compact"/>
              <w:jc w:val="left"/>
            </w:pPr>
            <w:r>
              <w:t xml:space="preserve">0.81</w:t>
            </w:r>
          </w:p>
        </w:tc>
        <w:tc>
          <w:tcPr/>
          <w:p>
            <w:pPr>
              <w:pStyle w:val="Compact"/>
              <w:jc w:val="left"/>
            </w:pPr>
            <w:hyperlink r:id="rId315">
              <w:r>
                <w:rPr>
                  <w:rStyle w:val="Hyperlink"/>
                </w:rPr>
                <w:t xml:space="preserve">207</w:t>
              </w:r>
            </w:hyperlink>
          </w:p>
        </w:tc>
        <w:tc>
          <w:tcPr/>
          <w:p>
            <w:pPr>
              <w:pStyle w:val="Compact"/>
              <w:jc w:val="left"/>
            </w:pPr>
            <w:r>
              <w:t xml:space="preserve">22</w:t>
            </w:r>
          </w:p>
        </w:tc>
        <w:tc>
          <w:tcPr/>
          <w:p>
            <w:pPr>
              <w:pStyle w:val="Compact"/>
              <w:jc w:val="left"/>
            </w:pPr>
            <w:r>
              <w:t xml:space="preserve">0.81</w:t>
            </w:r>
          </w:p>
        </w:tc>
        <w:tc>
          <w:tcPr/>
          <w:p>
            <w:pPr>
              <w:pStyle w:val="Compact"/>
              <w:jc w:val="left"/>
            </w:pPr>
            <w:r>
              <w:t xml:space="preserve">Confident</w:t>
            </w:r>
          </w:p>
        </w:tc>
      </w:tr>
      <w:tr>
        <w:tc>
          <w:tcPr/>
          <w:p>
            <w:pPr>
              <w:pStyle w:val="Compact"/>
              <w:jc w:val="left"/>
            </w:pPr>
            <w:hyperlink r:id="rId292">
              <w:r>
                <w:rPr>
                  <w:rStyle w:val="Hyperlink"/>
                </w:rPr>
                <w:t xml:space="preserve">Q4’25</w:t>
              </w:r>
            </w:hyperlink>
          </w:p>
        </w:tc>
        <w:tc>
          <w:tcPr/>
          <w:p>
            <w:pPr>
              <w:pStyle w:val="Compact"/>
              <w:jc w:val="left"/>
            </w:pPr>
            <w:r>
              <w:rPr>
                <w:bCs/>
                <w:b/>
              </w:rPr>
              <w:t xml:space="preserve">0.42</w:t>
            </w:r>
          </w:p>
        </w:tc>
        <w:tc>
          <w:tcPr/>
          <w:p>
            <w:pPr>
              <w:pStyle w:val="Compact"/>
              <w:jc w:val="left"/>
            </w:pPr>
            <w:hyperlink r:id="rId316">
              <w:r>
                <w:rPr>
                  <w:rStyle w:val="Hyperlink"/>
                </w:rPr>
                <w:t xml:space="preserve">193</w:t>
              </w:r>
            </w:hyperlink>
          </w:p>
        </w:tc>
        <w:tc>
          <w:tcPr/>
          <w:p>
            <w:pPr>
              <w:pStyle w:val="Compact"/>
              <w:jc w:val="left"/>
            </w:pPr>
            <w:r>
              <w:t xml:space="preserve">64</w:t>
            </w:r>
          </w:p>
        </w:tc>
        <w:tc>
          <w:tcPr/>
          <w:p>
            <w:pPr>
              <w:pStyle w:val="Compact"/>
              <w:jc w:val="left"/>
            </w:pPr>
            <w:r>
              <w:t xml:space="preserve">0.50</w:t>
            </w:r>
          </w:p>
        </w:tc>
        <w:tc>
          <w:tcPr/>
          <w:p>
            <w:pPr>
              <w:pStyle w:val="Compact"/>
              <w:jc w:val="left"/>
            </w:pPr>
            <w:r>
              <w:t xml:space="preserve">Apologetic, defensive</w:t>
            </w:r>
          </w:p>
        </w:tc>
      </w:tr>
      <w:tr>
        <w:tc>
          <w:tcPr/>
          <w:p>
            <w:pPr>
              <w:pStyle w:val="Compact"/>
              <w:jc w:val="left"/>
            </w:pPr>
            <w:hyperlink r:id="rId300">
              <w:r>
                <w:rPr>
                  <w:rStyle w:val="Hyperlink"/>
                </w:rPr>
                <w:t xml:space="preserve">Q1’26</w:t>
              </w:r>
            </w:hyperlink>
          </w:p>
        </w:tc>
        <w:tc>
          <w:tcPr/>
          <w:p>
            <w:pPr>
              <w:pStyle w:val="Compact"/>
              <w:jc w:val="left"/>
            </w:pPr>
            <w:r>
              <w:rPr>
                <w:bCs/>
                <w:b/>
              </w:rPr>
              <w:t xml:space="preserve">0.34</w:t>
            </w:r>
          </w:p>
        </w:tc>
        <w:tc>
          <w:tcPr/>
          <w:p>
            <w:pPr>
              <w:pStyle w:val="Compact"/>
              <w:jc w:val="left"/>
            </w:pPr>
            <w:hyperlink r:id="rId317">
              <w:r>
                <w:rPr>
                  <w:rStyle w:val="Hyperlink"/>
                </w:rPr>
                <w:t xml:space="preserve">166</w:t>
              </w:r>
            </w:hyperlink>
          </w:p>
        </w:tc>
        <w:tc>
          <w:tcPr/>
          <w:p>
            <w:pPr>
              <w:pStyle w:val="Compact"/>
              <w:jc w:val="left"/>
            </w:pPr>
            <w:r>
              <w:t xml:space="preserve">71</w:t>
            </w:r>
          </w:p>
        </w:tc>
        <w:tc>
          <w:tcPr/>
          <w:p>
            <w:pPr>
              <w:pStyle w:val="Compact"/>
              <w:jc w:val="left"/>
            </w:pPr>
            <w:r>
              <w:t xml:space="preserve">0.40</w:t>
            </w:r>
          </w:p>
        </w:tc>
        <w:tc>
          <w:tcPr/>
          <w:p>
            <w:pPr>
              <w:pStyle w:val="Compact"/>
              <w:jc w:val="left"/>
            </w:pPr>
            <w:r>
              <w:t xml:space="preserve">Trough; recovery narrative</w:t>
            </w:r>
          </w:p>
        </w:tc>
      </w:tr>
      <w:tr>
        <w:tc>
          <w:tcPr/>
          <w:p>
            <w:pPr>
              <w:pStyle w:val="Compact"/>
              <w:jc w:val="left"/>
            </w:pPr>
            <w:hyperlink r:id="rId303">
              <w:r>
                <w:rPr>
                  <w:rStyle w:val="Hyperlink"/>
                </w:rPr>
                <w:t xml:space="preserve">Q2’26</w:t>
              </w:r>
            </w:hyperlink>
          </w:p>
        </w:tc>
        <w:tc>
          <w:tcPr/>
          <w:p>
            <w:pPr>
              <w:pStyle w:val="Compact"/>
              <w:jc w:val="left"/>
            </w:pPr>
            <w:r>
              <w:rPr>
                <w:bCs/>
                <w:b/>
              </w:rPr>
              <w:t xml:space="preserve">0.53</w:t>
            </w:r>
          </w:p>
        </w:tc>
        <w:tc>
          <w:tcPr/>
          <w:p>
            <w:pPr>
              <w:pStyle w:val="Compact"/>
              <w:jc w:val="left"/>
            </w:pPr>
            <w:hyperlink r:id="rId318">
              <w:r>
                <w:rPr>
                  <w:rStyle w:val="Hyperlink"/>
                </w:rPr>
                <w:t xml:space="preserve">254</w:t>
              </w:r>
            </w:hyperlink>
          </w:p>
        </w:tc>
        <w:tc>
          <w:tcPr/>
          <w:p>
            <w:pPr>
              <w:pStyle w:val="Compact"/>
              <w:jc w:val="left"/>
            </w:pPr>
            <w:r>
              <w:t xml:space="preserve">64</w:t>
            </w:r>
          </w:p>
        </w:tc>
        <w:tc>
          <w:tcPr/>
          <w:p>
            <w:pPr>
              <w:pStyle w:val="Compact"/>
              <w:jc w:val="left"/>
            </w:pPr>
            <w:r>
              <w:t xml:space="preserve">0.60</w:t>
            </w:r>
          </w:p>
        </w:tc>
        <w:tc>
          <w:tcPr/>
          <w:p>
            <w:pPr>
              <w:pStyle w:val="Compact"/>
              <w:jc w:val="left"/>
            </w:pPr>
            <w:r>
              <w:t xml:space="preserve">Recovering, but date pushed out</w:t>
            </w:r>
          </w:p>
        </w:tc>
      </w:tr>
    </w:tbl>
    <w:p>
      <w:pPr>
        <w:pStyle w:val="CaptionedFigure"/>
      </w:pPr>
      <w:r>
        <w:drawing>
          <wp:inline>
            <wp:extent cx="6477000" cy="2007870"/>
            <wp:effectExtent b="0" l="0" r="0" t="0"/>
            <wp:docPr descr="ProntoNLP sentiment per call" title="" id="320" name="Picture"/>
            <a:graphic>
              <a:graphicData uri="http://schemas.openxmlformats.org/drawingml/2006/picture">
                <pic:pic>
                  <pic:nvPicPr>
                    <pic:cNvPr descr="out/charts/sentiment.png" id="321" name="Picture"/>
                    <pic:cNvPicPr>
                      <a:picLocks noChangeArrowheads="1" noChangeAspect="1"/>
                    </pic:cNvPicPr>
                  </pic:nvPicPr>
                  <pic:blipFill>
                    <a:blip r:embed="rId319"/>
                    <a:stretch>
                      <a:fillRect/>
                    </a:stretch>
                  </pic:blipFill>
                  <pic:spPr bwMode="auto">
                    <a:xfrm>
                      <a:off x="0" y="0"/>
                      <a:ext cx="6477000" cy="2007870"/>
                    </a:xfrm>
                    <a:prstGeom prst="rect">
                      <a:avLst/>
                    </a:prstGeom>
                    <a:noFill/>
                    <a:ln w="9525">
                      <a:noFill/>
                      <a:headEnd/>
                      <a:tailEnd/>
                    </a:ln>
                  </pic:spPr>
                </pic:pic>
              </a:graphicData>
            </a:graphic>
          </wp:inline>
        </w:drawing>
      </w:r>
    </w:p>
    <w:p>
      <w:pPr>
        <w:pStyle w:val="ImageCaption"/>
      </w:pPr>
      <w:r>
        <w:t xml:space="preserve">ProntoNLP sentiment per call</w:t>
      </w:r>
    </w:p>
    <w:p>
      <w:pPr>
        <w:pStyle w:val="BodyText"/>
      </w:pPr>
      <w:r>
        <w:rPr>
          <w:bCs/>
          <w:b/>
        </w:rPr>
        <w:t xml:space="preserve">Reading the signal</w:t>
      </w:r>
    </w:p>
    <w:p>
      <w:pPr>
        <w:numPr>
          <w:ilvl w:val="0"/>
          <w:numId w:val="1028"/>
        </w:numPr>
        <w:pStyle w:val="Compact"/>
      </w:pPr>
      <w:r>
        <w:t xml:space="preserve">Sentiment held at ~0.80-0.87 for eight straight calls, collapsed to 0.42 and 0.34 after the incident, and has recovered only partially, to 0.53.</w:t>
      </w:r>
    </w:p>
    <w:p>
      <w:pPr>
        <w:numPr>
          <w:ilvl w:val="0"/>
          <w:numId w:val="1028"/>
        </w:numPr>
        <w:pStyle w:val="Compact"/>
      </w:pPr>
      <w:r>
        <w:t xml:space="preserve">On the Q2’26 call the main negative event types are</w:t>
      </w:r>
      <w:r>
        <w:t xml:space="preserve"> </w:t>
      </w:r>
      <w:hyperlink r:id="rId322">
        <w:r>
          <w:rPr>
            <w:rStyle w:val="Hyperlink"/>
          </w:rPr>
          <w:t xml:space="preserve">OperationalChallenge</w:t>
        </w:r>
      </w:hyperlink>
      <w:r>
        <w:t xml:space="preserve"> </w:t>
      </w:r>
      <w:r>
        <w:t xml:space="preserve">(12 negative mentions) and</w:t>
      </w:r>
      <w:r>
        <w:t xml:space="preserve"> </w:t>
      </w:r>
      <w:hyperlink r:id="rId323">
        <w:r>
          <w:rPr>
            <w:rStyle w:val="Hyperlink"/>
          </w:rPr>
          <w:t xml:space="preserve">FinancialChallenge</w:t>
        </w:r>
      </w:hyperlink>
      <w:r>
        <w:t xml:space="preserve">.</w:t>
      </w:r>
      <w:r>
        <w:t xml:space="preserve"> </w:t>
      </w:r>
      <w:hyperlink r:id="rId324">
        <w:r>
          <w:rPr>
            <w:rStyle w:val="Hyperlink"/>
          </w:rPr>
          <w:t xml:space="preserve">CustomerRetention</w:t>
        </w:r>
      </w:hyperlink>
      <w:r>
        <w:t xml:space="preserve"> </w:t>
      </w:r>
      <w:r>
        <w:t xml:space="preserve">has become a top</w:t>
      </w:r>
      <w:r>
        <w:t xml:space="preserve"> </w:t>
      </w:r>
      <w:r>
        <w:rPr>
          <w:iCs/>
          <w:i/>
        </w:rPr>
        <w:t xml:space="preserve">positive</w:t>
      </w:r>
      <w:r>
        <w:t xml:space="preserve"> </w:t>
      </w:r>
      <w:r>
        <w:t xml:space="preserve">theme (20 positive, 3 negative).</w:t>
      </w:r>
    </w:p>
    <w:p>
      <w:pPr>
        <w:numPr>
          <w:ilvl w:val="0"/>
          <w:numId w:val="1028"/>
        </w:numPr>
        <w:pStyle w:val="Compact"/>
      </w:pPr>
      <w:r>
        <w:t xml:space="preserve">The</w:t>
      </w:r>
      <w:r>
        <w:t xml:space="preserve"> </w:t>
      </w:r>
      <w:r>
        <w:t xml:space="preserve">“</w:t>
      </w:r>
      <w:r>
        <w:t xml:space="preserve">CurrentState</w:t>
      </w:r>
      <w:r>
        <w:t xml:space="preserve">”</w:t>
      </w:r>
      <w:r>
        <w:t xml:space="preserve"> </w:t>
      </w:r>
      <w:r>
        <w:t xml:space="preserve">aspect score rebounded from 0.17 (Q1’26) to 0.35 (Q2’26) (</w:t>
      </w:r>
      <w:hyperlink r:id="rId325">
        <w:r>
          <w:rPr>
            <w:rStyle w:val="Hyperlink"/>
          </w:rPr>
          <w:t xml:space="preserve">CurrentState</w:t>
        </w:r>
      </w:hyperlink>
      <w:r>
        <w:t xml:space="preserve">), against 0.70 before the incident.</w:t>
      </w:r>
    </w:p>
    <w:p>
      <w:pPr>
        <w:pStyle w:val="FirstParagraph"/>
      </w:pPr>
      <w:r>
        <w:t xml:space="preserve">The trajectory supports the</w:t>
      </w:r>
      <w:r>
        <w:t xml:space="preserve"> </w:t>
      </w:r>
      <w:r>
        <w:t xml:space="preserve">“</w:t>
      </w:r>
      <w:r>
        <w:t xml:space="preserve">glitch</w:t>
      </w:r>
      <w:r>
        <w:t xml:space="preserve">”</w:t>
      </w:r>
      <w:r>
        <w:t xml:space="preserve"> </w:t>
      </w:r>
      <w:r>
        <w:t xml:space="preserve">view of demand and a</w:t>
      </w:r>
      <w:r>
        <w:t xml:space="preserve"> </w:t>
      </w:r>
      <w:r>
        <w:t xml:space="preserve">“</w:t>
      </w:r>
      <w:r>
        <w:t xml:space="preserve">not yet</w:t>
      </w:r>
      <w:r>
        <w:t xml:space="preserve">”</w:t>
      </w:r>
      <w:r>
        <w:t xml:space="preserve"> </w:t>
      </w:r>
      <w:r>
        <w:t xml:space="preserve">view of profitability.</w:t>
      </w:r>
    </w:p>
    <w:bookmarkEnd w:id="326"/>
    <w:bookmarkEnd w:id="327"/>
    <w:bookmarkStart w:id="344" w:name="latest-result-q226-reported-4-aug-2026"/>
    <w:p>
      <w:pPr>
        <w:pStyle w:val="Heading1"/>
      </w:pPr>
      <w:r>
        <w:t xml:space="preserve">10. Latest result (Q2’26, reported 4-Aug-2026)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Actual</w:t>
            </w:r>
          </w:p>
        </w:tc>
        <w:tc>
          <w:tcPr/>
          <w:p>
            <w:pPr>
              <w:pStyle w:val="Compact"/>
              <w:jc w:val="left"/>
            </w:pPr>
            <w:r>
              <w:t xml:space="preserve">Consensus (ProntoNLP) ‡</w:t>
            </w:r>
          </w:p>
        </w:tc>
        <w:tc>
          <w:tcPr/>
          <w:p>
            <w:pPr>
              <w:pStyle w:val="Compact"/>
              <w:jc w:val="left"/>
            </w:pPr>
            <w:r>
              <w:t xml:space="preserve">Surprise</w:t>
            </w:r>
          </w:p>
        </w:tc>
      </w:tr>
      <w:tr>
        <w:tc>
          <w:tcPr/>
          <w:p>
            <w:pPr>
              <w:pStyle w:val="Compact"/>
              <w:jc w:val="left"/>
            </w:pPr>
            <w:r>
              <w:t xml:space="preserve">Revenue</w:t>
            </w:r>
          </w:p>
        </w:tc>
        <w:tc>
          <w:tcPr/>
          <w:p>
            <w:pPr>
              <w:pStyle w:val="Compact"/>
              <w:jc w:val="left"/>
            </w:pPr>
            <w:hyperlink r:id="rId328">
              <w:r>
                <w:rPr>
                  <w:rStyle w:val="Hyperlink"/>
                </w:rPr>
                <w:t xml:space="preserve">US$8,856m</w:t>
              </w:r>
            </w:hyperlink>
          </w:p>
        </w:tc>
        <w:tc>
          <w:tcPr/>
          <w:p>
            <w:pPr>
              <w:pStyle w:val="Compact"/>
              <w:jc w:val="left"/>
            </w:pPr>
            <w:r>
              <w:t xml:space="preserve">US$8,922m</w:t>
            </w:r>
          </w:p>
        </w:tc>
        <w:tc>
          <w:tcPr/>
          <w:p>
            <w:pPr>
              <w:pStyle w:val="Compact"/>
              <w:jc w:val="left"/>
            </w:pPr>
            <w:r>
              <w:rPr>
                <w:bCs/>
                <w:b/>
              </w:rPr>
              <w:t xml:space="preserve">-0.7% (miss)</w:t>
            </w:r>
          </w:p>
        </w:tc>
      </w:tr>
      <w:tr>
        <w:tc>
          <w:tcPr/>
          <w:p>
            <w:pPr>
              <w:pStyle w:val="Compact"/>
              <w:jc w:val="left"/>
            </w:pPr>
            <w:r>
              <w:t xml:space="preserve">Adj. EBITDA</w:t>
            </w:r>
          </w:p>
        </w:tc>
        <w:tc>
          <w:tcPr/>
          <w:p>
            <w:pPr>
              <w:pStyle w:val="Compact"/>
              <w:jc w:val="left"/>
            </w:pPr>
            <w:hyperlink r:id="rId34">
              <w:r>
                <w:rPr>
                  <w:rStyle w:val="Hyperlink"/>
                </w:rPr>
                <w:t xml:space="preserve">US$163m (1.8%)</w:t>
              </w:r>
            </w:hyperlink>
          </w:p>
        </w:tc>
        <w:tc>
          <w:tcPr/>
          <w:p>
            <w:pPr>
              <w:pStyle w:val="Compact"/>
              <w:jc w:val="left"/>
            </w:pPr>
            <w:r>
              <w:t xml:space="preserve">US$7m</w:t>
            </w:r>
          </w:p>
        </w:tc>
        <w:tc>
          <w:tcPr/>
          <w:p>
            <w:pPr>
              <w:pStyle w:val="Compact"/>
              <w:jc w:val="left"/>
            </w:pPr>
            <w:r>
              <w:t xml:space="preserve">Beat (consensus dispersion likely included fines in some estimates)</w:t>
            </w:r>
          </w:p>
        </w:tc>
      </w:tr>
      <w:tr>
        <w:tc>
          <w:tcPr/>
          <w:p>
            <w:pPr>
              <w:pStyle w:val="Compact"/>
              <w:jc w:val="left"/>
            </w:pPr>
            <w:r>
              <w:t xml:space="preserve">Net income</w:t>
            </w:r>
          </w:p>
        </w:tc>
        <w:tc>
          <w:tcPr/>
          <w:p>
            <w:pPr>
              <w:pStyle w:val="Compact"/>
              <w:jc w:val="left"/>
            </w:pPr>
            <w:hyperlink r:id="rId329">
              <w:r>
                <w:rPr>
                  <w:rStyle w:val="Hyperlink"/>
                </w:rPr>
                <w:t xml:space="preserve">-US$570m</w:t>
              </w:r>
            </w:hyperlink>
            <w:r>
              <w:t xml:space="preserve"> </w:t>
            </w:r>
            <w:r>
              <w:t xml:space="preserve">(-US$160m ex-fines,</w:t>
            </w:r>
            <w:r>
              <w:t xml:space="preserve"> </w:t>
            </w:r>
            <w:hyperlink r:id="rId330">
              <w:r>
                <w:rPr>
                  <w:rStyle w:val="Hyperlink"/>
                </w:rPr>
                <w:t xml:space="preserve">#200</w:t>
              </w:r>
            </w:hyperlink>
            <w:r>
              <w:t xml:space="preserve">)</w:t>
            </w:r>
          </w:p>
        </w:tc>
        <w:tc>
          <w:tcPr/>
          <w:p>
            <w:pPr>
              <w:pStyle w:val="Compact"/>
              <w:jc w:val="left"/>
            </w:pPr>
            <w:r>
              <w:t xml:space="preserve">-US$377m</w:t>
            </w:r>
          </w:p>
        </w:tc>
        <w:tc>
          <w:tcPr/>
          <w:p>
            <w:pPr>
              <w:pStyle w:val="Compact"/>
              <w:jc w:val="left"/>
            </w:pPr>
            <w:r>
              <w:t xml:space="preserve">Miss (fines)</w:t>
            </w:r>
          </w:p>
        </w:tc>
      </w:tr>
      <w:tr>
        <w:tc>
          <w:tcPr/>
          <w:p>
            <w:pPr>
              <w:pStyle w:val="Compact"/>
              <w:jc w:val="left"/>
            </w:pPr>
            <w:r>
              <w:t xml:space="preserve">Diluted EPS</w:t>
            </w:r>
          </w:p>
        </w:tc>
        <w:tc>
          <w:tcPr/>
          <w:p>
            <w:pPr>
              <w:pStyle w:val="Compact"/>
              <w:jc w:val="left"/>
            </w:pPr>
            <w:r>
              <w:t xml:space="preserve">-US$0.32 (-US$0.09 ex-fines)</w:t>
            </w:r>
          </w:p>
        </w:tc>
        <w:tc>
          <w:tcPr/>
          <w:p>
            <w:pPr>
              <w:pStyle w:val="Compact"/>
              <w:jc w:val="left"/>
            </w:pPr>
            <w:r>
              <w:t xml:space="preserve">-US$0.27</w:t>
            </w:r>
          </w:p>
        </w:tc>
        <w:tc>
          <w:tcPr/>
          <w:p>
            <w:pPr>
              <w:pStyle w:val="Compact"/>
              <w:jc w:val="left"/>
            </w:pPr>
            <w:r>
              <w:t xml:space="preserve">Miss by US$0.05 on GAAP; beat ex-fines</w:t>
            </w:r>
          </w:p>
        </w:tc>
      </w:tr>
    </w:tbl>
    <w:p>
      <w:pPr>
        <w:pStyle w:val="BodyText"/>
      </w:pPr>
      <w:r>
        <w:rPr>
          <w:iCs/>
          <w:i/>
        </w:rPr>
        <w:t xml:space="preserve">Consensus history: revenue missed in four of the last six quarters (1Q25, 4Q25, 1Q26 and 2Q26); GAAP EPS missed in four of the last six. Consensus values come from ProntoNLP getCompanyConsensus, which returns no source links ‡.</w:t>
      </w:r>
    </w:p>
    <w:p>
      <w:pPr>
        <w:pStyle w:val="BodyText"/>
      </w:pPr>
      <w:r>
        <w:rPr>
          <w:bCs/>
          <w:b/>
        </w:rPr>
        <w:t xml:space="preserve">Segment drivers</w:t>
      </w:r>
    </w:p>
    <w:p>
      <w:pPr>
        <w:numPr>
          <w:ilvl w:val="0"/>
          <w:numId w:val="1029"/>
        </w:numPr>
        <w:pStyle w:val="Compact"/>
      </w:pPr>
      <w:r>
        <w:rPr>
          <w:bCs/>
          <w:b/>
        </w:rPr>
        <w:t xml:space="preserve">Product Commerce:</w:t>
      </w:r>
      <w:r>
        <w:t xml:space="preserve"> </w:t>
      </w:r>
      <w:r>
        <w:t xml:space="preserve">+8% constant currency, accelerating from +5% in Q1 (</w:t>
      </w:r>
      <w:hyperlink r:id="rId331">
        <w:r>
          <w:rPr>
            <w:rStyle w:val="Hyperlink"/>
          </w:rPr>
          <w:t xml:space="preserve">#159</w:t>
        </w:r>
      </w:hyperlink>
      <w:r>
        <w:t xml:space="preserve">), but only +1% in USD because of the 7pt FX hit (</w:t>
      </w:r>
      <w:hyperlink r:id="rId40">
        <w:r>
          <w:rPr>
            <w:rStyle w:val="Hyperlink"/>
          </w:rPr>
          <w:t xml:space="preserve">#60</w:t>
        </w:r>
      </w:hyperlink>
      <w:r>
        <w:t xml:space="preserve">).</w:t>
      </w:r>
    </w:p>
    <w:p>
      <w:pPr>
        <w:numPr>
          <w:ilvl w:val="0"/>
          <w:numId w:val="1029"/>
        </w:numPr>
        <w:pStyle w:val="Compact"/>
      </w:pPr>
      <w:r>
        <w:rPr>
          <w:bCs/>
          <w:b/>
        </w:rPr>
        <w:t xml:space="preserve">Developing Offerings:</w:t>
      </w:r>
      <w:r>
        <w:t xml:space="preserve"> </w:t>
      </w:r>
      <w:r>
        <w:t xml:space="preserve">+24% constant currency, led by Taiwan, Eats and Farfetch (</w:t>
      </w:r>
      <w:hyperlink r:id="rId332">
        <w:r>
          <w:rPr>
            <w:rStyle w:val="Hyperlink"/>
          </w:rPr>
          <w:t xml:space="preserve">#176</w:t>
        </w:r>
      </w:hyperlink>
      <w:r>
        <w:t xml:space="preserve">). The DO loss narrowed by US$110m QoQ (</w:t>
      </w:r>
      <w:hyperlink r:id="rId255">
        <w:r>
          <w:rPr>
            <w:rStyle w:val="Hyperlink"/>
          </w:rPr>
          <w:t xml:space="preserve">#179</w:t>
        </w:r>
      </w:hyperlink>
      <w:r>
        <w:t xml:space="preserve">). This is the notable acceleration of the quarter.</w:t>
      </w:r>
    </w:p>
    <w:p>
      <w:pPr>
        <w:pStyle w:val="FirstParagraph"/>
      </w:pPr>
      <w:r>
        <w:rPr>
          <w:bCs/>
          <w:b/>
        </w:rPr>
        <w:t xml:space="preserve">Margins</w:t>
      </w:r>
    </w:p>
    <w:p>
      <w:pPr>
        <w:numPr>
          <w:ilvl w:val="0"/>
          <w:numId w:val="1030"/>
        </w:numPr>
        <w:pStyle w:val="Compact"/>
      </w:pPr>
      <w:r>
        <w:t xml:space="preserve">Consolidated gross margin was 28.2%: -188bp YoY but +115bp QoQ (</w:t>
      </w:r>
      <w:hyperlink r:id="rId333">
        <w:r>
          <w:rPr>
            <w:rStyle w:val="Hyperlink"/>
          </w:rPr>
          <w:t xml:space="preserve">#183</w:t>
        </w:r>
      </w:hyperlink>
      <w:r>
        <w:t xml:space="preserve">).</w:t>
      </w:r>
    </w:p>
    <w:p>
      <w:pPr>
        <w:numPr>
          <w:ilvl w:val="0"/>
          <w:numId w:val="1030"/>
        </w:numPr>
        <w:pStyle w:val="Compact"/>
      </w:pPr>
      <w:r>
        <w:t xml:space="preserve">PC gross margin was 30.5% (-210bp) on supply-chain dislocation and temporary promotions (</w:t>
      </w:r>
      <w:hyperlink r:id="rId124">
        <w:r>
          <w:rPr>
            <w:rStyle w:val="Hyperlink"/>
          </w:rPr>
          <w:t xml:space="preserve">#167</w:t>
        </w:r>
      </w:hyperlink>
      <w:r>
        <w:t xml:space="preserve">).</w:t>
      </w:r>
    </w:p>
    <w:p>
      <w:pPr>
        <w:numPr>
          <w:ilvl w:val="0"/>
          <w:numId w:val="1030"/>
        </w:numPr>
        <w:pStyle w:val="Compact"/>
      </w:pPr>
      <w:r>
        <w:t xml:space="preserve">PC adjusted EBITDA margin was 5.1% (-390bp) because fixed costs are sized for pre-incident demand (</w:t>
      </w:r>
      <w:hyperlink r:id="rId272">
        <w:r>
          <w:rPr>
            <w:rStyle w:val="Hyperlink"/>
          </w:rPr>
          <w:t xml:space="preserve">#170</w:t>
        </w:r>
      </w:hyperlink>
      <w:r>
        <w:t xml:space="preserve">).</w:t>
      </w:r>
    </w:p>
    <w:p>
      <w:pPr>
        <w:numPr>
          <w:ilvl w:val="0"/>
          <w:numId w:val="1030"/>
        </w:numPr>
        <w:pStyle w:val="Compact"/>
      </w:pPr>
      <w:r>
        <w:t xml:space="preserve">OG&amp;A was 34.4% of revenue reported and 29.8% ex-fines, +150bp YoY on marketing and Developing Offerings (</w:t>
      </w:r>
      <w:hyperlink r:id="rId334">
        <w:r>
          <w:rPr>
            <w:rStyle w:val="Hyperlink"/>
          </w:rPr>
          <w:t xml:space="preserve">#187</w:t>
        </w:r>
      </w:hyperlink>
      <w:r>
        <w:t xml:space="preserve">).</w:t>
      </w:r>
    </w:p>
    <w:p>
      <w:pPr>
        <w:pStyle w:val="FirstParagraph"/>
      </w:pPr>
      <w:r>
        <w:rPr>
          <w:bCs/>
          <w:b/>
        </w:rPr>
        <w:t xml:space="preserve">Guidance and tone</w:t>
      </w:r>
    </w:p>
    <w:p>
      <w:pPr>
        <w:numPr>
          <w:ilvl w:val="0"/>
          <w:numId w:val="1031"/>
        </w:numPr>
        <w:pStyle w:val="Compact"/>
      </w:pPr>
      <w:r>
        <w:rPr>
          <w:bCs/>
          <w:b/>
        </w:rPr>
        <w:t xml:space="preserve">Q3’26:</w:t>
      </w:r>
      <w:r>
        <w:t xml:space="preserve"> </w:t>
      </w:r>
      <w:r>
        <w:t xml:space="preserve">+8-9% constant-currency revenue; Chuseok timing is a headwind (</w:t>
      </w:r>
      <w:hyperlink r:id="rId335">
        <w:r>
          <w:rPr>
            <w:rStyle w:val="Hyperlink"/>
          </w:rPr>
          <w:t xml:space="preserve">#213</w:t>
        </w:r>
      </w:hyperlink>
      <w:r>
        <w:t xml:space="preserve">). Adjusted EBITDA margin -300 to -400bp YoY.</w:t>
      </w:r>
    </w:p>
    <w:p>
      <w:pPr>
        <w:numPr>
          <w:ilvl w:val="0"/>
          <w:numId w:val="1031"/>
        </w:numPr>
        <w:pStyle w:val="Compact"/>
      </w:pPr>
      <w:r>
        <w:rPr>
          <w:bCs/>
          <w:b/>
        </w:rPr>
        <w:t xml:space="preserve">Recovery path:</w:t>
      </w:r>
      <w:r>
        <w:t xml:space="preserve"> </w:t>
      </w:r>
      <w:r>
        <w:t xml:space="preserve">PC margin back to pre-incident levels by mid-2027 (</w:t>
      </w:r>
      <w:hyperlink r:id="rId38">
        <w:r>
          <w:rPr>
            <w:rStyle w:val="Hyperlink"/>
          </w:rPr>
          <w:t xml:space="preserve">#220</w:t>
        </w:r>
      </w:hyperlink>
      <w:r>
        <w:t xml:space="preserve">); 2027 guidance by year-end (</w:t>
      </w:r>
      <w:hyperlink r:id="rId45">
        <w:r>
          <w:rPr>
            <w:rStyle w:val="Hyperlink"/>
          </w:rPr>
          <w:t xml:space="preserve">#221</w:t>
        </w:r>
      </w:hyperlink>
      <w:r>
        <w:t xml:space="preserve">).</w:t>
      </w:r>
    </w:p>
    <w:p>
      <w:pPr>
        <w:numPr>
          <w:ilvl w:val="0"/>
          <w:numId w:val="1031"/>
        </w:numPr>
        <w:pStyle w:val="Compact"/>
      </w:pPr>
      <w:r>
        <w:rPr>
          <w:bCs/>
          <w:b/>
        </w:rPr>
        <w:t xml:space="preserve">Developing Offerings:</w:t>
      </w:r>
      <w:r>
        <w:t xml:space="preserve"> </w:t>
      </w:r>
      <w:r>
        <w:t xml:space="preserve">loss guide of US$950m-1bn reiterated (</w:t>
      </w:r>
      <w:hyperlink r:id="rId49">
        <w:r>
          <w:rPr>
            <w:rStyle w:val="Hyperlink"/>
          </w:rPr>
          <w:t xml:space="preserve">#223</w:t>
        </w:r>
      </w:hyperlink>
      <w:r>
        <w:t xml:space="preserve">).</w:t>
      </w:r>
    </w:p>
    <w:p>
      <w:pPr>
        <w:numPr>
          <w:ilvl w:val="0"/>
          <w:numId w:val="1031"/>
        </w:numPr>
        <w:pStyle w:val="Compact"/>
      </w:pPr>
      <w:r>
        <w:rPr>
          <w:bCs/>
          <w:b/>
        </w:rPr>
        <w:t xml:space="preserve">Tone:</w:t>
      </w:r>
      <w:r>
        <w:t xml:space="preserve"> </w:t>
      </w:r>
      <w:r>
        <w:t xml:space="preserve">firmer on demand, but this is a second deferral of margin normalisation.</w:t>
      </w:r>
    </w:p>
    <w:p>
      <w:pPr>
        <w:numPr>
          <w:ilvl w:val="0"/>
          <w:numId w:val="1031"/>
        </w:numPr>
        <w:pStyle w:val="Compact"/>
      </w:pPr>
      <w:r>
        <w:rPr>
          <w:bCs/>
          <w:b/>
        </w:rPr>
        <w:t xml:space="preserve">Analysts on the call:</w:t>
      </w:r>
      <w:r>
        <w:t xml:space="preserve"> </w:t>
      </w:r>
      <w:r>
        <w:t xml:space="preserve">Stanley Yang (JPMorgan) asked whether margins return in 2027; management said yes, by mid-2027 (</w:t>
      </w:r>
      <w:hyperlink r:id="rId336">
        <w:r>
          <w:rPr>
            <w:rStyle w:val="Hyperlink"/>
          </w:rPr>
          <w:t xml:space="preserve">#247</w:t>
        </w:r>
      </w:hyperlink>
      <w:r>
        <w:t xml:space="preserve">). Eric Cha (Goldman Sachs) asked about the gap between 16% underlying and 8% reported growth; management attributed it mostly to lower-spending non-returners (</w:t>
      </w:r>
      <w:hyperlink r:id="rId122">
        <w:r>
          <w:rPr>
            <w:rStyle w:val="Hyperlink"/>
          </w:rPr>
          <w:t xml:space="preserve">#329</w:t>
        </w:r>
      </w:hyperlink>
      <w:r>
        <w:t xml:space="preserve">). Jiong Shao (Barclays) probed the implied ~6-7% PC growth in Q3 (</w:t>
      </w:r>
      <w:hyperlink r:id="rId337">
        <w:r>
          <w:rPr>
            <w:rStyle w:val="Hyperlink"/>
          </w:rPr>
          <w:t xml:space="preserve">#432</w:t>
        </w:r>
      </w:hyperlink>
      <w:r>
        <w:t xml:space="preserve">).</w:t>
      </w:r>
    </w:p>
    <w:p>
      <w:pPr>
        <w:pStyle w:val="FirstParagraph"/>
      </w:pPr>
      <w:r>
        <w:rPr>
          <w:bCs/>
          <w:b/>
        </w:rPr>
        <w:t xml:space="preserve">Balance-sheet flags</w:t>
      </w:r>
    </w:p>
    <w:p>
      <w:pPr>
        <w:numPr>
          <w:ilvl w:val="0"/>
          <w:numId w:val="1032"/>
        </w:numPr>
        <w:pStyle w:val="Compact"/>
      </w:pPr>
      <w:r>
        <w:t xml:space="preserve">The US$410m of fines is accrued but unpaid; accrued expenses rose from</w:t>
      </w:r>
      <w:r>
        <w:t xml:space="preserve"> </w:t>
      </w:r>
      <w:hyperlink r:id="rId338">
        <w:r>
          <w:rPr>
            <w:rStyle w:val="Hyperlink"/>
          </w:rPr>
          <w:t xml:space="preserve">US$406m</w:t>
        </w:r>
      </w:hyperlink>
      <w:r>
        <w:t xml:space="preserve"> </w:t>
      </w:r>
      <w:r>
        <w:t xml:space="preserve">to</w:t>
      </w:r>
      <w:r>
        <w:t xml:space="preserve"> </w:t>
      </w:r>
      <w:hyperlink r:id="rId339">
        <w:r>
          <w:rPr>
            <w:rStyle w:val="Hyperlink"/>
          </w:rPr>
          <w:t xml:space="preserve">US$876m</w:t>
        </w:r>
      </w:hyperlink>
      <w:r>
        <w:t xml:space="preserve">.</w:t>
      </w:r>
    </w:p>
    <w:p>
      <w:pPr>
        <w:numPr>
          <w:ilvl w:val="0"/>
          <w:numId w:val="1032"/>
        </w:numPr>
        <w:pStyle w:val="Compact"/>
      </w:pPr>
      <w:r>
        <w:t xml:space="preserve">US$750m is drawn on the revolver (</w:t>
      </w:r>
      <w:hyperlink r:id="rId51">
        <w:r>
          <w:rPr>
            <w:rStyle w:val="Hyperlink"/>
          </w:rPr>
          <w:t xml:space="preserve">#165</w:t>
        </w:r>
      </w:hyperlink>
      <w:r>
        <w:t xml:space="preserve">); short-term borrowings are</w:t>
      </w:r>
      <w:r>
        <w:t xml:space="preserve"> </w:t>
      </w:r>
      <w:hyperlink r:id="rId340">
        <w:r>
          <w:rPr>
            <w:rStyle w:val="Hyperlink"/>
          </w:rPr>
          <w:t xml:space="preserve">US$1,985m</w:t>
        </w:r>
      </w:hyperlink>
      <w:r>
        <w:t xml:space="preserve">, against</w:t>
      </w:r>
      <w:r>
        <w:t xml:space="preserve"> </w:t>
      </w:r>
      <w:hyperlink r:id="rId64">
        <w:r>
          <w:rPr>
            <w:rStyle w:val="Hyperlink"/>
          </w:rPr>
          <w:t xml:space="preserve">US$960m</w:t>
        </w:r>
      </w:hyperlink>
      <w:r>
        <w:t xml:space="preserve"> </w:t>
      </w:r>
      <w:r>
        <w:t xml:space="preserve">at YE25.</w:t>
      </w:r>
    </w:p>
    <w:p>
      <w:pPr>
        <w:numPr>
          <w:ilvl w:val="0"/>
          <w:numId w:val="1032"/>
        </w:numPr>
        <w:pStyle w:val="Compact"/>
      </w:pPr>
      <w:r>
        <w:t xml:space="preserve">Equity fell to ~US$3.0bn from US$4.6bn at YE25 (</w:t>
      </w:r>
      <w:hyperlink r:id="rId341">
        <w:r>
          <w:rPr>
            <w:rStyle w:val="Hyperlink"/>
          </w:rPr>
          <w:t xml:space="preserve">#130</w:t>
        </w:r>
      </w:hyperlink>
      <w:r>
        <w:t xml:space="preserve">).</w:t>
      </w:r>
    </w:p>
    <w:p>
      <w:pPr>
        <w:numPr>
          <w:ilvl w:val="0"/>
          <w:numId w:val="1032"/>
        </w:numPr>
        <w:pStyle w:val="Compact"/>
      </w:pPr>
      <w:r>
        <w:t xml:space="preserve">Inventory fell and payables rose (</w:t>
      </w:r>
      <w:hyperlink r:id="rId342">
        <w:r>
          <w:rPr>
            <w:rStyle w:val="Hyperlink"/>
          </w:rPr>
          <w:t xml:space="preserve">#142</w:t>
        </w:r>
      </w:hyperlink>
      <w:r>
        <w:t xml:space="preserve">), so working capital helped CFO.</w:t>
      </w:r>
    </w:p>
    <w:p>
      <w:pPr>
        <w:numPr>
          <w:ilvl w:val="0"/>
          <w:numId w:val="1032"/>
        </w:numPr>
        <w:pStyle w:val="Compact"/>
      </w:pPr>
      <w:r>
        <w:t xml:space="preserve">TTM FCF was only US$105m (</w:t>
      </w:r>
      <w:hyperlink r:id="rId343">
        <w:r>
          <w:rPr>
            <w:rStyle w:val="Hyperlink"/>
          </w:rPr>
          <w:t xml:space="preserve">#206</w:t>
        </w:r>
      </w:hyperlink>
      <w:r>
        <w:t xml:space="preserve">) while US$459m of stock was repurchased.</w:t>
      </w:r>
    </w:p>
    <w:p>
      <w:pPr>
        <w:numPr>
          <w:ilvl w:val="0"/>
          <w:numId w:val="1032"/>
        </w:numPr>
        <w:pStyle w:val="Compact"/>
      </w:pPr>
      <w:r>
        <w:t xml:space="preserve">New items: the NTS transfer-pricing claim of ~US$208m (unreserved,</w:t>
      </w:r>
      <w:r>
        <w:t xml:space="preserve"> </w:t>
      </w:r>
      <w:hyperlink r:id="rId182">
        <w:r>
          <w:rPr>
            <w:rStyle w:val="Hyperlink"/>
          </w:rPr>
          <w:t xml:space="preserve">#345</w:t>
        </w:r>
      </w:hyperlink>
      <w:r>
        <w:t xml:space="preserve">) and the Incheon fire (~US$246m exposure,</w:t>
      </w:r>
      <w:r>
        <w:t xml:space="preserve"> </w:t>
      </w:r>
      <w:hyperlink r:id="rId109">
        <w:r>
          <w:rPr>
            <w:rStyle w:val="Hyperlink"/>
          </w:rPr>
          <w:t xml:space="preserve">#470</w:t>
        </w:r>
      </w:hyperlink>
      <w:r>
        <w:t xml:space="preserve">).</w:t>
      </w:r>
    </w:p>
    <w:p>
      <w:pPr>
        <w:pStyle w:val="FirstParagraph"/>
      </w:pPr>
      <w:r>
        <w:rPr>
          <w:bCs/>
          <w:b/>
        </w:rPr>
        <w:t xml:space="preserve">Market reaction.</w:t>
      </w:r>
      <w:r>
        <w:t xml:space="preserve"> </w:t>
      </w:r>
      <w:r>
        <w:t xml:space="preserve">The stock fell 4.6% the next day (US$16.78 to US$16.00 ‡) and recovered 2.2% the day after. Compare -13.8% after Q1. The muted reaction to a large GAAP loss says the fines and the margin trough were priced. What the market did not reward was the slip in the recovery date.</w:t>
      </w:r>
    </w:p>
    <w:p>
      <w:pPr>
        <w:pStyle w:val="BodyText"/>
      </w:pPr>
      <w:r>
        <w:rPr>
          <w:bCs/>
          <w:b/>
        </w:rPr>
        <w:t xml:space="preserve">Unusual relative to history</w:t>
      </w:r>
    </w:p>
    <w:p>
      <w:pPr>
        <w:numPr>
          <w:ilvl w:val="0"/>
          <w:numId w:val="1033"/>
        </w:numPr>
        <w:pStyle w:val="Compact"/>
      </w:pPr>
      <w:r>
        <w:t xml:space="preserve">The first consecutive GAAP operating losses since 2022.</w:t>
      </w:r>
    </w:p>
    <w:p>
      <w:pPr>
        <w:numPr>
          <w:ilvl w:val="0"/>
          <w:numId w:val="1033"/>
        </w:numPr>
        <w:pStyle w:val="Compact"/>
      </w:pPr>
      <w:r>
        <w:t xml:space="preserve">The first</w:t>
      </w:r>
      <w:r>
        <w:t xml:space="preserve"> </w:t>
      </w:r>
      <w:r>
        <w:t xml:space="preserve">“</w:t>
      </w:r>
      <w:r>
        <w:t xml:space="preserve">administrative fines</w:t>
      </w:r>
      <w:r>
        <w:t xml:space="preserve">”</w:t>
      </w:r>
      <w:r>
        <w:t xml:space="preserve"> </w:t>
      </w:r>
      <w:r>
        <w:t xml:space="preserve">reconciling item in adjusted EBITDA.</w:t>
      </w:r>
    </w:p>
    <w:p>
      <w:pPr>
        <w:numPr>
          <w:ilvl w:val="0"/>
          <w:numId w:val="1033"/>
        </w:numPr>
        <w:pStyle w:val="Compact"/>
      </w:pPr>
      <w:r>
        <w:t xml:space="preserve">Tax expense on a pre-tax loss.</w:t>
      </w:r>
    </w:p>
    <w:p>
      <w:pPr>
        <w:numPr>
          <w:ilvl w:val="0"/>
          <w:numId w:val="1033"/>
        </w:numPr>
        <w:pStyle w:val="Compact"/>
      </w:pPr>
      <w:r>
        <w:t xml:space="preserve">SBC jumped to</w:t>
      </w:r>
      <w:r>
        <w:t xml:space="preserve"> </w:t>
      </w:r>
      <w:hyperlink r:id="rId20">
        <w:r>
          <w:rPr>
            <w:rStyle w:val="Hyperlink"/>
          </w:rPr>
          <w:t xml:space="preserve">US$161m</w:t>
        </w:r>
      </w:hyperlink>
      <w:r>
        <w:t xml:space="preserve"> </w:t>
      </w:r>
      <w:r>
        <w:t xml:space="preserve">from US$113m a year earlier.</w:t>
      </w:r>
    </w:p>
    <w:p>
      <w:pPr>
        <w:numPr>
          <w:ilvl w:val="0"/>
          <w:numId w:val="1033"/>
        </w:numPr>
        <w:pStyle w:val="Compact"/>
      </w:pPr>
      <w:r>
        <w:t xml:space="preserve">Buybacks funded alongside revolver drawings.</w:t>
      </w:r>
    </w:p>
    <w:bookmarkEnd w:id="344"/>
    <w:bookmarkStart w:id="348" w:name="eps-estimates-fy2026e-fy2028e"/>
    <w:p>
      <w:pPr>
        <w:pStyle w:val="Heading1"/>
      </w:pPr>
      <w:r>
        <w:t xml:space="preserve">11. EPS estimates, FY2026E-FY2028E</w:t>
      </w:r>
    </w:p>
    <w:p>
      <w:pPr>
        <w:pStyle w:val="FirstParagraph"/>
      </w:pPr>
      <w:r>
        <w:rPr>
          <w:bCs/>
          <w:b/>
        </w:rPr>
        <w:t xml:space="preserve">Approach.</w:t>
      </w:r>
      <w:r>
        <w:t xml:space="preserve"> </w:t>
      </w:r>
      <w:r>
        <w:t xml:space="preserve">We build from segments:</w:t>
      </w:r>
    </w:p>
    <w:p>
      <w:pPr>
        <w:numPr>
          <w:ilvl w:val="0"/>
          <w:numId w:val="1034"/>
        </w:numPr>
        <w:pStyle w:val="Compact"/>
      </w:pPr>
      <w:r>
        <w:rPr>
          <w:bCs/>
          <w:b/>
        </w:rPr>
        <w:t xml:space="preserve">Revenue:</w:t>
      </w:r>
      <w:r>
        <w:t xml:space="preserve"> </w:t>
      </w:r>
      <w:r>
        <w:t xml:space="preserve">Product Commerce and Developing Offerings growth in constant currency, translated at an assumed persistent KRW-weakness drag in H2’26 and flat FX thereafter.</w:t>
      </w:r>
    </w:p>
    <w:p>
      <w:pPr>
        <w:numPr>
          <w:ilvl w:val="0"/>
          <w:numId w:val="1034"/>
        </w:numPr>
        <w:pStyle w:val="Compact"/>
      </w:pPr>
      <w:r>
        <w:rPr>
          <w:bCs/>
          <w:b/>
        </w:rPr>
        <w:t xml:space="preserve">Margins:</w:t>
      </w:r>
      <w:r>
        <w:t xml:space="preserve"> </w:t>
      </w:r>
      <w:r>
        <w:t xml:space="preserve">Product Commerce margin recovery and Developing Offerings loss reduction.</w:t>
      </w:r>
    </w:p>
    <w:p>
      <w:pPr>
        <w:numPr>
          <w:ilvl w:val="0"/>
          <w:numId w:val="1034"/>
        </w:numPr>
        <w:pStyle w:val="Compact"/>
      </w:pPr>
      <w:r>
        <w:rPr>
          <w:bCs/>
          <w:b/>
        </w:rPr>
        <w:t xml:space="preserve">Below EBITDA:</w:t>
      </w:r>
      <w:r>
        <w:t xml:space="preserve"> </w:t>
      </w:r>
      <w:r>
        <w:t xml:space="preserve">D&amp;A rising with capex; SBC; one-off items (fines, fire, insurance); net interest; an effective tax rate falling as Taiwan and Farfetch losses shrink; buybacks against SBC dilution.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US$m (base case)</w:t>
            </w:r>
          </w:p>
        </w:tc>
        <w:tc>
          <w:tcPr/>
          <w:p>
            <w:pPr>
              <w:pStyle w:val="Compact"/>
              <w:jc w:val="left"/>
            </w:pPr>
            <w:r>
              <w:t xml:space="preserve">FY2025A</w:t>
            </w:r>
          </w:p>
        </w:tc>
        <w:tc>
          <w:tcPr/>
          <w:p>
            <w:pPr>
              <w:pStyle w:val="Compact"/>
              <w:jc w:val="left"/>
            </w:pPr>
            <w:r>
              <w:t xml:space="preserve">FY2026E</w:t>
            </w:r>
          </w:p>
        </w:tc>
        <w:tc>
          <w:tcPr/>
          <w:p>
            <w:pPr>
              <w:pStyle w:val="Compact"/>
              <w:jc w:val="left"/>
            </w:pPr>
            <w:r>
              <w:t xml:space="preserve">FY2027E</w:t>
            </w:r>
          </w:p>
        </w:tc>
        <w:tc>
          <w:tcPr/>
          <w:p>
            <w:pPr>
              <w:pStyle w:val="Compact"/>
              <w:jc w:val="left"/>
            </w:pPr>
            <w:r>
              <w:t xml:space="preserve">FY2028E</w:t>
            </w:r>
          </w:p>
        </w:tc>
      </w:tr>
      <w:tr>
        <w:tc>
          <w:tcPr/>
          <w:p>
            <w:pPr>
              <w:pStyle w:val="Compact"/>
              <w:jc w:val="left"/>
            </w:pPr>
            <w:r>
              <w:t xml:space="preserve">Product Commerce revenue</w:t>
            </w:r>
          </w:p>
        </w:tc>
        <w:tc>
          <w:tcPr/>
          <w:p>
            <w:pPr>
              <w:pStyle w:val="Compact"/>
              <w:jc w:val="left"/>
            </w:pPr>
            <w:r>
              <w:t xml:space="preserve">29,600</w:t>
            </w:r>
          </w:p>
        </w:tc>
        <w:tc>
          <w:tcPr/>
          <w:p>
            <w:pPr>
              <w:pStyle w:val="Compact"/>
              <w:jc w:val="left"/>
            </w:pPr>
            <w:r>
              <w:t xml:space="preserve">30,712</w:t>
            </w:r>
          </w:p>
        </w:tc>
        <w:tc>
          <w:tcPr/>
          <w:p>
            <w:pPr>
              <w:pStyle w:val="Compact"/>
              <w:jc w:val="left"/>
            </w:pPr>
            <w:r>
              <w:t xml:space="preserve">34,090</w:t>
            </w:r>
          </w:p>
        </w:tc>
        <w:tc>
          <w:tcPr/>
          <w:p>
            <w:pPr>
              <w:pStyle w:val="Compact"/>
              <w:jc w:val="left"/>
            </w:pPr>
            <w:r>
              <w:t xml:space="preserve">37,499</w:t>
            </w:r>
          </w:p>
        </w:tc>
      </w:tr>
      <w:tr>
        <w:tc>
          <w:tcPr/>
          <w:p>
            <w:pPr>
              <w:pStyle w:val="Compact"/>
              <w:jc w:val="left"/>
            </w:pPr>
            <w:r>
              <w:t xml:space="preserve">Developing Offerings revenue</w:t>
            </w:r>
          </w:p>
        </w:tc>
        <w:tc>
          <w:tcPr/>
          <w:p>
            <w:pPr>
              <w:pStyle w:val="Compact"/>
              <w:jc w:val="left"/>
            </w:pPr>
            <w:r>
              <w:t xml:space="preserve">4,934</w:t>
            </w:r>
          </w:p>
        </w:tc>
        <w:tc>
          <w:tcPr/>
          <w:p>
            <w:pPr>
              <w:pStyle w:val="Compact"/>
              <w:jc w:val="left"/>
            </w:pPr>
            <w:r>
              <w:t xml:space="preserve">5,974</w:t>
            </w:r>
          </w:p>
        </w:tc>
        <w:tc>
          <w:tcPr/>
          <w:p>
            <w:pPr>
              <w:pStyle w:val="Compact"/>
              <w:jc w:val="left"/>
            </w:pPr>
            <w:r>
              <w:t xml:space="preserve">7,049</w:t>
            </w:r>
          </w:p>
        </w:tc>
        <w:tc>
          <w:tcPr/>
          <w:p>
            <w:pPr>
              <w:pStyle w:val="Compact"/>
              <w:jc w:val="left"/>
            </w:pPr>
            <w:r>
              <w:t xml:space="preserve">8,318</w:t>
            </w:r>
          </w:p>
        </w:tc>
      </w:tr>
      <w:tr>
        <w:tc>
          <w:tcPr/>
          <w:p>
            <w:pPr>
              <w:pStyle w:val="Compact"/>
              <w:jc w:val="left"/>
            </w:pPr>
            <w:r>
              <w:rPr>
                <w:bCs/>
                <w:b/>
              </w:rPr>
              <w:t xml:space="preserve">Total revenue</w:t>
            </w:r>
          </w:p>
        </w:tc>
        <w:tc>
          <w:tcPr/>
          <w:p>
            <w:pPr>
              <w:pStyle w:val="Compact"/>
              <w:jc w:val="left"/>
            </w:pPr>
            <w:r>
              <w:rPr>
                <w:bCs/>
                <w:b/>
              </w:rPr>
              <w:t xml:space="preserve">34,534</w:t>
            </w:r>
          </w:p>
        </w:tc>
        <w:tc>
          <w:tcPr/>
          <w:p>
            <w:pPr>
              <w:pStyle w:val="Compact"/>
              <w:jc w:val="left"/>
            </w:pPr>
            <w:r>
              <w:rPr>
                <w:bCs/>
                <w:b/>
              </w:rPr>
              <w:t xml:space="preserve">36,686</w:t>
            </w:r>
          </w:p>
        </w:tc>
        <w:tc>
          <w:tcPr/>
          <w:p>
            <w:pPr>
              <w:pStyle w:val="Compact"/>
              <w:jc w:val="left"/>
            </w:pPr>
            <w:r>
              <w:rPr>
                <w:bCs/>
                <w:b/>
              </w:rPr>
              <w:t xml:space="preserve">41,139</w:t>
            </w:r>
          </w:p>
        </w:tc>
        <w:tc>
          <w:tcPr/>
          <w:p>
            <w:pPr>
              <w:pStyle w:val="Compact"/>
              <w:jc w:val="left"/>
            </w:pPr>
            <w:r>
              <w:rPr>
                <w:bCs/>
                <w:b/>
              </w:rPr>
              <w:t xml:space="preserve">45,817</w:t>
            </w:r>
          </w:p>
        </w:tc>
      </w:tr>
      <w:tr>
        <w:tc>
          <w:tcPr/>
          <w:p>
            <w:pPr>
              <w:pStyle w:val="Compact"/>
              <w:jc w:val="left"/>
            </w:pPr>
            <w:r>
              <w:t xml:space="preserve">Growth (USD)</w:t>
            </w:r>
          </w:p>
        </w:tc>
        <w:tc>
          <w:tcPr/>
          <w:p>
            <w:pPr>
              <w:pStyle w:val="Compact"/>
              <w:jc w:val="left"/>
            </w:pPr>
            <w:r>
              <w:t xml:space="preserve">+14.1%</w:t>
            </w:r>
          </w:p>
        </w:tc>
        <w:tc>
          <w:tcPr/>
          <w:p>
            <w:pPr>
              <w:pStyle w:val="Compact"/>
              <w:jc w:val="left"/>
            </w:pPr>
            <w:r>
              <w:t xml:space="preserve">+6.2%</w:t>
            </w:r>
          </w:p>
        </w:tc>
        <w:tc>
          <w:tcPr/>
          <w:p>
            <w:pPr>
              <w:pStyle w:val="Compact"/>
              <w:jc w:val="left"/>
            </w:pPr>
            <w:r>
              <w:t xml:space="preserve">+12.1%</w:t>
            </w:r>
          </w:p>
        </w:tc>
        <w:tc>
          <w:tcPr/>
          <w:p>
            <w:pPr>
              <w:pStyle w:val="Compact"/>
              <w:jc w:val="left"/>
            </w:pPr>
            <w:r>
              <w:t xml:space="preserve">+11.4%</w:t>
            </w:r>
          </w:p>
        </w:tc>
      </w:tr>
      <w:tr>
        <w:tc>
          <w:tcPr/>
          <w:p>
            <w:pPr>
              <w:pStyle w:val="Compact"/>
              <w:jc w:val="left"/>
            </w:pPr>
            <w:r>
              <w:t xml:space="preserve">PC adj. EBITDA margin</w:t>
            </w:r>
          </w:p>
        </w:tc>
        <w:tc>
          <w:tcPr/>
          <w:p>
            <w:pPr>
              <w:pStyle w:val="Compact"/>
              <w:jc w:val="left"/>
            </w:pPr>
            <w:r>
              <w:t xml:space="preserve">8.4%</w:t>
            </w:r>
          </w:p>
        </w:tc>
        <w:tc>
          <w:tcPr/>
          <w:p>
            <w:pPr>
              <w:pStyle w:val="Compact"/>
              <w:jc w:val="left"/>
            </w:pPr>
            <w:r>
              <w:t xml:space="preserve">5.2% [d]</w:t>
            </w:r>
          </w:p>
        </w:tc>
        <w:tc>
          <w:tcPr/>
          <w:p>
            <w:pPr>
              <w:pStyle w:val="Compact"/>
              <w:jc w:val="left"/>
            </w:pPr>
            <w:r>
              <w:t xml:space="preserve">7.3%</w:t>
            </w:r>
          </w:p>
        </w:tc>
        <w:tc>
          <w:tcPr/>
          <w:p>
            <w:pPr>
              <w:pStyle w:val="Compact"/>
              <w:jc w:val="left"/>
            </w:pPr>
            <w:r>
              <w:t xml:space="preserve">8.6%</w:t>
            </w:r>
          </w:p>
        </w:tc>
      </w:tr>
      <w:tr>
        <w:tc>
          <w:tcPr/>
          <w:p>
            <w:pPr>
              <w:pStyle w:val="Compact"/>
              <w:jc w:val="left"/>
            </w:pPr>
            <w:r>
              <w:t xml:space="preserve">DO adj. EBITDA</w:t>
            </w:r>
          </w:p>
        </w:tc>
        <w:tc>
          <w:tcPr/>
          <w:p>
            <w:pPr>
              <w:pStyle w:val="Compact"/>
              <w:jc w:val="left"/>
            </w:pPr>
            <w:r>
              <w:t xml:space="preserve">-995</w:t>
            </w:r>
          </w:p>
        </w:tc>
        <w:tc>
          <w:tcPr/>
          <w:p>
            <w:pPr>
              <w:pStyle w:val="Compact"/>
              <w:jc w:val="left"/>
            </w:pPr>
            <w:r>
              <w:t xml:space="preserve">~-975 (guide midpoint)</w:t>
            </w:r>
          </w:p>
        </w:tc>
        <w:tc>
          <w:tcPr/>
          <w:p>
            <w:pPr>
              <w:pStyle w:val="Compact"/>
              <w:jc w:val="left"/>
            </w:pPr>
            <w:r>
              <w:t xml:space="preserve">-800</w:t>
            </w:r>
          </w:p>
        </w:tc>
        <w:tc>
          <w:tcPr/>
          <w:p>
            <w:pPr>
              <w:pStyle w:val="Compact"/>
              <w:jc w:val="left"/>
            </w:pPr>
            <w:r>
              <w:t xml:space="preserve">-600</w:t>
            </w:r>
          </w:p>
        </w:tc>
      </w:tr>
      <w:tr>
        <w:tc>
          <w:tcPr/>
          <w:p>
            <w:pPr>
              <w:pStyle w:val="Compact"/>
              <w:jc w:val="left"/>
            </w:pPr>
            <w:r>
              <w:rPr>
                <w:bCs/>
                <w:b/>
              </w:rPr>
              <w:t xml:space="preserve">Adj. EBITDA</w:t>
            </w:r>
          </w:p>
        </w:tc>
        <w:tc>
          <w:tcPr/>
          <w:p>
            <w:pPr>
              <w:pStyle w:val="Compact"/>
              <w:jc w:val="left"/>
            </w:pPr>
            <w:r>
              <w:t xml:space="preserve">~1,485</w:t>
            </w:r>
          </w:p>
        </w:tc>
        <w:tc>
          <w:tcPr/>
          <w:p>
            <w:pPr>
              <w:pStyle w:val="Compact"/>
              <w:jc w:val="left"/>
            </w:pPr>
            <w:r>
              <w:t xml:space="preserve">608</w:t>
            </w:r>
          </w:p>
        </w:tc>
        <w:tc>
          <w:tcPr/>
          <w:p>
            <w:pPr>
              <w:pStyle w:val="Compact"/>
              <w:jc w:val="left"/>
            </w:pPr>
            <w:r>
              <w:t xml:space="preserve">1,689</w:t>
            </w:r>
          </w:p>
        </w:tc>
        <w:tc>
          <w:tcPr/>
          <w:p>
            <w:pPr>
              <w:pStyle w:val="Compact"/>
              <w:jc w:val="left"/>
            </w:pPr>
            <w:r>
              <w:t xml:space="preserve">2,625</w:t>
            </w:r>
          </w:p>
        </w:tc>
      </w:tr>
      <w:tr>
        <w:tc>
          <w:tcPr/>
          <w:p>
            <w:pPr>
              <w:pStyle w:val="Compact"/>
              <w:jc w:val="left"/>
            </w:pPr>
            <w:r>
              <w:t xml:space="preserve">Adj. EBITDA margin</w:t>
            </w:r>
          </w:p>
        </w:tc>
        <w:tc>
          <w:tcPr/>
          <w:p>
            <w:pPr>
              <w:pStyle w:val="Compact"/>
              <w:jc w:val="left"/>
            </w:pPr>
            <w:r>
              <w:t xml:space="preserve">4.3%</w:t>
            </w:r>
          </w:p>
        </w:tc>
        <w:tc>
          <w:tcPr/>
          <w:p>
            <w:pPr>
              <w:pStyle w:val="Compact"/>
              <w:jc w:val="left"/>
            </w:pPr>
            <w:r>
              <w:t xml:space="preserve">1.7%</w:t>
            </w:r>
          </w:p>
        </w:tc>
        <w:tc>
          <w:tcPr/>
          <w:p>
            <w:pPr>
              <w:pStyle w:val="Compact"/>
              <w:jc w:val="left"/>
            </w:pPr>
            <w:r>
              <w:t xml:space="preserve">4.1%</w:t>
            </w:r>
          </w:p>
        </w:tc>
        <w:tc>
          <w:tcPr/>
          <w:p>
            <w:pPr>
              <w:pStyle w:val="Compact"/>
              <w:jc w:val="left"/>
            </w:pPr>
            <w:r>
              <w:t xml:space="preserve">5.7%</w:t>
            </w:r>
          </w:p>
        </w:tc>
      </w:tr>
      <w:tr>
        <w:tc>
          <w:tcPr/>
          <w:p>
            <w:pPr>
              <w:pStyle w:val="Compact"/>
              <w:jc w:val="left"/>
            </w:pPr>
            <w:r>
              <w:t xml:space="preserve">D&amp;A</w:t>
            </w:r>
          </w:p>
        </w:tc>
        <w:tc>
          <w:tcPr/>
          <w:p>
            <w:pPr>
              <w:pStyle w:val="Compact"/>
              <w:jc w:val="left"/>
            </w:pPr>
            <w:r>
              <w:t xml:space="preserve">517</w:t>
            </w:r>
          </w:p>
        </w:tc>
        <w:tc>
          <w:tcPr/>
          <w:p>
            <w:pPr>
              <w:pStyle w:val="Compact"/>
              <w:jc w:val="left"/>
            </w:pPr>
            <w:r>
              <w:t xml:space="preserve">593</w:t>
            </w:r>
          </w:p>
        </w:tc>
        <w:tc>
          <w:tcPr/>
          <w:p>
            <w:pPr>
              <w:pStyle w:val="Compact"/>
              <w:jc w:val="left"/>
            </w:pPr>
            <w:r>
              <w:t xml:space="preserve">680</w:t>
            </w:r>
          </w:p>
        </w:tc>
        <w:tc>
          <w:tcPr/>
          <w:p>
            <w:pPr>
              <w:pStyle w:val="Compact"/>
              <w:jc w:val="left"/>
            </w:pPr>
            <w:r>
              <w:t xml:space="preserve">780</w:t>
            </w:r>
          </w:p>
        </w:tc>
      </w:tr>
      <w:tr>
        <w:tc>
          <w:tcPr/>
          <w:p>
            <w:pPr>
              <w:pStyle w:val="Compact"/>
              <w:jc w:val="left"/>
            </w:pPr>
            <w:r>
              <w:t xml:space="preserve">SBC</w:t>
            </w:r>
          </w:p>
        </w:tc>
        <w:tc>
          <w:tcPr/>
          <w:p>
            <w:pPr>
              <w:pStyle w:val="Compact"/>
              <w:jc w:val="left"/>
            </w:pPr>
            <w:r>
              <w:t xml:space="preserve">475</w:t>
            </w:r>
          </w:p>
        </w:tc>
        <w:tc>
          <w:tcPr/>
          <w:p>
            <w:pPr>
              <w:pStyle w:val="Compact"/>
              <w:jc w:val="left"/>
            </w:pPr>
            <w:r>
              <w:t xml:space="preserve">563</w:t>
            </w:r>
          </w:p>
        </w:tc>
        <w:tc>
          <w:tcPr/>
          <w:p>
            <w:pPr>
              <w:pStyle w:val="Compact"/>
              <w:jc w:val="left"/>
            </w:pPr>
            <w:r>
              <w:t xml:space="preserve">580</w:t>
            </w:r>
          </w:p>
        </w:tc>
        <w:tc>
          <w:tcPr/>
          <w:p>
            <w:pPr>
              <w:pStyle w:val="Compact"/>
              <w:jc w:val="left"/>
            </w:pPr>
            <w:r>
              <w:t xml:space="preserve">620</w:t>
            </w:r>
          </w:p>
        </w:tc>
      </w:tr>
      <w:tr>
        <w:tc>
          <w:tcPr/>
          <w:p>
            <w:pPr>
              <w:pStyle w:val="Compact"/>
              <w:jc w:val="left"/>
            </w:pPr>
            <w:r>
              <w:t xml:space="preserve">One-offs (fines, fire, insurance)</w:t>
            </w:r>
          </w:p>
        </w:tc>
        <w:tc>
          <w:tcPr/>
          <w:p>
            <w:pPr>
              <w:pStyle w:val="Compact"/>
              <w:jc w:val="left"/>
            </w:pPr>
            <w:r>
              <w:t xml:space="preserve">-25</w:t>
            </w:r>
          </w:p>
        </w:tc>
        <w:tc>
          <w:tcPr/>
          <w:p>
            <w:pPr>
              <w:pStyle w:val="Compact"/>
              <w:jc w:val="left"/>
            </w:pPr>
            <w:r>
              <w:t xml:space="preserve">-560 (fines -410, fire -150 [e])</w:t>
            </w:r>
          </w:p>
        </w:tc>
        <w:tc>
          <w:tcPr/>
          <w:p>
            <w:pPr>
              <w:pStyle w:val="Compact"/>
              <w:jc w:val="left"/>
            </w:pPr>
            <w:r>
              <w:t xml:space="preserve">+100 (insurance [e])</w:t>
            </w:r>
          </w:p>
        </w:tc>
        <w:tc>
          <w:tcPr/>
          <w:p>
            <w:pPr>
              <w:pStyle w:val="Compact"/>
              <w:jc w:val="left"/>
            </w:pPr>
            <w:r>
              <w:t xml:space="preserve">0</w:t>
            </w:r>
          </w:p>
        </w:tc>
      </w:tr>
      <w:tr>
        <w:tc>
          <w:tcPr/>
          <w:p>
            <w:pPr>
              <w:pStyle w:val="Compact"/>
              <w:jc w:val="left"/>
            </w:pPr>
            <w:r>
              <w:rPr>
                <w:bCs/>
                <w:b/>
              </w:rPr>
              <w:t xml:space="preserve">GAAP EBIT</w:t>
            </w:r>
          </w:p>
        </w:tc>
        <w:tc>
          <w:tcPr/>
          <w:p>
            <w:pPr>
              <w:pStyle w:val="Compact"/>
              <w:jc w:val="left"/>
            </w:pPr>
            <w:r>
              <w:t xml:space="preserve">473</w:t>
            </w:r>
          </w:p>
        </w:tc>
        <w:tc>
          <w:tcPr/>
          <w:p>
            <w:pPr>
              <w:pStyle w:val="Compact"/>
              <w:jc w:val="left"/>
            </w:pPr>
            <w:r>
              <w:t xml:space="preserve">-1,117</w:t>
            </w:r>
          </w:p>
        </w:tc>
        <w:tc>
          <w:tcPr/>
          <w:p>
            <w:pPr>
              <w:pStyle w:val="Compact"/>
              <w:jc w:val="left"/>
            </w:pPr>
            <w:r>
              <w:t xml:space="preserve">529</w:t>
            </w:r>
          </w:p>
        </w:tc>
        <w:tc>
          <w:tcPr/>
          <w:p>
            <w:pPr>
              <w:pStyle w:val="Compact"/>
              <w:jc w:val="left"/>
            </w:pPr>
            <w:r>
              <w:t xml:space="preserve">1,225</w:t>
            </w:r>
          </w:p>
        </w:tc>
      </w:tr>
      <w:tr>
        <w:tc>
          <w:tcPr/>
          <w:p>
            <w:pPr>
              <w:pStyle w:val="Compact"/>
              <w:jc w:val="left"/>
            </w:pPr>
            <w:r>
              <w:t xml:space="preserve">Net interest and other</w:t>
            </w:r>
          </w:p>
        </w:tc>
        <w:tc>
          <w:tcPr/>
          <w:p>
            <w:pPr>
              <w:pStyle w:val="Compact"/>
              <w:jc w:val="left"/>
            </w:pPr>
            <w:r>
              <w:t xml:space="preserve">124</w:t>
            </w:r>
          </w:p>
        </w:tc>
        <w:tc>
          <w:tcPr/>
          <w:p>
            <w:pPr>
              <w:pStyle w:val="Compact"/>
              <w:jc w:val="left"/>
            </w:pPr>
            <w:r>
              <w:t xml:space="preserve">30</w:t>
            </w:r>
          </w:p>
        </w:tc>
        <w:tc>
          <w:tcPr/>
          <w:p>
            <w:pPr>
              <w:pStyle w:val="Compact"/>
              <w:jc w:val="left"/>
            </w:pPr>
            <w:r>
              <w:t xml:space="preserve">40</w:t>
            </w:r>
          </w:p>
        </w:tc>
        <w:tc>
          <w:tcPr/>
          <w:p>
            <w:pPr>
              <w:pStyle w:val="Compact"/>
              <w:jc w:val="left"/>
            </w:pPr>
            <w:r>
              <w:t xml:space="preserve">30</w:t>
            </w:r>
          </w:p>
        </w:tc>
      </w:tr>
      <w:tr>
        <w:tc>
          <w:tcPr/>
          <w:p>
            <w:pPr>
              <w:pStyle w:val="Compact"/>
              <w:jc w:val="left"/>
            </w:pPr>
            <w:r>
              <w:t xml:space="preserve">Pre-tax income</w:t>
            </w:r>
          </w:p>
        </w:tc>
        <w:tc>
          <w:tcPr/>
          <w:p>
            <w:pPr>
              <w:pStyle w:val="Compact"/>
              <w:jc w:val="left"/>
            </w:pPr>
            <w:r>
              <w:t xml:space="preserve">597</w:t>
            </w:r>
          </w:p>
        </w:tc>
        <w:tc>
          <w:tcPr/>
          <w:p>
            <w:pPr>
              <w:pStyle w:val="Compact"/>
              <w:jc w:val="left"/>
            </w:pPr>
            <w:r>
              <w:t xml:space="preserve">-1,087</w:t>
            </w:r>
          </w:p>
        </w:tc>
        <w:tc>
          <w:tcPr/>
          <w:p>
            <w:pPr>
              <w:pStyle w:val="Compact"/>
              <w:jc w:val="left"/>
            </w:pPr>
            <w:r>
              <w:t xml:space="preserve">569</w:t>
            </w:r>
          </w:p>
        </w:tc>
        <w:tc>
          <w:tcPr/>
          <w:p>
            <w:pPr>
              <w:pStyle w:val="Compact"/>
              <w:jc w:val="left"/>
            </w:pPr>
            <w:r>
              <w:t xml:space="preserve">1,255</w:t>
            </w:r>
          </w:p>
        </w:tc>
      </w:tr>
      <w:tr>
        <w:tc>
          <w:tcPr/>
          <w:p>
            <w:pPr>
              <w:pStyle w:val="Compact"/>
              <w:jc w:val="left"/>
            </w:pPr>
            <w:r>
              <w:t xml:space="preserve">Tax (ETR)</w:t>
            </w:r>
          </w:p>
        </w:tc>
        <w:tc>
          <w:tcPr/>
          <w:p>
            <w:pPr>
              <w:pStyle w:val="Compact"/>
              <w:jc w:val="left"/>
            </w:pPr>
            <w:r>
              <w:t xml:space="preserve">383 (64%)</w:t>
            </w:r>
          </w:p>
        </w:tc>
        <w:tc>
          <w:tcPr/>
          <w:p>
            <w:pPr>
              <w:pStyle w:val="Compact"/>
              <w:jc w:val="left"/>
            </w:pPr>
            <w:r>
              <w:t xml:space="preserve">108 (n.m.)</w:t>
            </w:r>
          </w:p>
        </w:tc>
        <w:tc>
          <w:tcPr/>
          <w:p>
            <w:pPr>
              <w:pStyle w:val="Compact"/>
              <w:jc w:val="left"/>
            </w:pPr>
            <w:r>
              <w:t xml:space="preserve">313 (55%)</w:t>
            </w:r>
          </w:p>
        </w:tc>
        <w:tc>
          <w:tcPr/>
          <w:p>
            <w:pPr>
              <w:pStyle w:val="Compact"/>
              <w:jc w:val="left"/>
            </w:pPr>
            <w:r>
              <w:t xml:space="preserve">502 (40%)</w:t>
            </w:r>
          </w:p>
        </w:tc>
      </w:tr>
      <w:tr>
        <w:tc>
          <w:tcPr/>
          <w:p>
            <w:pPr>
              <w:pStyle w:val="Compact"/>
              <w:jc w:val="left"/>
            </w:pPr>
            <w:r>
              <w:rPr>
                <w:bCs/>
                <w:b/>
              </w:rPr>
              <w:t xml:space="preserve">Net income to CPNG</w:t>
            </w:r>
          </w:p>
        </w:tc>
        <w:tc>
          <w:tcPr/>
          <w:p>
            <w:pPr>
              <w:pStyle w:val="Compact"/>
              <w:jc w:val="left"/>
            </w:pPr>
            <w:r>
              <w:t xml:space="preserve">208</w:t>
            </w:r>
          </w:p>
        </w:tc>
        <w:tc>
          <w:tcPr/>
          <w:p>
            <w:pPr>
              <w:pStyle w:val="Compact"/>
              <w:jc w:val="left"/>
            </w:pPr>
            <w:r>
              <w:t xml:space="preserve">-1,195</w:t>
            </w:r>
          </w:p>
        </w:tc>
        <w:tc>
          <w:tcPr/>
          <w:p>
            <w:pPr>
              <w:pStyle w:val="Compact"/>
              <w:jc w:val="left"/>
            </w:pPr>
            <w:r>
              <w:t xml:space="preserve">256</w:t>
            </w:r>
          </w:p>
        </w:tc>
        <w:tc>
          <w:tcPr/>
          <w:p>
            <w:pPr>
              <w:pStyle w:val="Compact"/>
              <w:jc w:val="left"/>
            </w:pPr>
            <w:r>
              <w:t xml:space="preserve">753</w:t>
            </w:r>
          </w:p>
        </w:tc>
      </w:tr>
      <w:tr>
        <w:tc>
          <w:tcPr/>
          <w:p>
            <w:pPr>
              <w:pStyle w:val="Compact"/>
              <w:jc w:val="left"/>
            </w:pPr>
            <w:r>
              <w:t xml:space="preserve">Diluted shares (m)</w:t>
            </w:r>
          </w:p>
        </w:tc>
        <w:tc>
          <w:tcPr/>
          <w:p>
            <w:pPr>
              <w:pStyle w:val="Compact"/>
              <w:jc w:val="left"/>
            </w:pPr>
            <w:r>
              <w:t xml:space="preserve">1,855</w:t>
            </w:r>
          </w:p>
        </w:tc>
        <w:tc>
          <w:tcPr/>
          <w:p>
            <w:pPr>
              <w:pStyle w:val="Compact"/>
              <w:jc w:val="left"/>
            </w:pPr>
            <w:r>
              <w:t xml:space="preserve">1,796</w:t>
            </w:r>
          </w:p>
        </w:tc>
        <w:tc>
          <w:tcPr/>
          <w:p>
            <w:pPr>
              <w:pStyle w:val="Compact"/>
              <w:jc w:val="left"/>
            </w:pPr>
            <w:r>
              <w:t xml:space="preserve">1,790</w:t>
            </w:r>
          </w:p>
        </w:tc>
        <w:tc>
          <w:tcPr/>
          <w:p>
            <w:pPr>
              <w:pStyle w:val="Compact"/>
              <w:jc w:val="left"/>
            </w:pPr>
            <w:r>
              <w:t xml:space="preserve">1,795</w:t>
            </w:r>
          </w:p>
        </w:tc>
      </w:tr>
      <w:tr>
        <w:tc>
          <w:tcPr/>
          <w:p>
            <w:pPr>
              <w:pStyle w:val="Compact"/>
              <w:jc w:val="left"/>
            </w:pPr>
            <w:r>
              <w:rPr>
                <w:bCs/>
                <w:b/>
              </w:rPr>
              <w:t xml:space="preserve">GAAP diluted EPS (US$)</w:t>
            </w:r>
          </w:p>
        </w:tc>
        <w:tc>
          <w:tcPr/>
          <w:p>
            <w:pPr>
              <w:pStyle w:val="Compact"/>
              <w:jc w:val="left"/>
            </w:pPr>
            <w:r>
              <w:rPr>
                <w:bCs/>
                <w:b/>
              </w:rPr>
              <w:t xml:space="preserve">0.11</w:t>
            </w:r>
          </w:p>
        </w:tc>
        <w:tc>
          <w:tcPr/>
          <w:p>
            <w:pPr>
              <w:pStyle w:val="Compact"/>
              <w:jc w:val="left"/>
            </w:pPr>
            <w:r>
              <w:rPr>
                <w:bCs/>
                <w:b/>
              </w:rPr>
              <w:t xml:space="preserve">-0.67</w:t>
            </w:r>
          </w:p>
        </w:tc>
        <w:tc>
          <w:tcPr/>
          <w:p>
            <w:pPr>
              <w:pStyle w:val="Compact"/>
              <w:jc w:val="left"/>
            </w:pPr>
            <w:r>
              <w:rPr>
                <w:bCs/>
                <w:b/>
              </w:rPr>
              <w:t xml:space="preserve">0.14</w:t>
            </w:r>
          </w:p>
        </w:tc>
        <w:tc>
          <w:tcPr/>
          <w:p>
            <w:pPr>
              <w:pStyle w:val="Compact"/>
              <w:jc w:val="left"/>
            </w:pPr>
            <w:r>
              <w:rPr>
                <w:bCs/>
                <w:b/>
              </w:rPr>
              <w:t xml:space="preserve">0.42</w:t>
            </w:r>
          </w:p>
        </w:tc>
      </w:tr>
      <w:tr>
        <w:tc>
          <w:tcPr/>
          <w:p>
            <w:pPr>
              <w:pStyle w:val="Compact"/>
              <w:jc w:val="left"/>
            </w:pPr>
            <w:r>
              <w:t xml:space="preserve">Adj. EPS ex one-offs (US$)</w:t>
            </w:r>
          </w:p>
        </w:tc>
        <w:tc>
          <w:tcPr/>
          <w:p>
            <w:pPr>
              <w:pStyle w:val="Compact"/>
              <w:jc w:val="left"/>
            </w:pPr>
            <w:r>
              <w:t xml:space="preserve">~0.12</w:t>
            </w:r>
          </w:p>
        </w:tc>
        <w:tc>
          <w:tcPr/>
          <w:p>
            <w:pPr>
              <w:pStyle w:val="Compact"/>
              <w:jc w:val="left"/>
            </w:pPr>
            <w:r>
              <w:t xml:space="preserve">-0.37</w:t>
            </w:r>
          </w:p>
        </w:tc>
        <w:tc>
          <w:tcPr/>
          <w:p>
            <w:pPr>
              <w:pStyle w:val="Compact"/>
              <w:jc w:val="left"/>
            </w:pPr>
            <w:r>
              <w:t xml:space="preserve">0.10</w:t>
            </w:r>
          </w:p>
        </w:tc>
        <w:tc>
          <w:tcPr/>
          <w:p>
            <w:pPr>
              <w:pStyle w:val="Compact"/>
              <w:jc w:val="left"/>
            </w:pPr>
            <w:r>
              <w:t xml:space="preserve">0.42</w:t>
            </w:r>
          </w:p>
        </w:tc>
      </w:tr>
    </w:tbl>
    <w:p>
      <w:pPr>
        <w:pStyle w:val="BodyText"/>
      </w:pPr>
      <w:r>
        <w:rPr>
          <w:bCs/>
          <w:b/>
        </w:rPr>
        <w:t xml:space="preserve">Key assumptions and their logic</w:t>
      </w:r>
    </w:p>
    <w:p>
      <w:pPr>
        <w:numPr>
          <w:ilvl w:val="0"/>
          <w:numId w:val="1035"/>
        </w:numPr>
        <w:pStyle w:val="Compact"/>
      </w:pPr>
      <w:r>
        <w:rPr>
          <w:bCs/>
          <w:b/>
        </w:rPr>
        <w:t xml:space="preserve">H2’26 revenue.</w:t>
      </w:r>
      <w:r>
        <w:t xml:space="preserve"> </w:t>
      </w:r>
      <w:r>
        <w:t xml:space="preserve">Q3: PC +6.5% constant currency (in line with the Barclays-implied 6-7%) less 5pts of FX; DO +20% reported. Q4: an easy December-25 comparison, so PC +12% constant currency less 4pts of FX. That gives US$9.64bn and US$9.69bn.</w:t>
      </w:r>
    </w:p>
    <w:p>
      <w:pPr>
        <w:numPr>
          <w:ilvl w:val="0"/>
          <w:numId w:val="1035"/>
        </w:numPr>
        <w:pStyle w:val="Compact"/>
      </w:pPr>
      <w:r>
        <w:rPr>
          <w:bCs/>
          <w:b/>
        </w:rPr>
        <w:t xml:space="preserve">H2’26 margins.</w:t>
      </w:r>
      <w:r>
        <w:t xml:space="preserve"> </w:t>
      </w:r>
      <w:r>
        <w:t xml:space="preserve">Q3 adjusted EBITDA margin of 1.2% (the -330bp end of the guide); Q4 3.1%.</w:t>
      </w:r>
    </w:p>
    <w:p>
      <w:pPr>
        <w:numPr>
          <w:ilvl w:val="0"/>
          <w:numId w:val="1035"/>
        </w:numPr>
        <w:pStyle w:val="Compact"/>
      </w:pPr>
      <w:r>
        <w:rPr>
          <w:bCs/>
          <w:b/>
        </w:rPr>
        <w:t xml:space="preserve">Industry growth and share.</w:t>
      </w:r>
      <w:r>
        <w:t xml:space="preserve"> </w:t>
      </w:r>
      <w:r>
        <w:t xml:space="preserve">Korean online sales grew +4.9% in 2025 (</w:t>
      </w:r>
      <w:hyperlink r:id="rId148">
        <w:r>
          <w:rPr>
            <w:rStyle w:val="Hyperlink"/>
          </w:rPr>
          <w:t xml:space="preserve">#305</w:t>
        </w:r>
      </w:hyperlink>
      <w:r>
        <w:t xml:space="preserve">). We assume Coupang grows PC at 11% and 10% in FY27 and FY28. That is roughly 2x the market, consistent with past share gains, and reflects recapture of the non-returning cohort and lapping of the vouchers.</w:t>
      </w:r>
    </w:p>
    <w:p>
      <w:pPr>
        <w:numPr>
          <w:ilvl w:val="0"/>
          <w:numId w:val="1035"/>
        </w:numPr>
        <w:pStyle w:val="Compact"/>
      </w:pPr>
      <w:r>
        <w:rPr>
          <w:bCs/>
          <w:b/>
        </w:rPr>
        <w:t xml:space="preserve">Pricing and cost pressures.</w:t>
      </w:r>
      <w:r>
        <w:t xml:space="preserve"> </w:t>
      </w:r>
      <w:r>
        <w:t xml:space="preserve">Promotions normalise in 2027 and marketing steps down (</w:t>
      </w:r>
      <w:hyperlink r:id="rId173">
        <w:r>
          <w:rPr>
            <w:rStyle w:val="Hyperlink"/>
          </w:rPr>
          <w:t xml:space="preserve">#55</w:t>
        </w:r>
      </w:hyperlink>
      <w:r>
        <w:t xml:space="preserve">). Labour cost inflation and the night-delivery risk are not in the base case.</w:t>
      </w:r>
    </w:p>
    <w:p>
      <w:pPr>
        <w:numPr>
          <w:ilvl w:val="0"/>
          <w:numId w:val="1035"/>
        </w:numPr>
        <w:pStyle w:val="Compact"/>
      </w:pPr>
      <w:r>
        <w:rPr>
          <w:bCs/>
          <w:b/>
        </w:rPr>
        <w:t xml:space="preserve">Operating leverage.</w:t>
      </w:r>
      <w:r>
        <w:t xml:space="preserve"> </w:t>
      </w:r>
      <w:r>
        <w:t xml:space="preserve">We take PC margin to 7.3% in FY27, the mid-2027 recovery path, and 8.6% in FY28, roughly the pre-incident level. This is below the</w:t>
      </w:r>
      <w:r>
        <w:t xml:space="preserve"> </w:t>
      </w:r>
      <w:r>
        <w:t xml:space="preserve">“</w:t>
      </w:r>
      <w:r>
        <w:t xml:space="preserve">well past 10%</w:t>
      </w:r>
      <w:r>
        <w:t xml:space="preserve">”</w:t>
      </w:r>
      <w:r>
        <w:t xml:space="preserve"> </w:t>
      </w:r>
      <w:r>
        <w:t xml:space="preserve">ambition (</w:t>
      </w:r>
      <w:hyperlink r:id="rId291">
        <w:r>
          <w:rPr>
            <w:rStyle w:val="Hyperlink"/>
          </w:rPr>
          <w:t xml:space="preserve">#271</w:t>
        </w:r>
      </w:hyperlink>
      <w:r>
        <w:t xml:space="preserve">).</w:t>
      </w:r>
    </w:p>
    <w:p>
      <w:pPr>
        <w:numPr>
          <w:ilvl w:val="0"/>
          <w:numId w:val="1035"/>
        </w:numPr>
        <w:pStyle w:val="Compact"/>
      </w:pPr>
      <w:r>
        <w:rPr>
          <w:bCs/>
          <w:b/>
        </w:rPr>
        <w:t xml:space="preserve">Financing costs.</w:t>
      </w:r>
      <w:r>
        <w:t xml:space="preserve"> </w:t>
      </w:r>
      <w:r>
        <w:t xml:space="preserve">~US$2.6bn of debt at ~3-4% (Korean lines at 2.89% (</w:t>
      </w:r>
      <w:hyperlink r:id="rId345">
        <w:r>
          <w:rPr>
            <w:rStyle w:val="Hyperlink"/>
          </w:rPr>
          <w:t xml:space="preserve">#173</w:t>
        </w:r>
      </w:hyperlink>
      <w:r>
        <w:t xml:space="preserve">), term loan at 3.80%, revolver at SOFR+0.75-1.25%) against ~US$5.5-6bn of cash.</w:t>
      </w:r>
    </w:p>
    <w:p>
      <w:pPr>
        <w:numPr>
          <w:ilvl w:val="0"/>
          <w:numId w:val="1035"/>
        </w:numPr>
        <w:pStyle w:val="Compact"/>
      </w:pPr>
      <w:r>
        <w:rPr>
          <w:bCs/>
          <w:b/>
        </w:rPr>
        <w:t xml:space="preserve">Share count.</w:t>
      </w:r>
      <w:r>
        <w:t xml:space="preserve"> </w:t>
      </w:r>
      <w:r>
        <w:t xml:space="preserve">US$907m of remaining authorisation absorbs SBC dilution; 386m shares remain available under the equity plans (</w:t>
      </w:r>
      <w:hyperlink r:id="rId346">
        <w:r>
          <w:rPr>
            <w:rStyle w:val="Hyperlink"/>
          </w:rPr>
          <w:t xml:space="preserve">#1886</w:t>
        </w:r>
      </w:hyperlink>
      <w:r>
        <w:t xml:space="preserve">).</w:t>
      </w:r>
    </w:p>
    <w:p>
      <w:pPr>
        <w:numPr>
          <w:ilvl w:val="0"/>
          <w:numId w:val="1035"/>
        </w:numPr>
        <w:pStyle w:val="Compact"/>
      </w:pPr>
      <w:r>
        <w:rPr>
          <w:bCs/>
          <w:b/>
        </w:rPr>
        <w:t xml:space="preserve">Tax.</w:t>
      </w:r>
      <w:r>
        <w:t xml:space="preserve"> </w:t>
      </w:r>
      <w:r>
        <w:t xml:space="preserve">ETR stays well above the ~25% long-term guide (</w:t>
      </w:r>
      <w:hyperlink r:id="rId347">
        <w:r>
          <w:rPr>
            <w:rStyle w:val="Hyperlink"/>
          </w:rPr>
          <w:t xml:space="preserve">#120</w:t>
        </w:r>
      </w:hyperlink>
      <w:r>
        <w:t xml:space="preserve">) while Taiwan and US losses get no benefit.</w:t>
      </w:r>
    </w:p>
    <w:p>
      <w:pPr>
        <w:pStyle w:val="FirstParagraph"/>
      </w:pPr>
      <w:r>
        <w:rPr>
          <w:bCs/>
          <w:b/>
        </w:rPr>
        <w:t xml:space="preserve">Versus consensus.</w:t>
      </w:r>
      <w:r>
        <w:t xml:space="preserve"> </w:t>
      </w:r>
      <w:r>
        <w:t xml:space="preserve">ProntoNLP’s consensus for 3Q26 and 4Q26 is stale: EPS of US$0.17 and US$0.20 dated March 2025 ‡. No current FY2027 or FY2028 consensus is available from S&amp;P or ProntoNLP, so we cannot quantify the gap to street estimates.</w:t>
      </w:r>
    </w:p>
    <w:p>
      <w:pPr>
        <w:pStyle w:val="BodyText"/>
      </w:pPr>
      <w:r>
        <w:rPr>
          <w:bCs/>
          <w:b/>
        </w:rPr>
        <w:t xml:space="preserve">Sensitivities [d]</w:t>
      </w:r>
    </w:p>
    <w:p>
      <w:pPr>
        <w:numPr>
          <w:ilvl w:val="0"/>
          <w:numId w:val="1036"/>
        </w:numPr>
        <w:pStyle w:val="Compact"/>
      </w:pPr>
      <w:r>
        <w:t xml:space="preserve">Each 100bp of PC margin is ~US$340-375m of EBITDA, or ~US$0.09-0.11 of EPS at a 45-55% ETR.</w:t>
      </w:r>
    </w:p>
    <w:p>
      <w:pPr>
        <w:numPr>
          <w:ilvl w:val="0"/>
          <w:numId w:val="1036"/>
        </w:numPr>
        <w:pStyle w:val="Compact"/>
      </w:pPr>
      <w:r>
        <w:t xml:space="preserve">A 10% move in the KRW is ~±US$3.5-4bn of revenue and ~±US$0.10 of EPS (scaled from the 10-K sensitivity,</w:t>
      </w:r>
      <w:r>
        <w:t xml:space="preserve"> </w:t>
      </w:r>
      <w:hyperlink r:id="rId127">
        <w:r>
          <w:rPr>
            <w:rStyle w:val="Hyperlink"/>
          </w:rPr>
          <w:t xml:space="preserve">#1624</w:t>
        </w:r>
      </w:hyperlink>
      <w:r>
        <w:t xml:space="preserve">).</w:t>
      </w:r>
    </w:p>
    <w:p>
      <w:pPr>
        <w:numPr>
          <w:ilvl w:val="0"/>
          <w:numId w:val="1036"/>
        </w:numPr>
        <w:pStyle w:val="Compact"/>
      </w:pPr>
      <w:r>
        <w:t xml:space="preserve">Each US$100m change in Developing Offerings losses is ~US$0.03-0.05 of EPS.</w:t>
      </w:r>
    </w:p>
    <w:bookmarkEnd w:id="348"/>
    <w:bookmarkStart w:id="363" w:name="X475822bfef2d8c041beed580d289633d3e0411b"/>
    <w:p>
      <w:pPr>
        <w:pStyle w:val="Heading1"/>
      </w:pPr>
      <w:r>
        <w:t xml:space="preserve">12. Capital structure, liquidity, maturities and covenants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Instrument</w:t>
            </w:r>
          </w:p>
        </w:tc>
        <w:tc>
          <w:tcPr/>
          <w:p>
            <w:pPr>
              <w:pStyle w:val="Compact"/>
              <w:jc w:val="left"/>
            </w:pPr>
            <w:r>
              <w:t xml:space="preserve">Amount</w:t>
            </w:r>
          </w:p>
        </w:tc>
        <w:tc>
          <w:tcPr/>
          <w:p>
            <w:pPr>
              <w:pStyle w:val="Compact"/>
              <w:jc w:val="left"/>
            </w:pPr>
            <w:r>
              <w:t xml:space="preserve">Pricing</w:t>
            </w:r>
          </w:p>
        </w:tc>
        <w:tc>
          <w:tcPr/>
          <w:p>
            <w:pPr>
              <w:pStyle w:val="Compact"/>
              <w:jc w:val="left"/>
            </w:pPr>
            <w:r>
              <w:t xml:space="preserve">Maturity</w:t>
            </w:r>
          </w:p>
        </w:tc>
        <w:tc>
          <w:tcPr/>
          <w:p>
            <w:pPr>
              <w:pStyle w:val="Compact"/>
              <w:jc w:val="left"/>
            </w:pPr>
            <w:r>
              <w:t xml:space="preserve">Security / covenants</w:t>
            </w:r>
          </w:p>
        </w:tc>
        <w:tc>
          <w:tcPr/>
          <w:p>
            <w:pPr>
              <w:pStyle w:val="Compact"/>
              <w:jc w:val="left"/>
            </w:pPr>
            <w:r>
              <w:t xml:space="preserve">Source</w:t>
            </w:r>
          </w:p>
        </w:tc>
      </w:tr>
      <w:tr>
        <w:tc>
          <w:tcPr/>
          <w:p>
            <w:pPr>
              <w:pStyle w:val="Compact"/>
              <w:jc w:val="left"/>
            </w:pPr>
            <w:r>
              <w:t xml:space="preserve">Revolving credit facility (Parent, USD)</w:t>
            </w:r>
          </w:p>
        </w:tc>
        <w:tc>
          <w:tcPr/>
          <w:p>
            <w:pPr>
              <w:pStyle w:val="Compact"/>
              <w:jc w:val="left"/>
            </w:pPr>
            <w:r>
              <w:t xml:space="preserve">US$1.5bn;</w:t>
            </w:r>
            <w:r>
              <w:t xml:space="preserve"> </w:t>
            </w:r>
            <w:r>
              <w:rPr>
                <w:bCs/>
                <w:b/>
              </w:rPr>
              <w:t xml:space="preserve">US$750m drawn</w:t>
            </w:r>
          </w:p>
        </w:tc>
        <w:tc>
          <w:tcPr/>
          <w:p>
            <w:pPr>
              <w:pStyle w:val="Compact"/>
              <w:jc w:val="left"/>
            </w:pPr>
            <w:r>
              <w:t xml:space="preserve">Term SOFR + 0.75-1.25%</w:t>
            </w:r>
          </w:p>
        </w:tc>
        <w:tc>
          <w:tcPr/>
          <w:p>
            <w:pPr>
              <w:pStyle w:val="Compact"/>
              <w:jc w:val="left"/>
            </w:pPr>
            <w:r>
              <w:t xml:space="preserve">Five-year from Jun-2025 (~2030 [d])</w:t>
            </w:r>
          </w:p>
        </w:tc>
        <w:tc>
          <w:tcPr/>
          <w:p>
            <w:pPr>
              <w:pStyle w:val="Compact"/>
              <w:jc w:val="left"/>
            </w:pPr>
            <w:r>
              <w:t xml:space="preserve">Unsecured; customary financial covenants</w:t>
            </w:r>
          </w:p>
        </w:tc>
        <w:tc>
          <w:tcPr/>
          <w:p>
            <w:pPr>
              <w:pStyle w:val="Compact"/>
              <w:jc w:val="left"/>
            </w:pPr>
            <w:hyperlink r:id="rId349">
              <w:r>
                <w:rPr>
                  <w:rStyle w:val="Hyperlink"/>
                </w:rPr>
                <w:t xml:space="preserve">#371</w:t>
              </w:r>
            </w:hyperlink>
            <w:r>
              <w:t xml:space="preserve">,</w:t>
            </w:r>
            <w:r>
              <w:t xml:space="preserve"> </w:t>
            </w:r>
            <w:hyperlink r:id="rId51">
              <w:r>
                <w:rPr>
                  <w:rStyle w:val="Hyperlink"/>
                </w:rPr>
                <w:t xml:space="preserve">#165</w:t>
              </w:r>
            </w:hyperlink>
          </w:p>
        </w:tc>
      </w:tr>
      <w:tr>
        <w:tc>
          <w:tcPr/>
          <w:p>
            <w:pPr>
              <w:pStyle w:val="Compact"/>
              <w:jc w:val="left"/>
            </w:pPr>
            <w:r>
              <w:t xml:space="preserve">Other credit facilities (mainly Korean subsidiaries, KRW)</w:t>
            </w:r>
          </w:p>
        </w:tc>
        <w:tc>
          <w:tcPr/>
          <w:p>
            <w:pPr>
              <w:pStyle w:val="Compact"/>
              <w:jc w:val="left"/>
            </w:pPr>
            <w:r>
              <w:t xml:space="preserve">US$1.6bn capacity;</w:t>
            </w:r>
            <w:r>
              <w:t xml:space="preserve"> </w:t>
            </w:r>
            <w:r>
              <w:rPr>
                <w:bCs/>
                <w:b/>
              </w:rPr>
              <w:t xml:space="preserve">US$1.2bn drawn</w:t>
            </w:r>
          </w:p>
        </w:tc>
        <w:tc>
          <w:tcPr/>
          <w:p>
            <w:pPr>
              <w:pStyle w:val="Compact"/>
              <w:jc w:val="left"/>
            </w:pPr>
            <w:r>
              <w:t xml:space="preserve">Weighted average 2.89%</w:t>
            </w:r>
          </w:p>
        </w:tc>
        <w:tc>
          <w:tcPr/>
          <w:p>
            <w:pPr>
              <w:pStyle w:val="Compact"/>
              <w:jc w:val="left"/>
            </w:pPr>
            <w:r>
              <w:t xml:space="preserve">Majority within 12 months</w:t>
            </w:r>
          </w:p>
        </w:tc>
        <w:tc>
          <w:tcPr/>
          <w:p>
            <w:pPr>
              <w:pStyle w:val="Compact"/>
              <w:jc w:val="left"/>
            </w:pPr>
            <w:r>
              <w:t xml:space="preserve">Unsecured; financial covenants</w:t>
            </w:r>
          </w:p>
        </w:tc>
        <w:tc>
          <w:tcPr/>
          <w:p>
            <w:pPr>
              <w:pStyle w:val="Compact"/>
              <w:jc w:val="left"/>
            </w:pPr>
            <w:hyperlink r:id="rId345">
              <w:r>
                <w:rPr>
                  <w:rStyle w:val="Hyperlink"/>
                </w:rPr>
                <w:t xml:space="preserve">#173</w:t>
              </w:r>
            </w:hyperlink>
          </w:p>
        </w:tc>
      </w:tr>
      <w:tr>
        <w:tc>
          <w:tcPr/>
          <w:p>
            <w:pPr>
              <w:pStyle w:val="Compact"/>
              <w:jc w:val="left"/>
            </w:pPr>
            <w:r>
              <w:t xml:space="preserve">New Korean revolvers (Jun-2026)</w:t>
            </w:r>
          </w:p>
        </w:tc>
        <w:tc>
          <w:tcPr/>
          <w:p>
            <w:pPr>
              <w:pStyle w:val="Compact"/>
              <w:jc w:val="left"/>
            </w:pPr>
            <w:r>
              <w:t xml:space="preserve">~US$193m; undrawn</w:t>
            </w:r>
          </w:p>
        </w:tc>
        <w:tc>
          <w:tcPr/>
          <w:p>
            <w:pPr>
              <w:pStyle w:val="Compact"/>
              <w:jc w:val="left"/>
            </w:pPr>
            <w:r>
              <w:t xml:space="preserve">Korean CD rate + 1.20-1.50%</w:t>
            </w:r>
          </w:p>
        </w:tc>
        <w:tc>
          <w:tcPr/>
          <w:p>
            <w:pPr>
              <w:pStyle w:val="Compact"/>
              <w:jc w:val="left"/>
            </w:pPr>
            <w:r>
              <w:t xml:space="preserve">Jun-2027</w:t>
            </w:r>
          </w:p>
        </w:tc>
        <w:tc>
          <w:tcPr/>
          <w:p>
            <w:pPr>
              <w:pStyle w:val="Compact"/>
              <w:jc w:val="left"/>
            </w:pPr>
            <w:r>
              <w:t xml:space="preserve">Unsecured</w:t>
            </w:r>
          </w:p>
        </w:tc>
        <w:tc>
          <w:tcPr/>
          <w:p>
            <w:pPr>
              <w:pStyle w:val="Compact"/>
              <w:jc w:val="left"/>
            </w:pPr>
            <w:hyperlink r:id="rId350">
              <w:r>
                <w:rPr>
                  <w:rStyle w:val="Hyperlink"/>
                </w:rPr>
                <w:t xml:space="preserve">#166</w:t>
              </w:r>
            </w:hyperlink>
          </w:p>
        </w:tc>
      </w:tr>
      <w:tr>
        <w:tc>
          <w:tcPr/>
          <w:p>
            <w:pPr>
              <w:pStyle w:val="Compact"/>
              <w:jc w:val="left"/>
            </w:pPr>
            <w:r>
              <w:t xml:space="preserve">Unsecured term loan (Sep-2025)</w:t>
            </w:r>
          </w:p>
        </w:tc>
        <w:tc>
          <w:tcPr/>
          <w:p>
            <w:pPr>
              <w:pStyle w:val="Compact"/>
              <w:jc w:val="left"/>
            </w:pPr>
            <w:r>
              <w:t xml:space="preserve">US$439m</w:t>
            </w:r>
          </w:p>
        </w:tc>
        <w:tc>
          <w:tcPr/>
          <w:p>
            <w:pPr>
              <w:pStyle w:val="Compact"/>
              <w:jc w:val="left"/>
            </w:pPr>
            <w:r>
              <w:t xml:space="preserve">Fixed 3.80% (average)</w:t>
            </w:r>
          </w:p>
        </w:tc>
        <w:tc>
          <w:tcPr/>
          <w:p>
            <w:pPr>
              <w:pStyle w:val="Compact"/>
              <w:jc w:val="left"/>
            </w:pPr>
            <w:r>
              <w:t xml:space="preserve">~Sep-2028</w:t>
            </w:r>
          </w:p>
        </w:tc>
        <w:tc>
          <w:tcPr/>
          <w:p>
            <w:pPr>
              <w:pStyle w:val="Compact"/>
              <w:jc w:val="left"/>
            </w:pPr>
            <w:r>
              <w:t xml:space="preserve">Unsecured; refinanced secured FC loans</w:t>
            </w:r>
          </w:p>
        </w:tc>
        <w:tc>
          <w:tcPr/>
          <w:p>
            <w:pPr>
              <w:pStyle w:val="Compact"/>
              <w:jc w:val="left"/>
            </w:pPr>
            <w:hyperlink r:id="rId351">
              <w:r>
                <w:rPr>
                  <w:rStyle w:val="Hyperlink"/>
                </w:rPr>
                <w:t xml:space="preserve">#1514</w:t>
              </w:r>
            </w:hyperlink>
          </w:p>
        </w:tc>
      </w:tr>
      <w:tr>
        <w:tc>
          <w:tcPr/>
          <w:p>
            <w:pPr>
              <w:pStyle w:val="Compact"/>
              <w:jc w:val="left"/>
            </w:pPr>
            <w:r>
              <w:t xml:space="preserve">Taiwan RCF</w:t>
            </w:r>
          </w:p>
        </w:tc>
        <w:tc>
          <w:tcPr/>
          <w:p>
            <w:pPr>
              <w:pStyle w:val="Compact"/>
              <w:jc w:val="left"/>
            </w:pPr>
            <w:r>
              <w:t xml:space="preserve">Up to US$199m</w:t>
            </w:r>
          </w:p>
        </w:tc>
        <w:tc>
          <w:tcPr/>
          <w:p>
            <w:pPr>
              <w:pStyle w:val="Compact"/>
              <w:jc w:val="left"/>
            </w:pPr>
            <w:r>
              <w:t xml:space="preserve">TAIBOR + 1.25%</w:t>
            </w:r>
          </w:p>
        </w:tc>
        <w:tc>
          <w:tcPr/>
          <w:p>
            <w:pPr>
              <w:pStyle w:val="Compact"/>
              <w:jc w:val="left"/>
            </w:pPr>
            <w:r>
              <w:t xml:space="preserve">~2029</w:t>
            </w:r>
          </w:p>
        </w:tc>
        <w:tc>
          <w:tcPr/>
          <w:p>
            <w:pPr>
              <w:pStyle w:val="Compact"/>
              <w:jc w:val="left"/>
            </w:pPr>
            <w:r>
              <w:t xml:space="preserve">Senior unsecured</w:t>
            </w:r>
          </w:p>
        </w:tc>
        <w:tc>
          <w:tcPr/>
          <w:p>
            <w:pPr>
              <w:pStyle w:val="Compact"/>
              <w:jc w:val="left"/>
            </w:pPr>
            <w:hyperlink r:id="rId352">
              <w:r>
                <w:rPr>
                  <w:rStyle w:val="Hyperlink"/>
                </w:rPr>
                <w:t xml:space="preserve">#1862</w:t>
              </w:r>
            </w:hyperlink>
          </w:p>
        </w:tc>
      </w:tr>
      <w:tr>
        <w:tc>
          <w:tcPr/>
          <w:p>
            <w:pPr>
              <w:pStyle w:val="Compact"/>
              <w:jc w:val="left"/>
            </w:pPr>
            <w:r>
              <w:t xml:space="preserve">Operating leases</w:t>
            </w:r>
          </w:p>
        </w:tc>
        <w:tc>
          <w:tcPr/>
          <w:p>
            <w:pPr>
              <w:pStyle w:val="Compact"/>
              <w:jc w:val="left"/>
            </w:pPr>
            <w:hyperlink r:id="rId353">
              <w:r>
                <w:rPr>
                  <w:rStyle w:val="Hyperlink"/>
                </w:rPr>
                <w:t xml:space="preserve">US$560m</w:t>
              </w:r>
            </w:hyperlink>
            <w:r>
              <w:t xml:space="preserve"> </w:t>
            </w:r>
            <w:r>
              <w:t xml:space="preserve">current +</w:t>
            </w:r>
            <w:r>
              <w:t xml:space="preserve"> </w:t>
            </w:r>
            <w:hyperlink r:id="rId354">
              <w:r>
                <w:rPr>
                  <w:rStyle w:val="Hyperlink"/>
                </w:rPr>
                <w:t xml:space="preserve">US$2,470m</w:t>
              </w:r>
            </w:hyperlink>
            <w:r>
              <w:t xml:space="preserve"> </w:t>
            </w:r>
            <w:r>
              <w:t xml:space="preserve">non-current, plus US$689m signed but not commenced</w:t>
            </w:r>
          </w:p>
        </w:tc>
        <w:tc>
          <w:tcPr/>
          <w:p>
            <w:pPr>
              <w:pStyle w:val="Compact"/>
              <w:jc w:val="left"/>
            </w:pPr>
            <w:r>
              <w:t xml:space="preserve">n.a.</w:t>
            </w:r>
          </w:p>
        </w:tc>
        <w:tc>
          <w:tcPr/>
          <w:p>
            <w:pPr>
              <w:pStyle w:val="Compact"/>
              <w:jc w:val="left"/>
            </w:pPr>
            <w:r>
              <w:t xml:space="preserve">1-10 years</w:t>
            </w:r>
          </w:p>
        </w:tc>
        <w:tc>
          <w:tcPr/>
          <w:p>
            <w:pPr>
              <w:pStyle w:val="Compact"/>
              <w:jc w:val="left"/>
            </w:pPr>
            <w:r>
              <w:t xml:space="preserve">Not applicable</w:t>
            </w:r>
          </w:p>
        </w:tc>
        <w:tc>
          <w:tcPr/>
          <w:p>
            <w:pPr>
              <w:pStyle w:val="Compact"/>
              <w:jc w:val="left"/>
            </w:pPr>
            <w:hyperlink r:id="rId191">
              <w:r>
                <w:rPr>
                  <w:rStyle w:val="Hyperlink"/>
                </w:rPr>
                <w:t xml:space="preserve">#1931</w:t>
              </w:r>
            </w:hyperlink>
          </w:p>
        </w:tc>
      </w:tr>
      <w:tr>
        <w:tc>
          <w:tcPr/>
          <w:p>
            <w:pPr>
              <w:pStyle w:val="Compact"/>
              <w:jc w:val="left"/>
            </w:pPr>
            <w:r>
              <w:rPr>
                <w:bCs/>
                <w:b/>
              </w:rPr>
              <w:t xml:space="preserve">Total funded debt</w:t>
            </w:r>
          </w:p>
        </w:tc>
        <w:tc>
          <w:tcPr/>
          <w:p>
            <w:pPr>
              <w:pStyle w:val="Compact"/>
              <w:jc w:val="left"/>
            </w:pPr>
            <w:hyperlink r:id="rId340">
              <w:r>
                <w:rPr>
                  <w:rStyle w:val="Hyperlink"/>
                </w:rPr>
                <w:t xml:space="preserve">US$1,985m</w:t>
              </w:r>
            </w:hyperlink>
            <w:r>
              <w:t xml:space="preserve"> </w:t>
            </w:r>
            <w:r>
              <w:t xml:space="preserve">short-term +</w:t>
            </w:r>
            <w:r>
              <w:t xml:space="preserve"> </w:t>
            </w:r>
            <w:hyperlink r:id="rId355">
              <w:r>
                <w:rPr>
                  <w:rStyle w:val="Hyperlink"/>
                </w:rPr>
                <w:t xml:space="preserve">US$618m</w:t>
              </w:r>
            </w:hyperlink>
            <w:r>
              <w:t xml:space="preserve"> </w:t>
            </w:r>
            <w:r>
              <w:t xml:space="preserve">long-term = US$2,603m [d]</w:t>
            </w:r>
          </w:p>
        </w:tc>
        <w:tc>
          <w:tcPr/>
          <w:p>
            <w:pPr>
              <w:pStyle w:val="Compact"/>
              <w:jc w:val="left"/>
            </w:pPr>
            <w:r>
              <w:t xml:space="preserve">Variable-rate debt US$982m (</w:t>
            </w:r>
            <w:hyperlink r:id="rId356">
              <w:r>
                <w:rPr>
                  <w:rStyle w:val="Hyperlink"/>
                </w:rPr>
                <w:t xml:space="preserve">#194</w:t>
              </w:r>
            </w:hyperlink>
            <w:r>
              <w:t xml:space="preserve">)</w:t>
            </w:r>
          </w:p>
        </w:tc>
        <w:tc>
          <w:tcPr/>
          <w:p>
            <w:pPr>
              <w:pStyle w:val="Compact"/>
            </w:pPr>
          </w:p>
        </w:tc>
        <w:tc>
          <w:tcPr/>
          <w:p>
            <w:pPr>
              <w:pStyle w:val="Compact"/>
              <w:jc w:val="left"/>
            </w:pPr>
            <w:r>
              <w:t xml:space="preserve">Covenants in compliance (</w:t>
            </w:r>
            <w:hyperlink r:id="rId357">
              <w:r>
                <w:rPr>
                  <w:rStyle w:val="Hyperlink"/>
                </w:rPr>
                <w:t xml:space="preserve">#377</w:t>
              </w:r>
            </w:hyperlink>
            <w:r>
              <w:t xml:space="preserve">)</w:t>
            </w:r>
          </w:p>
        </w:tc>
        <w:tc>
          <w:tcPr/>
          <w:p>
            <w:pPr>
              <w:pStyle w:val="Compact"/>
            </w:pPr>
          </w:p>
        </w:tc>
      </w:tr>
      <w:tr>
        <w:tc>
          <w:tcPr/>
          <w:p>
            <w:pPr>
              <w:pStyle w:val="Compact"/>
              <w:jc w:val="left"/>
            </w:pPr>
            <w:r>
              <w:rPr>
                <w:bCs/>
                <w:b/>
              </w:rPr>
              <w:t xml:space="preserve">Cash</w:t>
            </w:r>
          </w:p>
        </w:tc>
        <w:tc>
          <w:tcPr/>
          <w:p>
            <w:pPr>
              <w:pStyle w:val="Compact"/>
              <w:jc w:val="left"/>
            </w:pPr>
            <w:hyperlink r:id="rId358">
              <w:r>
                <w:rPr>
                  <w:rStyle w:val="Hyperlink"/>
                </w:rPr>
                <w:t xml:space="preserve">US$6,110m</w:t>
              </w:r>
            </w:hyperlink>
            <w:r>
              <w:t xml:space="preserve">, mostly held by foreign subsidiaries (</w:t>
            </w:r>
            <w:hyperlink r:id="rId359">
              <w:r>
                <w:rPr>
                  <w:rStyle w:val="Hyperlink"/>
                </w:rPr>
                <w:t xml:space="preserve">#129</w:t>
              </w:r>
            </w:hyperlink>
            <w:r>
              <w:t xml:space="preserve">)</w:t>
            </w:r>
          </w:p>
        </w:tc>
        <w:tc>
          <w:tcPr/>
          <w:p>
            <w:pPr>
              <w:pStyle w:val="Compact"/>
            </w:pPr>
          </w:p>
        </w:tc>
        <w:tc>
          <w:tcPr/>
          <w:p>
            <w:pPr>
              <w:pStyle w:val="Compact"/>
            </w:pPr>
          </w:p>
        </w:tc>
        <w:tc>
          <w:tcPr/>
          <w:p>
            <w:pPr>
              <w:pStyle w:val="Compact"/>
              <w:jc w:val="left"/>
            </w:pPr>
            <w:r>
              <w:t xml:space="preserve">Upstreaming restricted by subsidiary agreements (</w:t>
            </w:r>
            <w:hyperlink r:id="rId48">
              <w:r>
                <w:rPr>
                  <w:rStyle w:val="Hyperlink"/>
                </w:rPr>
                <w:t xml:space="preserve">#140</w:t>
              </w:r>
            </w:hyperlink>
            <w:r>
              <w:t xml:space="preserve">)</w:t>
            </w:r>
          </w:p>
        </w:tc>
        <w:tc>
          <w:tcPr/>
          <w:p>
            <w:pPr>
              <w:pStyle w:val="Compact"/>
            </w:pPr>
          </w:p>
        </w:tc>
      </w:tr>
    </w:tbl>
    <w:p>
      <w:pPr>
        <w:pStyle w:val="BodyText"/>
      </w:pPr>
      <w:r>
        <w:rPr>
          <w:bCs/>
          <w:b/>
        </w:rPr>
        <w:t xml:space="preserve">Net position (30-Jun-2026) [d]</w:t>
      </w:r>
    </w:p>
    <w:p>
      <w:pPr>
        <w:numPr>
          <w:ilvl w:val="0"/>
          <w:numId w:val="1037"/>
        </w:numPr>
        <w:pStyle w:val="Compact"/>
      </w:pPr>
      <w:r>
        <w:t xml:space="preserve">Net cash excluding leases:</w:t>
      </w:r>
      <w:r>
        <w:t xml:space="preserve"> </w:t>
      </w:r>
      <w:r>
        <w:rPr>
          <w:bCs/>
          <w:b/>
        </w:rPr>
        <w:t xml:space="preserve">US$3.5bn</w:t>
      </w:r>
      <w:r>
        <w:t xml:space="preserve">.</w:t>
      </w:r>
    </w:p>
    <w:p>
      <w:pPr>
        <w:numPr>
          <w:ilvl w:val="0"/>
          <w:numId w:val="1037"/>
        </w:numPr>
        <w:pStyle w:val="Compact"/>
      </w:pPr>
      <w:r>
        <w:t xml:space="preserve">Net cash including leases:</w:t>
      </w:r>
      <w:r>
        <w:t xml:space="preserve"> </w:t>
      </w:r>
      <w:r>
        <w:rPr>
          <w:bCs/>
          <w:b/>
        </w:rPr>
        <w:t xml:space="preserve">US$0.48bn</w:t>
      </w:r>
      <w:r>
        <w:t xml:space="preserve">, matching S&amp;P net debt of</w:t>
      </w:r>
      <w:r>
        <w:t xml:space="preserve"> </w:t>
      </w:r>
      <w:hyperlink r:id="rId20">
        <w:r>
          <w:rPr>
            <w:rStyle w:val="Hyperlink"/>
          </w:rPr>
          <w:t xml:space="preserve">-US$477m</w:t>
        </w:r>
      </w:hyperlink>
      <w:r>
        <w:t xml:space="preserve">.</w:t>
      </w:r>
    </w:p>
    <w:p>
      <w:pPr>
        <w:numPr>
          <w:ilvl w:val="0"/>
          <w:numId w:val="1037"/>
        </w:numPr>
        <w:pStyle w:val="Compact"/>
      </w:pPr>
      <w:r>
        <w:t xml:space="preserve">Net debt/EBITDA: n.m. (net cash).</w:t>
      </w:r>
    </w:p>
    <w:p>
      <w:pPr>
        <w:pStyle w:val="FirstParagraph"/>
      </w:pPr>
      <w:r>
        <w:rPr>
          <w:bCs/>
          <w:b/>
        </w:rPr>
        <w:t xml:space="preserve">Interest cost.</w:t>
      </w:r>
      <w:r>
        <w:t xml:space="preserve"> </w:t>
      </w:r>
      <w:r>
        <w:t xml:space="preserve">Interest expense was</w:t>
      </w:r>
      <w:r>
        <w:t xml:space="preserve"> </w:t>
      </w:r>
      <w:hyperlink r:id="rId360">
        <w:r>
          <w:rPr>
            <w:rStyle w:val="Hyperlink"/>
          </w:rPr>
          <w:t xml:space="preserve">US$86m</w:t>
        </w:r>
      </w:hyperlink>
      <w:r>
        <w:t xml:space="preserve"> </w:t>
      </w:r>
      <w:r>
        <w:t xml:space="preserve">in FY25, down from</w:t>
      </w:r>
      <w:r>
        <w:t xml:space="preserve"> </w:t>
      </w:r>
      <w:hyperlink r:id="rId361">
        <w:r>
          <w:rPr>
            <w:rStyle w:val="Hyperlink"/>
          </w:rPr>
          <w:t xml:space="preserve">US$140m</w:t>
        </w:r>
      </w:hyperlink>
      <w:r>
        <w:t xml:space="preserve"> </w:t>
      </w:r>
      <w:r>
        <w:t xml:space="preserve">in FY24 after the expensive Farfetch term loans (SOFR + 6.25%) were redeemed. Interest income still exceeds interest expense. FY25 EBIT interest cover was 5.8x [d]; LTM cover is negative.</w:t>
      </w:r>
    </w:p>
    <w:p>
      <w:pPr>
        <w:pStyle w:val="BodyText"/>
      </w:pPr>
      <w:r>
        <w:rPr>
          <w:bCs/>
          <w:b/>
        </w:rPr>
        <w:t xml:space="preserve">Liquidity</w:t>
      </w:r>
    </w:p>
    <w:p>
      <w:pPr>
        <w:numPr>
          <w:ilvl w:val="0"/>
          <w:numId w:val="1038"/>
        </w:numPr>
        <w:pStyle w:val="Compact"/>
      </w:pPr>
      <w:r>
        <w:t xml:space="preserve">Management states sources are sufficient for at least 12 months (</w:t>
      </w:r>
      <w:hyperlink r:id="rId48">
        <w:r>
          <w:rPr>
            <w:rStyle w:val="Hyperlink"/>
          </w:rPr>
          <w:t xml:space="preserve">#140</w:t>
        </w:r>
      </w:hyperlink>
      <w:r>
        <w:t xml:space="preserve">).</w:t>
      </w:r>
    </w:p>
    <w:p>
      <w:pPr>
        <w:numPr>
          <w:ilvl w:val="0"/>
          <w:numId w:val="1038"/>
        </w:numPr>
        <w:pStyle w:val="Compact"/>
      </w:pPr>
      <w:r>
        <w:rPr>
          <w:bCs/>
          <w:b/>
        </w:rPr>
        <w:t xml:space="preserve">Flag:</w:t>
      </w:r>
      <w:r>
        <w:t xml:space="preserve"> </w:t>
      </w:r>
      <w:r>
        <w:t xml:space="preserve">the 10-Q cites only</w:t>
      </w:r>
      <w:r>
        <w:t xml:space="preserve"> </w:t>
      </w:r>
      <w:r>
        <w:t xml:space="preserve">“</w:t>
      </w:r>
      <w:r>
        <w:t xml:space="preserve">US$0.3bn available under our credit facilities</w:t>
      </w:r>
      <w:r>
        <w:t xml:space="preserve">”</w:t>
      </w:r>
      <w:r>
        <w:t xml:space="preserve"> </w:t>
      </w:r>
      <w:r>
        <w:t xml:space="preserve">(</w:t>
      </w:r>
      <w:hyperlink r:id="rId341">
        <w:r>
          <w:rPr>
            <w:rStyle w:val="Hyperlink"/>
          </w:rPr>
          <w:t xml:space="preserve">#130</w:t>
        </w:r>
      </w:hyperlink>
      <w:r>
        <w:t xml:space="preserve">). Stated capacity less drawings is ~US$1.15bn [d], so this needs an IR answer.</w:t>
      </w:r>
    </w:p>
    <w:p>
      <w:pPr>
        <w:numPr>
          <w:ilvl w:val="0"/>
          <w:numId w:val="1038"/>
        </w:numPr>
        <w:pStyle w:val="Compact"/>
      </w:pPr>
      <w:r>
        <w:rPr>
          <w:bCs/>
          <w:b/>
        </w:rPr>
        <w:t xml:space="preserve">Near-term cash calls:</w:t>
      </w:r>
    </w:p>
    <w:p>
      <w:pPr>
        <w:numPr>
          <w:ilvl w:val="1"/>
          <w:numId w:val="1039"/>
        </w:numPr>
        <w:pStyle w:val="Compact"/>
      </w:pPr>
      <w:r>
        <w:t xml:space="preserve">PIPC fines of ~US$410m, payable despite the appeal (</w:t>
      </w:r>
      <w:hyperlink r:id="rId362">
        <w:r>
          <w:rPr>
            <w:rStyle w:val="Hyperlink"/>
          </w:rPr>
          <w:t xml:space="preserve">#7</w:t>
        </w:r>
      </w:hyperlink>
      <w:r>
        <w:t xml:space="preserve">).</w:t>
      </w:r>
    </w:p>
    <w:p>
      <w:pPr>
        <w:numPr>
          <w:ilvl w:val="1"/>
          <w:numId w:val="1039"/>
        </w:numPr>
        <w:pStyle w:val="Compact"/>
      </w:pPr>
      <w:r>
        <w:t xml:space="preserve">A possible NTS assessment of ~US$208m.</w:t>
      </w:r>
    </w:p>
    <w:p>
      <w:pPr>
        <w:numPr>
          <w:ilvl w:val="1"/>
          <w:numId w:val="1039"/>
        </w:numPr>
        <w:pStyle w:val="Compact"/>
      </w:pPr>
      <w:r>
        <w:t xml:space="preserve">Buybacks (US$907m remaining).</w:t>
      </w:r>
    </w:p>
    <w:p>
      <w:pPr>
        <w:numPr>
          <w:ilvl w:val="1"/>
          <w:numId w:val="1039"/>
        </w:numPr>
        <w:pStyle w:val="Compact"/>
      </w:pPr>
      <w:r>
        <w:t xml:space="preserve">Capex (</w:t>
      </w:r>
      <w:r>
        <w:t xml:space="preserve">“</w:t>
      </w:r>
      <w:r>
        <w:t xml:space="preserve">several billion</w:t>
      </w:r>
      <w:r>
        <w:t xml:space="preserve">”</w:t>
      </w:r>
      <w:r>
        <w:t xml:space="preserve"> </w:t>
      </w:r>
      <w:r>
        <w:t xml:space="preserve">over several years).</w:t>
      </w:r>
    </w:p>
    <w:p>
      <w:pPr>
        <w:numPr>
          <w:ilvl w:val="1"/>
          <w:numId w:val="1039"/>
        </w:numPr>
        <w:pStyle w:val="Compact"/>
      </w:pPr>
      <w:r>
        <w:t xml:space="preserve">Potential release of payables under the Dec-2026 settlement rules. Each 10 days of DPO is ~US$0.67bn [d].</w:t>
      </w:r>
    </w:p>
    <w:p>
      <w:pPr>
        <w:numPr>
          <w:ilvl w:val="0"/>
          <w:numId w:val="1038"/>
        </w:numPr>
        <w:pStyle w:val="Compact"/>
      </w:pPr>
      <w:r>
        <w:rPr>
          <w:bCs/>
          <w:b/>
        </w:rPr>
        <w:t xml:space="preserve">Credit rating:</w:t>
      </w:r>
      <w:r>
        <w:t xml:space="preserve"> </w:t>
      </w:r>
      <w:r>
        <w:t xml:space="preserve">none disclosed in filings.</w:t>
      </w:r>
    </w:p>
    <w:p>
      <w:pPr>
        <w:pStyle w:val="FirstParagraph"/>
      </w:pPr>
      <w:r>
        <w:rPr>
          <w:bCs/>
          <w:b/>
        </w:rPr>
        <w:t xml:space="preserve">Assessment.</w:t>
      </w:r>
    </w:p>
    <w:p>
      <w:pPr>
        <w:numPr>
          <w:ilvl w:val="0"/>
          <w:numId w:val="1040"/>
        </w:numPr>
        <w:pStyle w:val="Compact"/>
      </w:pPr>
      <w:r>
        <w:t xml:space="preserve">Solvency is not an issue.</w:t>
      </w:r>
    </w:p>
    <w:p>
      <w:pPr>
        <w:numPr>
          <w:ilvl w:val="0"/>
          <w:numId w:val="1040"/>
        </w:numPr>
        <w:pStyle w:val="Compact"/>
      </w:pPr>
      <w:r>
        <w:t xml:space="preserve">Coupang has shifted from a cash-rich, self-funding model (FY23 FCF US$1.76bn) to borrowing to fund buybacks while FCF is near zero. Equity has fallen to US$3.0bn.</w:t>
      </w:r>
    </w:p>
    <w:p>
      <w:pPr>
        <w:numPr>
          <w:ilvl w:val="0"/>
          <w:numId w:val="1040"/>
        </w:numPr>
        <w:pStyle w:val="Compact"/>
      </w:pPr>
      <w:r>
        <w:t xml:space="preserve">If the settlement-period rules bite and margins do not recover, the net cash cushion (including leases) could turn to net debt in 2027 [e].</w:t>
      </w:r>
    </w:p>
    <w:bookmarkEnd w:id="363"/>
    <w:bookmarkStart w:id="376" w:name="valuation-peers-history-and-regression"/>
    <w:p>
      <w:pPr>
        <w:pStyle w:val="Heading1"/>
      </w:pPr>
      <w:r>
        <w:t xml:space="preserve">13. Valuation: peers, history and regression</w:t>
      </w:r>
    </w:p>
    <w:bookmarkStart w:id="364" w:name="X071bfa5a1b9670255ea9c595ba469d0a45bcbcb"/>
    <w:p>
      <w:pPr>
        <w:pStyle w:val="Heading2"/>
      </w:pPr>
      <w:r>
        <w:t xml:space="preserve">13.1 Listed peer comparison (LTM to Jun-2026; S&amp;P Capital IQ financials; ProntoNLP prices, 9-Oct-2026)</w:t>
      </w:r>
    </w:p>
    <w:tbl>
      <w:tblPr>
        <w:tblStyle w:val="Table"/>
        <w:tblW w:type="auto" w:w="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Company</w:t>
            </w:r>
          </w:p>
        </w:tc>
        <w:tc>
          <w:tcPr/>
          <w:p>
            <w:pPr>
              <w:pStyle w:val="Compact"/>
              <w:jc w:val="left"/>
            </w:pPr>
            <w:r>
              <w:t xml:space="preserve">Ticker</w:t>
            </w:r>
          </w:p>
        </w:tc>
        <w:tc>
          <w:tcPr/>
          <w:p>
            <w:pPr>
              <w:pStyle w:val="Compact"/>
              <w:jc w:val="left"/>
            </w:pPr>
            <w:r>
              <w:t xml:space="preserve">Listed?</w:t>
            </w:r>
          </w:p>
        </w:tc>
        <w:tc>
          <w:tcPr/>
          <w:p>
            <w:pPr>
              <w:pStyle w:val="Compact"/>
              <w:jc w:val="left"/>
            </w:pPr>
            <w:r>
              <w:t xml:space="preserve">Mkt cap (US$bn)</w:t>
            </w:r>
          </w:p>
        </w:tc>
        <w:tc>
          <w:tcPr/>
          <w:p>
            <w:pPr>
              <w:pStyle w:val="Compact"/>
              <w:jc w:val="left"/>
            </w:pPr>
            <w:r>
              <w:t xml:space="preserve">EV/Sales</w:t>
            </w:r>
          </w:p>
        </w:tc>
        <w:tc>
          <w:tcPr/>
          <w:p>
            <w:pPr>
              <w:pStyle w:val="Compact"/>
              <w:jc w:val="left"/>
            </w:pPr>
            <w:r>
              <w:t xml:space="preserve">EV/EBITDA</w:t>
            </w:r>
          </w:p>
        </w:tc>
        <w:tc>
          <w:tcPr/>
          <w:p>
            <w:pPr>
              <w:pStyle w:val="Compact"/>
              <w:jc w:val="left"/>
            </w:pPr>
            <w:r>
              <w:t xml:space="preserve">EV/EBIT</w:t>
            </w:r>
          </w:p>
        </w:tc>
        <w:tc>
          <w:tcPr/>
          <w:p>
            <w:pPr>
              <w:pStyle w:val="Compact"/>
              <w:jc w:val="left"/>
            </w:pPr>
            <w:r>
              <w:t xml:space="preserve">P/E</w:t>
            </w:r>
          </w:p>
        </w:tc>
        <w:tc>
          <w:tcPr/>
          <w:p>
            <w:pPr>
              <w:pStyle w:val="Compact"/>
              <w:jc w:val="left"/>
            </w:pPr>
            <w:r>
              <w:t xml:space="preserve">Net debt/EBITDA</w:t>
            </w:r>
          </w:p>
        </w:tc>
        <w:tc>
          <w:tcPr/>
          <w:p>
            <w:pPr>
              <w:pStyle w:val="Compact"/>
              <w:jc w:val="left"/>
            </w:pPr>
            <w:r>
              <w:t xml:space="preserve">EBITDA margin</w:t>
            </w:r>
          </w:p>
        </w:tc>
        <w:tc>
          <w:tcPr/>
          <w:p>
            <w:pPr>
              <w:pStyle w:val="Compact"/>
              <w:jc w:val="left"/>
            </w:pPr>
            <w:r>
              <w:t xml:space="preserve">EBIT margin</w:t>
            </w:r>
          </w:p>
        </w:tc>
        <w:tc>
          <w:tcPr/>
          <w:p>
            <w:pPr>
              <w:pStyle w:val="Compact"/>
              <w:jc w:val="left"/>
            </w:pPr>
            <w:r>
              <w:t xml:space="preserve">Sales growth</w:t>
            </w:r>
          </w:p>
        </w:tc>
        <w:tc>
          <w:tcPr/>
          <w:p>
            <w:pPr>
              <w:pStyle w:val="Compact"/>
              <w:jc w:val="left"/>
            </w:pPr>
            <w:r>
              <w:t xml:space="preserve">FCF yield</w:t>
            </w:r>
          </w:p>
        </w:tc>
      </w:tr>
      <w:tr>
        <w:tc>
          <w:tcPr/>
          <w:p>
            <w:pPr>
              <w:pStyle w:val="Compact"/>
              <w:jc w:val="left"/>
            </w:pPr>
            <w:r>
              <w:rPr>
                <w:bCs/>
                <w:b/>
              </w:rPr>
              <w:t xml:space="preserve">Coupang</w:t>
            </w:r>
          </w:p>
        </w:tc>
        <w:tc>
          <w:tcPr/>
          <w:p>
            <w:pPr>
              <w:pStyle w:val="Compact"/>
              <w:jc w:val="left"/>
            </w:pPr>
            <w:r>
              <w:rPr>
                <w:bCs/>
                <w:b/>
              </w:rPr>
              <w:t xml:space="preserve">CPNG US</w:t>
            </w:r>
          </w:p>
        </w:tc>
        <w:tc>
          <w:tcPr/>
          <w:p>
            <w:pPr>
              <w:pStyle w:val="Compact"/>
              <w:jc w:val="left"/>
            </w:pPr>
            <w:r>
              <w:rPr>
                <w:bCs/>
                <w:b/>
              </w:rPr>
              <w:t xml:space="preserve">NYSE</w:t>
            </w:r>
          </w:p>
        </w:tc>
        <w:tc>
          <w:tcPr/>
          <w:p>
            <w:pPr>
              <w:pStyle w:val="Compact"/>
              <w:jc w:val="left"/>
            </w:pPr>
            <w:r>
              <w:rPr>
                <w:bCs/>
                <w:b/>
              </w:rPr>
              <w:t xml:space="preserve">28.5</w:t>
            </w:r>
          </w:p>
        </w:tc>
        <w:tc>
          <w:tcPr/>
          <w:p>
            <w:pPr>
              <w:pStyle w:val="Compact"/>
              <w:jc w:val="left"/>
            </w:pPr>
            <w:r>
              <w:rPr>
                <w:bCs/>
                <w:b/>
              </w:rPr>
              <w:t xml:space="preserve">0.79</w:t>
            </w:r>
          </w:p>
        </w:tc>
        <w:tc>
          <w:tcPr/>
          <w:p>
            <w:pPr>
              <w:pStyle w:val="Compact"/>
              <w:jc w:val="left"/>
            </w:pPr>
            <w:r>
              <w:rPr>
                <w:bCs/>
                <w:b/>
              </w:rPr>
              <w:t xml:space="preserve">n.m.</w:t>
            </w:r>
          </w:p>
        </w:tc>
        <w:tc>
          <w:tcPr/>
          <w:p>
            <w:pPr>
              <w:pStyle w:val="Compact"/>
              <w:jc w:val="left"/>
            </w:pPr>
            <w:r>
              <w:rPr>
                <w:bCs/>
                <w:b/>
              </w:rPr>
              <w:t xml:space="preserve">n.m.</w:t>
            </w:r>
          </w:p>
        </w:tc>
        <w:tc>
          <w:tcPr/>
          <w:p>
            <w:pPr>
              <w:pStyle w:val="Compact"/>
              <w:jc w:val="left"/>
            </w:pPr>
            <w:r>
              <w:rPr>
                <w:bCs/>
                <w:b/>
              </w:rPr>
              <w:t xml:space="preserve">n.m.</w:t>
            </w:r>
          </w:p>
        </w:tc>
        <w:tc>
          <w:tcPr/>
          <w:p>
            <w:pPr>
              <w:pStyle w:val="Compact"/>
              <w:jc w:val="left"/>
            </w:pPr>
            <w:r>
              <w:rPr>
                <w:bCs/>
                <w:b/>
              </w:rPr>
              <w:t xml:space="preserve">net cash</w:t>
            </w:r>
          </w:p>
        </w:tc>
        <w:tc>
          <w:tcPr/>
          <w:p>
            <w:pPr>
              <w:pStyle w:val="Compact"/>
              <w:jc w:val="left"/>
            </w:pPr>
            <w:r>
              <w:rPr>
                <w:bCs/>
                <w:b/>
              </w:rPr>
              <w:t xml:space="preserve">-0.1%</w:t>
            </w:r>
          </w:p>
        </w:tc>
        <w:tc>
          <w:tcPr/>
          <w:p>
            <w:pPr>
              <w:pStyle w:val="Compact"/>
              <w:jc w:val="left"/>
            </w:pPr>
            <w:r>
              <w:rPr>
                <w:bCs/>
                <w:b/>
              </w:rPr>
              <w:t xml:space="preserve">-1.7%</w:t>
            </w:r>
          </w:p>
        </w:tc>
        <w:tc>
          <w:tcPr/>
          <w:p>
            <w:pPr>
              <w:pStyle w:val="Compact"/>
              <w:jc w:val="left"/>
            </w:pPr>
            <w:r>
              <w:rPr>
                <w:bCs/>
                <w:b/>
              </w:rPr>
              <w:t xml:space="preserve">9.9%</w:t>
            </w:r>
          </w:p>
        </w:tc>
        <w:tc>
          <w:tcPr/>
          <w:p>
            <w:pPr>
              <w:pStyle w:val="Compact"/>
              <w:jc w:val="left"/>
            </w:pPr>
            <w:r>
              <w:rPr>
                <w:bCs/>
                <w:b/>
              </w:rPr>
              <w:t xml:space="preserve">0.3%</w:t>
            </w:r>
          </w:p>
        </w:tc>
      </w:tr>
      <w:tr>
        <w:tc>
          <w:tcPr/>
          <w:p>
            <w:pPr>
              <w:pStyle w:val="Compact"/>
              <w:jc w:val="left"/>
            </w:pPr>
            <w:r>
              <w:t xml:space="preserve">Amazon</w:t>
            </w:r>
          </w:p>
        </w:tc>
        <w:tc>
          <w:tcPr/>
          <w:p>
            <w:pPr>
              <w:pStyle w:val="Compact"/>
              <w:jc w:val="left"/>
            </w:pPr>
            <w:r>
              <w:t xml:space="preserve">AMZN US</w:t>
            </w:r>
          </w:p>
        </w:tc>
        <w:tc>
          <w:tcPr/>
          <w:p>
            <w:pPr>
              <w:pStyle w:val="Compact"/>
              <w:jc w:val="left"/>
            </w:pPr>
            <w:r>
              <w:t xml:space="preserve">NASDAQ</w:t>
            </w:r>
          </w:p>
        </w:tc>
        <w:tc>
          <w:tcPr/>
          <w:p>
            <w:pPr>
              <w:pStyle w:val="Compact"/>
              <w:jc w:val="left"/>
            </w:pPr>
            <w:r>
              <w:t xml:space="preserve">2,861</w:t>
            </w:r>
          </w:p>
        </w:tc>
        <w:tc>
          <w:tcPr/>
          <w:p>
            <w:pPr>
              <w:pStyle w:val="Compact"/>
              <w:jc w:val="left"/>
            </w:pPr>
            <w:r>
              <w:t xml:space="preserve">3.85</w:t>
            </w:r>
          </w:p>
        </w:tc>
        <w:tc>
          <w:tcPr/>
          <w:p>
            <w:pPr>
              <w:pStyle w:val="Compact"/>
              <w:jc w:val="left"/>
            </w:pPr>
            <w:r>
              <w:t xml:space="preserve">17.7</w:t>
            </w:r>
          </w:p>
        </w:tc>
        <w:tc>
          <w:tcPr/>
          <w:p>
            <w:pPr>
              <w:pStyle w:val="Compact"/>
              <w:jc w:val="left"/>
            </w:pPr>
            <w:r>
              <w:t xml:space="preserve">31.9</w:t>
            </w:r>
          </w:p>
        </w:tc>
        <w:tc>
          <w:tcPr/>
          <w:p>
            <w:pPr>
              <w:pStyle w:val="Compact"/>
              <w:jc w:val="left"/>
            </w:pPr>
            <w:r>
              <w:t xml:space="preserve">21.2</w:t>
            </w:r>
          </w:p>
        </w:tc>
        <w:tc>
          <w:tcPr/>
          <w:p>
            <w:pPr>
              <w:pStyle w:val="Compact"/>
              <w:jc w:val="left"/>
            </w:pPr>
            <w:r>
              <w:t xml:space="preserve">0.8</w:t>
            </w:r>
          </w:p>
        </w:tc>
        <w:tc>
          <w:tcPr/>
          <w:p>
            <w:pPr>
              <w:pStyle w:val="Compact"/>
              <w:jc w:val="left"/>
            </w:pPr>
            <w:r>
              <w:t xml:space="preserve">21.8%</w:t>
            </w:r>
          </w:p>
        </w:tc>
        <w:tc>
          <w:tcPr/>
          <w:p>
            <w:pPr>
              <w:pStyle w:val="Compact"/>
              <w:jc w:val="left"/>
            </w:pPr>
            <w:r>
              <w:t xml:space="preserve">12.1%</w:t>
            </w:r>
          </w:p>
        </w:tc>
        <w:tc>
          <w:tcPr/>
          <w:p>
            <w:pPr>
              <w:pStyle w:val="Compact"/>
              <w:jc w:val="left"/>
            </w:pPr>
            <w:r>
              <w:t xml:space="preserve">15.8%</w:t>
            </w:r>
          </w:p>
        </w:tc>
        <w:tc>
          <w:tcPr/>
          <w:p>
            <w:pPr>
              <w:pStyle w:val="Compact"/>
              <w:jc w:val="left"/>
            </w:pPr>
            <w:r>
              <w:t xml:space="preserve">-0.4%</w:t>
            </w:r>
          </w:p>
        </w:tc>
      </w:tr>
      <w:tr>
        <w:tc>
          <w:tcPr/>
          <w:p>
            <w:pPr>
              <w:pStyle w:val="Compact"/>
              <w:jc w:val="left"/>
            </w:pPr>
            <w:r>
              <w:t xml:space="preserve">MercadoLibre</w:t>
            </w:r>
          </w:p>
        </w:tc>
        <w:tc>
          <w:tcPr/>
          <w:p>
            <w:pPr>
              <w:pStyle w:val="Compact"/>
              <w:jc w:val="left"/>
            </w:pPr>
            <w:r>
              <w:t xml:space="preserve">MELI US</w:t>
            </w:r>
          </w:p>
        </w:tc>
        <w:tc>
          <w:tcPr/>
          <w:p>
            <w:pPr>
              <w:pStyle w:val="Compact"/>
              <w:jc w:val="left"/>
            </w:pPr>
            <w:r>
              <w:t xml:space="preserve">NASDAQ</w:t>
            </w:r>
          </w:p>
        </w:tc>
        <w:tc>
          <w:tcPr/>
          <w:p>
            <w:pPr>
              <w:pStyle w:val="Compact"/>
              <w:jc w:val="left"/>
            </w:pPr>
            <w:r>
              <w:t xml:space="preserve">96</w:t>
            </w:r>
          </w:p>
        </w:tc>
        <w:tc>
          <w:tcPr/>
          <w:p>
            <w:pPr>
              <w:pStyle w:val="Compact"/>
              <w:jc w:val="left"/>
            </w:pPr>
            <w:r>
              <w:t xml:space="preserve">2.94</w:t>
            </w:r>
          </w:p>
        </w:tc>
        <w:tc>
          <w:tcPr/>
          <w:p>
            <w:pPr>
              <w:pStyle w:val="Compact"/>
              <w:jc w:val="left"/>
            </w:pPr>
            <w:r>
              <w:t xml:space="preserve">26.5</w:t>
            </w:r>
          </w:p>
        </w:tc>
        <w:tc>
          <w:tcPr/>
          <w:p>
            <w:pPr>
              <w:pStyle w:val="Compact"/>
              <w:jc w:val="left"/>
            </w:pPr>
            <w:r>
              <w:t xml:space="preserve">35.5</w:t>
            </w:r>
          </w:p>
        </w:tc>
        <w:tc>
          <w:tcPr/>
          <w:p>
            <w:pPr>
              <w:pStyle w:val="Compact"/>
              <w:jc w:val="left"/>
            </w:pPr>
            <w:r>
              <w:t xml:space="preserve">51.4</w:t>
            </w:r>
          </w:p>
        </w:tc>
        <w:tc>
          <w:tcPr/>
          <w:p>
            <w:pPr>
              <w:pStyle w:val="Compact"/>
              <w:jc w:val="left"/>
            </w:pPr>
            <w:r>
              <w:t xml:space="preserve">1.9</w:t>
            </w:r>
          </w:p>
        </w:tc>
        <w:tc>
          <w:tcPr/>
          <w:p>
            <w:pPr>
              <w:pStyle w:val="Compact"/>
              <w:jc w:val="left"/>
            </w:pPr>
            <w:r>
              <w:t xml:space="preserve">11.1%</w:t>
            </w:r>
          </w:p>
        </w:tc>
        <w:tc>
          <w:tcPr/>
          <w:p>
            <w:pPr>
              <w:pStyle w:val="Compact"/>
              <w:jc w:val="left"/>
            </w:pPr>
            <w:r>
              <w:t xml:space="preserve">8.3%</w:t>
            </w:r>
          </w:p>
        </w:tc>
        <w:tc>
          <w:tcPr/>
          <w:p>
            <w:pPr>
              <w:pStyle w:val="Compact"/>
              <w:jc w:val="left"/>
            </w:pPr>
            <w:r>
              <w:t xml:space="preserve">46.0%</w:t>
            </w:r>
          </w:p>
        </w:tc>
        <w:tc>
          <w:tcPr/>
          <w:p>
            <w:pPr>
              <w:pStyle w:val="Compact"/>
              <w:jc w:val="left"/>
            </w:pPr>
            <w:r>
              <w:t xml:space="preserve">13.0%</w:t>
            </w:r>
          </w:p>
        </w:tc>
      </w:tr>
      <w:tr>
        <w:tc>
          <w:tcPr/>
          <w:p>
            <w:pPr>
              <w:pStyle w:val="Compact"/>
              <w:jc w:val="left"/>
            </w:pPr>
            <w:r>
              <w:t xml:space="preserve">Sea Ltd</w:t>
            </w:r>
          </w:p>
        </w:tc>
        <w:tc>
          <w:tcPr/>
          <w:p>
            <w:pPr>
              <w:pStyle w:val="Compact"/>
              <w:jc w:val="left"/>
            </w:pPr>
            <w:r>
              <w:t xml:space="preserve">SE US</w:t>
            </w:r>
          </w:p>
        </w:tc>
        <w:tc>
          <w:tcPr/>
          <w:p>
            <w:pPr>
              <w:pStyle w:val="Compact"/>
              <w:jc w:val="left"/>
            </w:pPr>
            <w:r>
              <w:t xml:space="preserve">NYSE</w:t>
            </w:r>
          </w:p>
        </w:tc>
        <w:tc>
          <w:tcPr/>
          <w:p>
            <w:pPr>
              <w:pStyle w:val="Compact"/>
              <w:jc w:val="left"/>
            </w:pPr>
            <w:r>
              <w:t xml:space="preserve">62</w:t>
            </w:r>
          </w:p>
        </w:tc>
        <w:tc>
          <w:tcPr/>
          <w:p>
            <w:pPr>
              <w:pStyle w:val="Compact"/>
              <w:jc w:val="left"/>
            </w:pPr>
            <w:r>
              <w:t xml:space="preserve">2.07</w:t>
            </w:r>
          </w:p>
        </w:tc>
        <w:tc>
          <w:tcPr/>
          <w:p>
            <w:pPr>
              <w:pStyle w:val="Compact"/>
              <w:jc w:val="left"/>
            </w:pPr>
            <w:r>
              <w:t xml:space="preserve">21.4</w:t>
            </w:r>
          </w:p>
        </w:tc>
        <w:tc>
          <w:tcPr/>
          <w:p>
            <w:pPr>
              <w:pStyle w:val="Compact"/>
              <w:jc w:val="left"/>
            </w:pPr>
            <w:r>
              <w:t xml:space="preserve">25.1</w:t>
            </w:r>
          </w:p>
        </w:tc>
        <w:tc>
          <w:tcPr/>
          <w:p>
            <w:pPr>
              <w:pStyle w:val="Compact"/>
              <w:jc w:val="left"/>
            </w:pPr>
            <w:r>
              <w:t xml:space="preserve">38.1</w:t>
            </w:r>
          </w:p>
        </w:tc>
        <w:tc>
          <w:tcPr/>
          <w:p>
            <w:pPr>
              <w:pStyle w:val="Compact"/>
              <w:jc w:val="left"/>
            </w:pPr>
            <w:r>
              <w:t xml:space="preserve">net cash</w:t>
            </w:r>
          </w:p>
        </w:tc>
        <w:tc>
          <w:tcPr/>
          <w:p>
            <w:pPr>
              <w:pStyle w:val="Compact"/>
              <w:jc w:val="left"/>
            </w:pPr>
            <w:r>
              <w:t xml:space="preserve">9.7%</w:t>
            </w:r>
          </w:p>
        </w:tc>
        <w:tc>
          <w:tcPr/>
          <w:p>
            <w:pPr>
              <w:pStyle w:val="Compact"/>
              <w:jc w:val="left"/>
            </w:pPr>
            <w:r>
              <w:t xml:space="preserve">8.2%</w:t>
            </w:r>
          </w:p>
        </w:tc>
        <w:tc>
          <w:tcPr/>
          <w:p>
            <w:pPr>
              <w:pStyle w:val="Compact"/>
              <w:jc w:val="left"/>
            </w:pPr>
            <w:r>
              <w:t xml:space="preserve">43.1%</w:t>
            </w:r>
          </w:p>
        </w:tc>
        <w:tc>
          <w:tcPr/>
          <w:p>
            <w:pPr>
              <w:pStyle w:val="Compact"/>
              <w:jc w:val="left"/>
            </w:pPr>
            <w:r>
              <w:t xml:space="preserve">6.7%</w:t>
            </w:r>
          </w:p>
        </w:tc>
      </w:tr>
      <w:tr>
        <w:tc>
          <w:tcPr/>
          <w:p>
            <w:pPr>
              <w:pStyle w:val="Compact"/>
              <w:jc w:val="left"/>
            </w:pPr>
            <w:r>
              <w:t xml:space="preserve">PDD Holdings</w:t>
            </w:r>
          </w:p>
        </w:tc>
        <w:tc>
          <w:tcPr/>
          <w:p>
            <w:pPr>
              <w:pStyle w:val="Compact"/>
              <w:jc w:val="left"/>
            </w:pPr>
            <w:r>
              <w:t xml:space="preserve">PDD US</w:t>
            </w:r>
          </w:p>
        </w:tc>
        <w:tc>
          <w:tcPr/>
          <w:p>
            <w:pPr>
              <w:pStyle w:val="Compact"/>
              <w:jc w:val="left"/>
            </w:pPr>
            <w:r>
              <w:t xml:space="preserve">NASDAQ</w:t>
            </w:r>
          </w:p>
        </w:tc>
        <w:tc>
          <w:tcPr/>
          <w:p>
            <w:pPr>
              <w:pStyle w:val="Compact"/>
              <w:jc w:val="left"/>
            </w:pPr>
            <w:r>
              <w:t xml:space="preserve">120</w:t>
            </w:r>
          </w:p>
        </w:tc>
        <w:tc>
          <w:tcPr/>
          <w:p>
            <w:pPr>
              <w:pStyle w:val="Compact"/>
              <w:jc w:val="left"/>
            </w:pPr>
            <w:r>
              <w:t xml:space="preserve">0.89</w:t>
            </w:r>
          </w:p>
        </w:tc>
        <w:tc>
          <w:tcPr/>
          <w:p>
            <w:pPr>
              <w:pStyle w:val="Compact"/>
              <w:jc w:val="left"/>
            </w:pPr>
            <w:r>
              <w:t xml:space="preserve">4.0</w:t>
            </w:r>
          </w:p>
        </w:tc>
        <w:tc>
          <w:tcPr/>
          <w:p>
            <w:pPr>
              <w:pStyle w:val="Compact"/>
              <w:jc w:val="left"/>
            </w:pPr>
            <w:r>
              <w:t xml:space="preserve">4.1</w:t>
            </w:r>
          </w:p>
        </w:tc>
        <w:tc>
          <w:tcPr/>
          <w:p>
            <w:pPr>
              <w:pStyle w:val="Compact"/>
              <w:jc w:val="left"/>
            </w:pPr>
            <w:r>
              <w:t xml:space="preserve">9.2</w:t>
            </w:r>
          </w:p>
        </w:tc>
        <w:tc>
          <w:tcPr/>
          <w:p>
            <w:pPr>
              <w:pStyle w:val="Compact"/>
              <w:jc w:val="left"/>
            </w:pPr>
            <w:r>
              <w:t xml:space="preserve">net cash</w:t>
            </w:r>
          </w:p>
        </w:tc>
        <w:tc>
          <w:tcPr/>
          <w:p>
            <w:pPr>
              <w:pStyle w:val="Compact"/>
              <w:jc w:val="left"/>
            </w:pPr>
            <w:r>
              <w:t xml:space="preserve">22.0%</w:t>
            </w:r>
          </w:p>
        </w:tc>
        <w:tc>
          <w:tcPr/>
          <w:p>
            <w:pPr>
              <w:pStyle w:val="Compact"/>
              <w:jc w:val="left"/>
            </w:pPr>
            <w:r>
              <w:t xml:space="preserve">21.9%</w:t>
            </w:r>
          </w:p>
        </w:tc>
        <w:tc>
          <w:tcPr/>
          <w:p>
            <w:pPr>
              <w:pStyle w:val="Compact"/>
              <w:jc w:val="left"/>
            </w:pPr>
            <w:r>
              <w:t xml:space="preserve">10.0%</w:t>
            </w:r>
          </w:p>
        </w:tc>
        <w:tc>
          <w:tcPr/>
          <w:p>
            <w:pPr>
              <w:pStyle w:val="Compact"/>
              <w:jc w:val="left"/>
            </w:pPr>
            <w:r>
              <w:t xml:space="preserve">13.0%</w:t>
            </w:r>
          </w:p>
        </w:tc>
      </w:tr>
      <w:tr>
        <w:tc>
          <w:tcPr/>
          <w:p>
            <w:pPr>
              <w:pStyle w:val="Compact"/>
              <w:jc w:val="left"/>
            </w:pPr>
            <w:r>
              <w:t xml:space="preserve">Alibaba</w:t>
            </w:r>
          </w:p>
        </w:tc>
        <w:tc>
          <w:tcPr/>
          <w:p>
            <w:pPr>
              <w:pStyle w:val="Compact"/>
              <w:jc w:val="left"/>
            </w:pPr>
            <w:r>
              <w:t xml:space="preserve">BABA US / 9988 HK</w:t>
            </w:r>
          </w:p>
        </w:tc>
        <w:tc>
          <w:tcPr/>
          <w:p>
            <w:pPr>
              <w:pStyle w:val="Compact"/>
              <w:jc w:val="left"/>
            </w:pPr>
            <w:r>
              <w:t xml:space="preserve">NYSE / HKEX</w:t>
            </w:r>
          </w:p>
        </w:tc>
        <w:tc>
          <w:tcPr/>
          <w:p>
            <w:pPr>
              <w:pStyle w:val="Compact"/>
              <w:jc w:val="left"/>
            </w:pPr>
            <w:r>
              <w:t xml:space="preserve">265</w:t>
            </w:r>
          </w:p>
        </w:tc>
        <w:tc>
          <w:tcPr/>
          <w:p>
            <w:pPr>
              <w:pStyle w:val="Compact"/>
              <w:jc w:val="left"/>
            </w:pPr>
            <w:r>
              <w:t xml:space="preserve">1.69</w:t>
            </w:r>
          </w:p>
        </w:tc>
        <w:tc>
          <w:tcPr/>
          <w:p>
            <w:pPr>
              <w:pStyle w:val="Compact"/>
              <w:jc w:val="left"/>
            </w:pPr>
            <w:r>
              <w:t xml:space="preserve">17.7</w:t>
            </w:r>
          </w:p>
        </w:tc>
        <w:tc>
          <w:tcPr/>
          <w:p>
            <w:pPr>
              <w:pStyle w:val="Compact"/>
              <w:jc w:val="left"/>
            </w:pPr>
            <w:r>
              <w:t xml:space="preserve">37.0</w:t>
            </w:r>
          </w:p>
        </w:tc>
        <w:tc>
          <w:tcPr/>
          <w:p>
            <w:pPr>
              <w:pStyle w:val="Compact"/>
              <w:jc w:val="left"/>
            </w:pPr>
            <w:r>
              <w:t xml:space="preserve">25.6</w:t>
            </w:r>
          </w:p>
        </w:tc>
        <w:tc>
          <w:tcPr/>
          <w:p>
            <w:pPr>
              <w:pStyle w:val="Compact"/>
              <w:jc w:val="left"/>
            </w:pPr>
            <w:r>
              <w:t xml:space="preserve">net cash</w:t>
            </w:r>
          </w:p>
        </w:tc>
        <w:tc>
          <w:tcPr/>
          <w:p>
            <w:pPr>
              <w:pStyle w:val="Compact"/>
              <w:jc w:val="left"/>
            </w:pPr>
            <w:r>
              <w:t xml:space="preserve">9.5%</w:t>
            </w:r>
          </w:p>
        </w:tc>
        <w:tc>
          <w:tcPr/>
          <w:p>
            <w:pPr>
              <w:pStyle w:val="Compact"/>
              <w:jc w:val="left"/>
            </w:pPr>
            <w:r>
              <w:t xml:space="preserve">4.6%</w:t>
            </w:r>
          </w:p>
        </w:tc>
        <w:tc>
          <w:tcPr/>
          <w:p>
            <w:pPr>
              <w:pStyle w:val="Compact"/>
              <w:jc w:val="left"/>
            </w:pPr>
            <w:r>
              <w:t xml:space="preserve">4.4%</w:t>
            </w:r>
          </w:p>
        </w:tc>
        <w:tc>
          <w:tcPr/>
          <w:p>
            <w:pPr>
              <w:pStyle w:val="Compact"/>
              <w:jc w:val="left"/>
            </w:pPr>
            <w:r>
              <w:t xml:space="preserve">-4.1%</w:t>
            </w:r>
          </w:p>
        </w:tc>
      </w:tr>
      <w:tr>
        <w:tc>
          <w:tcPr/>
          <w:p>
            <w:pPr>
              <w:pStyle w:val="Compact"/>
              <w:jc w:val="left"/>
            </w:pPr>
            <w:r>
              <w:t xml:space="preserve">JD.com</w:t>
            </w:r>
          </w:p>
        </w:tc>
        <w:tc>
          <w:tcPr/>
          <w:p>
            <w:pPr>
              <w:pStyle w:val="Compact"/>
              <w:jc w:val="left"/>
            </w:pPr>
            <w:r>
              <w:t xml:space="preserve">JD US</w:t>
            </w:r>
          </w:p>
        </w:tc>
        <w:tc>
          <w:tcPr/>
          <w:p>
            <w:pPr>
              <w:pStyle w:val="Compact"/>
              <w:jc w:val="left"/>
            </w:pPr>
            <w:r>
              <w:t xml:space="preserve">NASDAQ</w:t>
            </w:r>
          </w:p>
        </w:tc>
        <w:tc>
          <w:tcPr/>
          <w:p>
            <w:pPr>
              <w:pStyle w:val="Compact"/>
              <w:jc w:val="left"/>
            </w:pPr>
            <w:r>
              <w:t xml:space="preserve">38</w:t>
            </w:r>
          </w:p>
        </w:tc>
        <w:tc>
          <w:tcPr/>
          <w:p>
            <w:pPr>
              <w:pStyle w:val="Compact"/>
              <w:jc w:val="left"/>
            </w:pPr>
            <w:r>
              <w:t xml:space="preserve">0.09</w:t>
            </w:r>
          </w:p>
        </w:tc>
        <w:tc>
          <w:tcPr/>
          <w:p>
            <w:pPr>
              <w:pStyle w:val="Compact"/>
              <w:jc w:val="left"/>
            </w:pPr>
            <w:r>
              <w:t xml:space="preserve">9.8</w:t>
            </w:r>
          </w:p>
        </w:tc>
        <w:tc>
          <w:tcPr/>
          <w:p>
            <w:pPr>
              <w:pStyle w:val="Compact"/>
              <w:jc w:val="left"/>
            </w:pPr>
            <w:r>
              <w:t xml:space="preserve">53.0</w:t>
            </w:r>
          </w:p>
        </w:tc>
        <w:tc>
          <w:tcPr/>
          <w:p>
            <w:pPr>
              <w:pStyle w:val="Compact"/>
              <w:jc w:val="left"/>
            </w:pPr>
            <w:r>
              <w:t xml:space="preserve">18.3</w:t>
            </w:r>
          </w:p>
        </w:tc>
        <w:tc>
          <w:tcPr/>
          <w:p>
            <w:pPr>
              <w:pStyle w:val="Compact"/>
              <w:jc w:val="left"/>
            </w:pPr>
            <w:r>
              <w:t xml:space="preserve">net cash</w:t>
            </w:r>
          </w:p>
        </w:tc>
        <w:tc>
          <w:tcPr/>
          <w:p>
            <w:pPr>
              <w:pStyle w:val="Compact"/>
              <w:jc w:val="left"/>
            </w:pPr>
            <w:r>
              <w:t xml:space="preserve">0.9%</w:t>
            </w:r>
          </w:p>
        </w:tc>
        <w:tc>
          <w:tcPr/>
          <w:p>
            <w:pPr>
              <w:pStyle w:val="Compact"/>
              <w:jc w:val="left"/>
            </w:pPr>
            <w:r>
              <w:t xml:space="preserve">0.2%</w:t>
            </w:r>
          </w:p>
        </w:tc>
        <w:tc>
          <w:tcPr/>
          <w:p>
            <w:pPr>
              <w:pStyle w:val="Compact"/>
              <w:jc w:val="left"/>
            </w:pPr>
            <w:r>
              <w:t xml:space="preserve">3.8%</w:t>
            </w:r>
          </w:p>
        </w:tc>
        <w:tc>
          <w:tcPr/>
          <w:p>
            <w:pPr>
              <w:pStyle w:val="Compact"/>
              <w:jc w:val="left"/>
            </w:pPr>
            <w:r>
              <w:t xml:space="preserve">10.5%</w:t>
            </w:r>
          </w:p>
        </w:tc>
      </w:tr>
      <w:tr>
        <w:tc>
          <w:tcPr/>
          <w:p>
            <w:pPr>
              <w:pStyle w:val="Compact"/>
              <w:jc w:val="left"/>
            </w:pPr>
            <w:r>
              <w:t xml:space="preserve">Vipshop</w:t>
            </w:r>
          </w:p>
        </w:tc>
        <w:tc>
          <w:tcPr/>
          <w:p>
            <w:pPr>
              <w:pStyle w:val="Compact"/>
              <w:jc w:val="left"/>
            </w:pPr>
            <w:r>
              <w:t xml:space="preserve">VIPS US</w:t>
            </w:r>
          </w:p>
        </w:tc>
        <w:tc>
          <w:tcPr/>
          <w:p>
            <w:pPr>
              <w:pStyle w:val="Compact"/>
              <w:jc w:val="left"/>
            </w:pPr>
            <w:r>
              <w:t xml:space="preserve">NYSE</w:t>
            </w:r>
          </w:p>
        </w:tc>
        <w:tc>
          <w:tcPr/>
          <w:p>
            <w:pPr>
              <w:pStyle w:val="Compact"/>
              <w:jc w:val="left"/>
            </w:pPr>
            <w:r>
              <w:t xml:space="preserve">6</w:t>
            </w:r>
          </w:p>
        </w:tc>
        <w:tc>
          <w:tcPr/>
          <w:p>
            <w:pPr>
              <w:pStyle w:val="Compact"/>
              <w:jc w:val="left"/>
            </w:pPr>
            <w:r>
              <w:t xml:space="preserve">0.22</w:t>
            </w:r>
          </w:p>
        </w:tc>
        <w:tc>
          <w:tcPr/>
          <w:p>
            <w:pPr>
              <w:pStyle w:val="Compact"/>
              <w:jc w:val="left"/>
            </w:pPr>
            <w:r>
              <w:t xml:space="preserve">2.4</w:t>
            </w:r>
          </w:p>
        </w:tc>
        <w:tc>
          <w:tcPr/>
          <w:p>
            <w:pPr>
              <w:pStyle w:val="Compact"/>
              <w:jc w:val="left"/>
            </w:pPr>
            <w:r>
              <w:t xml:space="preserve">2.9</w:t>
            </w:r>
          </w:p>
        </w:tc>
        <w:tc>
          <w:tcPr/>
          <w:p>
            <w:pPr>
              <w:pStyle w:val="Compact"/>
              <w:jc w:val="left"/>
            </w:pPr>
            <w:r>
              <w:t xml:space="preserve">4.3</w:t>
            </w:r>
          </w:p>
        </w:tc>
        <w:tc>
          <w:tcPr/>
          <w:p>
            <w:pPr>
              <w:pStyle w:val="Compact"/>
              <w:jc w:val="left"/>
            </w:pPr>
            <w:r>
              <w:t xml:space="preserve">net cash</w:t>
            </w:r>
          </w:p>
        </w:tc>
        <w:tc>
          <w:tcPr/>
          <w:p>
            <w:pPr>
              <w:pStyle w:val="Compact"/>
              <w:jc w:val="left"/>
            </w:pPr>
            <w:r>
              <w:t xml:space="preserve">9.1%</w:t>
            </w:r>
          </w:p>
        </w:tc>
        <w:tc>
          <w:tcPr/>
          <w:p>
            <w:pPr>
              <w:pStyle w:val="Compact"/>
              <w:jc w:val="left"/>
            </w:pPr>
            <w:r>
              <w:t xml:space="preserve">7.6%</w:t>
            </w:r>
          </w:p>
        </w:tc>
        <w:tc>
          <w:tcPr/>
          <w:p>
            <w:pPr>
              <w:pStyle w:val="Compact"/>
              <w:jc w:val="left"/>
            </w:pPr>
            <w:r>
              <w:t xml:space="preserve">-0.8%</w:t>
            </w:r>
          </w:p>
        </w:tc>
        <w:tc>
          <w:tcPr/>
          <w:p>
            <w:pPr>
              <w:pStyle w:val="Compact"/>
              <w:jc w:val="left"/>
            </w:pPr>
            <w:r>
              <w:t xml:space="preserve">n.a.</w:t>
            </w:r>
          </w:p>
        </w:tc>
      </w:tr>
      <w:tr>
        <w:tc>
          <w:tcPr/>
          <w:p>
            <w:pPr>
              <w:pStyle w:val="Compact"/>
              <w:jc w:val="left"/>
            </w:pPr>
            <w:r>
              <w:t xml:space="preserve">NAVER</w:t>
            </w:r>
          </w:p>
        </w:tc>
        <w:tc>
          <w:tcPr/>
          <w:p>
            <w:pPr>
              <w:pStyle w:val="Compact"/>
              <w:jc w:val="left"/>
            </w:pPr>
            <w:r>
              <w:t xml:space="preserve">035420 KS</w:t>
            </w:r>
          </w:p>
        </w:tc>
        <w:tc>
          <w:tcPr/>
          <w:p>
            <w:pPr>
              <w:pStyle w:val="Compact"/>
              <w:jc w:val="left"/>
            </w:pPr>
            <w:r>
              <w:t xml:space="preserve">KRX</w:t>
            </w:r>
          </w:p>
        </w:tc>
        <w:tc>
          <w:tcPr/>
          <w:p>
            <w:pPr>
              <w:pStyle w:val="Compact"/>
              <w:jc w:val="left"/>
            </w:pPr>
            <w:r>
              <w:t xml:space="preserve">20</w:t>
            </w:r>
          </w:p>
        </w:tc>
        <w:tc>
          <w:tcPr/>
          <w:p>
            <w:pPr>
              <w:pStyle w:val="Compact"/>
              <w:jc w:val="left"/>
            </w:pPr>
            <w:r>
              <w:t xml:space="preserve">1.88</w:t>
            </w:r>
          </w:p>
        </w:tc>
        <w:tc>
          <w:tcPr/>
          <w:p>
            <w:pPr>
              <w:pStyle w:val="Compact"/>
              <w:jc w:val="left"/>
            </w:pPr>
            <w:r>
              <w:t xml:space="preserve">8.0</w:t>
            </w:r>
          </w:p>
        </w:tc>
        <w:tc>
          <w:tcPr/>
          <w:p>
            <w:pPr>
              <w:pStyle w:val="Compact"/>
              <w:jc w:val="left"/>
            </w:pPr>
            <w:r>
              <w:t xml:space="preserve">10.9</w:t>
            </w:r>
          </w:p>
        </w:tc>
        <w:tc>
          <w:tcPr/>
          <w:p>
            <w:pPr>
              <w:pStyle w:val="Compact"/>
              <w:jc w:val="left"/>
            </w:pPr>
            <w:r>
              <w:t xml:space="preserve">13.7</w:t>
            </w:r>
          </w:p>
        </w:tc>
        <w:tc>
          <w:tcPr/>
          <w:p>
            <w:pPr>
              <w:pStyle w:val="Compact"/>
              <w:jc w:val="left"/>
            </w:pPr>
            <w:r>
              <w:t xml:space="preserve">net cash</w:t>
            </w:r>
          </w:p>
        </w:tc>
        <w:tc>
          <w:tcPr/>
          <w:p>
            <w:pPr>
              <w:pStyle w:val="Compact"/>
              <w:jc w:val="left"/>
            </w:pPr>
            <w:r>
              <w:t xml:space="preserve">23.3%</w:t>
            </w:r>
          </w:p>
        </w:tc>
        <w:tc>
          <w:tcPr/>
          <w:p>
            <w:pPr>
              <w:pStyle w:val="Compact"/>
              <w:jc w:val="left"/>
            </w:pPr>
            <w:r>
              <w:t xml:space="preserve">17.3%</w:t>
            </w:r>
          </w:p>
        </w:tc>
        <w:tc>
          <w:tcPr/>
          <w:p>
            <w:pPr>
              <w:pStyle w:val="Compact"/>
              <w:jc w:val="left"/>
            </w:pPr>
            <w:r>
              <w:t xml:space="preserve">14.7%</w:t>
            </w:r>
          </w:p>
        </w:tc>
        <w:tc>
          <w:tcPr/>
          <w:p>
            <w:pPr>
              <w:pStyle w:val="Compact"/>
              <w:jc w:val="left"/>
            </w:pPr>
            <w:r>
              <w:t xml:space="preserve">5.3%</w:t>
            </w:r>
          </w:p>
        </w:tc>
      </w:tr>
      <w:tr>
        <w:tc>
          <w:tcPr/>
          <w:p>
            <w:pPr>
              <w:pStyle w:val="Compact"/>
              <w:jc w:val="left"/>
            </w:pPr>
            <w:r>
              <w:t xml:space="preserve">E-MART</w:t>
            </w:r>
          </w:p>
        </w:tc>
        <w:tc>
          <w:tcPr/>
          <w:p>
            <w:pPr>
              <w:pStyle w:val="Compact"/>
              <w:jc w:val="left"/>
            </w:pPr>
            <w:r>
              <w:t xml:space="preserve">139480 KS</w:t>
            </w:r>
          </w:p>
        </w:tc>
        <w:tc>
          <w:tcPr/>
          <w:p>
            <w:pPr>
              <w:pStyle w:val="Compact"/>
              <w:jc w:val="left"/>
            </w:pPr>
            <w:r>
              <w:t xml:space="preserve">KRX</w:t>
            </w:r>
          </w:p>
        </w:tc>
        <w:tc>
          <w:tcPr/>
          <w:p>
            <w:pPr>
              <w:pStyle w:val="Compact"/>
              <w:jc w:val="left"/>
            </w:pPr>
            <w:r>
              <w:t xml:space="preserve">1.4</w:t>
            </w:r>
          </w:p>
        </w:tc>
        <w:tc>
          <w:tcPr/>
          <w:p>
            <w:pPr>
              <w:pStyle w:val="Compact"/>
              <w:jc w:val="left"/>
            </w:pPr>
            <w:r>
              <w:t xml:space="preserve">0.41</w:t>
            </w:r>
          </w:p>
        </w:tc>
        <w:tc>
          <w:tcPr/>
          <w:p>
            <w:pPr>
              <w:pStyle w:val="Compact"/>
              <w:jc w:val="left"/>
            </w:pPr>
            <w:r>
              <w:t xml:space="preserve">6.9</w:t>
            </w:r>
          </w:p>
        </w:tc>
        <w:tc>
          <w:tcPr/>
          <w:p>
            <w:pPr>
              <w:pStyle w:val="Compact"/>
              <w:jc w:val="left"/>
            </w:pPr>
            <w:r>
              <w:t xml:space="preserve">50.4</w:t>
            </w:r>
          </w:p>
        </w:tc>
        <w:tc>
          <w:tcPr/>
          <w:p>
            <w:pPr>
              <w:pStyle w:val="Compact"/>
              <w:jc w:val="left"/>
            </w:pPr>
            <w:r>
              <w:t xml:space="preserve">88.4</w:t>
            </w:r>
          </w:p>
        </w:tc>
        <w:tc>
          <w:tcPr/>
          <w:p>
            <w:pPr>
              <w:pStyle w:val="Compact"/>
              <w:jc w:val="left"/>
            </w:pPr>
            <w:r>
              <w:t xml:space="preserve">5.8</w:t>
            </w:r>
          </w:p>
        </w:tc>
        <w:tc>
          <w:tcPr/>
          <w:p>
            <w:pPr>
              <w:pStyle w:val="Compact"/>
              <w:jc w:val="left"/>
            </w:pPr>
            <w:r>
              <w:t xml:space="preserve">5.9%</w:t>
            </w:r>
          </w:p>
        </w:tc>
        <w:tc>
          <w:tcPr/>
          <w:p>
            <w:pPr>
              <w:pStyle w:val="Compact"/>
              <w:jc w:val="left"/>
            </w:pPr>
            <w:r>
              <w:t xml:space="preserve">0.8%</w:t>
            </w:r>
          </w:p>
        </w:tc>
        <w:tc>
          <w:tcPr/>
          <w:p>
            <w:pPr>
              <w:pStyle w:val="Compact"/>
              <w:jc w:val="left"/>
            </w:pPr>
            <w:r>
              <w:t xml:space="preserve">-0.9%</w:t>
            </w:r>
          </w:p>
        </w:tc>
        <w:tc>
          <w:tcPr/>
          <w:p>
            <w:pPr>
              <w:pStyle w:val="Compact"/>
              <w:jc w:val="left"/>
            </w:pPr>
            <w:r>
              <w:t xml:space="preserve">n.m.*</w:t>
            </w:r>
          </w:p>
        </w:tc>
      </w:tr>
      <w:tr>
        <w:tc>
          <w:tcPr/>
          <w:p>
            <w:pPr>
              <w:pStyle w:val="Compact"/>
              <w:jc w:val="left"/>
            </w:pPr>
            <w:r>
              <w:t xml:space="preserve">Lotte Shopping</w:t>
            </w:r>
          </w:p>
        </w:tc>
        <w:tc>
          <w:tcPr/>
          <w:p>
            <w:pPr>
              <w:pStyle w:val="Compact"/>
              <w:jc w:val="left"/>
            </w:pPr>
            <w:r>
              <w:t xml:space="preserve">023530 KS</w:t>
            </w:r>
          </w:p>
        </w:tc>
        <w:tc>
          <w:tcPr/>
          <w:p>
            <w:pPr>
              <w:pStyle w:val="Compact"/>
              <w:jc w:val="left"/>
            </w:pPr>
            <w:r>
              <w:t xml:space="preserve">KRX</w:t>
            </w:r>
          </w:p>
        </w:tc>
        <w:tc>
          <w:tcPr/>
          <w:p>
            <w:pPr>
              <w:pStyle w:val="Compact"/>
              <w:jc w:val="left"/>
            </w:pPr>
            <w:r>
              <w:t xml:space="preserve">2.0</w:t>
            </w:r>
          </w:p>
        </w:tc>
        <w:tc>
          <w:tcPr/>
          <w:p>
            <w:pPr>
              <w:pStyle w:val="Compact"/>
              <w:jc w:val="left"/>
            </w:pPr>
            <w:r>
              <w:t xml:space="preserve">1.05</w:t>
            </w:r>
          </w:p>
        </w:tc>
        <w:tc>
          <w:tcPr/>
          <w:p>
            <w:pPr>
              <w:pStyle w:val="Compact"/>
              <w:jc w:val="left"/>
            </w:pPr>
            <w:r>
              <w:t xml:space="preserve">8.4</w:t>
            </w:r>
          </w:p>
        </w:tc>
        <w:tc>
          <w:tcPr/>
          <w:p>
            <w:pPr>
              <w:pStyle w:val="Compact"/>
              <w:jc w:val="left"/>
            </w:pPr>
            <w:r>
              <w:t xml:space="preserve">22.5</w:t>
            </w:r>
          </w:p>
        </w:tc>
        <w:tc>
          <w:tcPr/>
          <w:p>
            <w:pPr>
              <w:pStyle w:val="Compact"/>
              <w:jc w:val="left"/>
            </w:pPr>
            <w:r>
              <w:t xml:space="preserve">15.3</w:t>
            </w:r>
          </w:p>
        </w:tc>
        <w:tc>
          <w:tcPr/>
          <w:p>
            <w:pPr>
              <w:pStyle w:val="Compact"/>
              <w:jc w:val="left"/>
            </w:pPr>
            <w:r>
              <w:t xml:space="preserve">6.9</w:t>
            </w:r>
          </w:p>
        </w:tc>
        <w:tc>
          <w:tcPr/>
          <w:p>
            <w:pPr>
              <w:pStyle w:val="Compact"/>
              <w:jc w:val="left"/>
            </w:pPr>
            <w:r>
              <w:t xml:space="preserve">12.4%</w:t>
            </w:r>
          </w:p>
        </w:tc>
        <w:tc>
          <w:tcPr/>
          <w:p>
            <w:pPr>
              <w:pStyle w:val="Compact"/>
              <w:jc w:val="left"/>
            </w:pPr>
            <w:r>
              <w:t xml:space="preserve">4.7%</w:t>
            </w:r>
          </w:p>
        </w:tc>
        <w:tc>
          <w:tcPr/>
          <w:p>
            <w:pPr>
              <w:pStyle w:val="Compact"/>
              <w:jc w:val="left"/>
            </w:pPr>
            <w:r>
              <w:t xml:space="preserve">1.1%</w:t>
            </w:r>
          </w:p>
        </w:tc>
        <w:tc>
          <w:tcPr/>
          <w:p>
            <w:pPr>
              <w:pStyle w:val="Compact"/>
              <w:jc w:val="left"/>
            </w:pPr>
            <w:r>
              <w:t xml:space="preserve">n.m.*</w:t>
            </w:r>
          </w:p>
        </w:tc>
      </w:tr>
      <w:tr>
        <w:tc>
          <w:tcPr/>
          <w:p>
            <w:pPr>
              <w:pStyle w:val="Compact"/>
              <w:jc w:val="left"/>
            </w:pPr>
            <w:r>
              <w:t xml:space="preserve">Rakuten Group</w:t>
            </w:r>
          </w:p>
        </w:tc>
        <w:tc>
          <w:tcPr/>
          <w:p>
            <w:pPr>
              <w:pStyle w:val="Compact"/>
              <w:jc w:val="left"/>
            </w:pPr>
            <w:r>
              <w:t xml:space="preserve">4755 JP</w:t>
            </w:r>
          </w:p>
        </w:tc>
        <w:tc>
          <w:tcPr/>
          <w:p>
            <w:pPr>
              <w:pStyle w:val="Compact"/>
              <w:jc w:val="left"/>
            </w:pPr>
            <w:r>
              <w:t xml:space="preserve">TSE</w:t>
            </w:r>
          </w:p>
        </w:tc>
        <w:tc>
          <w:tcPr/>
          <w:p>
            <w:pPr>
              <w:pStyle w:val="Compact"/>
              <w:jc w:val="left"/>
            </w:pPr>
            <w:r>
              <w:t xml:space="preserve">9.4</w:t>
            </w:r>
          </w:p>
        </w:tc>
        <w:tc>
          <w:tcPr/>
          <w:p>
            <w:pPr>
              <w:pStyle w:val="Compact"/>
              <w:jc w:val="left"/>
            </w:pPr>
            <w:r>
              <w:t xml:space="preserve">0.53</w:t>
            </w:r>
          </w:p>
        </w:tc>
        <w:tc>
          <w:tcPr/>
          <w:p>
            <w:pPr>
              <w:pStyle w:val="Compact"/>
              <w:jc w:val="left"/>
            </w:pPr>
            <w:r>
              <w:t xml:space="preserve">3.1</w:t>
            </w:r>
          </w:p>
        </w:tc>
        <w:tc>
          <w:tcPr/>
          <w:p>
            <w:pPr>
              <w:pStyle w:val="Compact"/>
              <w:jc w:val="left"/>
            </w:pPr>
            <w:r>
              <w:t xml:space="preserve">9.5</w:t>
            </w:r>
          </w:p>
        </w:tc>
        <w:tc>
          <w:tcPr/>
          <w:p>
            <w:pPr>
              <w:pStyle w:val="Compact"/>
              <w:jc w:val="left"/>
            </w:pPr>
            <w:r>
              <w:t xml:space="preserve">n.m.</w:t>
            </w:r>
          </w:p>
        </w:tc>
        <w:tc>
          <w:tcPr/>
          <w:p>
            <w:pPr>
              <w:pStyle w:val="Compact"/>
              <w:jc w:val="left"/>
            </w:pPr>
            <w:r>
              <w:t xml:space="preserve">net cash</w:t>
            </w:r>
          </w:p>
        </w:tc>
        <w:tc>
          <w:tcPr/>
          <w:p>
            <w:pPr>
              <w:pStyle w:val="Compact"/>
              <w:jc w:val="left"/>
            </w:pPr>
            <w:r>
              <w:t xml:space="preserve">17.1%</w:t>
            </w:r>
          </w:p>
        </w:tc>
        <w:tc>
          <w:tcPr/>
          <w:p>
            <w:pPr>
              <w:pStyle w:val="Compact"/>
              <w:jc w:val="left"/>
            </w:pPr>
            <w:r>
              <w:t xml:space="preserve">5.6%</w:t>
            </w:r>
          </w:p>
        </w:tc>
        <w:tc>
          <w:tcPr/>
          <w:p>
            <w:pPr>
              <w:pStyle w:val="Compact"/>
              <w:jc w:val="left"/>
            </w:pPr>
            <w:r>
              <w:t xml:space="preserve">10.9%</w:t>
            </w:r>
          </w:p>
        </w:tc>
        <w:tc>
          <w:tcPr/>
          <w:p>
            <w:pPr>
              <w:pStyle w:val="Compact"/>
              <w:jc w:val="left"/>
            </w:pPr>
            <w:r>
              <w:t xml:space="preserve">11.4%*</w:t>
            </w:r>
          </w:p>
        </w:tc>
      </w:tr>
      <w:tr>
        <w:tc>
          <w:tcPr/>
          <w:p>
            <w:pPr>
              <w:pStyle w:val="Compact"/>
              <w:jc w:val="left"/>
            </w:pPr>
            <w:r>
              <w:t xml:space="preserve">Zalando</w:t>
            </w:r>
          </w:p>
        </w:tc>
        <w:tc>
          <w:tcPr/>
          <w:p>
            <w:pPr>
              <w:pStyle w:val="Compact"/>
              <w:jc w:val="left"/>
            </w:pPr>
            <w:r>
              <w:t xml:space="preserve">ZAL GY</w:t>
            </w:r>
          </w:p>
        </w:tc>
        <w:tc>
          <w:tcPr/>
          <w:p>
            <w:pPr>
              <w:pStyle w:val="Compact"/>
              <w:jc w:val="left"/>
            </w:pPr>
            <w:r>
              <w:t xml:space="preserve">XETRA</w:t>
            </w:r>
          </w:p>
        </w:tc>
        <w:tc>
          <w:tcPr/>
          <w:p>
            <w:pPr>
              <w:pStyle w:val="Compact"/>
              <w:jc w:val="left"/>
            </w:pPr>
            <w:r>
              <w:t xml:space="preserve">6.8</w:t>
            </w:r>
          </w:p>
        </w:tc>
        <w:tc>
          <w:tcPr/>
          <w:p>
            <w:pPr>
              <w:pStyle w:val="Compact"/>
              <w:jc w:val="left"/>
            </w:pPr>
            <w:r>
              <w:t xml:space="preserve">0.44</w:t>
            </w:r>
          </w:p>
        </w:tc>
        <w:tc>
          <w:tcPr/>
          <w:p>
            <w:pPr>
              <w:pStyle w:val="Compact"/>
              <w:jc w:val="left"/>
            </w:pPr>
            <w:r>
              <w:t xml:space="preserve">9.0</w:t>
            </w:r>
          </w:p>
        </w:tc>
        <w:tc>
          <w:tcPr/>
          <w:p>
            <w:pPr>
              <w:pStyle w:val="Compact"/>
              <w:jc w:val="left"/>
            </w:pPr>
            <w:r>
              <w:t xml:space="preserve">14.1</w:t>
            </w:r>
          </w:p>
        </w:tc>
        <w:tc>
          <w:tcPr/>
          <w:p>
            <w:pPr>
              <w:pStyle w:val="Compact"/>
              <w:jc w:val="left"/>
            </w:pPr>
            <w:r>
              <w:t xml:space="preserve">63.3</w:t>
            </w:r>
          </w:p>
        </w:tc>
        <w:tc>
          <w:tcPr/>
          <w:p>
            <w:pPr>
              <w:pStyle w:val="Compact"/>
              <w:jc w:val="left"/>
            </w:pPr>
            <w:r>
              <w:t xml:space="preserve">net cash</w:t>
            </w:r>
          </w:p>
        </w:tc>
        <w:tc>
          <w:tcPr/>
          <w:p>
            <w:pPr>
              <w:pStyle w:val="Compact"/>
              <w:jc w:val="left"/>
            </w:pPr>
            <w:r>
              <w:t xml:space="preserve">4.8%</w:t>
            </w:r>
          </w:p>
        </w:tc>
        <w:tc>
          <w:tcPr/>
          <w:p>
            <w:pPr>
              <w:pStyle w:val="Compact"/>
              <w:jc w:val="left"/>
            </w:pPr>
            <w:r>
              <w:t xml:space="preserve">3.1%</w:t>
            </w:r>
          </w:p>
        </w:tc>
        <w:tc>
          <w:tcPr/>
          <w:p>
            <w:pPr>
              <w:pStyle w:val="Compact"/>
              <w:jc w:val="left"/>
            </w:pPr>
            <w:r>
              <w:t xml:space="preserve">23.5%</w:t>
            </w:r>
          </w:p>
        </w:tc>
        <w:tc>
          <w:tcPr/>
          <w:p>
            <w:pPr>
              <w:pStyle w:val="Compact"/>
              <w:jc w:val="left"/>
            </w:pPr>
            <w:r>
              <w:t xml:space="preserve">15.2%*</w:t>
            </w:r>
          </w:p>
        </w:tc>
      </w:tr>
      <w:tr>
        <w:tc>
          <w:tcPr/>
          <w:p>
            <w:pPr>
              <w:pStyle w:val="Compact"/>
              <w:jc w:val="left"/>
            </w:pPr>
            <w:r>
              <w:t xml:space="preserve">Allegro.eu</w:t>
            </w:r>
          </w:p>
        </w:tc>
        <w:tc>
          <w:tcPr/>
          <w:p>
            <w:pPr>
              <w:pStyle w:val="Compact"/>
              <w:jc w:val="left"/>
            </w:pPr>
            <w:r>
              <w:t xml:space="preserve">ALE PW</w:t>
            </w:r>
          </w:p>
        </w:tc>
        <w:tc>
          <w:tcPr/>
          <w:p>
            <w:pPr>
              <w:pStyle w:val="Compact"/>
              <w:jc w:val="left"/>
            </w:pPr>
            <w:r>
              <w:t xml:space="preserve">WSE</w:t>
            </w:r>
          </w:p>
        </w:tc>
        <w:tc>
          <w:tcPr/>
          <w:p>
            <w:pPr>
              <w:pStyle w:val="Compact"/>
              <w:jc w:val="left"/>
            </w:pPr>
            <w:r>
              <w:t xml:space="preserve">13.8</w:t>
            </w:r>
          </w:p>
        </w:tc>
        <w:tc>
          <w:tcPr/>
          <w:p>
            <w:pPr>
              <w:pStyle w:val="Compact"/>
              <w:jc w:val="left"/>
            </w:pPr>
            <w:r>
              <w:t xml:space="preserve">4.50</w:t>
            </w:r>
          </w:p>
        </w:tc>
        <w:tc>
          <w:tcPr/>
          <w:p>
            <w:pPr>
              <w:pStyle w:val="Compact"/>
              <w:jc w:val="left"/>
            </w:pPr>
            <w:r>
              <w:t xml:space="preserve">16.2</w:t>
            </w:r>
          </w:p>
        </w:tc>
        <w:tc>
          <w:tcPr/>
          <w:p>
            <w:pPr>
              <w:pStyle w:val="Compact"/>
              <w:jc w:val="left"/>
            </w:pPr>
            <w:r>
              <w:t xml:space="preserve">23.2</w:t>
            </w:r>
          </w:p>
        </w:tc>
        <w:tc>
          <w:tcPr/>
          <w:p>
            <w:pPr>
              <w:pStyle w:val="Compact"/>
              <w:jc w:val="left"/>
            </w:pPr>
            <w:r>
              <w:t xml:space="preserve">31.0</w:t>
            </w:r>
          </w:p>
        </w:tc>
        <w:tc>
          <w:tcPr/>
          <w:p>
            <w:pPr>
              <w:pStyle w:val="Compact"/>
              <w:jc w:val="left"/>
            </w:pPr>
            <w:r>
              <w:t xml:space="preserve">0.7</w:t>
            </w:r>
          </w:p>
        </w:tc>
        <w:tc>
          <w:tcPr/>
          <w:p>
            <w:pPr>
              <w:pStyle w:val="Compact"/>
              <w:jc w:val="left"/>
            </w:pPr>
            <w:r>
              <w:t xml:space="preserve">27.8%</w:t>
            </w:r>
          </w:p>
        </w:tc>
        <w:tc>
          <w:tcPr/>
          <w:p>
            <w:pPr>
              <w:pStyle w:val="Compact"/>
              <w:jc w:val="left"/>
            </w:pPr>
            <w:r>
              <w:t xml:space="preserve">19.4%</w:t>
            </w:r>
          </w:p>
        </w:tc>
        <w:tc>
          <w:tcPr/>
          <w:p>
            <w:pPr>
              <w:pStyle w:val="Compact"/>
              <w:jc w:val="left"/>
            </w:pPr>
            <w:r>
              <w:t xml:space="preserve">16.3%</w:t>
            </w:r>
          </w:p>
        </w:tc>
        <w:tc>
          <w:tcPr/>
          <w:p>
            <w:pPr>
              <w:pStyle w:val="Compact"/>
              <w:jc w:val="left"/>
            </w:pPr>
            <w:r>
              <w:t xml:space="preserve">4.3%*</w:t>
            </w:r>
          </w:p>
        </w:tc>
      </w:tr>
      <w:tr>
        <w:tc>
          <w:tcPr/>
          <w:p>
            <w:pPr>
              <w:pStyle w:val="Compact"/>
              <w:jc w:val="left"/>
            </w:pPr>
            <w:r>
              <w:t xml:space="preserve">Jumia</w:t>
            </w:r>
          </w:p>
        </w:tc>
        <w:tc>
          <w:tcPr/>
          <w:p>
            <w:pPr>
              <w:pStyle w:val="Compact"/>
              <w:jc w:val="left"/>
            </w:pPr>
            <w:r>
              <w:t xml:space="preserve">JMIA US</w:t>
            </w:r>
          </w:p>
        </w:tc>
        <w:tc>
          <w:tcPr/>
          <w:p>
            <w:pPr>
              <w:pStyle w:val="Compact"/>
              <w:jc w:val="left"/>
            </w:pPr>
            <w:r>
              <w:t xml:space="preserve">NYSE</w:t>
            </w:r>
          </w:p>
        </w:tc>
        <w:tc>
          <w:tcPr/>
          <w:p>
            <w:pPr>
              <w:pStyle w:val="Compact"/>
              <w:jc w:val="left"/>
            </w:pPr>
            <w:r>
              <w:t xml:space="preserve">0.8</w:t>
            </w:r>
          </w:p>
        </w:tc>
        <w:tc>
          <w:tcPr/>
          <w:p>
            <w:pPr>
              <w:pStyle w:val="Compact"/>
              <w:jc w:val="left"/>
            </w:pPr>
            <w:r>
              <w:t xml:space="preserve">3.55</w:t>
            </w:r>
          </w:p>
        </w:tc>
        <w:tc>
          <w:tcPr/>
          <w:p>
            <w:pPr>
              <w:pStyle w:val="Compact"/>
              <w:jc w:val="left"/>
            </w:pPr>
            <w:r>
              <w:t xml:space="preserve">n.m.</w:t>
            </w:r>
          </w:p>
        </w:tc>
        <w:tc>
          <w:tcPr/>
          <w:p>
            <w:pPr>
              <w:pStyle w:val="Compact"/>
              <w:jc w:val="left"/>
            </w:pPr>
            <w:r>
              <w:t xml:space="preserve">n.m.</w:t>
            </w:r>
          </w:p>
        </w:tc>
        <w:tc>
          <w:tcPr/>
          <w:p>
            <w:pPr>
              <w:pStyle w:val="Compact"/>
              <w:jc w:val="left"/>
            </w:pPr>
            <w:r>
              <w:t xml:space="preserve">n.m.</w:t>
            </w:r>
          </w:p>
        </w:tc>
        <w:tc>
          <w:tcPr/>
          <w:p>
            <w:pPr>
              <w:pStyle w:val="Compact"/>
              <w:jc w:val="left"/>
            </w:pPr>
            <w:r>
              <w:t xml:space="preserve">net cash</w:t>
            </w:r>
          </w:p>
        </w:tc>
        <w:tc>
          <w:tcPr/>
          <w:p>
            <w:pPr>
              <w:pStyle w:val="Compact"/>
              <w:jc w:val="left"/>
            </w:pPr>
            <w:r>
              <w:t xml:space="preserve">-25.7%</w:t>
            </w:r>
          </w:p>
        </w:tc>
        <w:tc>
          <w:tcPr/>
          <w:p>
            <w:pPr>
              <w:pStyle w:val="Compact"/>
              <w:jc w:val="left"/>
            </w:pPr>
            <w:r>
              <w:t xml:space="preserve">-25.9%</w:t>
            </w:r>
          </w:p>
        </w:tc>
        <w:tc>
          <w:tcPr/>
          <w:p>
            <w:pPr>
              <w:pStyle w:val="Compact"/>
              <w:jc w:val="left"/>
            </w:pPr>
            <w:r>
              <w:t xml:space="preserve">27.8%</w:t>
            </w:r>
          </w:p>
        </w:tc>
        <w:tc>
          <w:tcPr/>
          <w:p>
            <w:pPr>
              <w:pStyle w:val="Compact"/>
              <w:jc w:val="left"/>
            </w:pPr>
            <w:r>
              <w:t xml:space="preserve">-5.5%</w:t>
            </w:r>
          </w:p>
        </w:tc>
      </w:tr>
      <w:tr>
        <w:tc>
          <w:tcPr/>
          <w:p>
            <w:pPr>
              <w:pStyle w:val="Compact"/>
              <w:jc w:val="left"/>
            </w:pPr>
            <w:r>
              <w:t xml:space="preserve">Walmart</w:t>
            </w:r>
          </w:p>
        </w:tc>
        <w:tc>
          <w:tcPr/>
          <w:p>
            <w:pPr>
              <w:pStyle w:val="Compact"/>
              <w:jc w:val="left"/>
            </w:pPr>
            <w:r>
              <w:t xml:space="preserve">WMT US</w:t>
            </w:r>
          </w:p>
        </w:tc>
        <w:tc>
          <w:tcPr/>
          <w:p>
            <w:pPr>
              <w:pStyle w:val="Compact"/>
              <w:jc w:val="left"/>
            </w:pPr>
            <w:r>
              <w:t xml:space="preserve">NASDAQ</w:t>
            </w:r>
          </w:p>
        </w:tc>
        <w:tc>
          <w:tcPr/>
          <w:p>
            <w:pPr>
              <w:pStyle w:val="Compact"/>
              <w:jc w:val="left"/>
            </w:pPr>
            <w:r>
              <w:t xml:space="preserve">888</w:t>
            </w:r>
          </w:p>
        </w:tc>
        <w:tc>
          <w:tcPr/>
          <w:p>
            <w:pPr>
              <w:pStyle w:val="Compact"/>
              <w:jc w:val="left"/>
            </w:pPr>
            <w:r>
              <w:t xml:space="preserve">1.29</w:t>
            </w:r>
          </w:p>
        </w:tc>
        <w:tc>
          <w:tcPr/>
          <w:p>
            <w:pPr>
              <w:pStyle w:val="Compact"/>
              <w:jc w:val="left"/>
            </w:pPr>
            <w:r>
              <w:t xml:space="preserve">21.6</w:t>
            </w:r>
          </w:p>
        </w:tc>
        <w:tc>
          <w:tcPr/>
          <w:p>
            <w:pPr>
              <w:pStyle w:val="Compact"/>
              <w:jc w:val="left"/>
            </w:pPr>
            <w:r>
              <w:t xml:space="preserve">32.8</w:t>
            </w:r>
          </w:p>
        </w:tc>
        <w:tc>
          <w:tcPr/>
          <w:p>
            <w:pPr>
              <w:pStyle w:val="Compact"/>
              <w:jc w:val="left"/>
            </w:pPr>
            <w:r>
              <w:t xml:space="preserve">40.2</w:t>
            </w:r>
          </w:p>
        </w:tc>
        <w:tc>
          <w:tcPr/>
          <w:p>
            <w:pPr>
              <w:pStyle w:val="Compact"/>
              <w:jc w:val="left"/>
            </w:pPr>
            <w:r>
              <w:t xml:space="preserve">1.4</w:t>
            </w:r>
          </w:p>
        </w:tc>
        <w:tc>
          <w:tcPr/>
          <w:p>
            <w:pPr>
              <w:pStyle w:val="Compact"/>
              <w:jc w:val="left"/>
            </w:pPr>
            <w:r>
              <w:t xml:space="preserve">6.0%</w:t>
            </w:r>
          </w:p>
        </w:tc>
        <w:tc>
          <w:tcPr/>
          <w:p>
            <w:pPr>
              <w:pStyle w:val="Compact"/>
              <w:jc w:val="left"/>
            </w:pPr>
            <w:r>
              <w:t xml:space="preserve">3.9%</w:t>
            </w:r>
          </w:p>
        </w:tc>
        <w:tc>
          <w:tcPr/>
          <w:p>
            <w:pPr>
              <w:pStyle w:val="Compact"/>
              <w:jc w:val="left"/>
            </w:pPr>
            <w:r>
              <w:t xml:space="preserve">6.2%</w:t>
            </w:r>
          </w:p>
        </w:tc>
        <w:tc>
          <w:tcPr/>
          <w:p>
            <w:pPr>
              <w:pStyle w:val="Compact"/>
              <w:jc w:val="left"/>
            </w:pPr>
            <w:r>
              <w:t xml:space="preserve">1.5%</w:t>
            </w:r>
          </w:p>
        </w:tc>
      </w:tr>
      <w:tr>
        <w:tc>
          <w:tcPr/>
          <w:p>
            <w:pPr>
              <w:pStyle w:val="Compact"/>
              <w:jc w:val="left"/>
            </w:pPr>
            <w:r>
              <w:rPr>
                <w:bCs/>
                <w:b/>
              </w:rPr>
              <w:t xml:space="preserve">Peer median</w:t>
            </w:r>
          </w:p>
        </w:tc>
        <w:tc>
          <w:tcPr/>
          <w:p>
            <w:pPr>
              <w:pStyle w:val="Compact"/>
            </w:pPr>
          </w:p>
        </w:tc>
        <w:tc>
          <w:tcPr/>
          <w:p>
            <w:pPr>
              <w:pStyle w:val="Compact"/>
            </w:pPr>
          </w:p>
        </w:tc>
        <w:tc>
          <w:tcPr/>
          <w:p>
            <w:pPr>
              <w:pStyle w:val="Compact"/>
            </w:pPr>
          </w:p>
        </w:tc>
        <w:tc>
          <w:tcPr/>
          <w:p>
            <w:pPr>
              <w:pStyle w:val="Compact"/>
              <w:jc w:val="left"/>
            </w:pPr>
            <w:r>
              <w:rPr>
                <w:bCs/>
                <w:b/>
              </w:rPr>
              <w:t xml:space="preserve">1.29</w:t>
            </w:r>
          </w:p>
        </w:tc>
        <w:tc>
          <w:tcPr/>
          <w:p>
            <w:pPr>
              <w:pStyle w:val="Compact"/>
              <w:jc w:val="left"/>
            </w:pPr>
            <w:r>
              <w:rPr>
                <w:bCs/>
                <w:b/>
              </w:rPr>
              <w:t xml:space="preserve">9.4</w:t>
            </w:r>
          </w:p>
        </w:tc>
        <w:tc>
          <w:tcPr/>
          <w:p>
            <w:pPr>
              <w:pStyle w:val="Compact"/>
              <w:jc w:val="left"/>
            </w:pPr>
            <w:r>
              <w:rPr>
                <w:bCs/>
                <w:b/>
              </w:rPr>
              <w:t xml:space="preserve">24.2</w:t>
            </w:r>
          </w:p>
        </w:tc>
        <w:tc>
          <w:tcPr/>
          <w:p>
            <w:pPr>
              <w:pStyle w:val="Compact"/>
              <w:jc w:val="left"/>
            </w:pPr>
            <w:r>
              <w:rPr>
                <w:bCs/>
                <w:b/>
              </w:rPr>
              <w:t xml:space="preserve">25.6</w:t>
            </w:r>
          </w:p>
        </w:tc>
        <w:tc>
          <w:tcPr/>
          <w:p>
            <w:pPr>
              <w:pStyle w:val="Compact"/>
              <w:jc w:val="left"/>
            </w:pPr>
            <w:r>
              <w:rPr>
                <w:bCs/>
                <w:b/>
              </w:rPr>
              <w:t xml:space="preserve">net cash</w:t>
            </w:r>
          </w:p>
        </w:tc>
        <w:tc>
          <w:tcPr/>
          <w:p>
            <w:pPr>
              <w:pStyle w:val="Compact"/>
              <w:jc w:val="left"/>
            </w:pPr>
            <w:r>
              <w:rPr>
                <w:bCs/>
                <w:b/>
              </w:rPr>
              <w:t xml:space="preserve">9.7%</w:t>
            </w:r>
          </w:p>
        </w:tc>
        <w:tc>
          <w:tcPr/>
          <w:p>
            <w:pPr>
              <w:pStyle w:val="Compact"/>
              <w:jc w:val="left"/>
            </w:pPr>
            <w:r>
              <w:rPr>
                <w:bCs/>
                <w:b/>
              </w:rPr>
              <w:t xml:space="preserve">5.6%</w:t>
            </w:r>
          </w:p>
        </w:tc>
        <w:tc>
          <w:tcPr/>
          <w:p>
            <w:pPr>
              <w:pStyle w:val="Compact"/>
              <w:jc w:val="left"/>
            </w:pPr>
            <w:r>
              <w:rPr>
                <w:bCs/>
                <w:b/>
              </w:rPr>
              <w:t xml:space="preserve">10.9%</w:t>
            </w:r>
          </w:p>
        </w:tc>
        <w:tc>
          <w:tcPr/>
          <w:p>
            <w:pPr>
              <w:pStyle w:val="Compact"/>
              <w:jc w:val="left"/>
            </w:pPr>
            <w:r>
              <w:rPr>
                <w:bCs/>
                <w:b/>
              </w:rPr>
              <w:t xml:space="preserve">8.6%</w:t>
            </w:r>
          </w:p>
        </w:tc>
      </w:tr>
    </w:tbl>
    <w:p>
      <w:pPr>
        <w:pStyle w:val="BodyText"/>
      </w:pPr>
      <w:r>
        <w:rPr>
          <w:iCs/>
          <w:i/>
        </w:rPr>
        <w:t xml:space="preserve">Sources: S&amp;P Capital IQ LTM revenue, EBITDA, EBIT, net income, net debt (incl. leases), CFO and capex, with statement links in the provenance file; ProntoNLP weekly closes (‡). EV = price × S&amp;P diluted shares + S&amp;P net debt, in each company’s reporting currency. Chinese ADRs converted at CNY7.10/US$ and HKD7.80/US$ [e]. Market caps in US$ use FX implied by ProntoNLP’s USD vs local market-cap fields [d]. *IFRS reporters book lease principal in financing, which inflates CFO-based FCF; treat with caution. Peer fiscal periods are LTM Jun-2026 except Walmart (Jul-2026) and Alibaba (Jun-2026 LTM). Growth is LTM year on year, not organic (Zalando and MELI include M&amp;A or consolidation effects).</w:t>
      </w:r>
    </w:p>
    <w:bookmarkEnd w:id="364"/>
    <w:bookmarkStart w:id="368" w:name="coupang-versus-its-own-history"/>
    <w:p>
      <w:pPr>
        <w:pStyle w:val="Heading2"/>
      </w:pPr>
      <w:r>
        <w:t xml:space="preserve">13.2 Coupang versus its own history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Year-end</w:t>
            </w:r>
          </w:p>
        </w:tc>
        <w:tc>
          <w:tcPr/>
          <w:p>
            <w:pPr>
              <w:pStyle w:val="Compact"/>
              <w:jc w:val="left"/>
            </w:pPr>
            <w:r>
              <w:t xml:space="preserve">Price ‡</w:t>
            </w:r>
          </w:p>
        </w:tc>
        <w:tc>
          <w:tcPr/>
          <w:p>
            <w:pPr>
              <w:pStyle w:val="Compact"/>
              <w:jc w:val="left"/>
            </w:pPr>
            <w:r>
              <w:t xml:space="preserve">EV (US$bn) [d]</w:t>
            </w:r>
          </w:p>
        </w:tc>
        <w:tc>
          <w:tcPr/>
          <w:p>
            <w:pPr>
              <w:pStyle w:val="Compact"/>
              <w:jc w:val="left"/>
            </w:pPr>
            <w:r>
              <w:t xml:space="preserve">EV/Sales [d]</w:t>
            </w:r>
          </w:p>
        </w:tc>
        <w:tc>
          <w:tcPr/>
          <w:p>
            <w:pPr>
              <w:pStyle w:val="Compact"/>
              <w:jc w:val="left"/>
            </w:pPr>
            <w:r>
              <w:t xml:space="preserve">EV/Adj. EBITDA [d]</w:t>
            </w:r>
          </w:p>
        </w:tc>
        <w:tc>
          <w:tcPr/>
          <w:p>
            <w:pPr>
              <w:pStyle w:val="Compact"/>
              <w:jc w:val="left"/>
            </w:pPr>
            <w:r>
              <w:t xml:space="preserve">Peer-median EV/Sales [d]</w:t>
            </w:r>
          </w:p>
        </w:tc>
        <w:tc>
          <w:tcPr/>
          <w:p>
            <w:pPr>
              <w:pStyle w:val="Compact"/>
              <w:jc w:val="left"/>
            </w:pPr>
            <w:r>
              <w:t xml:space="preserve">CPNG discount to peers</w:t>
            </w:r>
          </w:p>
        </w:tc>
      </w:tr>
      <w:tr>
        <w:tc>
          <w:tcPr/>
          <w:p>
            <w:pPr>
              <w:pStyle w:val="Compact"/>
              <w:jc w:val="left"/>
            </w:pPr>
            <w:r>
              <w:t xml:space="preserve">Dec-2021</w:t>
            </w:r>
          </w:p>
        </w:tc>
        <w:tc>
          <w:tcPr/>
          <w:p>
            <w:pPr>
              <w:pStyle w:val="Compact"/>
              <w:jc w:val="left"/>
            </w:pPr>
            <w:r>
              <w:t xml:space="preserve">29.38</w:t>
            </w:r>
          </w:p>
        </w:tc>
        <w:tc>
          <w:tcPr/>
          <w:p>
            <w:pPr>
              <w:pStyle w:val="Compact"/>
              <w:jc w:val="left"/>
            </w:pPr>
            <w:r>
              <w:t xml:space="preserve">50.1</w:t>
            </w:r>
          </w:p>
        </w:tc>
        <w:tc>
          <w:tcPr/>
          <w:p>
            <w:pPr>
              <w:pStyle w:val="Compact"/>
              <w:jc w:val="left"/>
            </w:pPr>
            <w:r>
              <w:t xml:space="preserve">2.72</w:t>
            </w:r>
          </w:p>
        </w:tc>
        <w:tc>
          <w:tcPr/>
          <w:p>
            <w:pPr>
              <w:pStyle w:val="Compact"/>
              <w:jc w:val="left"/>
            </w:pPr>
            <w:r>
              <w:t xml:space="preserve">n.m.</w:t>
            </w:r>
          </w:p>
        </w:tc>
        <w:tc>
          <w:tcPr/>
          <w:p>
            <w:pPr>
              <w:pStyle w:val="Compact"/>
              <w:jc w:val="left"/>
            </w:pPr>
            <w:r>
              <w:t xml:space="preserve">6.00</w:t>
            </w:r>
          </w:p>
        </w:tc>
        <w:tc>
          <w:tcPr/>
          <w:p>
            <w:pPr>
              <w:pStyle w:val="Compact"/>
              <w:jc w:val="left"/>
            </w:pPr>
            <w:r>
              <w:t xml:space="preserve">-55%</w:t>
            </w:r>
          </w:p>
        </w:tc>
      </w:tr>
      <w:tr>
        <w:tc>
          <w:tcPr/>
          <w:p>
            <w:pPr>
              <w:pStyle w:val="Compact"/>
              <w:jc w:val="left"/>
            </w:pPr>
            <w:r>
              <w:t xml:space="preserve">Dec-2022</w:t>
            </w:r>
          </w:p>
        </w:tc>
        <w:tc>
          <w:tcPr/>
          <w:p>
            <w:pPr>
              <w:pStyle w:val="Compact"/>
              <w:jc w:val="left"/>
            </w:pPr>
            <w:r>
              <w:t xml:space="preserve">14.71</w:t>
            </w:r>
          </w:p>
        </w:tc>
        <w:tc>
          <w:tcPr/>
          <w:p>
            <w:pPr>
              <w:pStyle w:val="Compact"/>
              <w:jc w:val="left"/>
            </w:pPr>
            <w:r>
              <w:t xml:space="preserve">25.3</w:t>
            </w:r>
          </w:p>
        </w:tc>
        <w:tc>
          <w:tcPr/>
          <w:p>
            <w:pPr>
              <w:pStyle w:val="Compact"/>
              <w:jc w:val="left"/>
            </w:pPr>
            <w:r>
              <w:t xml:space="preserve">1.23</w:t>
            </w:r>
          </w:p>
        </w:tc>
        <w:tc>
          <w:tcPr/>
          <w:p>
            <w:pPr>
              <w:pStyle w:val="Compact"/>
              <w:jc w:val="left"/>
            </w:pPr>
            <w:r>
              <w:t xml:space="preserve">66.3</w:t>
            </w:r>
          </w:p>
        </w:tc>
        <w:tc>
          <w:tcPr/>
          <w:p>
            <w:pPr>
              <w:pStyle w:val="Compact"/>
              <w:jc w:val="left"/>
            </w:pPr>
            <w:r>
              <w:t xml:space="preserve">2.00</w:t>
            </w:r>
          </w:p>
        </w:tc>
        <w:tc>
          <w:tcPr/>
          <w:p>
            <w:pPr>
              <w:pStyle w:val="Compact"/>
              <w:jc w:val="left"/>
            </w:pPr>
            <w:r>
              <w:t xml:space="preserve">-39%</w:t>
            </w:r>
          </w:p>
        </w:tc>
      </w:tr>
      <w:tr>
        <w:tc>
          <w:tcPr/>
          <w:p>
            <w:pPr>
              <w:pStyle w:val="Compact"/>
              <w:jc w:val="left"/>
            </w:pPr>
            <w:r>
              <w:t xml:space="preserve">Dec-2023</w:t>
            </w:r>
          </w:p>
        </w:tc>
        <w:tc>
          <w:tcPr/>
          <w:p>
            <w:pPr>
              <w:pStyle w:val="Compact"/>
              <w:jc w:val="left"/>
            </w:pPr>
            <w:r>
              <w:t xml:space="preserve">16.19</w:t>
            </w:r>
          </w:p>
        </w:tc>
        <w:tc>
          <w:tcPr/>
          <w:p>
            <w:pPr>
              <w:pStyle w:val="Compact"/>
              <w:jc w:val="left"/>
            </w:pPr>
            <w:r>
              <w:t xml:space="preserve">26.9</w:t>
            </w:r>
          </w:p>
        </w:tc>
        <w:tc>
          <w:tcPr/>
          <w:p>
            <w:pPr>
              <w:pStyle w:val="Compact"/>
              <w:jc w:val="left"/>
            </w:pPr>
            <w:r>
              <w:t xml:space="preserve">1.10</w:t>
            </w:r>
          </w:p>
        </w:tc>
        <w:tc>
          <w:tcPr/>
          <w:p>
            <w:pPr>
              <w:pStyle w:val="Compact"/>
              <w:jc w:val="left"/>
            </w:pPr>
            <w:r>
              <w:t xml:space="preserve">25.0</w:t>
            </w:r>
          </w:p>
        </w:tc>
        <w:tc>
          <w:tcPr/>
          <w:p>
            <w:pPr>
              <w:pStyle w:val="Compact"/>
              <w:jc w:val="left"/>
            </w:pPr>
            <w:r>
              <w:t xml:space="preserve">2.34</w:t>
            </w:r>
          </w:p>
        </w:tc>
        <w:tc>
          <w:tcPr/>
          <w:p>
            <w:pPr>
              <w:pStyle w:val="Compact"/>
              <w:jc w:val="left"/>
            </w:pPr>
            <w:r>
              <w:t xml:space="preserve">-53%</w:t>
            </w:r>
          </w:p>
        </w:tc>
      </w:tr>
      <w:tr>
        <w:tc>
          <w:tcPr/>
          <w:p>
            <w:pPr>
              <w:pStyle w:val="Compact"/>
              <w:jc w:val="left"/>
            </w:pPr>
            <w:r>
              <w:t xml:space="preserve">Dec-2024</w:t>
            </w:r>
          </w:p>
        </w:tc>
        <w:tc>
          <w:tcPr/>
          <w:p>
            <w:pPr>
              <w:pStyle w:val="Compact"/>
              <w:jc w:val="left"/>
            </w:pPr>
            <w:r>
              <w:t xml:space="preserve">22.42</w:t>
            </w:r>
          </w:p>
        </w:tc>
        <w:tc>
          <w:tcPr/>
          <w:p>
            <w:pPr>
              <w:pStyle w:val="Compact"/>
              <w:jc w:val="left"/>
            </w:pPr>
            <w:r>
              <w:t xml:space="preserve">39.0</w:t>
            </w:r>
          </w:p>
        </w:tc>
        <w:tc>
          <w:tcPr/>
          <w:p>
            <w:pPr>
              <w:pStyle w:val="Compact"/>
              <w:jc w:val="left"/>
            </w:pPr>
            <w:r>
              <w:t xml:space="preserve">1.29</w:t>
            </w:r>
          </w:p>
        </w:tc>
        <w:tc>
          <w:tcPr/>
          <w:p>
            <w:pPr>
              <w:pStyle w:val="Compact"/>
              <w:jc w:val="left"/>
            </w:pPr>
            <w:r>
              <w:t xml:space="preserve">28.7</w:t>
            </w:r>
          </w:p>
        </w:tc>
        <w:tc>
          <w:tcPr/>
          <w:p>
            <w:pPr>
              <w:pStyle w:val="Compact"/>
              <w:jc w:val="left"/>
            </w:pPr>
            <w:r>
              <w:t xml:space="preserve">3.03</w:t>
            </w:r>
          </w:p>
        </w:tc>
        <w:tc>
          <w:tcPr/>
          <w:p>
            <w:pPr>
              <w:pStyle w:val="Compact"/>
              <w:jc w:val="left"/>
            </w:pPr>
            <w:r>
              <w:t xml:space="preserve">-57%</w:t>
            </w:r>
          </w:p>
        </w:tc>
      </w:tr>
      <w:tr>
        <w:tc>
          <w:tcPr/>
          <w:p>
            <w:pPr>
              <w:pStyle w:val="Compact"/>
              <w:jc w:val="left"/>
            </w:pPr>
            <w:r>
              <w:t xml:space="preserve">Dec-2025</w:t>
            </w:r>
          </w:p>
        </w:tc>
        <w:tc>
          <w:tcPr/>
          <w:p>
            <w:pPr>
              <w:pStyle w:val="Compact"/>
              <w:jc w:val="left"/>
            </w:pPr>
            <w:r>
              <w:t xml:space="preserve">23.37</w:t>
            </w:r>
          </w:p>
        </w:tc>
        <w:tc>
          <w:tcPr/>
          <w:p>
            <w:pPr>
              <w:pStyle w:val="Compact"/>
              <w:jc w:val="left"/>
            </w:pPr>
            <w:r>
              <w:t xml:space="preserve">41.0</w:t>
            </w:r>
          </w:p>
        </w:tc>
        <w:tc>
          <w:tcPr/>
          <w:p>
            <w:pPr>
              <w:pStyle w:val="Compact"/>
              <w:jc w:val="left"/>
            </w:pPr>
            <w:r>
              <w:t xml:space="preserve">1.19</w:t>
            </w:r>
          </w:p>
        </w:tc>
        <w:tc>
          <w:tcPr/>
          <w:p>
            <w:pPr>
              <w:pStyle w:val="Compact"/>
              <w:jc w:val="left"/>
            </w:pPr>
            <w:r>
              <w:t xml:space="preserve">27.6</w:t>
            </w:r>
          </w:p>
        </w:tc>
        <w:tc>
          <w:tcPr/>
          <w:p>
            <w:pPr>
              <w:pStyle w:val="Compact"/>
              <w:jc w:val="left"/>
            </w:pPr>
            <w:r>
              <w:t xml:space="preserve">2.95</w:t>
            </w:r>
          </w:p>
        </w:tc>
        <w:tc>
          <w:tcPr/>
          <w:p>
            <w:pPr>
              <w:pStyle w:val="Compact"/>
              <w:jc w:val="left"/>
            </w:pPr>
            <w:r>
              <w:t xml:space="preserve">-60%</w:t>
            </w:r>
          </w:p>
        </w:tc>
      </w:tr>
      <w:tr>
        <w:tc>
          <w:tcPr/>
          <w:p>
            <w:pPr>
              <w:pStyle w:val="Compact"/>
              <w:jc w:val="left"/>
            </w:pPr>
            <w:r>
              <w:rPr>
                <w:bCs/>
                <w:b/>
              </w:rPr>
              <w:t xml:space="preserve">Oct-2026 (LTM)</w:t>
            </w:r>
          </w:p>
        </w:tc>
        <w:tc>
          <w:tcPr/>
          <w:p>
            <w:pPr>
              <w:pStyle w:val="Compact"/>
              <w:jc w:val="left"/>
            </w:pPr>
            <w:r>
              <w:rPr>
                <w:bCs/>
                <w:b/>
              </w:rPr>
              <w:t xml:space="preserve">15.82</w:t>
            </w:r>
          </w:p>
        </w:tc>
        <w:tc>
          <w:tcPr/>
          <w:p>
            <w:pPr>
              <w:pStyle w:val="Compact"/>
              <w:jc w:val="left"/>
            </w:pPr>
            <w:r>
              <w:rPr>
                <w:bCs/>
                <w:b/>
              </w:rPr>
              <w:t xml:space="preserve">28.0</w:t>
            </w:r>
          </w:p>
        </w:tc>
        <w:tc>
          <w:tcPr/>
          <w:p>
            <w:pPr>
              <w:pStyle w:val="Compact"/>
              <w:jc w:val="left"/>
            </w:pPr>
            <w:r>
              <w:rPr>
                <w:bCs/>
                <w:b/>
              </w:rPr>
              <w:t xml:space="preserve">0.79</w:t>
            </w:r>
          </w:p>
        </w:tc>
        <w:tc>
          <w:tcPr/>
          <w:p>
            <w:pPr>
              <w:pStyle w:val="Compact"/>
              <w:jc w:val="left"/>
            </w:pPr>
            <w:r>
              <w:rPr>
                <w:bCs/>
                <w:b/>
              </w:rPr>
              <w:t xml:space="preserve">32.1</w:t>
            </w:r>
          </w:p>
        </w:tc>
        <w:tc>
          <w:tcPr/>
          <w:p>
            <w:pPr>
              <w:pStyle w:val="Compact"/>
              <w:jc w:val="left"/>
            </w:pPr>
            <w:r>
              <w:rPr>
                <w:bCs/>
                <w:b/>
              </w:rPr>
              <w:t xml:space="preserve">1.97</w:t>
            </w:r>
          </w:p>
        </w:tc>
        <w:tc>
          <w:tcPr/>
          <w:p>
            <w:pPr>
              <w:pStyle w:val="Compact"/>
              <w:jc w:val="left"/>
            </w:pPr>
            <w:r>
              <w:rPr>
                <w:bCs/>
                <w:b/>
              </w:rPr>
              <w:t xml:space="preserve">-60%</w:t>
            </w:r>
          </w:p>
        </w:tc>
      </w:tr>
    </w:tbl>
    <w:p>
      <w:pPr>
        <w:pStyle w:val="BodyText"/>
      </w:pPr>
      <w:r>
        <w:rPr>
          <w:iCs/>
          <w:i/>
        </w:rPr>
        <w:t xml:space="preserve">The peer set for the history comparison is Amazon, MercadoLibre, Sea, NAVER, E-MART and Lotte Shopping: year-end prices from ProntoNLP (‡); S&amp;P annual revenue, net debt and diluted shares, in local currency.</w:t>
      </w:r>
    </w:p>
    <w:p>
      <w:pPr>
        <w:pStyle w:val="CaptionedFigure"/>
      </w:pPr>
      <w:r>
        <w:drawing>
          <wp:inline>
            <wp:extent cx="5181600" cy="2072640"/>
            <wp:effectExtent b="0" l="0" r="0" t="0"/>
            <wp:docPr descr="EV/Sales at each year-end vs today" title="" id="366" name="Picture"/>
            <a:graphic>
              <a:graphicData uri="http://schemas.openxmlformats.org/drawingml/2006/picture">
                <pic:pic>
                  <pic:nvPicPr>
                    <pic:cNvPr descr="out/charts/hist_evsales.png" id="367" name="Picture"/>
                    <pic:cNvPicPr>
                      <a:picLocks noChangeArrowheads="1" noChangeAspect="1"/>
                    </pic:cNvPicPr>
                  </pic:nvPicPr>
                  <pic:blipFill>
                    <a:blip r:embed="rId365"/>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t xml:space="preserve">EV/Sales at each year-end vs today</w:t>
      </w:r>
    </w:p>
    <w:bookmarkEnd w:id="368"/>
    <w:bookmarkStart w:id="372" w:name="X0b4e9e8156b596d7ab1651be95e67fdf5a8f331"/>
    <w:p>
      <w:pPr>
        <w:pStyle w:val="Heading2"/>
      </w:pPr>
      <w:r>
        <w:t xml:space="preserve">13.3 Regression: EV/Sales vs EBIT margin (14 listed peers)</w:t>
      </w:r>
    </w:p>
    <w:p>
      <w:pPr>
        <w:pStyle w:val="CaptionedFigure"/>
      </w:pPr>
      <w:r>
        <w:drawing>
          <wp:inline>
            <wp:extent cx="6477000" cy="3633439"/>
            <wp:effectExtent b="0" l="0" r="0" t="0"/>
            <wp:docPr descr="Regression of EV/Sales on EBIT margin" title="" id="370" name="Picture"/>
            <a:graphic>
              <a:graphicData uri="http://schemas.openxmlformats.org/drawingml/2006/picture">
                <pic:pic>
                  <pic:nvPicPr>
                    <pic:cNvPr descr="out/charts/regression.png" id="371" name="Picture"/>
                    <pic:cNvPicPr>
                      <a:picLocks noChangeArrowheads="1" noChangeAspect="1"/>
                    </pic:cNvPicPr>
                  </pic:nvPicPr>
                  <pic:blipFill>
                    <a:blip r:embed="rId369"/>
                    <a:stretch>
                      <a:fillRect/>
                    </a:stretch>
                  </pic:blipFill>
                  <pic:spPr bwMode="auto">
                    <a:xfrm>
                      <a:off x="0" y="0"/>
                      <a:ext cx="6477000" cy="3633439"/>
                    </a:xfrm>
                    <a:prstGeom prst="rect">
                      <a:avLst/>
                    </a:prstGeom>
                    <a:noFill/>
                    <a:ln w="9525">
                      <a:noFill/>
                      <a:headEnd/>
                      <a:tailEnd/>
                    </a:ln>
                  </pic:spPr>
                </pic:pic>
              </a:graphicData>
            </a:graphic>
          </wp:inline>
        </w:drawing>
      </w:r>
    </w:p>
    <w:p>
      <w:pPr>
        <w:pStyle w:val="ImageCaption"/>
      </w:pPr>
      <w:r>
        <w:t xml:space="preserve">Regression of EV/Sales on EBIT margin</w:t>
      </w:r>
    </w:p>
    <w:p>
      <w:pPr>
        <w:numPr>
          <w:ilvl w:val="0"/>
          <w:numId w:val="1041"/>
        </w:numPr>
        <w:pStyle w:val="Compact"/>
      </w:pPr>
      <w:r>
        <w:rPr>
          <w:bCs/>
          <w:b/>
        </w:rPr>
        <w:t xml:space="preserve">The fit:</w:t>
      </w:r>
      <w:r>
        <w:t xml:space="preserve"> </w:t>
      </w:r>
      <w:r>
        <w:t xml:space="preserve">OLS on 14 listed peers (ex-Jumia) gives</w:t>
      </w:r>
      <w:r>
        <w:t xml:space="preserve"> </w:t>
      </w:r>
      <w:r>
        <w:rPr>
          <w:bCs/>
          <w:b/>
        </w:rPr>
        <w:t xml:space="preserve">EV/Sales = 0.62 + 0.112 × EBIT margin (%)</w:t>
      </w:r>
      <w:r>
        <w:t xml:space="preserve">, with</w:t>
      </w:r>
      <w:r>
        <w:t xml:space="preserve"> </w:t>
      </w:r>
      <w:r>
        <w:rPr>
          <w:bCs/>
          <w:b/>
        </w:rPr>
        <w:t xml:space="preserve">R² = 0.31</w:t>
      </w:r>
      <w:r>
        <w:t xml:space="preserve"> </w:t>
      </w:r>
      <w:r>
        <w:t xml:space="preserve">[d]. That is a moderate fit. PDD (a high-margin outlier on China-specific risk) and Allegro (a high-multiple outlier) flatten the slope.</w:t>
      </w:r>
    </w:p>
    <w:p>
      <w:pPr>
        <w:numPr>
          <w:ilvl w:val="0"/>
          <w:numId w:val="1041"/>
        </w:numPr>
        <w:pStyle w:val="Compact"/>
      </w:pPr>
      <w:r>
        <w:rPr>
          <w:bCs/>
          <w:b/>
        </w:rPr>
        <w:t xml:space="preserve">Where Coupang sits:</w:t>
      </w:r>
    </w:p>
    <w:p>
      <w:pPr>
        <w:numPr>
          <w:ilvl w:val="1"/>
          <w:numId w:val="1042"/>
        </w:numPr>
        <w:pStyle w:val="Compact"/>
      </w:pPr>
      <w:r>
        <w:t xml:space="preserve">LTM EBIT margin of -1.7% implies 0.43x; Coupang trades at 0.79x,</w:t>
      </w:r>
      <w:r>
        <w:t xml:space="preserve"> </w:t>
      </w:r>
      <w:r>
        <w:rPr>
          <w:iCs/>
          <w:i/>
        </w:rPr>
        <w:t xml:space="preserve">above</w:t>
      </w:r>
      <w:r>
        <w:t xml:space="preserve"> </w:t>
      </w:r>
      <w:r>
        <w:t xml:space="preserve">the line.</w:t>
      </w:r>
    </w:p>
    <w:p>
      <w:pPr>
        <w:numPr>
          <w:ilvl w:val="1"/>
          <w:numId w:val="1042"/>
        </w:numPr>
        <w:pStyle w:val="Compact"/>
      </w:pPr>
      <w:r>
        <w:t xml:space="preserve">Pre-incident FY25 EBIT margin of 1.4% implies 0.78x,</w:t>
      </w:r>
      <w:r>
        <w:t xml:space="preserve"> </w:t>
      </w:r>
      <w:r>
        <w:rPr>
          <w:iCs/>
          <w:i/>
        </w:rPr>
        <w:t xml:space="preserve">on</w:t>
      </w:r>
      <w:r>
        <w:t xml:space="preserve"> </w:t>
      </w:r>
      <w:r>
        <w:t xml:space="preserve">the line.</w:t>
      </w:r>
    </w:p>
    <w:p>
      <w:pPr>
        <w:numPr>
          <w:ilvl w:val="1"/>
          <w:numId w:val="1042"/>
        </w:numPr>
        <w:pStyle w:val="Compact"/>
      </w:pPr>
      <w:r>
        <w:t xml:space="preserve">Our FY28E GAAP EBIT margin of 2.7% implies 0.92x [d].</w:t>
      </w:r>
    </w:p>
    <w:p>
      <w:pPr>
        <w:pStyle w:val="FirstParagraph"/>
      </w:pPr>
      <w:r>
        <w:rPr>
          <w:bCs/>
          <w:b/>
        </w:rPr>
        <w:t xml:space="preserve">Verdict: cheap, fair or expensive?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Lens</w:t>
            </w:r>
          </w:p>
        </w:tc>
        <w:tc>
          <w:tcPr/>
          <w:p>
            <w:pPr>
              <w:pStyle w:val="Compact"/>
              <w:jc w:val="left"/>
            </w:pPr>
            <w:r>
              <w:t xml:space="preserve">Reading</w:t>
            </w:r>
          </w:p>
        </w:tc>
        <w:tc>
          <w:tcPr/>
          <w:p>
            <w:pPr>
              <w:pStyle w:val="Compact"/>
              <w:jc w:val="left"/>
            </w:pPr>
            <w:r>
              <w:t xml:space="preserve">Verdict</w:t>
            </w:r>
          </w:p>
        </w:tc>
      </w:tr>
      <w:tr>
        <w:tc>
          <w:tcPr/>
          <w:p>
            <w:pPr>
              <w:pStyle w:val="Compact"/>
              <w:jc w:val="left"/>
            </w:pPr>
            <w:r>
              <w:t xml:space="preserve">EV/Sales vs peers (0.79x vs 1.29x median)</w:t>
            </w:r>
          </w:p>
        </w:tc>
        <w:tc>
          <w:tcPr/>
          <w:p>
            <w:pPr>
              <w:pStyle w:val="Compact"/>
              <w:jc w:val="left"/>
            </w:pPr>
            <w:r>
              <w:t xml:space="preserve">-39%</w:t>
            </w:r>
          </w:p>
        </w:tc>
        <w:tc>
          <w:tcPr/>
          <w:p>
            <w:pPr>
              <w:pStyle w:val="Compact"/>
              <w:jc w:val="left"/>
            </w:pPr>
            <w:r>
              <w:rPr>
                <w:bCs/>
                <w:b/>
              </w:rPr>
              <w:t xml:space="preserve">Cheap</w:t>
            </w:r>
          </w:p>
        </w:tc>
      </w:tr>
      <w:tr>
        <w:tc>
          <w:tcPr/>
          <w:p>
            <w:pPr>
              <w:pStyle w:val="Compact"/>
              <w:jc w:val="left"/>
            </w:pPr>
            <w:r>
              <w:t xml:space="preserve">EV/Sales vs own history (0.79x vs 1.1-1.3x 2022-25)</w:t>
            </w:r>
          </w:p>
        </w:tc>
        <w:tc>
          <w:tcPr/>
          <w:p>
            <w:pPr>
              <w:pStyle w:val="Compact"/>
              <w:jc w:val="left"/>
            </w:pPr>
            <w:r>
              <w:t xml:space="preserve">Five-year low</w:t>
            </w:r>
          </w:p>
        </w:tc>
        <w:tc>
          <w:tcPr/>
          <w:p>
            <w:pPr>
              <w:pStyle w:val="Compact"/>
              <w:jc w:val="left"/>
            </w:pPr>
            <w:r>
              <w:rPr>
                <w:bCs/>
                <w:b/>
              </w:rPr>
              <w:t xml:space="preserve">Cheap</w:t>
            </w:r>
          </w:p>
        </w:tc>
      </w:tr>
      <w:tr>
        <w:tc>
          <w:tcPr/>
          <w:p>
            <w:pPr>
              <w:pStyle w:val="Compact"/>
              <w:jc w:val="left"/>
            </w:pPr>
            <w:r>
              <w:t xml:space="preserve">Regression (EV/Sales vs EBIT margin)</w:t>
            </w:r>
          </w:p>
        </w:tc>
        <w:tc>
          <w:tcPr/>
          <w:p>
            <w:pPr>
              <w:pStyle w:val="Compact"/>
              <w:jc w:val="left"/>
            </w:pPr>
            <w:r>
              <w:t xml:space="preserve">On the line at pre-incident margin; slightly above at the trough</w:t>
            </w:r>
          </w:p>
        </w:tc>
        <w:tc>
          <w:tcPr/>
          <w:p>
            <w:pPr>
              <w:pStyle w:val="Compact"/>
              <w:jc w:val="left"/>
            </w:pPr>
            <w:r>
              <w:rPr>
                <w:bCs/>
                <w:b/>
              </w:rPr>
              <w:t xml:space="preserve">Fair</w:t>
            </w:r>
          </w:p>
        </w:tc>
      </w:tr>
      <w:tr>
        <w:tc>
          <w:tcPr/>
          <w:p>
            <w:pPr>
              <w:pStyle w:val="Compact"/>
              <w:jc w:val="left"/>
            </w:pPr>
            <w:r>
              <w:t xml:space="preserve">EV/EBITDA (32x LTM adjusted; 16.6x FY27E adjusted vs 9.4x peer LTM median)</w:t>
            </w:r>
          </w:p>
        </w:tc>
        <w:tc>
          <w:tcPr/>
          <w:p>
            <w:pPr>
              <w:pStyle w:val="Compact"/>
              <w:jc w:val="left"/>
            </w:pPr>
            <w:r>
              <w:t xml:space="preserve">Trough earnings</w:t>
            </w:r>
          </w:p>
        </w:tc>
        <w:tc>
          <w:tcPr/>
          <w:p>
            <w:pPr>
              <w:pStyle w:val="Compact"/>
              <w:jc w:val="left"/>
            </w:pPr>
            <w:r>
              <w:rPr>
                <w:bCs/>
                <w:b/>
              </w:rPr>
              <w:t xml:space="preserve">Expensive on trough, fair on recovery</w:t>
            </w:r>
          </w:p>
        </w:tc>
      </w:tr>
      <w:tr>
        <w:tc>
          <w:tcPr/>
          <w:p>
            <w:pPr>
              <w:pStyle w:val="Compact"/>
              <w:jc w:val="left"/>
            </w:pPr>
            <w:r>
              <w:t xml:space="preserve">P/E (FY28E 38x)</w:t>
            </w:r>
          </w:p>
        </w:tc>
        <w:tc>
          <w:tcPr/>
          <w:p>
            <w:pPr>
              <w:pStyle w:val="Compact"/>
              <w:jc w:val="left"/>
            </w:pPr>
            <w:r>
              <w:t xml:space="preserve">GAAP EPS burdened by a 40%+ ETR and SBC</w:t>
            </w:r>
          </w:p>
        </w:tc>
        <w:tc>
          <w:tcPr/>
          <w:p>
            <w:pPr>
              <w:pStyle w:val="Compact"/>
              <w:jc w:val="left"/>
            </w:pPr>
            <w:r>
              <w:rPr>
                <w:bCs/>
                <w:b/>
              </w:rPr>
              <w:t xml:space="preserve">Expensive</w:t>
            </w:r>
          </w:p>
        </w:tc>
      </w:tr>
      <w:tr>
        <w:tc>
          <w:tcPr/>
          <w:p>
            <w:pPr>
              <w:pStyle w:val="Compact"/>
              <w:jc w:val="left"/>
            </w:pPr>
            <w:r>
              <w:t xml:space="preserve">Net debt/EBITDA</w:t>
            </w:r>
          </w:p>
        </w:tc>
        <w:tc>
          <w:tcPr/>
          <w:p>
            <w:pPr>
              <w:pStyle w:val="Compact"/>
              <w:jc w:val="left"/>
            </w:pPr>
            <w:r>
              <w:t xml:space="preserve">Net cash, but shrinking</w:t>
            </w:r>
          </w:p>
        </w:tc>
        <w:tc>
          <w:tcPr/>
          <w:p>
            <w:pPr>
              <w:pStyle w:val="Compact"/>
              <w:jc w:val="left"/>
            </w:pPr>
            <w:r>
              <w:rPr>
                <w:bCs/>
                <w:b/>
              </w:rPr>
              <w:t xml:space="preserve">Neutral</w:t>
            </w:r>
          </w:p>
        </w:tc>
      </w:tr>
      <w:tr>
        <w:tc>
          <w:tcPr/>
          <w:p>
            <w:pPr>
              <w:pStyle w:val="Compact"/>
              <w:jc w:val="left"/>
            </w:pPr>
            <w:r>
              <w:t xml:space="preserve">FCF yield (0.3% LTM vs 8.6% median)</w:t>
            </w:r>
          </w:p>
        </w:tc>
        <w:tc>
          <w:tcPr/>
          <w:p>
            <w:pPr>
              <w:pStyle w:val="Compact"/>
              <w:jc w:val="left"/>
            </w:pPr>
            <w:r>
              <w:t xml:space="preserve">FCF collapse</w:t>
            </w:r>
          </w:p>
        </w:tc>
        <w:tc>
          <w:tcPr/>
          <w:p>
            <w:pPr>
              <w:pStyle w:val="Compact"/>
              <w:jc w:val="left"/>
            </w:pPr>
            <w:r>
              <w:rPr>
                <w:bCs/>
                <w:b/>
              </w:rPr>
              <w:t xml:space="preserve">Expensive</w:t>
            </w:r>
          </w:p>
        </w:tc>
      </w:tr>
    </w:tbl>
    <w:p>
      <w:pPr>
        <w:pStyle w:val="BodyText"/>
      </w:pPr>
      <w:r>
        <w:rPr>
          <w:bCs/>
          <w:b/>
        </w:rPr>
        <w:t xml:space="preserve">Conclusion.</w:t>
      </w:r>
      <w:r>
        <w:t xml:space="preserve"> </w:t>
      </w:r>
      <w:r>
        <w:t xml:space="preserve">Coupang is cheap only if margins recover. On sales it trades at a five-year low and a 39% discount to peers. On earnings and cash flow it is expensive. The investment case is a margin-recovery bet, which is exactly the</w:t>
      </w:r>
      <w:r>
        <w:t xml:space="preserve"> </w:t>
      </w:r>
      <w:r>
        <w:t xml:space="preserve">“</w:t>
      </w:r>
      <w:r>
        <w:t xml:space="preserve">glitch</w:t>
      </w:r>
      <w:r>
        <w:t xml:space="preserve">”</w:t>
      </w:r>
      <w:r>
        <w:t xml:space="preserve"> </w:t>
      </w:r>
      <w:r>
        <w:t xml:space="preserve">debate.</w:t>
      </w:r>
    </w:p>
    <w:bookmarkEnd w:id="372"/>
    <w:bookmarkStart w:id="375" w:name="X9537c3084cc20fb79431c37cba3d917f70e9f0d"/>
    <w:p>
      <w:pPr>
        <w:pStyle w:val="Heading2"/>
      </w:pPr>
      <w:r>
        <w:t xml:space="preserve">13.4 Competitors and comparables (public and private)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Ticker / owner</w:t>
            </w:r>
          </w:p>
        </w:tc>
        <w:tc>
          <w:tcPr/>
          <w:p>
            <w:pPr>
              <w:pStyle w:val="Compact"/>
              <w:jc w:val="left"/>
            </w:pPr>
            <w:r>
              <w:t xml:space="preserve">Listed?</w:t>
            </w:r>
          </w:p>
        </w:tc>
        <w:tc>
          <w:tcPr/>
          <w:p>
            <w:pPr>
              <w:pStyle w:val="Compact"/>
              <w:jc w:val="left"/>
            </w:pPr>
            <w:r>
              <w:t xml:space="preserve">Relevance</w:t>
            </w:r>
          </w:p>
        </w:tc>
      </w:tr>
      <w:tr>
        <w:tc>
          <w:tcPr/>
          <w:p>
            <w:pPr>
              <w:pStyle w:val="Compact"/>
              <w:jc w:val="left"/>
            </w:pPr>
            <w:r>
              <w:t xml:space="preserve">NAVER</w:t>
            </w:r>
          </w:p>
        </w:tc>
        <w:tc>
          <w:tcPr/>
          <w:p>
            <w:pPr>
              <w:pStyle w:val="Compact"/>
              <w:jc w:val="left"/>
            </w:pPr>
            <w:r>
              <w:t xml:space="preserve">035420 KS</w:t>
            </w:r>
          </w:p>
        </w:tc>
        <w:tc>
          <w:tcPr/>
          <w:p>
            <w:pPr>
              <w:pStyle w:val="Compact"/>
              <w:jc w:val="left"/>
            </w:pPr>
            <w:r>
              <w:t xml:space="preserve">Yes (KRX)</w:t>
            </w:r>
          </w:p>
        </w:tc>
        <w:tc>
          <w:tcPr/>
          <w:p>
            <w:pPr>
              <w:pStyle w:val="Compact"/>
              <w:jc w:val="left"/>
            </w:pPr>
            <w:r>
              <w:t xml:space="preserve">#1 domestic rival: marketplace, Plus membership, Kurly N Mart</w:t>
            </w:r>
          </w:p>
        </w:tc>
      </w:tr>
      <w:tr>
        <w:tc>
          <w:tcPr/>
          <w:p>
            <w:pPr>
              <w:pStyle w:val="Compact"/>
              <w:jc w:val="left"/>
            </w:pPr>
            <w:r>
              <w:t xml:space="preserve">E-MART / Shinsegae (Gmarket, SSG.com)</w:t>
            </w:r>
          </w:p>
        </w:tc>
        <w:tc>
          <w:tcPr/>
          <w:p>
            <w:pPr>
              <w:pStyle w:val="Compact"/>
              <w:jc w:val="left"/>
            </w:pPr>
            <w:r>
              <w:t xml:space="preserve">139480 KS (Gmarket and SSG.com are unlisted subsidiaries / JV [u])</w:t>
            </w:r>
          </w:p>
        </w:tc>
        <w:tc>
          <w:tcPr/>
          <w:p>
            <w:pPr>
              <w:pStyle w:val="Compact"/>
              <w:jc w:val="left"/>
            </w:pPr>
            <w:r>
              <w:t xml:space="preserve">Parent listed</w:t>
            </w:r>
          </w:p>
        </w:tc>
        <w:tc>
          <w:tcPr/>
          <w:p>
            <w:pPr>
              <w:pStyle w:val="Compact"/>
              <w:jc w:val="left"/>
            </w:pPr>
            <w:r>
              <w:t xml:space="preserve">Owns ex-eBay Korea (Gmarket) (</w:t>
            </w:r>
            <w:hyperlink r:id="rId373">
              <w:r>
                <w:rPr>
                  <w:rStyle w:val="Hyperlink"/>
                </w:rPr>
                <w:t xml:space="preserve">#675</w:t>
              </w:r>
            </w:hyperlink>
            <w:r>
              <w:t xml:space="preserve">)</w:t>
            </w:r>
          </w:p>
        </w:tc>
      </w:tr>
      <w:tr>
        <w:tc>
          <w:tcPr/>
          <w:p>
            <w:pPr>
              <w:pStyle w:val="Compact"/>
              <w:jc w:val="left"/>
            </w:pPr>
            <w:r>
              <w:t xml:space="preserve">Lotte Shopping (Lotte ON)</w:t>
            </w:r>
          </w:p>
        </w:tc>
        <w:tc>
          <w:tcPr/>
          <w:p>
            <w:pPr>
              <w:pStyle w:val="Compact"/>
              <w:jc w:val="left"/>
            </w:pPr>
            <w:r>
              <w:t xml:space="preserve">023530 KS</w:t>
            </w:r>
          </w:p>
        </w:tc>
        <w:tc>
          <w:tcPr/>
          <w:p>
            <w:pPr>
              <w:pStyle w:val="Compact"/>
              <w:jc w:val="left"/>
            </w:pPr>
            <w:r>
              <w:t xml:space="preserve">Yes</w:t>
            </w:r>
          </w:p>
        </w:tc>
        <w:tc>
          <w:tcPr/>
          <w:p>
            <w:pPr>
              <w:pStyle w:val="Compact"/>
              <w:jc w:val="left"/>
            </w:pPr>
            <w:r>
              <w:t xml:space="preserve">Omnichannel rival (</w:t>
            </w:r>
            <w:hyperlink r:id="rId145">
              <w:r>
                <w:rPr>
                  <w:rStyle w:val="Hyperlink"/>
                </w:rPr>
                <w:t xml:space="preserve">#92</w:t>
              </w:r>
            </w:hyperlink>
            <w:r>
              <w:t xml:space="preserve">)</w:t>
            </w:r>
          </w:p>
        </w:tc>
      </w:tr>
      <w:tr>
        <w:tc>
          <w:tcPr/>
          <w:p>
            <w:pPr>
              <w:pStyle w:val="Compact"/>
              <w:jc w:val="left"/>
            </w:pPr>
            <w:r>
              <w:t xml:space="preserve">AliExpress (Alibaba)</w:t>
            </w:r>
          </w:p>
        </w:tc>
        <w:tc>
          <w:tcPr/>
          <w:p>
            <w:pPr>
              <w:pStyle w:val="Compact"/>
              <w:jc w:val="left"/>
            </w:pPr>
            <w:r>
              <w:t xml:space="preserve">BABA US / 9988 HK</w:t>
            </w:r>
          </w:p>
        </w:tc>
        <w:tc>
          <w:tcPr/>
          <w:p>
            <w:pPr>
              <w:pStyle w:val="Compact"/>
              <w:jc w:val="left"/>
            </w:pPr>
            <w:r>
              <w:t xml:space="preserve">Yes</w:t>
            </w:r>
          </w:p>
        </w:tc>
        <w:tc>
          <w:tcPr/>
          <w:p>
            <w:pPr>
              <w:pStyle w:val="Compact"/>
              <w:jc w:val="left"/>
            </w:pPr>
            <w:r>
              <w:t xml:space="preserve">Cross-border entrant (</w:t>
            </w:r>
            <w:hyperlink r:id="rId144">
              <w:r>
                <w:rPr>
                  <w:rStyle w:val="Hyperlink"/>
                </w:rPr>
                <w:t xml:space="preserve">#308</w:t>
              </w:r>
            </w:hyperlink>
            <w:r>
              <w:t xml:space="preserve">)</w:t>
            </w:r>
          </w:p>
        </w:tc>
      </w:tr>
      <w:tr>
        <w:tc>
          <w:tcPr/>
          <w:p>
            <w:pPr>
              <w:pStyle w:val="Compact"/>
              <w:jc w:val="left"/>
            </w:pPr>
            <w:r>
              <w:t xml:space="preserve">Temu (PDD Holdings)</w:t>
            </w:r>
          </w:p>
        </w:tc>
        <w:tc>
          <w:tcPr/>
          <w:p>
            <w:pPr>
              <w:pStyle w:val="Compact"/>
              <w:jc w:val="left"/>
            </w:pPr>
            <w:r>
              <w:t xml:space="preserve">PDD US</w:t>
            </w:r>
          </w:p>
        </w:tc>
        <w:tc>
          <w:tcPr/>
          <w:p>
            <w:pPr>
              <w:pStyle w:val="Compact"/>
              <w:jc w:val="left"/>
            </w:pPr>
            <w:r>
              <w:t xml:space="preserve">Yes</w:t>
            </w:r>
          </w:p>
        </w:tc>
        <w:tc>
          <w:tcPr/>
          <w:p>
            <w:pPr>
              <w:pStyle w:val="Compact"/>
              <w:jc w:val="left"/>
            </w:pPr>
            <w:r>
              <w:t xml:space="preserve">Cross-border entrant</w:t>
            </w:r>
          </w:p>
        </w:tc>
      </w:tr>
      <w:tr>
        <w:tc>
          <w:tcPr/>
          <w:p>
            <w:pPr>
              <w:pStyle w:val="Compact"/>
              <w:jc w:val="left"/>
            </w:pPr>
            <w:r>
              <w:t xml:space="preserve">11st</w:t>
            </w:r>
          </w:p>
        </w:tc>
        <w:tc>
          <w:tcPr/>
          <w:p>
            <w:pPr>
              <w:pStyle w:val="Compact"/>
              <w:jc w:val="left"/>
            </w:pPr>
            <w:r>
              <w:t xml:space="preserve">SK Square subsidiary [u]</w:t>
            </w:r>
          </w:p>
        </w:tc>
        <w:tc>
          <w:tcPr/>
          <w:p>
            <w:pPr>
              <w:pStyle w:val="Compact"/>
              <w:jc w:val="left"/>
            </w:pPr>
            <w:r>
              <w:t xml:space="preserve">No (parent 402340 KS listed [u])</w:t>
            </w:r>
          </w:p>
        </w:tc>
        <w:tc>
          <w:tcPr/>
          <w:p>
            <w:pPr>
              <w:pStyle w:val="Compact"/>
              <w:jc w:val="left"/>
            </w:pPr>
            <w:r>
              <w:t xml:space="preserve">Domestic marketplace</w:t>
            </w:r>
          </w:p>
        </w:tc>
      </w:tr>
      <w:tr>
        <w:tc>
          <w:tcPr/>
          <w:p>
            <w:pPr>
              <w:pStyle w:val="Compact"/>
              <w:jc w:val="left"/>
            </w:pPr>
            <w:r>
              <w:t xml:space="preserve">Kurly (Market Kurly)</w:t>
            </w:r>
          </w:p>
        </w:tc>
        <w:tc>
          <w:tcPr/>
          <w:p>
            <w:pPr>
              <w:pStyle w:val="Compact"/>
              <w:jc w:val="left"/>
            </w:pPr>
            <w:r>
              <w:t xml:space="preserve">Private [u]</w:t>
            </w:r>
          </w:p>
        </w:tc>
        <w:tc>
          <w:tcPr/>
          <w:p>
            <w:pPr>
              <w:pStyle w:val="Compact"/>
              <w:jc w:val="left"/>
            </w:pPr>
            <w:r>
              <w:t xml:space="preserve">No</w:t>
            </w:r>
          </w:p>
        </w:tc>
        <w:tc>
          <w:tcPr/>
          <w:p>
            <w:pPr>
              <w:pStyle w:val="Compact"/>
              <w:jc w:val="left"/>
            </w:pPr>
            <w:r>
              <w:t xml:space="preserve">Fresh grocery; partner of Naver</w:t>
            </w:r>
          </w:p>
        </w:tc>
      </w:tr>
      <w:tr>
        <w:tc>
          <w:tcPr/>
          <w:p>
            <w:pPr>
              <w:pStyle w:val="Compact"/>
              <w:jc w:val="left"/>
            </w:pPr>
            <w:r>
              <w:t xml:space="preserve">Musinsa</w:t>
            </w:r>
          </w:p>
        </w:tc>
        <w:tc>
          <w:tcPr/>
          <w:p>
            <w:pPr>
              <w:pStyle w:val="Compact"/>
              <w:jc w:val="left"/>
            </w:pPr>
            <w:r>
              <w:t xml:space="preserve">Private [u]</w:t>
            </w:r>
          </w:p>
        </w:tc>
        <w:tc>
          <w:tcPr/>
          <w:p>
            <w:pPr>
              <w:pStyle w:val="Compact"/>
              <w:jc w:val="left"/>
            </w:pPr>
            <w:r>
              <w:t xml:space="preserve">No</w:t>
            </w:r>
          </w:p>
        </w:tc>
        <w:tc>
          <w:tcPr/>
          <w:p>
            <w:pPr>
              <w:pStyle w:val="Compact"/>
              <w:jc w:val="left"/>
            </w:pPr>
            <w:r>
              <w:t xml:space="preserve">Fashion e-commerce</w:t>
            </w:r>
          </w:p>
        </w:tc>
      </w:tr>
      <w:tr>
        <w:tc>
          <w:tcPr/>
          <w:p>
            <w:pPr>
              <w:pStyle w:val="Compact"/>
              <w:jc w:val="left"/>
            </w:pPr>
            <w:r>
              <w:t xml:space="preserve">Baemin (Woowa Brothers)</w:t>
            </w:r>
          </w:p>
        </w:tc>
        <w:tc>
          <w:tcPr/>
          <w:p>
            <w:pPr>
              <w:pStyle w:val="Compact"/>
              <w:jc w:val="left"/>
            </w:pPr>
            <w:r>
              <w:t xml:space="preserve">Delivery Hero (DHER GY); Uber offer pending</w:t>
            </w:r>
          </w:p>
        </w:tc>
        <w:tc>
          <w:tcPr/>
          <w:p>
            <w:pPr>
              <w:pStyle w:val="Compact"/>
              <w:jc w:val="left"/>
            </w:pPr>
            <w:r>
              <w:t xml:space="preserve">Parent listed</w:t>
            </w:r>
          </w:p>
        </w:tc>
        <w:tc>
          <w:tcPr/>
          <w:p>
            <w:pPr>
              <w:pStyle w:val="Compact"/>
              <w:jc w:val="left"/>
            </w:pPr>
            <w:r>
              <w:t xml:space="preserve">#1 Korean food delivery vs Coupang Eats (</w:t>
            </w:r>
            <w:hyperlink r:id="rId146">
              <w:r>
                <w:rPr>
                  <w:rStyle w:val="Hyperlink"/>
                </w:rPr>
                <w:t xml:space="preserve">#1089</w:t>
              </w:r>
            </w:hyperlink>
            <w:r>
              <w:t xml:space="preserve">)</w:t>
            </w:r>
          </w:p>
        </w:tc>
      </w:tr>
      <w:tr>
        <w:tc>
          <w:tcPr/>
          <w:p>
            <w:pPr>
              <w:pStyle w:val="Compact"/>
              <w:jc w:val="left"/>
            </w:pPr>
            <w:r>
              <w:t xml:space="preserve">Yogiyo</w:t>
            </w:r>
          </w:p>
        </w:tc>
        <w:tc>
          <w:tcPr/>
          <w:p>
            <w:pPr>
              <w:pStyle w:val="Compact"/>
              <w:jc w:val="left"/>
            </w:pPr>
            <w:r>
              <w:t xml:space="preserve">Private [u]</w:t>
            </w:r>
          </w:p>
        </w:tc>
        <w:tc>
          <w:tcPr/>
          <w:p>
            <w:pPr>
              <w:pStyle w:val="Compact"/>
              <w:jc w:val="left"/>
            </w:pPr>
            <w:r>
              <w:t xml:space="preserve">No</w:t>
            </w:r>
          </w:p>
        </w:tc>
        <w:tc>
          <w:tcPr/>
          <w:p>
            <w:pPr>
              <w:pStyle w:val="Compact"/>
              <w:jc w:val="left"/>
            </w:pPr>
            <w:r>
              <w:t xml:space="preserve">Korean food delivery</w:t>
            </w:r>
          </w:p>
        </w:tc>
      </w:tr>
      <w:tr>
        <w:tc>
          <w:tcPr/>
          <w:p>
            <w:pPr>
              <w:pStyle w:val="Compact"/>
              <w:jc w:val="left"/>
            </w:pPr>
            <w:r>
              <w:t xml:space="preserve">Netflix / Tving</w:t>
            </w:r>
          </w:p>
        </w:tc>
        <w:tc>
          <w:tcPr/>
          <w:p>
            <w:pPr>
              <w:pStyle w:val="Compact"/>
              <w:jc w:val="left"/>
            </w:pPr>
            <w:r>
              <w:t xml:space="preserve">NFLX US / CJ ENM subsidiary [u]</w:t>
            </w:r>
          </w:p>
        </w:tc>
        <w:tc>
          <w:tcPr/>
          <w:p>
            <w:pPr>
              <w:pStyle w:val="Compact"/>
              <w:jc w:val="left"/>
            </w:pPr>
            <w:r>
              <w:t xml:space="preserve">Netflix listed</w:t>
            </w:r>
          </w:p>
        </w:tc>
        <w:tc>
          <w:tcPr/>
          <w:p>
            <w:pPr>
              <w:pStyle w:val="Compact"/>
              <w:jc w:val="left"/>
            </w:pPr>
            <w:r>
              <w:t xml:space="preserve">Compete with Coupang Play</w:t>
            </w:r>
          </w:p>
        </w:tc>
      </w:tr>
      <w:tr>
        <w:tc>
          <w:tcPr/>
          <w:p>
            <w:pPr>
              <w:pStyle w:val="Compact"/>
              <w:jc w:val="left"/>
            </w:pPr>
            <w:r>
              <w:t xml:space="preserve">momo.com</w:t>
            </w:r>
          </w:p>
        </w:tc>
        <w:tc>
          <w:tcPr/>
          <w:p>
            <w:pPr>
              <w:pStyle w:val="Compact"/>
              <w:jc w:val="left"/>
            </w:pPr>
            <w:r>
              <w:t xml:space="preserve">8454 TT [u]</w:t>
            </w:r>
          </w:p>
        </w:tc>
        <w:tc>
          <w:tcPr/>
          <w:p>
            <w:pPr>
              <w:pStyle w:val="Compact"/>
              <w:jc w:val="left"/>
            </w:pPr>
            <w:r>
              <w:t xml:space="preserve">Yes [u]</w:t>
            </w:r>
          </w:p>
        </w:tc>
        <w:tc>
          <w:tcPr/>
          <w:p>
            <w:pPr>
              <w:pStyle w:val="Compact"/>
              <w:jc w:val="left"/>
            </w:pPr>
            <w:r>
              <w:t xml:space="preserve">Taiwan e-commerce</w:t>
            </w:r>
          </w:p>
        </w:tc>
      </w:tr>
      <w:tr>
        <w:tc>
          <w:tcPr/>
          <w:p>
            <w:pPr>
              <w:pStyle w:val="Compact"/>
              <w:jc w:val="left"/>
            </w:pPr>
            <w:r>
              <w:t xml:space="preserve">Shopee (Sea)</w:t>
            </w:r>
          </w:p>
        </w:tc>
        <w:tc>
          <w:tcPr/>
          <w:p>
            <w:pPr>
              <w:pStyle w:val="Compact"/>
              <w:jc w:val="left"/>
            </w:pPr>
            <w:r>
              <w:t xml:space="preserve">SE US</w:t>
            </w:r>
          </w:p>
        </w:tc>
        <w:tc>
          <w:tcPr/>
          <w:p>
            <w:pPr>
              <w:pStyle w:val="Compact"/>
              <w:jc w:val="left"/>
            </w:pPr>
            <w:r>
              <w:t xml:space="preserve">Yes</w:t>
            </w:r>
          </w:p>
        </w:tc>
        <w:tc>
          <w:tcPr/>
          <w:p>
            <w:pPr>
              <w:pStyle w:val="Compact"/>
              <w:jc w:val="left"/>
            </w:pPr>
            <w:r>
              <w:t xml:space="preserve">Taiwan marketplace</w:t>
            </w:r>
          </w:p>
        </w:tc>
      </w:tr>
      <w:tr>
        <w:tc>
          <w:tcPr/>
          <w:p>
            <w:pPr>
              <w:pStyle w:val="Compact"/>
              <w:jc w:val="left"/>
            </w:pPr>
            <w:r>
              <w:t xml:space="preserve">PChome</w:t>
            </w:r>
          </w:p>
        </w:tc>
        <w:tc>
          <w:tcPr/>
          <w:p>
            <w:pPr>
              <w:pStyle w:val="Compact"/>
              <w:jc w:val="left"/>
            </w:pPr>
            <w:r>
              <w:t xml:space="preserve">8044 TT [u]</w:t>
            </w:r>
          </w:p>
        </w:tc>
        <w:tc>
          <w:tcPr/>
          <w:p>
            <w:pPr>
              <w:pStyle w:val="Compact"/>
              <w:jc w:val="left"/>
            </w:pPr>
            <w:r>
              <w:t xml:space="preserve">Yes [u]</w:t>
            </w:r>
          </w:p>
        </w:tc>
        <w:tc>
          <w:tcPr/>
          <w:p>
            <w:pPr>
              <w:pStyle w:val="Compact"/>
              <w:jc w:val="left"/>
            </w:pPr>
            <w:r>
              <w:t xml:space="preserve">Taiwan e-commerce</w:t>
            </w:r>
          </w:p>
        </w:tc>
      </w:tr>
      <w:tr>
        <w:tc>
          <w:tcPr/>
          <w:p>
            <w:pPr>
              <w:pStyle w:val="Compact"/>
              <w:jc w:val="left"/>
            </w:pPr>
            <w:r>
              <w:t xml:space="preserve">Foodpanda Taiwan</w:t>
            </w:r>
          </w:p>
        </w:tc>
        <w:tc>
          <w:tcPr/>
          <w:p>
            <w:pPr>
              <w:pStyle w:val="Compact"/>
              <w:jc w:val="left"/>
            </w:pPr>
            <w:r>
              <w:t xml:space="preserve">Delivery Hero → Grab (pending)</w:t>
            </w:r>
          </w:p>
        </w:tc>
        <w:tc>
          <w:tcPr/>
          <w:p>
            <w:pPr>
              <w:pStyle w:val="Compact"/>
              <w:jc w:val="left"/>
            </w:pPr>
            <w:r>
              <w:t xml:space="preserve">No</w:t>
            </w:r>
          </w:p>
        </w:tc>
        <w:tc>
          <w:tcPr/>
          <w:p>
            <w:pPr>
              <w:pStyle w:val="Compact"/>
              <w:jc w:val="left"/>
            </w:pPr>
            <w:r>
              <w:t xml:space="preserve">Taiwan food delivery (</w:t>
            </w:r>
            <w:hyperlink r:id="rId374">
              <w:r>
                <w:rPr>
                  <w:rStyle w:val="Hyperlink"/>
                </w:rPr>
                <w:t xml:space="preserve">#325</w:t>
              </w:r>
            </w:hyperlink>
            <w:r>
              <w:t xml:space="preserve">)</w:t>
            </w:r>
          </w:p>
        </w:tc>
      </w:tr>
      <w:tr>
        <w:tc>
          <w:tcPr/>
          <w:p>
            <w:pPr>
              <w:pStyle w:val="Compact"/>
              <w:jc w:val="left"/>
            </w:pPr>
            <w:r>
              <w:t xml:space="preserve">Amazon, Walmart, MercadoLibre, Allegro, Zalando, Rakuten, JD, Vipshop, Jumia</w:t>
            </w:r>
          </w:p>
        </w:tc>
        <w:tc>
          <w:tcPr/>
          <w:p>
            <w:pPr>
              <w:pStyle w:val="Compact"/>
              <w:jc w:val="left"/>
            </w:pPr>
            <w:r>
              <w:t xml:space="preserve">See table 13.1</w:t>
            </w:r>
          </w:p>
        </w:tc>
        <w:tc>
          <w:tcPr/>
          <w:p>
            <w:pPr>
              <w:pStyle w:val="Compact"/>
              <w:jc w:val="left"/>
            </w:pPr>
            <w:r>
              <w:t xml:space="preserve">Yes</w:t>
            </w:r>
          </w:p>
        </w:tc>
        <w:tc>
          <w:tcPr/>
          <w:p>
            <w:pPr>
              <w:pStyle w:val="Compact"/>
              <w:jc w:val="left"/>
            </w:pPr>
            <w:r>
              <w:t xml:space="preserve">Global e-commerce comparables</w:t>
            </w:r>
          </w:p>
        </w:tc>
      </w:tr>
    </w:tbl>
    <w:bookmarkEnd w:id="375"/>
    <w:bookmarkEnd w:id="376"/>
    <w:bookmarkStart w:id="404" w:name="Xfd9bd15af792fb06435c8b35966ec4dfeea4bee"/>
    <w:p>
      <w:pPr>
        <w:pStyle w:val="Heading1"/>
      </w:pPr>
      <w:r>
        <w:t xml:space="preserve">14. M&amp;A in the industry; is Coupang a takeover target?</w:t>
      </w:r>
    </w:p>
    <w:bookmarkStart w:id="392" w:name="Xfff6413fbc220bdca27b1c7e98533ca4022f67e"/>
    <w:p>
      <w:pPr>
        <w:pStyle w:val="Heading2"/>
      </w:pPr>
      <w:r>
        <w:t xml:space="preserve">14.1 Recent industry transactions (last five years)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Announced / closed</w:t>
            </w:r>
          </w:p>
        </w:tc>
        <w:tc>
          <w:tcPr/>
          <w:p>
            <w:pPr>
              <w:pStyle w:val="Compact"/>
              <w:jc w:val="left"/>
            </w:pPr>
            <w:r>
              <w:t xml:space="preserve">Target</w:t>
            </w:r>
          </w:p>
        </w:tc>
        <w:tc>
          <w:tcPr/>
          <w:p>
            <w:pPr>
              <w:pStyle w:val="Compact"/>
              <w:jc w:val="left"/>
            </w:pPr>
            <w:r>
              <w:t xml:space="preserve">Acquirer</w:t>
            </w:r>
          </w:p>
        </w:tc>
        <w:tc>
          <w:tcPr/>
          <w:p>
            <w:pPr>
              <w:pStyle w:val="Compact"/>
              <w:jc w:val="left"/>
            </w:pPr>
            <w:r>
              <w:t xml:space="preserve">Consideration</w:t>
            </w:r>
          </w:p>
        </w:tc>
        <w:tc>
          <w:tcPr/>
          <w:p>
            <w:pPr>
              <w:pStyle w:val="Compact"/>
              <w:jc w:val="left"/>
            </w:pPr>
            <w:r>
              <w:t xml:space="preserve">EV (local) [d]</w:t>
            </w:r>
          </w:p>
        </w:tc>
        <w:tc>
          <w:tcPr/>
          <w:p>
            <w:pPr>
              <w:pStyle w:val="Compact"/>
              <w:jc w:val="left"/>
            </w:pPr>
            <w:r>
              <w:t xml:space="preserve">EV/Sales [d]</w:t>
            </w:r>
          </w:p>
        </w:tc>
        <w:tc>
          <w:tcPr/>
          <w:p>
            <w:pPr>
              <w:pStyle w:val="Compact"/>
              <w:jc w:val="left"/>
            </w:pPr>
            <w:r>
              <w:t xml:space="preserve">EV/EBITDA [d]</w:t>
            </w:r>
          </w:p>
        </w:tc>
        <w:tc>
          <w:tcPr/>
          <w:p>
            <w:pPr>
              <w:pStyle w:val="Compact"/>
              <w:jc w:val="left"/>
            </w:pPr>
            <w:r>
              <w:t xml:space="preserve">Source</w:t>
            </w:r>
          </w:p>
        </w:tc>
      </w:tr>
      <w:tr>
        <w:tc>
          <w:tcPr/>
          <w:p>
            <w:pPr>
              <w:pStyle w:val="Compact"/>
              <w:jc w:val="left"/>
            </w:pPr>
            <w:r>
              <w:t xml:space="preserve">Jul-2026 (pending; close H2’27)</w:t>
            </w:r>
          </w:p>
        </w:tc>
        <w:tc>
          <w:tcPr/>
          <w:p>
            <w:pPr>
              <w:pStyle w:val="Compact"/>
              <w:jc w:val="left"/>
            </w:pPr>
            <w:r>
              <w:t xml:space="preserve">Delivery Hero SE (incl. Baemin, Korea)</w:t>
            </w:r>
          </w:p>
        </w:tc>
        <w:tc>
          <w:tcPr/>
          <w:p>
            <w:pPr>
              <w:pStyle w:val="Compact"/>
              <w:jc w:val="left"/>
            </w:pPr>
            <w:r>
              <w:t xml:space="preserve">Uber Technologies</w:t>
            </w:r>
          </w:p>
        </w:tc>
        <w:tc>
          <w:tcPr/>
          <w:p>
            <w:pPr>
              <w:pStyle w:val="Compact"/>
              <w:jc w:val="left"/>
            </w:pPr>
            <w:r>
              <w:t xml:space="preserve">EUR41.50/sh; equity US$14.8bn</w:t>
            </w:r>
          </w:p>
        </w:tc>
        <w:tc>
          <w:tcPr/>
          <w:p>
            <w:pPr>
              <w:pStyle w:val="Compact"/>
              <w:jc w:val="left"/>
            </w:pPr>
            <w:r>
              <w:t xml:space="preserve">~EUR15.8bn</w:t>
            </w:r>
          </w:p>
        </w:tc>
        <w:tc>
          <w:tcPr/>
          <w:p>
            <w:pPr>
              <w:pStyle w:val="Compact"/>
              <w:jc w:val="left"/>
            </w:pPr>
            <w:r>
              <w:t xml:space="preserve">1.06x LTM</w:t>
            </w:r>
          </w:p>
        </w:tc>
        <w:tc>
          <w:tcPr/>
          <w:p>
            <w:pPr>
              <w:pStyle w:val="Compact"/>
              <w:jc w:val="left"/>
            </w:pPr>
            <w:r>
              <w:t xml:space="preserve">n.m. (LTM EBITDA EUR144m)</w:t>
            </w:r>
          </w:p>
        </w:tc>
        <w:tc>
          <w:tcPr/>
          <w:p>
            <w:pPr>
              <w:pStyle w:val="Compact"/>
              <w:jc w:val="left"/>
            </w:pPr>
            <w:hyperlink r:id="rId146">
              <w:r>
                <w:rPr>
                  <w:rStyle w:val="Hyperlink"/>
                </w:rPr>
                <w:t xml:space="preserve">#1089</w:t>
              </w:r>
            </w:hyperlink>
            <w:r>
              <w:t xml:space="preserve">,</w:t>
            </w:r>
            <w:r>
              <w:t xml:space="preserve"> </w:t>
            </w:r>
            <w:hyperlink r:id="rId377">
              <w:r>
                <w:rPr>
                  <w:rStyle w:val="Hyperlink"/>
                </w:rPr>
                <w:t xml:space="preserve">#84</w:t>
              </w:r>
            </w:hyperlink>
            <w:r>
              <w:t xml:space="preserve">,</w:t>
            </w:r>
            <w:r>
              <w:t xml:space="preserve"> </w:t>
            </w:r>
            <w:hyperlink r:id="rId378">
              <w:r>
                <w:rPr>
                  <w:rStyle w:val="Hyperlink"/>
                </w:rPr>
                <w:t xml:space="preserve">S&amp;P LTM</w:t>
              </w:r>
            </w:hyperlink>
          </w:p>
        </w:tc>
      </w:tr>
      <w:tr>
        <w:tc>
          <w:tcPr/>
          <w:p>
            <w:pPr>
              <w:pStyle w:val="Compact"/>
              <w:jc w:val="left"/>
            </w:pPr>
            <w:r>
              <w:t xml:space="preserve">Mar-2026 (pending TFTC)</w:t>
            </w:r>
          </w:p>
        </w:tc>
        <w:tc>
          <w:tcPr/>
          <w:p>
            <w:pPr>
              <w:pStyle w:val="Compact"/>
              <w:jc w:val="left"/>
            </w:pPr>
            <w:r>
              <w:t xml:space="preserve">Foodpanda Taiwan</w:t>
            </w:r>
          </w:p>
        </w:tc>
        <w:tc>
          <w:tcPr/>
          <w:p>
            <w:pPr>
              <w:pStyle w:val="Compact"/>
              <w:jc w:val="left"/>
            </w:pPr>
            <w:r>
              <w:t xml:space="preserve">Grab Holdings</w:t>
            </w:r>
          </w:p>
        </w:tc>
        <w:tc>
          <w:tcPr/>
          <w:p>
            <w:pPr>
              <w:pStyle w:val="Compact"/>
              <w:jc w:val="left"/>
            </w:pPr>
            <w:r>
              <w:t xml:space="preserve">US$600m cash</w:t>
            </w:r>
          </w:p>
        </w:tc>
        <w:tc>
          <w:tcPr/>
          <w:p>
            <w:pPr>
              <w:pStyle w:val="Compact"/>
              <w:jc w:val="left"/>
            </w:pPr>
            <w:r>
              <w:t xml:space="preserve">US$0.6bn</w:t>
            </w:r>
          </w:p>
        </w:tc>
        <w:tc>
          <w:tcPr/>
          <w:p>
            <w:pPr>
              <w:pStyle w:val="Compact"/>
              <w:jc w:val="left"/>
            </w:pPr>
            <w:r>
              <w:t xml:space="preserve">n.a.</w:t>
            </w:r>
          </w:p>
        </w:tc>
        <w:tc>
          <w:tcPr/>
          <w:p>
            <w:pPr>
              <w:pStyle w:val="Compact"/>
              <w:jc w:val="left"/>
            </w:pPr>
            <w:r>
              <w:t xml:space="preserve">n.a.</w:t>
            </w:r>
          </w:p>
        </w:tc>
        <w:tc>
          <w:tcPr/>
          <w:p>
            <w:pPr>
              <w:pStyle w:val="Compact"/>
              <w:jc w:val="left"/>
            </w:pPr>
            <w:hyperlink r:id="rId374">
              <w:r>
                <w:rPr>
                  <w:rStyle w:val="Hyperlink"/>
                </w:rPr>
                <w:t xml:space="preserve">#325</w:t>
              </w:r>
            </w:hyperlink>
          </w:p>
        </w:tc>
      </w:tr>
      <w:tr>
        <w:tc>
          <w:tcPr/>
          <w:p>
            <w:pPr>
              <w:pStyle w:val="Compact"/>
              <w:jc w:val="left"/>
            </w:pPr>
            <w:r>
              <w:t xml:space="preserve">May-2024 (blocked Jan-2025)</w:t>
            </w:r>
          </w:p>
        </w:tc>
        <w:tc>
          <w:tcPr/>
          <w:p>
            <w:pPr>
              <w:pStyle w:val="Compact"/>
              <w:jc w:val="left"/>
            </w:pPr>
            <w:r>
              <w:t xml:space="preserve">Foodpanda Taiwan</w:t>
            </w:r>
          </w:p>
        </w:tc>
        <w:tc>
          <w:tcPr/>
          <w:p>
            <w:pPr>
              <w:pStyle w:val="Compact"/>
              <w:jc w:val="left"/>
            </w:pPr>
            <w:r>
              <w:t xml:space="preserve">Uber Technologies</w:t>
            </w:r>
          </w:p>
        </w:tc>
        <w:tc>
          <w:tcPr/>
          <w:p>
            <w:pPr>
              <w:pStyle w:val="Compact"/>
              <w:jc w:val="left"/>
            </w:pPr>
            <w:r>
              <w:t xml:space="preserve">~US$950m cash/debt-free; US$236m break fee paid</w:t>
            </w:r>
          </w:p>
        </w:tc>
        <w:tc>
          <w:tcPr/>
          <w:p>
            <w:pPr>
              <w:pStyle w:val="Compact"/>
              <w:jc w:val="left"/>
            </w:pPr>
            <w:r>
              <w:t xml:space="preserve">US$0.95bn</w:t>
            </w:r>
          </w:p>
        </w:tc>
        <w:tc>
          <w:tcPr/>
          <w:p>
            <w:pPr>
              <w:pStyle w:val="Compact"/>
              <w:jc w:val="left"/>
            </w:pPr>
            <w:r>
              <w:t xml:space="preserve">n.a.</w:t>
            </w:r>
          </w:p>
        </w:tc>
        <w:tc>
          <w:tcPr/>
          <w:p>
            <w:pPr>
              <w:pStyle w:val="Compact"/>
              <w:jc w:val="left"/>
            </w:pPr>
            <w:r>
              <w:t xml:space="preserve">n.a.</w:t>
            </w:r>
          </w:p>
        </w:tc>
        <w:tc>
          <w:tcPr/>
          <w:p>
            <w:pPr>
              <w:pStyle w:val="Compact"/>
              <w:jc w:val="left"/>
            </w:pPr>
            <w:hyperlink r:id="rId379">
              <w:r>
                <w:rPr>
                  <w:rStyle w:val="Hyperlink"/>
                </w:rPr>
                <w:t xml:space="preserve">#2045</w:t>
              </w:r>
            </w:hyperlink>
          </w:p>
        </w:tc>
      </w:tr>
      <w:tr>
        <w:tc>
          <w:tcPr/>
          <w:p>
            <w:pPr>
              <w:pStyle w:val="Compact"/>
              <w:jc w:val="left"/>
            </w:pPr>
            <w:r>
              <w:t xml:space="preserve">May-2025 / closed Oct-2025</w:t>
            </w:r>
          </w:p>
        </w:tc>
        <w:tc>
          <w:tcPr/>
          <w:p>
            <w:pPr>
              <w:pStyle w:val="Compact"/>
              <w:jc w:val="left"/>
            </w:pPr>
            <w:r>
              <w:t xml:space="preserve">Deliveroo plc</w:t>
            </w:r>
          </w:p>
        </w:tc>
        <w:tc>
          <w:tcPr/>
          <w:p>
            <w:pPr>
              <w:pStyle w:val="Compact"/>
              <w:jc w:val="left"/>
            </w:pPr>
            <w:r>
              <w:t xml:space="preserve">DoorDash</w:t>
            </w:r>
          </w:p>
        </w:tc>
        <w:tc>
          <w:tcPr/>
          <w:p>
            <w:pPr>
              <w:pStyle w:val="Compact"/>
              <w:jc w:val="left"/>
            </w:pPr>
            <w:r>
              <w:t xml:space="preserve">180p/sh; equity ~GBP2.8bn; fair value US$3,724m</w:t>
            </w:r>
          </w:p>
        </w:tc>
        <w:tc>
          <w:tcPr/>
          <w:p>
            <w:pPr>
              <w:pStyle w:val="Compact"/>
              <w:jc w:val="left"/>
            </w:pPr>
            <w:r>
              <w:t xml:space="preserve">~GBP2.4bn</w:t>
            </w:r>
          </w:p>
        </w:tc>
        <w:tc>
          <w:tcPr/>
          <w:p>
            <w:pPr>
              <w:pStyle w:val="Compact"/>
              <w:jc w:val="left"/>
            </w:pPr>
            <w:r>
              <w:t xml:space="preserve">1.15x FY24</w:t>
            </w:r>
          </w:p>
        </w:tc>
        <w:tc>
          <w:tcPr/>
          <w:p>
            <w:pPr>
              <w:pStyle w:val="Compact"/>
              <w:jc w:val="left"/>
            </w:pPr>
            <w:r>
              <w:t xml:space="preserve">n.m.</w:t>
            </w:r>
          </w:p>
        </w:tc>
        <w:tc>
          <w:tcPr/>
          <w:p>
            <w:pPr>
              <w:pStyle w:val="Compact"/>
              <w:jc w:val="left"/>
            </w:pPr>
            <w:hyperlink r:id="rId380">
              <w:r>
                <w:rPr>
                  <w:rStyle w:val="Hyperlink"/>
                </w:rPr>
                <w:t xml:space="preserve">#2247</w:t>
              </w:r>
            </w:hyperlink>
            <w:r>
              <w:t xml:space="preserve">,</w:t>
            </w:r>
            <w:r>
              <w:t xml:space="preserve"> </w:t>
            </w:r>
            <w:hyperlink r:id="rId381">
              <w:r>
                <w:rPr>
                  <w:rStyle w:val="Hyperlink"/>
                </w:rPr>
                <w:t xml:space="preserve">#2063</w:t>
              </w:r>
            </w:hyperlink>
          </w:p>
        </w:tc>
      </w:tr>
      <w:tr>
        <w:tc>
          <w:tcPr/>
          <w:p>
            <w:pPr>
              <w:pStyle w:val="Compact"/>
              <w:jc w:val="left"/>
            </w:pPr>
            <w:r>
              <w:t xml:space="preserve">Feb-2025</w:t>
            </w:r>
          </w:p>
        </w:tc>
        <w:tc>
          <w:tcPr/>
          <w:p>
            <w:pPr>
              <w:pStyle w:val="Compact"/>
              <w:jc w:val="left"/>
            </w:pPr>
            <w:r>
              <w:t xml:space="preserve">Just Eat Takeaway.com</w:t>
            </w:r>
          </w:p>
        </w:tc>
        <w:tc>
          <w:tcPr/>
          <w:p>
            <w:pPr>
              <w:pStyle w:val="Compact"/>
              <w:jc w:val="left"/>
            </w:pPr>
            <w:r>
              <w:t xml:space="preserve">Prosus</w:t>
            </w:r>
          </w:p>
        </w:tc>
        <w:tc>
          <w:tcPr/>
          <w:p>
            <w:pPr>
              <w:pStyle w:val="Compact"/>
              <w:jc w:val="left"/>
            </w:pPr>
            <w:r>
              <w:t xml:space="preserve">EUR4.1bn (US$4.6bn)</w:t>
            </w:r>
          </w:p>
        </w:tc>
        <w:tc>
          <w:tcPr/>
          <w:p>
            <w:pPr>
              <w:pStyle w:val="Compact"/>
              <w:jc w:val="left"/>
            </w:pPr>
            <w:r>
              <w:t xml:space="preserve">~EUR4.5bn</w:t>
            </w:r>
          </w:p>
        </w:tc>
        <w:tc>
          <w:tcPr/>
          <w:p>
            <w:pPr>
              <w:pStyle w:val="Compact"/>
              <w:jc w:val="left"/>
            </w:pPr>
            <w:r>
              <w:t xml:space="preserve">1.26x FY24</w:t>
            </w:r>
          </w:p>
        </w:tc>
        <w:tc>
          <w:tcPr/>
          <w:p>
            <w:pPr>
              <w:pStyle w:val="Compact"/>
              <w:jc w:val="left"/>
            </w:pPr>
            <w:r>
              <w:t xml:space="preserve">28.7x FY24</w:t>
            </w:r>
          </w:p>
        </w:tc>
        <w:tc>
          <w:tcPr/>
          <w:p>
            <w:pPr>
              <w:pStyle w:val="Compact"/>
              <w:jc w:val="left"/>
            </w:pPr>
            <w:hyperlink r:id="rId382">
              <w:r>
                <w:rPr>
                  <w:rStyle w:val="Hyperlink"/>
                </w:rPr>
                <w:t xml:space="preserve">#379</w:t>
              </w:r>
            </w:hyperlink>
            <w:r>
              <w:t xml:space="preserve">,</w:t>
            </w:r>
            <w:r>
              <w:t xml:space="preserve"> </w:t>
            </w:r>
            <w:hyperlink r:id="rId383">
              <w:r>
                <w:rPr>
                  <w:rStyle w:val="Hyperlink"/>
                </w:rPr>
                <w:t xml:space="preserve">S&amp;P</w:t>
              </w:r>
            </w:hyperlink>
          </w:p>
        </w:tc>
      </w:tr>
      <w:tr>
        <w:tc>
          <w:tcPr/>
          <w:p>
            <w:pPr>
              <w:pStyle w:val="Compact"/>
              <w:jc w:val="left"/>
            </w:pPr>
            <w:r>
              <w:t xml:space="preserve">Jul-2025</w:t>
            </w:r>
          </w:p>
        </w:tc>
        <w:tc>
          <w:tcPr/>
          <w:p>
            <w:pPr>
              <w:pStyle w:val="Compact"/>
              <w:jc w:val="left"/>
            </w:pPr>
            <w:r>
              <w:t xml:space="preserve">Ceconomy (MediaMarkt/Saturn)</w:t>
            </w:r>
          </w:p>
        </w:tc>
        <w:tc>
          <w:tcPr/>
          <w:p>
            <w:pPr>
              <w:pStyle w:val="Compact"/>
              <w:jc w:val="left"/>
            </w:pPr>
            <w:r>
              <w:t xml:space="preserve">JD.com</w:t>
            </w:r>
          </w:p>
        </w:tc>
        <w:tc>
          <w:tcPr/>
          <w:p>
            <w:pPr>
              <w:pStyle w:val="Compact"/>
              <w:jc w:val="left"/>
            </w:pPr>
            <w:r>
              <w:t xml:space="preserve">EUR4.60/sh (59.8% for EUR1.3bn)</w:t>
            </w:r>
          </w:p>
        </w:tc>
        <w:tc>
          <w:tcPr/>
          <w:p>
            <w:pPr>
              <w:pStyle w:val="Compact"/>
              <w:jc w:val="left"/>
            </w:pPr>
            <w:r>
              <w:t xml:space="preserve">~EUR3.8bn</w:t>
            </w:r>
          </w:p>
        </w:tc>
        <w:tc>
          <w:tcPr/>
          <w:p>
            <w:pPr>
              <w:pStyle w:val="Compact"/>
              <w:jc w:val="left"/>
            </w:pPr>
            <w:r>
              <w:t xml:space="preserve">0.17x FY Sep-24</w:t>
            </w:r>
          </w:p>
        </w:tc>
        <w:tc>
          <w:tcPr/>
          <w:p>
            <w:pPr>
              <w:pStyle w:val="Compact"/>
              <w:jc w:val="left"/>
            </w:pPr>
            <w:r>
              <w:t xml:space="preserve">9.6x</w:t>
            </w:r>
          </w:p>
        </w:tc>
        <w:tc>
          <w:tcPr/>
          <w:p>
            <w:pPr>
              <w:pStyle w:val="Compact"/>
              <w:jc w:val="left"/>
            </w:pPr>
            <w:hyperlink r:id="rId384">
              <w:r>
                <w:rPr>
                  <w:rStyle w:val="Hyperlink"/>
                </w:rPr>
                <w:t xml:space="preserve">#1966</w:t>
              </w:r>
            </w:hyperlink>
            <w:r>
              <w:t xml:space="preserve">,</w:t>
            </w:r>
            <w:r>
              <w:t xml:space="preserve"> </w:t>
            </w:r>
            <w:hyperlink r:id="rId385">
              <w:r>
                <w:rPr>
                  <w:rStyle w:val="Hyperlink"/>
                </w:rPr>
                <w:t xml:space="preserve">#1971</w:t>
              </w:r>
            </w:hyperlink>
          </w:p>
        </w:tc>
      </w:tr>
      <w:tr>
        <w:tc>
          <w:tcPr/>
          <w:p>
            <w:pPr>
              <w:pStyle w:val="Compact"/>
              <w:jc w:val="left"/>
            </w:pPr>
            <w:r>
              <w:t xml:space="preserve">Dec-2024 / 2025</w:t>
            </w:r>
          </w:p>
        </w:tc>
        <w:tc>
          <w:tcPr/>
          <w:p>
            <w:pPr>
              <w:pStyle w:val="Compact"/>
              <w:jc w:val="left"/>
            </w:pPr>
            <w:r>
              <w:t xml:space="preserve">ABOUT YOU</w:t>
            </w:r>
          </w:p>
        </w:tc>
        <w:tc>
          <w:tcPr/>
          <w:p>
            <w:pPr>
              <w:pStyle w:val="Compact"/>
              <w:jc w:val="left"/>
            </w:pPr>
            <w:r>
              <w:t xml:space="preserve">Zalando</w:t>
            </w:r>
          </w:p>
        </w:tc>
        <w:tc>
          <w:tcPr/>
          <w:p>
            <w:pPr>
              <w:pStyle w:val="Compact"/>
              <w:jc w:val="left"/>
            </w:pPr>
            <w:r>
              <w:t xml:space="preserve">EUR6.50/sh; ~EUR1.14bn</w:t>
            </w:r>
          </w:p>
        </w:tc>
        <w:tc>
          <w:tcPr/>
          <w:p>
            <w:pPr>
              <w:pStyle w:val="Compact"/>
              <w:jc w:val="left"/>
            </w:pPr>
            <w:r>
              <w:t xml:space="preserve">~EUR1.14bn</w:t>
            </w:r>
          </w:p>
        </w:tc>
        <w:tc>
          <w:tcPr/>
          <w:p>
            <w:pPr>
              <w:pStyle w:val="Compact"/>
              <w:jc w:val="left"/>
            </w:pPr>
            <w:r>
              <w:t xml:space="preserve">0.59x FY Feb-24</w:t>
            </w:r>
          </w:p>
        </w:tc>
        <w:tc>
          <w:tcPr/>
          <w:p>
            <w:pPr>
              <w:pStyle w:val="Compact"/>
              <w:jc w:val="left"/>
            </w:pPr>
            <w:r>
              <w:t xml:space="preserve">n.m.</w:t>
            </w:r>
          </w:p>
        </w:tc>
        <w:tc>
          <w:tcPr/>
          <w:p>
            <w:pPr>
              <w:pStyle w:val="Compact"/>
              <w:jc w:val="left"/>
            </w:pPr>
            <w:hyperlink r:id="rId386">
              <w:r>
                <w:rPr>
                  <w:rStyle w:val="Hyperlink"/>
                </w:rPr>
                <w:t xml:space="preserve">#4947</w:t>
              </w:r>
            </w:hyperlink>
          </w:p>
        </w:tc>
      </w:tr>
      <w:tr>
        <w:tc>
          <w:tcPr/>
          <w:p>
            <w:pPr>
              <w:pStyle w:val="Compact"/>
              <w:jc w:val="left"/>
            </w:pPr>
            <w:r>
              <w:t xml:space="preserve">Jan-2024</w:t>
            </w:r>
          </w:p>
        </w:tc>
        <w:tc>
          <w:tcPr/>
          <w:p>
            <w:pPr>
              <w:pStyle w:val="Compact"/>
              <w:jc w:val="left"/>
            </w:pPr>
            <w:r>
              <w:t xml:space="preserve">Farfetch (business and assets)</w:t>
            </w:r>
          </w:p>
        </w:tc>
        <w:tc>
          <w:tcPr/>
          <w:p>
            <w:pPr>
              <w:pStyle w:val="Compact"/>
              <w:jc w:val="left"/>
            </w:pPr>
            <w:r>
              <w:t xml:space="preserve">Coupang 80.1% / Greenoaks 19.9%</w:t>
            </w:r>
          </w:p>
        </w:tc>
        <w:tc>
          <w:tcPr/>
          <w:p>
            <w:pPr>
              <w:pStyle w:val="Compact"/>
              <w:jc w:val="left"/>
            </w:pPr>
            <w:r>
              <w:t xml:space="preserve">Bridge loan (US$500m facility, US$150m drawn) + ~US$300m contributed + up to US$200m committed</w:t>
            </w:r>
          </w:p>
        </w:tc>
        <w:tc>
          <w:tcPr/>
          <w:p>
            <w:pPr>
              <w:pStyle w:val="Compact"/>
              <w:jc w:val="left"/>
            </w:pPr>
            <w:r>
              <w:t xml:space="preserve">n.d.</w:t>
            </w:r>
          </w:p>
        </w:tc>
        <w:tc>
          <w:tcPr/>
          <w:p>
            <w:pPr>
              <w:pStyle w:val="Compact"/>
              <w:jc w:val="left"/>
            </w:pPr>
            <w:r>
              <w:t xml:space="preserve">n.d. (Farfetch FY22 revenue</w:t>
            </w:r>
            <w:r>
              <w:t xml:space="preserve"> </w:t>
            </w:r>
            <w:hyperlink r:id="rId387">
              <w:r>
                <w:rPr>
                  <w:rStyle w:val="Hyperlink"/>
                </w:rPr>
                <w:t xml:space="preserve">US$2.3bn</w:t>
              </w:r>
            </w:hyperlink>
            <w:r>
              <w:t xml:space="preserve">)</w:t>
            </w:r>
          </w:p>
        </w:tc>
        <w:tc>
          <w:tcPr/>
          <w:p>
            <w:pPr>
              <w:pStyle w:val="Compact"/>
              <w:jc w:val="left"/>
            </w:pPr>
            <w:r>
              <w:t xml:space="preserve">n.m.</w:t>
            </w:r>
          </w:p>
        </w:tc>
        <w:tc>
          <w:tcPr/>
          <w:p>
            <w:pPr>
              <w:pStyle w:val="Compact"/>
              <w:jc w:val="left"/>
            </w:pPr>
            <w:hyperlink r:id="rId388">
              <w:r>
                <w:rPr>
                  <w:rStyle w:val="Hyperlink"/>
                </w:rPr>
                <w:t xml:space="preserve">#4</w:t>
              </w:r>
            </w:hyperlink>
            <w:r>
              <w:t xml:space="preserve">,</w:t>
            </w:r>
            <w:r>
              <w:t xml:space="preserve"> </w:t>
            </w:r>
            <w:hyperlink r:id="rId389">
              <w:r>
                <w:rPr>
                  <w:rStyle w:val="Hyperlink"/>
                </w:rPr>
                <w:t xml:space="preserve">#2038</w:t>
              </w:r>
            </w:hyperlink>
          </w:p>
        </w:tc>
      </w:tr>
      <w:tr>
        <w:tc>
          <w:tcPr/>
          <w:p>
            <w:pPr>
              <w:pStyle w:val="Compact"/>
              <w:jc w:val="left"/>
            </w:pPr>
            <w:r>
              <w:t xml:space="preserve">Oct-2022 / Jan-2023</w:t>
            </w:r>
          </w:p>
        </w:tc>
        <w:tc>
          <w:tcPr/>
          <w:p>
            <w:pPr>
              <w:pStyle w:val="Compact"/>
              <w:jc w:val="left"/>
            </w:pPr>
            <w:r>
              <w:t xml:space="preserve">Poshmark</w:t>
            </w:r>
          </w:p>
        </w:tc>
        <w:tc>
          <w:tcPr/>
          <w:p>
            <w:pPr>
              <w:pStyle w:val="Compact"/>
              <w:jc w:val="left"/>
            </w:pPr>
            <w:r>
              <w:t xml:space="preserve">NAVER</w:t>
            </w:r>
          </w:p>
        </w:tc>
        <w:tc>
          <w:tcPr/>
          <w:p>
            <w:pPr>
              <w:pStyle w:val="Compact"/>
              <w:jc w:val="left"/>
            </w:pPr>
            <w:r>
              <w:t xml:space="preserve">Not returned by tools [u]</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hyperlink r:id="rId390">
              <w:r>
                <w:rPr>
                  <w:rStyle w:val="Hyperlink"/>
                </w:rPr>
                <w:t xml:space="preserve">#318</w:t>
              </w:r>
            </w:hyperlink>
          </w:p>
        </w:tc>
      </w:tr>
      <w:tr>
        <w:tc>
          <w:tcPr/>
          <w:p>
            <w:pPr>
              <w:pStyle w:val="Compact"/>
              <w:jc w:val="left"/>
            </w:pPr>
            <w:r>
              <w:t xml:space="preserve">Jun-2021 / closed Nov-2021</w:t>
            </w:r>
          </w:p>
        </w:tc>
        <w:tc>
          <w:tcPr/>
          <w:p>
            <w:pPr>
              <w:pStyle w:val="Compact"/>
              <w:jc w:val="left"/>
            </w:pPr>
            <w:r>
              <w:t xml:space="preserve">eBay Korea (Gmarket, Auction)</w:t>
            </w:r>
          </w:p>
        </w:tc>
        <w:tc>
          <w:tcPr/>
          <w:p>
            <w:pPr>
              <w:pStyle w:val="Compact"/>
              <w:jc w:val="left"/>
            </w:pPr>
            <w:r>
              <w:t xml:space="preserve">E-mart (Shinsegae)</w:t>
            </w:r>
          </w:p>
        </w:tc>
        <w:tc>
          <w:tcPr/>
          <w:p>
            <w:pPr>
              <w:pStyle w:val="Compact"/>
              <w:jc w:val="left"/>
            </w:pPr>
            <w:r>
              <w:t xml:space="preserve">80.01% for ~US$3.0bn gross cash; implies ~US$3.75bn for 100% [d]; eBay’s retained 19.99% valued at US$728m</w:t>
            </w:r>
          </w:p>
        </w:tc>
        <w:tc>
          <w:tcPr/>
          <w:p>
            <w:pPr>
              <w:pStyle w:val="Compact"/>
              <w:jc w:val="left"/>
            </w:pPr>
            <w:r>
              <w:t xml:space="preserve">~US$3.7bn</w:t>
            </w:r>
          </w:p>
        </w:tc>
        <w:tc>
          <w:tcPr/>
          <w:p>
            <w:pPr>
              <w:pStyle w:val="Compact"/>
              <w:jc w:val="left"/>
            </w:pPr>
            <w:r>
              <w:t xml:space="preserve">n.a. (target revenue not in tools)</w:t>
            </w:r>
          </w:p>
        </w:tc>
        <w:tc>
          <w:tcPr/>
          <w:p>
            <w:pPr>
              <w:pStyle w:val="Compact"/>
              <w:jc w:val="left"/>
            </w:pPr>
            <w:r>
              <w:t xml:space="preserve">n.a.</w:t>
            </w:r>
          </w:p>
        </w:tc>
        <w:tc>
          <w:tcPr/>
          <w:p>
            <w:pPr>
              <w:pStyle w:val="Compact"/>
              <w:jc w:val="left"/>
            </w:pPr>
            <w:hyperlink r:id="rId373">
              <w:r>
                <w:rPr>
                  <w:rStyle w:val="Hyperlink"/>
                </w:rPr>
                <w:t xml:space="preserve">#675</w:t>
              </w:r>
            </w:hyperlink>
            <w:r>
              <w:t xml:space="preserve">,</w:t>
            </w:r>
            <w:r>
              <w:t xml:space="preserve"> </w:t>
            </w:r>
            <w:hyperlink r:id="rId391">
              <w:r>
                <w:rPr>
                  <w:rStyle w:val="Hyperlink"/>
                </w:rPr>
                <w:t xml:space="preserve">#1308</w:t>
              </w:r>
            </w:hyperlink>
          </w:p>
        </w:tc>
      </w:tr>
      <w:tr>
        <w:tc>
          <w:tcPr/>
          <w:p>
            <w:pPr>
              <w:pStyle w:val="Compact"/>
              <w:jc w:val="left"/>
            </w:pPr>
            <w:r>
              <w:t xml:space="preserve">2024-25</w:t>
            </w:r>
          </w:p>
        </w:tc>
        <w:tc>
          <w:tcPr/>
          <w:p>
            <w:pPr>
              <w:pStyle w:val="Compact"/>
              <w:jc w:val="left"/>
            </w:pPr>
            <w:r>
              <w:t xml:space="preserve">Gmarket / AliExpress Korea joint venture</w:t>
            </w:r>
          </w:p>
        </w:tc>
        <w:tc>
          <w:tcPr/>
          <w:p>
            <w:pPr>
              <w:pStyle w:val="Compact"/>
              <w:jc w:val="left"/>
            </w:pPr>
            <w:r>
              <w:t xml:space="preserve">Alibaba / Shinsegae</w:t>
            </w:r>
          </w:p>
        </w:tc>
        <w:tc>
          <w:tcPr/>
          <w:p>
            <w:pPr>
              <w:pStyle w:val="Compact"/>
              <w:jc w:val="left"/>
            </w:pPr>
            <w:r>
              <w:t xml:space="preserve">Not found in tools [u]</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Unverified</w:t>
            </w:r>
          </w:p>
        </w:tc>
      </w:tr>
    </w:tbl>
    <w:p>
      <w:pPr>
        <w:pStyle w:val="BodyText"/>
      </w:pPr>
      <w:r>
        <w:rPr>
          <w:iCs/>
          <w:i/>
        </w:rPr>
        <w:t xml:space="preserve">Multiples are derived using target financials from S&amp;P Capital IQ: Delivery Hero LTM Jun-26 revenue EUR14.93bn and net debt EUR2.61bn; Deliveroo FY24 revenue GBP2.07bn and net cash GBP0.41bn; JET FY24 revenue EUR3.56bn, EBITDA EUR156m, net debt EUR379m; Ceconomy FY24 revenue EUR22.4bn, EBITDA EUR394m, net debt EUR1.62bn; ABOUT YOU FY24 revenue EUR1.94bn. Delivery Hero equity is converted at EUR/US$1.12, implied by ProntoNLP’s USD vs local market caps [d].</w:t>
      </w:r>
    </w:p>
    <w:p>
      <w:pPr>
        <w:pStyle w:val="BodyText"/>
      </w:pPr>
      <w:r>
        <w:rPr>
          <w:bCs/>
          <w:b/>
        </w:rPr>
        <w:t xml:space="preserve">Read-across.</w:t>
      </w:r>
      <w:r>
        <w:t xml:space="preserve"> </w:t>
      </w:r>
      <w:r>
        <w:t xml:space="preserve">Delivery and e-commerce platform control deals have cleared at</w:t>
      </w:r>
      <w:r>
        <w:t xml:space="preserve"> </w:t>
      </w:r>
      <w:r>
        <w:rPr>
          <w:bCs/>
          <w:b/>
        </w:rPr>
        <w:t xml:space="preserve">~1.1-1.3x sales</w:t>
      </w:r>
      <w:r>
        <w:t xml:space="preserve">, with very high or meaningless EBITDA multiples because targets were near break-even. Low-margin omnichannel retail (Ceconomy) clears at 0.2x sales and ~10x EBITDA. Two of these deals land directly in Coupang’s markets.</w:t>
      </w:r>
      <w:r>
        <w:t xml:space="preserve"> </w:t>
      </w:r>
      <w:r>
        <w:rPr>
          <w:bCs/>
          <w:b/>
        </w:rPr>
        <w:t xml:space="preserve">Uber’s offer for Delivery Hero</w:t>
      </w:r>
      <w:r>
        <w:t xml:space="preserve"> </w:t>
      </w:r>
      <w:r>
        <w:t xml:space="preserve">consolidates Coupang Eats’ main Korean rival, Baemin, under a global strategic owner.</w:t>
      </w:r>
      <w:r>
        <w:t xml:space="preserve"> </w:t>
      </w:r>
      <w:r>
        <w:rPr>
          <w:bCs/>
          <w:b/>
        </w:rPr>
        <w:t xml:space="preserve">Grab’s purchase of Foodpanda Taiwan</w:t>
      </w:r>
      <w:r>
        <w:t xml:space="preserve"> </w:t>
      </w:r>
      <w:r>
        <w:t xml:space="preserve">does the same for Taiwan food delivery, after Uber’s US$950m attempt was blocked.</w:t>
      </w:r>
    </w:p>
    <w:bookmarkEnd w:id="392"/>
    <w:bookmarkStart w:id="395" w:name="is-coupang-a-takeover-target"/>
    <w:p>
      <w:pPr>
        <w:pStyle w:val="Heading2"/>
      </w:pPr>
      <w:r>
        <w:t xml:space="preserve">14.2 Is Coupang a takeover target?</w:t>
      </w:r>
    </w:p>
    <w:p>
      <w:pPr>
        <w:pStyle w:val="FirstParagraph"/>
      </w:pPr>
      <w:r>
        <w:rPr>
          <w:bCs/>
          <w:b/>
        </w:rPr>
        <w:t xml:space="preserve">Pros</w:t>
      </w:r>
    </w:p>
    <w:p>
      <w:pPr>
        <w:numPr>
          <w:ilvl w:val="0"/>
          <w:numId w:val="1043"/>
        </w:numPr>
        <w:pStyle w:val="Compact"/>
      </w:pPr>
      <w:r>
        <w:t xml:space="preserve">The valuation is at a five-year low on sales (0.79x) with net cash.</w:t>
      </w:r>
    </w:p>
    <w:p>
      <w:pPr>
        <w:numPr>
          <w:ilvl w:val="0"/>
          <w:numId w:val="1043"/>
        </w:numPr>
        <w:pStyle w:val="Compact"/>
      </w:pPr>
      <w:r>
        <w:t xml:space="preserve">It is a scarce asset: a dominant owned-logistics network in a large, high-penetration e-commerce market.</w:t>
      </w:r>
    </w:p>
    <w:p>
      <w:pPr>
        <w:numPr>
          <w:ilvl w:val="0"/>
          <w:numId w:val="1043"/>
        </w:numPr>
        <w:pStyle w:val="Compact"/>
      </w:pPr>
      <w:r>
        <w:t xml:space="preserve">Strategic logic exists for global platforms (Amazon has no direct Korean presence [u]; Walmart; Uber, which is consolidating delivery) and for large private-equity or sovereign capital.</w:t>
      </w:r>
    </w:p>
    <w:p>
      <w:pPr>
        <w:numPr>
          <w:ilvl w:val="0"/>
          <w:numId w:val="1043"/>
        </w:numPr>
        <w:pStyle w:val="Compact"/>
      </w:pPr>
      <w:r>
        <w:t xml:space="preserve">Developing Offerings assets could be carved out: Farfetch, Eats, Taiwan.</w:t>
      </w:r>
    </w:p>
    <w:p>
      <w:pPr>
        <w:pStyle w:val="FirstParagraph"/>
      </w:pPr>
      <w:r>
        <w:rPr>
          <w:bCs/>
          <w:b/>
        </w:rPr>
        <w:t xml:space="preserve">Impediments</w:t>
      </w:r>
    </w:p>
    <w:p>
      <w:pPr>
        <w:numPr>
          <w:ilvl w:val="0"/>
          <w:numId w:val="1044"/>
        </w:numPr>
        <w:pStyle w:val="Compact"/>
      </w:pPr>
      <w:r>
        <w:rPr>
          <w:bCs/>
          <w:b/>
        </w:rPr>
        <w:t xml:space="preserve">Control.</w:t>
      </w:r>
      <w:r>
        <w:t xml:space="preserve"> </w:t>
      </w:r>
      <w:r>
        <w:t xml:space="preserve">Bom Kim holds all Class B shares and</w:t>
      </w:r>
      <w:r>
        <w:t xml:space="preserve"> </w:t>
      </w:r>
      <w:r>
        <w:rPr>
          <w:bCs/>
          <w:b/>
        </w:rPr>
        <w:t xml:space="preserve">74.1% of the votes</w:t>
      </w:r>
      <w:r>
        <w:t xml:space="preserve"> </w:t>
      </w:r>
      <w:r>
        <w:t xml:space="preserve">(</w:t>
      </w:r>
      <w:hyperlink r:id="rId22">
        <w:r>
          <w:rPr>
            <w:rStyle w:val="Hyperlink"/>
          </w:rPr>
          <w:t xml:space="preserve">#1187</w:t>
        </w:r>
      </w:hyperlink>
      <w:r>
        <w:t xml:space="preserve">). No deal happens without him, and the 10-K says his control</w:t>
      </w:r>
      <w:r>
        <w:t xml:space="preserve"> </w:t>
      </w:r>
      <w:r>
        <w:t xml:space="preserve">“</w:t>
      </w:r>
      <w:r>
        <w:t xml:space="preserve">will limit or preclude your ability to influence corporate matters… including… any merger</w:t>
      </w:r>
      <w:r>
        <w:t xml:space="preserve">”</w:t>
      </w:r>
      <w:r>
        <w:t xml:space="preserve"> </w:t>
      </w:r>
      <w:r>
        <w:t xml:space="preserve">(</w:t>
      </w:r>
      <w:hyperlink r:id="rId393">
        <w:r>
          <w:rPr>
            <w:rStyle w:val="Hyperlink"/>
          </w:rPr>
          <w:t xml:space="preserve">#1188</w:t>
        </w:r>
      </w:hyperlink>
      <w:r>
        <w:t xml:space="preserve">).</w:t>
      </w:r>
    </w:p>
    <w:p>
      <w:pPr>
        <w:numPr>
          <w:ilvl w:val="0"/>
          <w:numId w:val="1044"/>
        </w:numPr>
        <w:pStyle w:val="Compact"/>
      </w:pPr>
      <w:r>
        <w:rPr>
          <w:bCs/>
          <w:b/>
        </w:rPr>
        <w:t xml:space="preserve">Size.</w:t>
      </w:r>
      <w:r>
        <w:t xml:space="preserve"> </w:t>
      </w:r>
      <w:r>
        <w:t xml:space="preserve">An EV of ~US$28bn rises to ~US$37bn at a 30% premium [d].</w:t>
      </w:r>
    </w:p>
    <w:p>
      <w:pPr>
        <w:numPr>
          <w:ilvl w:val="0"/>
          <w:numId w:val="1044"/>
        </w:numPr>
        <w:pStyle w:val="Compact"/>
      </w:pPr>
      <w:r>
        <w:rPr>
          <w:bCs/>
          <w:b/>
        </w:rPr>
        <w:t xml:space="preserve">Korean regulation.</w:t>
      </w:r>
      <w:r>
        <w:t xml:space="preserve"> </w:t>
      </w:r>
      <w:r>
        <w:t xml:space="preserve">There is political and regulatory sensitivity after the breach, a business-group designation (</w:t>
      </w:r>
      <w:hyperlink r:id="rId183">
        <w:r>
          <w:rPr>
            <w:rStyle w:val="Hyperlink"/>
          </w:rPr>
          <w:t xml:space="preserve">#1007</w:t>
        </w:r>
      </w:hyperlink>
      <w:r>
        <w:t xml:space="preserve">), data-sovereignty concerns, and KFTC merger control.</w:t>
      </w:r>
    </w:p>
    <w:p>
      <w:pPr>
        <w:numPr>
          <w:ilvl w:val="0"/>
          <w:numId w:val="1044"/>
        </w:numPr>
        <w:pStyle w:val="Compact"/>
      </w:pPr>
      <w:r>
        <w:rPr>
          <w:bCs/>
          <w:b/>
        </w:rPr>
        <w:t xml:space="preserve">No obvious domestic buyer.</w:t>
      </w:r>
      <w:r>
        <w:t xml:space="preserve"> </w:t>
      </w:r>
      <w:r>
        <w:t xml:space="preserve">NAVER’s market cap is ~US$20bn.</w:t>
      </w:r>
    </w:p>
    <w:p>
      <w:pPr>
        <w:numPr>
          <w:ilvl w:val="0"/>
          <w:numId w:val="1044"/>
        </w:numPr>
        <w:pStyle w:val="Compact"/>
      </w:pPr>
      <w:r>
        <w:rPr>
          <w:bCs/>
          <w:b/>
        </w:rPr>
        <w:t xml:space="preserve">Litigation and regulatory contingencies</w:t>
      </w:r>
      <w:r>
        <w:t xml:space="preserve"> </w:t>
      </w:r>
      <w:r>
        <w:t xml:space="preserve">would need to be priced.</w:t>
      </w:r>
    </w:p>
    <w:p>
      <w:pPr>
        <w:pStyle w:val="FirstParagraph"/>
      </w:pPr>
      <w:r>
        <w:rPr>
          <w:bCs/>
          <w:b/>
        </w:rPr>
        <w:t xml:space="preserve">Most plausible path.</w:t>
      </w:r>
      <w:r>
        <w:t xml:space="preserve"> </w:t>
      </w:r>
      <w:r>
        <w:t xml:space="preserve">A founder-led take-private with financial partners, or minority carve-outs. A hostile approach is impossible.</w:t>
      </w:r>
    </w:p>
    <w:p>
      <w:pPr>
        <w:pStyle w:val="BodyText"/>
      </w:pPr>
      <w:r>
        <w:rPr>
          <w:bCs/>
          <w:b/>
        </w:rPr>
        <w:t xml:space="preserve">Potential takeout multiples [d]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Multiple</w:t>
            </w:r>
          </w:p>
        </w:tc>
        <w:tc>
          <w:tcPr/>
          <w:p>
            <w:pPr>
              <w:pStyle w:val="Compact"/>
              <w:jc w:val="left"/>
            </w:pPr>
            <w:r>
              <w:t xml:space="preserve">Applied to</w:t>
            </w:r>
          </w:p>
        </w:tc>
        <w:tc>
          <w:tcPr/>
          <w:p>
            <w:pPr>
              <w:pStyle w:val="Compact"/>
              <w:jc w:val="left"/>
            </w:pPr>
            <w:r>
              <w:t xml:space="preserve">Implied EV</w:t>
            </w:r>
          </w:p>
        </w:tc>
        <w:tc>
          <w:tcPr/>
          <w:p>
            <w:pPr>
              <w:pStyle w:val="Compact"/>
              <w:jc w:val="left"/>
            </w:pPr>
            <w:r>
              <w:t xml:space="preserve">Implied value per share</w:t>
            </w:r>
          </w:p>
        </w:tc>
      </w:tr>
      <w:tr>
        <w:tc>
          <w:tcPr/>
          <w:p>
            <w:pPr>
              <w:pStyle w:val="Compact"/>
              <w:jc w:val="left"/>
            </w:pPr>
            <w:r>
              <w:t xml:space="preserve">Delivery-platform precedent median</w:t>
            </w:r>
          </w:p>
        </w:tc>
        <w:tc>
          <w:tcPr/>
          <w:p>
            <w:pPr>
              <w:pStyle w:val="Compact"/>
              <w:jc w:val="left"/>
            </w:pPr>
            <w:r>
              <w:t xml:space="preserve">1.15x sales</w:t>
            </w:r>
          </w:p>
        </w:tc>
        <w:tc>
          <w:tcPr/>
          <w:p>
            <w:pPr>
              <w:pStyle w:val="Compact"/>
              <w:jc w:val="left"/>
            </w:pPr>
            <w:r>
              <w:t xml:space="preserve">LTM revenue US$35.5bn</w:t>
            </w:r>
          </w:p>
        </w:tc>
        <w:tc>
          <w:tcPr/>
          <w:p>
            <w:pPr>
              <w:pStyle w:val="Compact"/>
              <w:jc w:val="left"/>
            </w:pPr>
            <w:r>
              <w:t xml:space="preserve">US$40.8bn</w:t>
            </w:r>
          </w:p>
        </w:tc>
        <w:tc>
          <w:tcPr/>
          <w:p>
            <w:pPr>
              <w:pStyle w:val="Compact"/>
              <w:jc w:val="left"/>
            </w:pPr>
            <w:r>
              <w:t xml:space="preserve">~US$23</w:t>
            </w:r>
          </w:p>
        </w:tc>
      </w:tr>
      <w:tr>
        <w:tc>
          <w:tcPr/>
          <w:p>
            <w:pPr>
              <w:pStyle w:val="Compact"/>
              <w:jc w:val="left"/>
            </w:pPr>
            <w:r>
              <w:t xml:space="preserve">Range of precedents</w:t>
            </w:r>
          </w:p>
        </w:tc>
        <w:tc>
          <w:tcPr/>
          <w:p>
            <w:pPr>
              <w:pStyle w:val="Compact"/>
              <w:jc w:val="left"/>
            </w:pPr>
            <w:r>
              <w:t xml:space="preserve">0.9-1.3x sales</w:t>
            </w:r>
          </w:p>
        </w:tc>
        <w:tc>
          <w:tcPr/>
          <w:p>
            <w:pPr>
              <w:pStyle w:val="Compact"/>
              <w:jc w:val="left"/>
            </w:pPr>
            <w:r>
              <w:t xml:space="preserve">LTM revenue</w:t>
            </w:r>
          </w:p>
        </w:tc>
        <w:tc>
          <w:tcPr/>
          <w:p>
            <w:pPr>
              <w:pStyle w:val="Compact"/>
              <w:jc w:val="left"/>
            </w:pPr>
            <w:r>
              <w:t xml:space="preserve">US$31.9-46.1bn</w:t>
            </w:r>
          </w:p>
        </w:tc>
        <w:tc>
          <w:tcPr/>
          <w:p>
            <w:pPr>
              <w:pStyle w:val="Compact"/>
              <w:jc w:val="left"/>
            </w:pPr>
            <w:r>
              <w:t xml:space="preserve">~US$18-26</w:t>
            </w:r>
          </w:p>
        </w:tc>
      </w:tr>
      <w:tr>
        <w:tc>
          <w:tcPr/>
          <w:p>
            <w:pPr>
              <w:pStyle w:val="Compact"/>
              <w:jc w:val="left"/>
            </w:pPr>
            <w:r>
              <w:t xml:space="preserve">Premium approach</w:t>
            </w:r>
          </w:p>
        </w:tc>
        <w:tc>
          <w:tcPr/>
          <w:p>
            <w:pPr>
              <w:pStyle w:val="Compact"/>
              <w:jc w:val="left"/>
            </w:pPr>
            <w:r>
              <w:t xml:space="preserve">30-40% over US$15.82</w:t>
            </w:r>
          </w:p>
        </w:tc>
        <w:tc>
          <w:tcPr/>
          <w:p>
            <w:pPr>
              <w:pStyle w:val="Compact"/>
            </w:pPr>
          </w:p>
        </w:tc>
        <w:tc>
          <w:tcPr/>
          <w:p>
            <w:pPr>
              <w:pStyle w:val="Compact"/>
            </w:pPr>
          </w:p>
        </w:tc>
        <w:tc>
          <w:tcPr/>
          <w:p>
            <w:pPr>
              <w:pStyle w:val="Compact"/>
              <w:jc w:val="left"/>
            </w:pPr>
            <w:r>
              <w:t xml:space="preserve">US$20.6-22.1</w:t>
            </w:r>
          </w:p>
        </w:tc>
      </w:tr>
      <w:tr>
        <w:tc>
          <w:tcPr/>
          <w:p>
            <w:pPr>
              <w:pStyle w:val="Compact"/>
              <w:jc w:val="left"/>
            </w:pPr>
            <w:r>
              <w:t xml:space="preserve">EBITDA cross-check</w:t>
            </w:r>
          </w:p>
        </w:tc>
        <w:tc>
          <w:tcPr/>
          <w:p>
            <w:pPr>
              <w:pStyle w:val="Compact"/>
              <w:jc w:val="left"/>
            </w:pPr>
            <w:r>
              <w:t xml:space="preserve">~20x FY25 adjusted EBITDA (~US$1.49bn)</w:t>
            </w:r>
          </w:p>
        </w:tc>
        <w:tc>
          <w:tcPr/>
          <w:p>
            <w:pPr>
              <w:pStyle w:val="Compact"/>
            </w:pPr>
          </w:p>
        </w:tc>
        <w:tc>
          <w:tcPr/>
          <w:p>
            <w:pPr>
              <w:pStyle w:val="Compact"/>
              <w:jc w:val="left"/>
            </w:pPr>
            <w:r>
              <w:t xml:space="preserve">US$29.7bn</w:t>
            </w:r>
          </w:p>
        </w:tc>
        <w:tc>
          <w:tcPr/>
          <w:p>
            <w:pPr>
              <w:pStyle w:val="Compact"/>
              <w:jc w:val="left"/>
            </w:pPr>
            <w:r>
              <w:t xml:space="preserve">~US$17</w:t>
            </w:r>
          </w:p>
        </w:tc>
      </w:tr>
    </w:tbl>
    <w:p>
      <w:pPr>
        <w:pStyle w:val="BodyText"/>
      </w:pPr>
      <w:r>
        <w:rPr>
          <w:bCs/>
          <w:b/>
        </w:rPr>
        <w:t xml:space="preserve">Conclusion.</w:t>
      </w:r>
      <w:r>
        <w:t xml:space="preserve"> </w:t>
      </w:r>
      <w:r>
        <w:t xml:space="preserve">A plausible control value is</w:t>
      </w:r>
      <w:r>
        <w:t xml:space="preserve"> </w:t>
      </w:r>
      <w:r>
        <w:rPr>
          <w:bCs/>
          <w:b/>
        </w:rPr>
        <w:t xml:space="preserve">~US$20-26 a share (1.0-1.3x LTM sales)</w:t>
      </w:r>
      <w:r>
        <w:t xml:space="preserve">. The probability of a bid is low, given the control structure. Takeover premium should not be part of the core thesis. Treat it as a tail option if the founder’s own incentives (personal tax needs;</w:t>
      </w:r>
      <w:r>
        <w:t xml:space="preserve"> </w:t>
      </w:r>
      <w:hyperlink r:id="rId394">
        <w:r>
          <w:rPr>
            <w:rStyle w:val="Hyperlink"/>
          </w:rPr>
          <w:t xml:space="preserve">#311</w:t>
        </w:r>
      </w:hyperlink>
      <w:r>
        <w:t xml:space="preserve">) or regulatory fatigue push toward a take-private.</w:t>
      </w:r>
    </w:p>
    <w:bookmarkEnd w:id="395"/>
    <w:bookmarkStart w:id="403" w:name="coupangs-own-acquisitions-last-10-years"/>
    <w:p>
      <w:pPr>
        <w:pStyle w:val="Heading2"/>
      </w:pPr>
      <w:r>
        <w:t xml:space="preserve">14.3 Coupang’s own acquisitions (last 10 years)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Target / transaction</w:t>
            </w:r>
          </w:p>
        </w:tc>
        <w:tc>
          <w:tcPr/>
          <w:p>
            <w:pPr>
              <w:pStyle w:val="Compact"/>
              <w:jc w:val="left"/>
            </w:pPr>
            <w:r>
              <w:t xml:space="preserve">Consideration</w:t>
            </w:r>
          </w:p>
        </w:tc>
        <w:tc>
          <w:tcPr/>
          <w:p>
            <w:pPr>
              <w:pStyle w:val="Compact"/>
              <w:jc w:val="left"/>
            </w:pPr>
            <w:r>
              <w:t xml:space="preserve">Multiple</w:t>
            </w:r>
          </w:p>
        </w:tc>
        <w:tc>
          <w:tcPr/>
          <w:p>
            <w:pPr>
              <w:pStyle w:val="Compact"/>
              <w:jc w:val="left"/>
            </w:pPr>
            <w:r>
              <w:t xml:space="preserve">Source</w:t>
            </w:r>
          </w:p>
        </w:tc>
      </w:tr>
      <w:tr>
        <w:tc>
          <w:tcPr/>
          <w:p>
            <w:pPr>
              <w:pStyle w:val="Compact"/>
              <w:jc w:val="left"/>
            </w:pPr>
            <w:r>
              <w:t xml:space="preserve">Announced 18-Dec-2023; closed 30-Jan-2024</w:t>
            </w:r>
          </w:p>
        </w:tc>
        <w:tc>
          <w:tcPr/>
          <w:p>
            <w:pPr>
              <w:pStyle w:val="Compact"/>
              <w:jc w:val="left"/>
            </w:pPr>
            <w:r>
              <w:rPr>
                <w:bCs/>
                <w:b/>
              </w:rPr>
              <w:t xml:space="preserve">Farfetch Holdings plc</w:t>
            </w:r>
            <w:r>
              <w:t xml:space="preserve">, business and assets, bought out of UK pre-pack administration via Surpique LP (80.1% Coupang)</w:t>
            </w:r>
          </w:p>
        </w:tc>
        <w:tc>
          <w:tcPr/>
          <w:p>
            <w:pPr>
              <w:pStyle w:val="Compact"/>
              <w:jc w:val="left"/>
            </w:pPr>
            <w:r>
              <w:t xml:space="preserve">US$500m bridge facility at 12.5% PIK (US$150m advanced); ~US$300m contributed at close (cash plus loan cancellation); up to US$200m more committed; Farfetch term loans (US$575m) assumed, then redeemed in 2025</w:t>
            </w:r>
          </w:p>
        </w:tc>
        <w:tc>
          <w:tcPr/>
          <w:p>
            <w:pPr>
              <w:pStyle w:val="Compact"/>
              <w:jc w:val="left"/>
            </w:pPr>
            <w:r>
              <w:t xml:space="preserve">n.d.; Farfetch was 5% of FY24 revenue</w:t>
            </w:r>
          </w:p>
        </w:tc>
        <w:tc>
          <w:tcPr/>
          <w:p>
            <w:pPr>
              <w:pStyle w:val="Compact"/>
              <w:jc w:val="left"/>
            </w:pPr>
            <w:hyperlink r:id="rId396">
              <w:r>
                <w:rPr>
                  <w:rStyle w:val="Hyperlink"/>
                </w:rPr>
                <w:t xml:space="preserve">#0</w:t>
              </w:r>
            </w:hyperlink>
            <w:r>
              <w:t xml:space="preserve">,</w:t>
            </w:r>
            <w:r>
              <w:t xml:space="preserve"> </w:t>
            </w:r>
            <w:hyperlink r:id="rId388">
              <w:r>
                <w:rPr>
                  <w:rStyle w:val="Hyperlink"/>
                </w:rPr>
                <w:t xml:space="preserve">#4</w:t>
              </w:r>
            </w:hyperlink>
            <w:r>
              <w:t xml:space="preserve">,</w:t>
            </w:r>
            <w:r>
              <w:t xml:space="preserve"> </w:t>
            </w:r>
            <w:hyperlink r:id="rId397">
              <w:r>
                <w:rPr>
                  <w:rStyle w:val="Hyperlink"/>
                </w:rPr>
                <w:t xml:space="preserve">#21</w:t>
              </w:r>
            </w:hyperlink>
            <w:r>
              <w:t xml:space="preserve">,</w:t>
            </w:r>
            <w:r>
              <w:t xml:space="preserve"> </w:t>
            </w:r>
            <w:hyperlink r:id="rId95">
              <w:r>
                <w:rPr>
                  <w:rStyle w:val="Hyperlink"/>
                </w:rPr>
                <w:t xml:space="preserve">#2035</w:t>
              </w:r>
            </w:hyperlink>
            <w:r>
              <w:t xml:space="preserve">,</w:t>
            </w:r>
            <w:r>
              <w:t xml:space="preserve"> </w:t>
            </w:r>
            <w:hyperlink r:id="rId398">
              <w:r>
                <w:rPr>
                  <w:rStyle w:val="Hyperlink"/>
                </w:rPr>
                <w:t xml:space="preserve">#1950</w:t>
              </w:r>
            </w:hyperlink>
          </w:p>
        </w:tc>
      </w:tr>
      <w:tr>
        <w:tc>
          <w:tcPr/>
          <w:p>
            <w:pPr>
              <w:pStyle w:val="Compact"/>
              <w:jc w:val="left"/>
            </w:pPr>
            <w:r>
              <w:t xml:space="preserve">Feb-2025</w:t>
            </w:r>
          </w:p>
        </w:tc>
        <w:tc>
          <w:tcPr/>
          <w:p>
            <w:pPr>
              <w:pStyle w:val="Compact"/>
              <w:jc w:val="left"/>
            </w:pPr>
            <w:r>
              <w:t xml:space="preserve">Remaining 40% of Palm Angels (Farfetch-owned brand), then sale of the brand rights</w:t>
            </w:r>
          </w:p>
        </w:tc>
        <w:tc>
          <w:tcPr/>
          <w:p>
            <w:pPr>
              <w:pStyle w:val="Compact"/>
              <w:jc w:val="left"/>
            </w:pPr>
            <w:r>
              <w:t xml:space="preserve">Not disclosed</w:t>
            </w:r>
          </w:p>
        </w:tc>
        <w:tc>
          <w:tcPr/>
          <w:p>
            <w:pPr>
              <w:pStyle w:val="Compact"/>
              <w:jc w:val="left"/>
            </w:pPr>
            <w:r>
              <w:t xml:space="preserve">n.d.</w:t>
            </w:r>
          </w:p>
        </w:tc>
        <w:tc>
          <w:tcPr/>
          <w:p>
            <w:pPr>
              <w:pStyle w:val="Compact"/>
              <w:jc w:val="left"/>
            </w:pPr>
            <w:hyperlink r:id="rId194">
              <w:r>
                <w:rPr>
                  <w:rStyle w:val="Hyperlink"/>
                </w:rPr>
                <w:t xml:space="preserve">#2050</w:t>
              </w:r>
            </w:hyperlink>
          </w:p>
        </w:tc>
      </w:tr>
      <w:tr>
        <w:tc>
          <w:tcPr/>
          <w:p>
            <w:pPr>
              <w:pStyle w:val="Compact"/>
              <w:jc w:val="left"/>
            </w:pPr>
            <w:r>
              <w:t xml:space="preserve">7-Apr-2025</w:t>
            </w:r>
          </w:p>
        </w:tc>
        <w:tc>
          <w:tcPr/>
          <w:p>
            <w:pPr>
              <w:pStyle w:val="Compact"/>
              <w:jc w:val="left"/>
            </w:pPr>
            <w:r>
              <w:t xml:space="preserve">Greenoaks’ 19.9% minority interest in Surpique LP (related party)</w:t>
            </w:r>
          </w:p>
        </w:tc>
        <w:tc>
          <w:tcPr/>
          <w:p>
            <w:pPr>
              <w:pStyle w:val="Compact"/>
              <w:jc w:val="left"/>
            </w:pPr>
            <w:r>
              <w:t xml:space="preserve">US$140.1m (US$14.1m cash + 5,465,099 Class A shares); fair value booked US$122m</w:t>
            </w:r>
          </w:p>
        </w:tc>
        <w:tc>
          <w:tcPr/>
          <w:p>
            <w:pPr>
              <w:pStyle w:val="Compact"/>
              <w:jc w:val="left"/>
            </w:pPr>
            <w:r>
              <w:t xml:space="preserve">Implies ~US$0.70bn for 100% of Surpique [d]</w:t>
            </w:r>
          </w:p>
        </w:tc>
        <w:tc>
          <w:tcPr/>
          <w:p>
            <w:pPr>
              <w:pStyle w:val="Compact"/>
              <w:jc w:val="left"/>
            </w:pPr>
            <w:hyperlink r:id="rId399">
              <w:r>
                <w:rPr>
                  <w:rStyle w:val="Hyperlink"/>
                </w:rPr>
                <w:t xml:space="preserve">#1</w:t>
              </w:r>
            </w:hyperlink>
            <w:r>
              <w:t xml:space="preserve">,</w:t>
            </w:r>
            <w:r>
              <w:t xml:space="preserve"> </w:t>
            </w:r>
            <w:hyperlink r:id="rId400">
              <w:r>
                <w:rPr>
                  <w:rStyle w:val="Hyperlink"/>
                </w:rPr>
                <w:t xml:space="preserve">#2</w:t>
              </w:r>
            </w:hyperlink>
            <w:r>
              <w:t xml:space="preserve">,</w:t>
            </w:r>
            <w:r>
              <w:t xml:space="preserve"> </w:t>
            </w:r>
            <w:hyperlink r:id="rId401">
              <w:r>
                <w:rPr>
                  <w:rStyle w:val="Hyperlink"/>
                </w:rPr>
                <w:t xml:space="preserve">#2052</w:t>
              </w:r>
            </w:hyperlink>
          </w:p>
        </w:tc>
      </w:tr>
    </w:tbl>
    <w:p>
      <w:pPr>
        <w:pStyle w:val="BodyText"/>
      </w:pPr>
      <w:r>
        <w:t xml:space="preserve">No other business combinations appear in the FY2021-FY2025 10-Ks (</w:t>
      </w:r>
      <w:hyperlink r:id="rId402">
        <w:r>
          <w:rPr>
            <w:rStyle w:val="Hyperlink"/>
          </w:rPr>
          <w:t xml:space="preserve">#1415</w:t>
        </w:r>
      </w:hyperlink>
      <w:r>
        <w:t xml:space="preserve">). Pre-2021 deals are not covered by the tools [u].</w:t>
      </w:r>
    </w:p>
    <w:bookmarkEnd w:id="403"/>
    <w:bookmarkEnd w:id="404"/>
    <w:bookmarkStart w:id="428" w:name="management-assessment"/>
    <w:p>
      <w:pPr>
        <w:pStyle w:val="Heading1"/>
      </w:pPr>
      <w:r>
        <w:t xml:space="preserve">15. Management assessment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Executive</w:t>
            </w:r>
          </w:p>
        </w:tc>
        <w:tc>
          <w:tcPr/>
          <w:p>
            <w:pPr>
              <w:pStyle w:val="Compact"/>
              <w:jc w:val="left"/>
            </w:pPr>
            <w:r>
              <w:t xml:space="preserve">Role and tenure</w:t>
            </w:r>
          </w:p>
        </w:tc>
        <w:tc>
          <w:tcPr/>
          <w:p>
            <w:pPr>
              <w:pStyle w:val="Compact"/>
              <w:jc w:val="left"/>
            </w:pPr>
            <w:r>
              <w:t xml:space="preserve">Track record</w:t>
            </w:r>
          </w:p>
        </w:tc>
        <w:tc>
          <w:tcPr/>
          <w:p>
            <w:pPr>
              <w:pStyle w:val="Compact"/>
              <w:jc w:val="left"/>
            </w:pPr>
            <w:r>
              <w:t xml:space="preserve">Skin in the game</w:t>
            </w:r>
          </w:p>
        </w:tc>
        <w:tc>
          <w:tcPr/>
          <w:p>
            <w:pPr>
              <w:pStyle w:val="Compact"/>
              <w:jc w:val="left"/>
            </w:pPr>
            <w:r>
              <w:t xml:space="preserve">Notes and red flags</w:t>
            </w:r>
          </w:p>
        </w:tc>
      </w:tr>
      <w:tr>
        <w:tc>
          <w:tcPr/>
          <w:p>
            <w:pPr>
              <w:pStyle w:val="Compact"/>
              <w:jc w:val="left"/>
            </w:pPr>
            <w:r>
              <w:rPr>
                <w:bCs/>
                <w:b/>
              </w:rPr>
              <w:t xml:space="preserve">Bom Kim</w:t>
            </w:r>
            <w:r>
              <w:t xml:space="preserve"> </w:t>
            </w:r>
            <w:r>
              <w:t xml:space="preserve">(founder)</w:t>
            </w:r>
          </w:p>
        </w:tc>
        <w:tc>
          <w:tcPr/>
          <w:p>
            <w:pPr>
              <w:pStyle w:val="Compact"/>
              <w:jc w:val="left"/>
            </w:pPr>
            <w:r>
              <w:t xml:space="preserve">Founder (2010); CEO and Chairman throughout the listed period (</w:t>
            </w:r>
            <w:hyperlink r:id="rId405">
              <w:r>
                <w:rPr>
                  <w:rStyle w:val="Hyperlink"/>
                </w:rPr>
                <w:t xml:space="preserve">#1710</w:t>
              </w:r>
            </w:hyperlink>
            <w:r>
              <w:t xml:space="preserve">,</w:t>
            </w:r>
            <w:r>
              <w:t xml:space="preserve"> </w:t>
            </w:r>
            <w:hyperlink r:id="rId406">
              <w:r>
                <w:rPr>
                  <w:rStyle w:val="Hyperlink"/>
                </w:rPr>
                <w:t xml:space="preserve">#1707</w:t>
              </w:r>
            </w:hyperlink>
            <w:r>
              <w:t xml:space="preserve">)</w:t>
            </w:r>
          </w:p>
        </w:tc>
        <w:tc>
          <w:tcPr/>
          <w:p>
            <w:pPr>
              <w:pStyle w:val="Compact"/>
              <w:jc w:val="left"/>
            </w:pPr>
            <w:r>
              <w:t xml:space="preserve">Built Korea’s largest owned e-commerce logistics network from scratch. Took the company public in 2021 at US$35, delivered first adjusted-EBITDA profitability (2022) and GAAP profits (2023). Turned Farfetch to positive economics by Q4’25 (</w:t>
            </w:r>
            <w:hyperlink r:id="rId407">
              <w:r>
                <w:rPr>
                  <w:rStyle w:val="Hyperlink"/>
                </w:rPr>
                <w:t xml:space="preserve">#121</w:t>
              </w:r>
            </w:hyperlink>
            <w:r>
              <w:t xml:space="preserve">).</w:t>
            </w:r>
            <w:r>
              <w:t xml:space="preserve"> </w:t>
            </w:r>
            <w:r>
              <w:rPr>
                <w:bCs/>
                <w:b/>
              </w:rPr>
              <w:t xml:space="preserve">Misses:</w:t>
            </w:r>
            <w:r>
              <w:t xml:space="preserve"> </w:t>
            </w:r>
            <w:r>
              <w:t xml:space="preserve">Japan v1 exit (</w:t>
            </w:r>
            <w:hyperlink r:id="rId408">
              <w:r>
                <w:rPr>
                  <w:rStyle w:val="Hyperlink"/>
                </w:rPr>
                <w:t xml:space="preserve">#72</w:t>
              </w:r>
            </w:hyperlink>
            <w:r>
              <w:t xml:space="preserve">), the scale of Taiwan losses, and the 2025 data incident and regulatory relations</w:t>
            </w:r>
          </w:p>
        </w:tc>
        <w:tc>
          <w:tcPr/>
          <w:p>
            <w:pPr>
              <w:pStyle w:val="Compact"/>
              <w:jc w:val="left"/>
            </w:pPr>
            <w:r>
              <w:t xml:space="preserve">All Class B (29 votes per share):</w:t>
            </w:r>
            <w:r>
              <w:t xml:space="preserve"> </w:t>
            </w:r>
            <w:r>
              <w:rPr>
                <w:bCs/>
                <w:b/>
              </w:rPr>
              <w:t xml:space="preserve">74.1% of voting power</w:t>
            </w:r>
            <w:r>
              <w:t xml:space="preserve">, down from 76.2% in FY21 (</w:t>
            </w:r>
            <w:hyperlink r:id="rId22">
              <w:r>
                <w:rPr>
                  <w:rStyle w:val="Hyperlink"/>
                </w:rPr>
                <w:t xml:space="preserve">#1187</w:t>
              </w:r>
            </w:hyperlink>
            <w:r>
              <w:t xml:space="preserve">,</w:t>
            </w:r>
            <w:r>
              <w:t xml:space="preserve"> </w:t>
            </w:r>
            <w:hyperlink r:id="rId409">
              <w:r>
                <w:rPr>
                  <w:rStyle w:val="Hyperlink"/>
                </w:rPr>
                <w:t xml:space="preserve">#1160</w:t>
              </w:r>
            </w:hyperlink>
            <w:r>
              <w:t xml:space="preserve">). Economic stake ≥~9% [d]. Pay not available (proxy not indexed)</w:t>
            </w:r>
          </w:p>
        </w:tc>
        <w:tc>
          <w:tcPr/>
          <w:p>
            <w:pPr>
              <w:pStyle w:val="Compact"/>
              <w:jc w:val="left"/>
            </w:pPr>
            <w:r>
              <w:t xml:space="preserve">Adopted a plan to sell up to 15m shares in Aug-2024, citing tax needs (</w:t>
            </w:r>
            <w:hyperlink r:id="rId394">
              <w:r>
                <w:rPr>
                  <w:rStyle w:val="Hyperlink"/>
                </w:rPr>
                <w:t xml:space="preserve">#311</w:t>
              </w:r>
            </w:hyperlink>
            <w:r>
              <w:t xml:space="preserve">). Named in breach suits (</w:t>
            </w:r>
            <w:hyperlink r:id="rId410">
              <w:r>
                <w:rPr>
                  <w:rStyle w:val="Hyperlink"/>
                </w:rPr>
                <w:t xml:space="preserve">#1980</w:t>
              </w:r>
            </w:hyperlink>
            <w:r>
              <w:t xml:space="preserve">). A regulatory</w:t>
            </w:r>
            <w:r>
              <w:t xml:space="preserve"> </w:t>
            </w:r>
            <w:r>
              <w:t xml:space="preserve">“</w:t>
            </w:r>
            <w:r>
              <w:t xml:space="preserve">designation</w:t>
            </w:r>
            <w:r>
              <w:t xml:space="preserve">”</w:t>
            </w:r>
            <w:r>
              <w:t xml:space="preserve"> </w:t>
            </w:r>
            <w:r>
              <w:t xml:space="preserve">in Korea (</w:t>
            </w:r>
            <w:hyperlink r:id="rId411">
              <w:r>
                <w:rPr>
                  <w:rStyle w:val="Hyperlink"/>
                </w:rPr>
                <w:t xml:space="preserve">#239</w:t>
              </w:r>
            </w:hyperlink>
            <w:r>
              <w:t xml:space="preserve">). Remains CEO and Chair after the breach</w:t>
            </w:r>
          </w:p>
        </w:tc>
      </w:tr>
      <w:tr>
        <w:tc>
          <w:tcPr/>
          <w:p>
            <w:pPr>
              <w:pStyle w:val="Compact"/>
              <w:jc w:val="left"/>
            </w:pPr>
            <w:r>
              <w:rPr>
                <w:bCs/>
                <w:b/>
              </w:rPr>
              <w:t xml:space="preserve">Gaurav Anand</w:t>
            </w:r>
          </w:p>
        </w:tc>
        <w:tc>
          <w:tcPr/>
          <w:p>
            <w:pPr>
              <w:pStyle w:val="Compact"/>
              <w:jc w:val="left"/>
            </w:pPr>
            <w:r>
              <w:t xml:space="preserve">CFO, at least since 2021 (appointment agreement 22-Feb-2021,</w:t>
            </w:r>
            <w:r>
              <w:t xml:space="preserve"> </w:t>
            </w:r>
            <w:hyperlink r:id="rId412">
              <w:r>
                <w:rPr>
                  <w:rStyle w:val="Hyperlink"/>
                </w:rPr>
                <w:t xml:space="preserve">#2080</w:t>
              </w:r>
            </w:hyperlink>
            <w:r>
              <w:t xml:space="preserve">)</w:t>
            </w:r>
          </w:p>
        </w:tc>
        <w:tc>
          <w:tcPr/>
          <w:p>
            <w:pPr>
              <w:pStyle w:val="Compact"/>
              <w:jc w:val="left"/>
            </w:pPr>
            <w:r>
              <w:t xml:space="preserve">Steered the move to profitability, the Farfetch refinancing, and the 2025 RCF and term-loan refinancing (</w:t>
            </w:r>
            <w:hyperlink r:id="rId351">
              <w:r>
                <w:rPr>
                  <w:rStyle w:val="Hyperlink"/>
                </w:rPr>
                <w:t xml:space="preserve">#1514</w:t>
              </w:r>
            </w:hyperlink>
            <w:r>
              <w:t xml:space="preserve">)</w:t>
            </w:r>
          </w:p>
        </w:tc>
        <w:tc>
          <w:tcPr/>
          <w:p>
            <w:pPr>
              <w:pStyle w:val="Compact"/>
              <w:jc w:val="left"/>
            </w:pPr>
            <w:r>
              <w:t xml:space="preserve">10b5-1 sales plans: up to 301k shares (Dec-2024) and up to 300k shares (Mar-2026) (</w:t>
            </w:r>
            <w:hyperlink r:id="rId413">
              <w:r>
                <w:rPr>
                  <w:rStyle w:val="Hyperlink"/>
                </w:rPr>
                <w:t xml:space="preserve">#1547</w:t>
              </w:r>
            </w:hyperlink>
            <w:r>
              <w:t xml:space="preserve">,</w:t>
            </w:r>
            <w:r>
              <w:t xml:space="preserve"> </w:t>
            </w:r>
            <w:hyperlink r:id="rId414">
              <w:r>
                <w:rPr>
                  <w:rStyle w:val="Hyperlink"/>
                </w:rPr>
                <w:t xml:space="preserve">#300</w:t>
              </w:r>
            </w:hyperlink>
            <w:r>
              <w:t xml:space="preserve">)</w:t>
            </w:r>
          </w:p>
        </w:tc>
        <w:tc>
          <w:tcPr/>
          <w:p>
            <w:pPr>
              <w:pStyle w:val="Compact"/>
              <w:jc w:val="left"/>
            </w:pPr>
            <w:r>
              <w:t xml:space="preserve">Reassigned to the Korean subsidiary from 1-Nov-2025 (</w:t>
            </w:r>
            <w:hyperlink r:id="rId412">
              <w:r>
                <w:rPr>
                  <w:rStyle w:val="Hyperlink"/>
                </w:rPr>
                <w:t xml:space="preserve">#2080</w:t>
              </w:r>
            </w:hyperlink>
            <w:r>
              <w:t xml:space="preserve">). Sales plan adopted after the breach</w:t>
            </w:r>
          </w:p>
        </w:tc>
      </w:tr>
      <w:tr>
        <w:tc>
          <w:tcPr/>
          <w:p>
            <w:pPr>
              <w:pStyle w:val="Compact"/>
              <w:jc w:val="left"/>
            </w:pPr>
            <w:r>
              <w:rPr>
                <w:bCs/>
                <w:b/>
              </w:rPr>
              <w:t xml:space="preserve">Harold L. Rogers</w:t>
            </w:r>
          </w:p>
        </w:tc>
        <w:tc>
          <w:tcPr/>
          <w:p>
            <w:pPr>
              <w:pStyle w:val="Compact"/>
              <w:jc w:val="left"/>
            </w:pPr>
            <w:r>
              <w:t xml:space="preserve">General Counsel and Chief Administrative Officer;</w:t>
            </w:r>
            <w:r>
              <w:t xml:space="preserve"> </w:t>
            </w:r>
            <w:r>
              <w:rPr>
                <w:bCs/>
                <w:b/>
              </w:rPr>
              <w:t xml:space="preserve">interim CEO of Coupang Corp. (Korea)</w:t>
            </w:r>
            <w:r>
              <w:t xml:space="preserve"> </w:t>
            </w:r>
            <w:r>
              <w:t xml:space="preserve">since 10-Dec-2025 (</w:t>
            </w:r>
            <w:hyperlink r:id="rId103">
              <w:r>
                <w:rPr>
                  <w:rStyle w:val="Hyperlink"/>
                </w:rPr>
                <w:t xml:space="preserve">#10</w:t>
              </w:r>
            </w:hyperlink>
            <w:r>
              <w:t xml:space="preserve">)</w:t>
            </w:r>
          </w:p>
        </w:tc>
        <w:tc>
          <w:tcPr/>
          <w:p>
            <w:pPr>
              <w:pStyle w:val="Compact"/>
              <w:jc w:val="left"/>
            </w:pPr>
            <w:r>
              <w:t xml:space="preserve">Led the incident response and regulatory process</w:t>
            </w:r>
          </w:p>
        </w:tc>
        <w:tc>
          <w:tcPr/>
          <w:p>
            <w:pPr>
              <w:pStyle w:val="Compact"/>
              <w:jc w:val="left"/>
            </w:pPr>
            <w:r>
              <w:t xml:space="preserve">10b5-1 plan for up to 352,602 shares (Mar-2026,</w:t>
            </w:r>
            <w:r>
              <w:t xml:space="preserve"> </w:t>
            </w:r>
            <w:hyperlink r:id="rId415">
              <w:r>
                <w:rPr>
                  <w:rStyle w:val="Hyperlink"/>
                </w:rPr>
                <w:t xml:space="preserve">#303</w:t>
              </w:r>
            </w:hyperlink>
            <w:r>
              <w:t xml:space="preserve">)</w:t>
            </w:r>
          </w:p>
        </w:tc>
        <w:tc>
          <w:tcPr/>
          <w:p>
            <w:pPr>
              <w:pStyle w:val="Compact"/>
              <w:jc w:val="left"/>
            </w:pPr>
            <w:r>
              <w:t xml:space="preserve">A lawyer running the Korean operating entity; a permanent CEO has not been named [u]</w:t>
            </w:r>
          </w:p>
        </w:tc>
      </w:tr>
      <w:tr>
        <w:tc>
          <w:tcPr/>
          <w:p>
            <w:pPr>
              <w:pStyle w:val="Compact"/>
              <w:jc w:val="left"/>
            </w:pPr>
            <w:r>
              <w:rPr>
                <w:bCs/>
                <w:b/>
              </w:rPr>
              <w:t xml:space="preserve">Jonathan Lee</w:t>
            </w:r>
          </w:p>
        </w:tc>
        <w:tc>
          <w:tcPr/>
          <w:p>
            <w:pPr>
              <w:pStyle w:val="Compact"/>
              <w:jc w:val="left"/>
            </w:pPr>
            <w:r>
              <w:t xml:space="preserve">Chief Accounting Officer since 26-Sep-2022 (</w:t>
            </w:r>
            <w:hyperlink r:id="rId416">
              <w:r>
                <w:rPr>
                  <w:rStyle w:val="Hyperlink"/>
                </w:rPr>
                <w:t xml:space="preserve">#0</w:t>
              </w:r>
            </w:hyperlink>
            <w:r>
              <w:t xml:space="preserve">)</w:t>
            </w:r>
          </w:p>
        </w:tc>
        <w:tc>
          <w:tcPr/>
          <w:p>
            <w:pPr>
              <w:pStyle w:val="Compact"/>
              <w:jc w:val="left"/>
            </w:pPr>
            <w:r>
              <w:t xml:space="preserve">Ex-TriNet CAO; Arch Capital deputy CFO (</w:t>
            </w:r>
            <w:hyperlink r:id="rId417">
              <w:r>
                <w:rPr>
                  <w:rStyle w:val="Hyperlink"/>
                </w:rPr>
                <w:t xml:space="preserve">#3</w:t>
              </w:r>
            </w:hyperlink>
            <w:r>
              <w:t xml:space="preserve">)</w:t>
            </w:r>
          </w:p>
        </w:tc>
        <w:tc>
          <w:tcPr/>
          <w:p>
            <w:pPr>
              <w:pStyle w:val="Compact"/>
              <w:jc w:val="left"/>
            </w:pPr>
            <w:r>
              <w:t xml:space="preserve">10b5-1 plan (May-2026,</w:t>
            </w:r>
            <w:r>
              <w:t xml:space="preserve"> </w:t>
            </w:r>
            <w:hyperlink r:id="rId418">
              <w:r>
                <w:rPr>
                  <w:rStyle w:val="Hyperlink"/>
                </w:rPr>
                <w:t xml:space="preserve">#294</w:t>
              </w:r>
            </w:hyperlink>
            <w:r>
              <w:t xml:space="preserve">)</w:t>
            </w:r>
          </w:p>
        </w:tc>
        <w:tc>
          <w:tcPr/>
          <w:p>
            <w:pPr>
              <w:pStyle w:val="Compact"/>
            </w:pPr>
          </w:p>
        </w:tc>
      </w:tr>
      <w:tr>
        <w:tc>
          <w:tcPr/>
          <w:p>
            <w:pPr>
              <w:pStyle w:val="Compact"/>
              <w:jc w:val="left"/>
            </w:pPr>
            <w:r>
              <w:rPr>
                <w:bCs/>
                <w:b/>
              </w:rPr>
              <w:t xml:space="preserve">Departures</w:t>
            </w:r>
          </w:p>
        </w:tc>
        <w:tc>
          <w:tcPr/>
          <w:p>
            <w:pPr>
              <w:pStyle w:val="Compact"/>
              <w:jc w:val="left"/>
            </w:pPr>
            <w:r>
              <w:t xml:space="preserve">CTO Thuan Pham (2022,</w:t>
            </w:r>
            <w:r>
              <w:t xml:space="preserve"> </w:t>
            </w:r>
            <w:hyperlink r:id="rId419">
              <w:r>
                <w:rPr>
                  <w:rStyle w:val="Hyperlink"/>
                </w:rPr>
                <w:t xml:space="preserve">#0</w:t>
              </w:r>
            </w:hyperlink>
            <w:r>
              <w:t xml:space="preserve">); TJ Kim (2024,</w:t>
            </w:r>
            <w:r>
              <w:t xml:space="preserve"> </w:t>
            </w:r>
            <w:hyperlink r:id="rId420">
              <w:r>
                <w:rPr>
                  <w:rStyle w:val="Hyperlink"/>
                </w:rPr>
                <w:t xml:space="preserve">#0</w:t>
              </w:r>
            </w:hyperlink>
            <w:r>
              <w:t xml:space="preserve">); Hanseung Kang ceased to be an officer (Jun-2025,</w:t>
            </w:r>
            <w:r>
              <w:t xml:space="preserve"> </w:t>
            </w:r>
            <w:hyperlink r:id="rId421">
              <w:r>
                <w:rPr>
                  <w:rStyle w:val="Hyperlink"/>
                </w:rPr>
                <w:t xml:space="preserve">#0</w:t>
              </w:r>
            </w:hyperlink>
            <w:r>
              <w:t xml:space="preserve">); Pranam Kolari (Nov-2025,</w:t>
            </w:r>
            <w:r>
              <w:t xml:space="preserve"> </w:t>
            </w:r>
            <w:hyperlink r:id="rId422">
              <w:r>
                <w:rPr>
                  <w:rStyle w:val="Hyperlink"/>
                </w:rPr>
                <w:t xml:space="preserve">#0</w:t>
              </w:r>
            </w:hyperlink>
            <w:r>
              <w:t xml:space="preserve">); former Korea CEO (Dec-2025)</w:t>
            </w:r>
          </w:p>
        </w:tc>
        <w:tc>
          <w:tcPr/>
          <w:p>
            <w:pPr>
              <w:pStyle w:val="Compact"/>
            </w:pPr>
          </w:p>
        </w:tc>
        <w:tc>
          <w:tcPr/>
          <w:p>
            <w:pPr>
              <w:pStyle w:val="Compact"/>
            </w:pPr>
          </w:p>
        </w:tc>
        <w:tc>
          <w:tcPr/>
          <w:p>
            <w:pPr>
              <w:pStyle w:val="Compact"/>
              <w:jc w:val="left"/>
            </w:pPr>
            <w:r>
              <w:t xml:space="preserve">No successor CTO filing was found</w:t>
            </w:r>
          </w:p>
        </w:tc>
      </w:tr>
    </w:tbl>
    <w:bookmarkStart w:id="425" w:name="capital-allocation-history"/>
    <w:p>
      <w:pPr>
        <w:pStyle w:val="Heading2"/>
      </w:pPr>
      <w:r>
        <w:t xml:space="preserve">15.1 Capital allocation history</w:t>
      </w:r>
    </w:p>
    <w:p>
      <w:pPr>
        <w:pStyle w:val="FirstParagraph"/>
      </w:pPr>
      <w:r>
        <w:rPr>
          <w:bCs/>
          <w:b/>
        </w:rPr>
        <w:t xml:space="preserve">ROE and ROIC under the current team [d].</w:t>
      </w:r>
      <w:r>
        <w:t xml:space="preserve"> </w:t>
      </w:r>
      <w:r>
        <w:t xml:space="preserve">ROE was ~3.7% in FY24 and ~4.5% in FY25. ROIC uses a notional 25% tax on GAAP EBIT, with invested capital defined as equity + debt + leases − cash: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Year</w:t>
            </w:r>
          </w:p>
        </w:tc>
        <w:tc>
          <w:tcPr/>
          <w:p>
            <w:pPr>
              <w:pStyle w:val="Compact"/>
              <w:jc w:val="left"/>
            </w:pPr>
            <w:r>
              <w:t xml:space="preserve">ROIC</w:t>
            </w:r>
          </w:p>
        </w:tc>
      </w:tr>
      <w:tr>
        <w:tc>
          <w:tcPr/>
          <w:p>
            <w:pPr>
              <w:pStyle w:val="Compact"/>
              <w:jc w:val="left"/>
            </w:pPr>
            <w:r>
              <w:t xml:space="preserve">FY23</w:t>
            </w:r>
          </w:p>
        </w:tc>
        <w:tc>
          <w:tcPr/>
          <w:p>
            <w:pPr>
              <w:pStyle w:val="Compact"/>
              <w:jc w:val="left"/>
            </w:pPr>
            <w:r>
              <w:t xml:space="preserve">~22%</w:t>
            </w:r>
          </w:p>
        </w:tc>
      </w:tr>
      <w:tr>
        <w:tc>
          <w:tcPr/>
          <w:p>
            <w:pPr>
              <w:pStyle w:val="Compact"/>
              <w:jc w:val="left"/>
            </w:pPr>
            <w:r>
              <w:t xml:space="preserve">FY24</w:t>
            </w:r>
          </w:p>
        </w:tc>
        <w:tc>
          <w:tcPr/>
          <w:p>
            <w:pPr>
              <w:pStyle w:val="Compact"/>
              <w:jc w:val="left"/>
            </w:pPr>
            <w:r>
              <w:t xml:space="preserve">~14%</w:t>
            </w:r>
          </w:p>
        </w:tc>
      </w:tr>
      <w:tr>
        <w:tc>
          <w:tcPr/>
          <w:p>
            <w:pPr>
              <w:pStyle w:val="Compact"/>
              <w:jc w:val="left"/>
            </w:pPr>
            <w:r>
              <w:t xml:space="preserve">FY25</w:t>
            </w:r>
          </w:p>
        </w:tc>
        <w:tc>
          <w:tcPr/>
          <w:p>
            <w:pPr>
              <w:pStyle w:val="Compact"/>
              <w:jc w:val="left"/>
            </w:pPr>
            <w:r>
              <w:t xml:space="preserve">~13%</w:t>
            </w:r>
          </w:p>
        </w:tc>
      </w:tr>
      <w:tr>
        <w:tc>
          <w:tcPr/>
          <w:p>
            <w:pPr>
              <w:pStyle w:val="Compact"/>
              <w:jc w:val="left"/>
            </w:pPr>
            <w:r>
              <w:t xml:space="preserve">LTM</w:t>
            </w:r>
          </w:p>
        </w:tc>
        <w:tc>
          <w:tcPr/>
          <w:p>
            <w:pPr>
              <w:pStyle w:val="Compact"/>
              <w:jc w:val="left"/>
            </w:pPr>
            <w:r>
              <w:t xml:space="preserve">Negative</w:t>
            </w:r>
          </w:p>
        </w:tc>
      </w:tr>
    </w:tbl>
    <w:p>
      <w:pPr>
        <w:pStyle w:val="BodyText"/>
      </w:pPr>
      <w:r>
        <w:t xml:space="preserve">ROIC looks high because negative working capital funds most of the asset base. That flatters it, and it is exactly what the Dec-2026 settlement rules threaten.</w:t>
      </w:r>
    </w:p>
    <w:p>
      <w:pPr>
        <w:pStyle w:val="BodyText"/>
      </w:pPr>
      <w:r>
        <w:rPr>
          <w:bCs/>
          <w:b/>
        </w:rPr>
        <w:t xml:space="preserve">Good decisions</w:t>
      </w:r>
    </w:p>
    <w:p>
      <w:pPr>
        <w:numPr>
          <w:ilvl w:val="0"/>
          <w:numId w:val="1045"/>
        </w:numPr>
        <w:pStyle w:val="Compact"/>
      </w:pPr>
      <w:r>
        <w:t xml:space="preserve">Reinvesting the Korean cash flow into the logistics network.</w:t>
      </w:r>
    </w:p>
    <w:p>
      <w:pPr>
        <w:numPr>
          <w:ilvl w:val="0"/>
          <w:numId w:val="1045"/>
        </w:numPr>
        <w:pStyle w:val="Compact"/>
      </w:pPr>
      <w:r>
        <w:t xml:space="preserve">Opportunistic, cheap entry into Farfetch (an administration deal).</w:t>
      </w:r>
    </w:p>
    <w:p>
      <w:pPr>
        <w:numPr>
          <w:ilvl w:val="0"/>
          <w:numId w:val="1045"/>
        </w:numPr>
        <w:pStyle w:val="Compact"/>
      </w:pPr>
      <w:r>
        <w:t xml:space="preserve">Refinancing expensive Farfetch term loans (SOFR + 6.25%) with cheaper revolver debt (</w:t>
      </w:r>
      <w:hyperlink r:id="rId423">
        <w:r>
          <w:rPr>
            <w:rStyle w:val="Hyperlink"/>
          </w:rPr>
          <w:t xml:space="preserve">#1403</w:t>
        </w:r>
      </w:hyperlink>
      <w:r>
        <w:t xml:space="preserve">).</w:t>
      </w:r>
    </w:p>
    <w:p>
      <w:pPr>
        <w:numPr>
          <w:ilvl w:val="0"/>
          <w:numId w:val="1045"/>
        </w:numPr>
        <w:pStyle w:val="Compact"/>
      </w:pPr>
      <w:r>
        <w:t xml:space="preserve">Buying back stock in 2025-26 at an average ~US$20.8 (</w:t>
      </w:r>
      <w:hyperlink r:id="rId47">
        <w:r>
          <w:rPr>
            <w:rStyle w:val="Hyperlink"/>
          </w:rPr>
          <w:t xml:space="preserve">#369</w:t>
        </w:r>
      </w:hyperlink>
      <w:r>
        <w:t xml:space="preserve">).</w:t>
      </w:r>
    </w:p>
    <w:p>
      <w:pPr>
        <w:pStyle w:val="FirstParagraph"/>
      </w:pPr>
      <w:r>
        <w:rPr>
          <w:bCs/>
          <w:b/>
        </w:rPr>
        <w:t xml:space="preserve">Questionable decisions</w:t>
      </w:r>
    </w:p>
    <w:p>
      <w:pPr>
        <w:numPr>
          <w:ilvl w:val="0"/>
          <w:numId w:val="1046"/>
        </w:numPr>
        <w:pStyle w:val="Compact"/>
      </w:pPr>
      <w:r>
        <w:t xml:space="preserve">Buybacks of US$850m in H1’26 funded alongside a US$750m revolver draw while FCF fell to ~US$0.1bn.</w:t>
      </w:r>
    </w:p>
    <w:p>
      <w:pPr>
        <w:numPr>
          <w:ilvl w:val="0"/>
          <w:numId w:val="1046"/>
        </w:numPr>
        <w:pStyle w:val="Compact"/>
      </w:pPr>
      <w:r>
        <w:t xml:space="preserve">Ongoing ~US$1bn a year of Developing Offerings losses with no published return hurdle. No ROIC target was found (</w:t>
      </w:r>
      <w:hyperlink r:id="rId424">
        <w:r>
          <w:rPr>
            <w:rStyle w:val="Hyperlink"/>
          </w:rPr>
          <w:t xml:space="preserve">#424</w:t>
        </w:r>
      </w:hyperlink>
      <w:r>
        <w:t xml:space="preserve">).</w:t>
      </w:r>
    </w:p>
    <w:p>
      <w:pPr>
        <w:numPr>
          <w:ilvl w:val="0"/>
          <w:numId w:val="1046"/>
        </w:numPr>
        <w:pStyle w:val="Compact"/>
      </w:pPr>
      <w:r>
        <w:t xml:space="preserve">A related-party buyout of Greenoaks at a premium to its contributed capital (Section 25).</w:t>
      </w:r>
    </w:p>
    <w:bookmarkEnd w:id="425"/>
    <w:bookmarkStart w:id="426" w:name="archetype-and-implications"/>
    <w:p>
      <w:pPr>
        <w:pStyle w:val="Heading2"/>
      </w:pPr>
      <w:r>
        <w:t xml:space="preserve">15.2 Archetype and implications</w:t>
      </w:r>
    </w:p>
    <w:p>
      <w:pPr>
        <w:pStyle w:val="FirstParagraph"/>
      </w:pPr>
      <w:r>
        <w:t xml:space="preserve">Coupang is a</w:t>
      </w:r>
      <w:r>
        <w:t xml:space="preserve"> </w:t>
      </w:r>
      <w:r>
        <w:rPr>
          <w:bCs/>
          <w:b/>
        </w:rPr>
        <w:t xml:space="preserve">founder-controlled, founder-led company</w:t>
      </w:r>
      <w:r>
        <w:t xml:space="preserve">. That brings long-term orientation, willingness to absorb losses (Taiwan) and speed. It also carries key-person and governance risk: dual-class shares, no external check on capital allocation, and political exposure in Korea.</w:t>
      </w:r>
    </w:p>
    <w:p>
      <w:pPr>
        <w:pStyle w:val="BodyText"/>
      </w:pPr>
      <w:r>
        <w:t xml:space="preserve">At this stage the founder model is an asset operationally: rebuilding trust and fixing utilisation. It is a liability in regulatory diplomacy, where a Korean-resident professional CEO for Coupang Corp. would help. The prolonged</w:t>
      </w:r>
      <w:r>
        <w:t xml:space="preserve"> </w:t>
      </w:r>
      <w:r>
        <w:t xml:space="preserve">“</w:t>
      </w:r>
      <w:r>
        <w:t xml:space="preserve">interim</w:t>
      </w:r>
      <w:r>
        <w:t xml:space="preserve">”</w:t>
      </w:r>
      <w:r>
        <w:t xml:space="preserve"> </w:t>
      </w:r>
      <w:r>
        <w:t xml:space="preserve">status at the Korean subsidiary is the key management gap to watch.</w:t>
      </w:r>
    </w:p>
    <w:bookmarkEnd w:id="426"/>
    <w:bookmarkStart w:id="427" w:name="recent-senior-management-changes"/>
    <w:p>
      <w:pPr>
        <w:pStyle w:val="Heading2"/>
      </w:pPr>
      <w:r>
        <w:t xml:space="preserve">15.3 Recent senior management changes</w:t>
      </w:r>
    </w:p>
    <w:p>
      <w:pPr>
        <w:numPr>
          <w:ilvl w:val="0"/>
          <w:numId w:val="1047"/>
        </w:numPr>
        <w:pStyle w:val="Compact"/>
      </w:pPr>
      <w:r>
        <w:t xml:space="preserve">The Korea CEO resigned on 10-Dec-2025; Harold Rogers became interim CEO (</w:t>
      </w:r>
      <w:hyperlink r:id="rId103">
        <w:r>
          <w:rPr>
            <w:rStyle w:val="Hyperlink"/>
          </w:rPr>
          <w:t xml:space="preserve">#10</w:t>
        </w:r>
      </w:hyperlink>
      <w:r>
        <w:t xml:space="preserve">).</w:t>
      </w:r>
    </w:p>
    <w:p>
      <w:pPr>
        <w:numPr>
          <w:ilvl w:val="0"/>
          <w:numId w:val="1047"/>
        </w:numPr>
        <w:pStyle w:val="Compact"/>
      </w:pPr>
      <w:r>
        <w:t xml:space="preserve">The CFO was reassigned to Korea from 1-Nov-2025 (</w:t>
      </w:r>
      <w:hyperlink r:id="rId412">
        <w:r>
          <w:rPr>
            <w:rStyle w:val="Hyperlink"/>
          </w:rPr>
          <w:t xml:space="preserve">#2080</w:t>
        </w:r>
      </w:hyperlink>
      <w:r>
        <w:t xml:space="preserve">).</w:t>
      </w:r>
    </w:p>
    <w:p>
      <w:pPr>
        <w:numPr>
          <w:ilvl w:val="0"/>
          <w:numId w:val="1047"/>
        </w:numPr>
        <w:pStyle w:val="Compact"/>
      </w:pPr>
      <w:r>
        <w:t xml:space="preserve">VP Search Kolari left (Nov-2025).</w:t>
      </w:r>
    </w:p>
    <w:p>
      <w:pPr>
        <w:numPr>
          <w:ilvl w:val="0"/>
          <w:numId w:val="1047"/>
        </w:numPr>
        <w:pStyle w:val="Compact"/>
      </w:pPr>
      <w:r>
        <w:t xml:space="preserve">Kang moved to a new role (Jun-2025).</w:t>
      </w:r>
    </w:p>
    <w:bookmarkEnd w:id="427"/>
    <w:bookmarkEnd w:id="428"/>
    <w:bookmarkStart w:id="444" w:name="board-of-directors"/>
    <w:p>
      <w:pPr>
        <w:pStyle w:val="Heading1"/>
      </w:pPr>
      <w:r>
        <w:t xml:space="preserve">16. Board of Directors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Director</w:t>
            </w:r>
          </w:p>
        </w:tc>
        <w:tc>
          <w:tcPr/>
          <w:p>
            <w:pPr>
              <w:pStyle w:val="Compact"/>
              <w:jc w:val="left"/>
            </w:pPr>
            <w:r>
              <w:t xml:space="preserve">Joined (evidence)</w:t>
            </w:r>
          </w:p>
        </w:tc>
        <w:tc>
          <w:tcPr/>
          <w:p>
            <w:pPr>
              <w:pStyle w:val="Compact"/>
              <w:jc w:val="left"/>
            </w:pPr>
            <w:r>
              <w:t xml:space="preserve">Committees</w:t>
            </w:r>
          </w:p>
        </w:tc>
        <w:tc>
          <w:tcPr/>
          <w:p>
            <w:pPr>
              <w:pStyle w:val="Compact"/>
              <w:jc w:val="left"/>
            </w:pPr>
            <w:r>
              <w:t xml:space="preserve">Background / other affiliations</w:t>
            </w:r>
          </w:p>
        </w:tc>
        <w:tc>
          <w:tcPr/>
          <w:p>
            <w:pPr>
              <w:pStyle w:val="Compact"/>
              <w:jc w:val="left"/>
            </w:pPr>
            <w:r>
              <w:t xml:space="preserve">Independence</w:t>
            </w:r>
          </w:p>
        </w:tc>
      </w:tr>
      <w:tr>
        <w:tc>
          <w:tcPr/>
          <w:p>
            <w:pPr>
              <w:pStyle w:val="Compact"/>
              <w:jc w:val="left"/>
            </w:pPr>
            <w:r>
              <w:t xml:space="preserve">Bom Kim (Chair)</w:t>
            </w:r>
          </w:p>
        </w:tc>
        <w:tc>
          <w:tcPr/>
          <w:p>
            <w:pPr>
              <w:pStyle w:val="Compact"/>
              <w:jc w:val="left"/>
            </w:pPr>
            <w:r>
              <w:t xml:space="preserve">Founder; Chair throughout (</w:t>
            </w:r>
            <w:hyperlink r:id="rId405">
              <w:r>
                <w:rPr>
                  <w:rStyle w:val="Hyperlink"/>
                </w:rPr>
                <w:t xml:space="preserve">#1710</w:t>
              </w:r>
            </w:hyperlink>
            <w:r>
              <w:t xml:space="preserve">)</w:t>
            </w:r>
          </w:p>
        </w:tc>
        <w:tc>
          <w:tcPr/>
          <w:p>
            <w:pPr>
              <w:pStyle w:val="Compact"/>
              <w:jc w:val="left"/>
            </w:pPr>
            <w:r>
              <w:t xml:space="preserve">n/a</w:t>
            </w:r>
          </w:p>
        </w:tc>
        <w:tc>
          <w:tcPr/>
          <w:p>
            <w:pPr>
              <w:pStyle w:val="Compact"/>
              <w:jc w:val="left"/>
            </w:pPr>
            <w:r>
              <w:t xml:space="preserve">Founder and CEO</w:t>
            </w:r>
          </w:p>
        </w:tc>
        <w:tc>
          <w:tcPr/>
          <w:p>
            <w:pPr>
              <w:pStyle w:val="Compact"/>
              <w:jc w:val="left"/>
            </w:pPr>
            <w:r>
              <w:t xml:space="preserve">Controlling holder</w:t>
            </w:r>
          </w:p>
        </w:tc>
      </w:tr>
      <w:tr>
        <w:tc>
          <w:tcPr/>
          <w:p>
            <w:pPr>
              <w:pStyle w:val="Compact"/>
              <w:jc w:val="left"/>
            </w:pPr>
            <w:r>
              <w:t xml:space="preserve">Neil Mehta (Lead Independent Director per filing context,</w:t>
            </w:r>
            <w:r>
              <w:t xml:space="preserve"> </w:t>
            </w:r>
            <w:hyperlink r:id="rId429">
              <w:r>
                <w:rPr>
                  <w:rStyle w:val="Hyperlink"/>
                </w:rPr>
                <w:t xml:space="preserve">#4</w:t>
              </w:r>
            </w:hyperlink>
            <w:r>
              <w:t xml:space="preserve">)</w:t>
            </w:r>
          </w:p>
        </w:tc>
        <w:tc>
          <w:tcPr/>
          <w:p>
            <w:pPr>
              <w:pStyle w:val="Compact"/>
              <w:jc w:val="left"/>
            </w:pPr>
            <w:r>
              <w:t xml:space="preserve">On board by FY21 10-K (</w:t>
            </w:r>
            <w:hyperlink r:id="rId405">
              <w:r>
                <w:rPr>
                  <w:rStyle w:val="Hyperlink"/>
                </w:rPr>
                <w:t xml:space="preserve">#1710</w:t>
              </w:r>
            </w:hyperlink>
            <w:r>
              <w:t xml:space="preserve">)</w:t>
            </w:r>
          </w:p>
        </w:tc>
        <w:tc>
          <w:tcPr/>
          <w:p>
            <w:pPr>
              <w:pStyle w:val="Compact"/>
              <w:jc w:val="left"/>
            </w:pPr>
            <w:r>
              <w:t xml:space="preserve">n/a ‡</w:t>
            </w:r>
          </w:p>
        </w:tc>
        <w:tc>
          <w:tcPr/>
          <w:p>
            <w:pPr>
              <w:pStyle w:val="Compact"/>
              <w:jc w:val="left"/>
            </w:pPr>
            <w:r>
              <w:t xml:space="preserve">Managing Partner of</w:t>
            </w:r>
            <w:r>
              <w:t xml:space="preserve"> </w:t>
            </w:r>
            <w:r>
              <w:rPr>
                <w:bCs/>
                <w:b/>
              </w:rPr>
              <w:t xml:space="preserve">Greenoaks</w:t>
            </w:r>
            <w:r>
              <w:t xml:space="preserve"> </w:t>
            </w:r>
            <w:r>
              <w:t xml:space="preserve">since 2012; Greenoaks is a related party (</w:t>
            </w:r>
            <w:hyperlink r:id="rId194">
              <w:r>
                <w:rPr>
                  <w:rStyle w:val="Hyperlink"/>
                </w:rPr>
                <w:t xml:space="preserve">#2050</w:t>
              </w:r>
            </w:hyperlink>
            <w:r>
              <w:t xml:space="preserve">,</w:t>
            </w:r>
            <w:r>
              <w:t xml:space="preserve"> </w:t>
            </w:r>
            <w:hyperlink r:id="rId430">
              <w:r>
                <w:rPr>
                  <w:rStyle w:val="Hyperlink"/>
                </w:rPr>
                <w:t xml:space="preserve">#5</w:t>
              </w:r>
            </w:hyperlink>
            <w:r>
              <w:t xml:space="preserve">)</w:t>
            </w:r>
          </w:p>
        </w:tc>
        <w:tc>
          <w:tcPr/>
          <w:p>
            <w:pPr>
              <w:pStyle w:val="Compact"/>
              <w:jc w:val="left"/>
            </w:pPr>
            <w:r>
              <w:t xml:space="preserve">Related-party interest</w:t>
            </w:r>
          </w:p>
        </w:tc>
      </w:tr>
      <w:tr>
        <w:tc>
          <w:tcPr/>
          <w:p>
            <w:pPr>
              <w:pStyle w:val="Compact"/>
              <w:jc w:val="left"/>
            </w:pPr>
            <w:r>
              <w:t xml:space="preserve">Benjamin Sun</w:t>
            </w:r>
          </w:p>
        </w:tc>
        <w:tc>
          <w:tcPr/>
          <w:p>
            <w:pPr>
              <w:pStyle w:val="Compact"/>
              <w:jc w:val="left"/>
            </w:pPr>
            <w:r>
              <w:t xml:space="preserve">On board by FY21 10-K</w:t>
            </w:r>
          </w:p>
        </w:tc>
        <w:tc>
          <w:tcPr/>
          <w:p>
            <w:pPr>
              <w:pStyle w:val="Compact"/>
              <w:jc w:val="left"/>
            </w:pPr>
            <w:r>
              <w:t xml:space="preserve">n/a ‡</w:t>
            </w:r>
          </w:p>
        </w:tc>
        <w:tc>
          <w:tcPr/>
          <w:p>
            <w:pPr>
              <w:pStyle w:val="Compact"/>
              <w:jc w:val="left"/>
            </w:pPr>
            <w:r>
              <w:t xml:space="preserve">Not available in tools ‡</w:t>
            </w:r>
          </w:p>
        </w:tc>
        <w:tc>
          <w:tcPr/>
          <w:p>
            <w:pPr>
              <w:pStyle w:val="Compact"/>
              <w:jc w:val="left"/>
            </w:pPr>
            <w:r>
              <w:t xml:space="preserve">n/a ‡</w:t>
            </w:r>
          </w:p>
        </w:tc>
      </w:tr>
      <w:tr>
        <w:tc>
          <w:tcPr/>
          <w:p>
            <w:pPr>
              <w:pStyle w:val="Compact"/>
              <w:jc w:val="left"/>
            </w:pPr>
            <w:r>
              <w:t xml:space="preserve">Kevin Warsh</w:t>
            </w:r>
          </w:p>
        </w:tc>
        <w:tc>
          <w:tcPr/>
          <w:p>
            <w:pPr>
              <w:pStyle w:val="Compact"/>
              <w:jc w:val="left"/>
            </w:pPr>
            <w:r>
              <w:t xml:space="preserve">On board by FY21 10-K</w:t>
            </w:r>
          </w:p>
        </w:tc>
        <w:tc>
          <w:tcPr/>
          <w:p>
            <w:pPr>
              <w:pStyle w:val="Compact"/>
              <w:jc w:val="left"/>
            </w:pPr>
            <w:r>
              <w:t xml:space="preserve">n/a ‡</w:t>
            </w:r>
          </w:p>
        </w:tc>
        <w:tc>
          <w:tcPr/>
          <w:p>
            <w:pPr>
              <w:pStyle w:val="Compact"/>
              <w:jc w:val="left"/>
            </w:pPr>
            <w:r>
              <w:t xml:space="preserve">Nominated as Federal Reserve Chair (30-Jan-2026); will resign from the board if confirmed (</w:t>
            </w:r>
            <w:hyperlink r:id="rId431">
              <w:r>
                <w:rPr>
                  <w:rStyle w:val="Hyperlink"/>
                </w:rPr>
                <w:t xml:space="preserve">#0</w:t>
              </w:r>
            </w:hyperlink>
            <w:r>
              <w:t xml:space="preserve">,</w:t>
            </w:r>
            <w:r>
              <w:t xml:space="preserve"> </w:t>
            </w:r>
            <w:hyperlink r:id="rId432">
              <w:r>
                <w:rPr>
                  <w:rStyle w:val="Hyperlink"/>
                </w:rPr>
                <w:t xml:space="preserve">#1</w:t>
              </w:r>
            </w:hyperlink>
            <w:r>
              <w:t xml:space="preserve">). Former Fed Governor [u]</w:t>
            </w:r>
          </w:p>
        </w:tc>
        <w:tc>
          <w:tcPr/>
          <w:p>
            <w:pPr>
              <w:pStyle w:val="Compact"/>
              <w:jc w:val="left"/>
            </w:pPr>
            <w:r>
              <w:t xml:space="preserve">n/a ‡</w:t>
            </w:r>
          </w:p>
        </w:tc>
      </w:tr>
      <w:tr>
        <w:tc>
          <w:tcPr/>
          <w:p>
            <w:pPr>
              <w:pStyle w:val="Compact"/>
              <w:jc w:val="left"/>
            </w:pPr>
            <w:r>
              <w:t xml:space="preserve">Pedro Franceschi</w:t>
            </w:r>
          </w:p>
        </w:tc>
        <w:tc>
          <w:tcPr/>
          <w:p>
            <w:pPr>
              <w:pStyle w:val="Compact"/>
              <w:jc w:val="left"/>
            </w:pPr>
            <w:r>
              <w:t xml:space="preserve">15-Mar-2022 (</w:t>
            </w:r>
            <w:hyperlink r:id="rId433">
              <w:r>
                <w:rPr>
                  <w:rStyle w:val="Hyperlink"/>
                </w:rPr>
                <w:t xml:space="preserve">#0</w:t>
              </w:r>
            </w:hyperlink>
            <w:r>
              <w:t xml:space="preserve">)</w:t>
            </w:r>
          </w:p>
        </w:tc>
        <w:tc>
          <w:tcPr/>
          <w:p>
            <w:pPr>
              <w:pStyle w:val="Compact"/>
              <w:jc w:val="left"/>
            </w:pPr>
            <w:r>
              <w:t xml:space="preserve">Compensation (</w:t>
            </w:r>
            <w:hyperlink r:id="rId434">
              <w:r>
                <w:rPr>
                  <w:rStyle w:val="Hyperlink"/>
                </w:rPr>
                <w:t xml:space="preserve">#1</w:t>
              </w:r>
            </w:hyperlink>
            <w:r>
              <w:t xml:space="preserve">)</w:t>
            </w:r>
          </w:p>
        </w:tc>
        <w:tc>
          <w:tcPr/>
          <w:p>
            <w:pPr>
              <w:pStyle w:val="Compact"/>
              <w:jc w:val="left"/>
            </w:pPr>
            <w:r>
              <w:t xml:space="preserve">Co-founder of Brex [u]</w:t>
            </w:r>
          </w:p>
        </w:tc>
        <w:tc>
          <w:tcPr/>
          <w:p>
            <w:pPr>
              <w:pStyle w:val="Compact"/>
              <w:jc w:val="left"/>
            </w:pPr>
            <w:r>
              <w:t xml:space="preserve">n/a ‡</w:t>
            </w:r>
          </w:p>
        </w:tc>
      </w:tr>
      <w:tr>
        <w:tc>
          <w:tcPr/>
          <w:p>
            <w:pPr>
              <w:pStyle w:val="Compact"/>
              <w:jc w:val="left"/>
            </w:pPr>
            <w:r>
              <w:t xml:space="preserve">Jason Child</w:t>
            </w:r>
          </w:p>
        </w:tc>
        <w:tc>
          <w:tcPr/>
          <w:p>
            <w:pPr>
              <w:pStyle w:val="Compact"/>
              <w:jc w:val="left"/>
            </w:pPr>
            <w:r>
              <w:t xml:space="preserve">14-Apr-2022 (</w:t>
            </w:r>
            <w:hyperlink r:id="rId435">
              <w:r>
                <w:rPr>
                  <w:rStyle w:val="Hyperlink"/>
                </w:rPr>
                <w:t xml:space="preserve">#0</w:t>
              </w:r>
            </w:hyperlink>
            <w:r>
              <w:t xml:space="preserve">)</w:t>
            </w:r>
          </w:p>
        </w:tc>
        <w:tc>
          <w:tcPr/>
          <w:p>
            <w:pPr>
              <w:pStyle w:val="Compact"/>
              <w:jc w:val="left"/>
            </w:pPr>
            <w:r>
              <w:t xml:space="preserve">Audit (</w:t>
            </w:r>
            <w:hyperlink r:id="rId436">
              <w:r>
                <w:rPr>
                  <w:rStyle w:val="Hyperlink"/>
                </w:rPr>
                <w:t xml:space="preserve">#1</w:t>
              </w:r>
            </w:hyperlink>
            <w:r>
              <w:t xml:space="preserve">)</w:t>
            </w:r>
          </w:p>
        </w:tc>
        <w:tc>
          <w:tcPr/>
          <w:p>
            <w:pPr>
              <w:pStyle w:val="Compact"/>
              <w:jc w:val="left"/>
            </w:pPr>
            <w:r>
              <w:t xml:space="preserve">CFO of Arm Holdings [u]</w:t>
            </w:r>
          </w:p>
        </w:tc>
        <w:tc>
          <w:tcPr/>
          <w:p>
            <w:pPr>
              <w:pStyle w:val="Compact"/>
              <w:jc w:val="left"/>
            </w:pPr>
            <w:r>
              <w:t xml:space="preserve">n/a ‡</w:t>
            </w:r>
          </w:p>
        </w:tc>
      </w:tr>
      <w:tr>
        <w:tc>
          <w:tcPr/>
          <w:p>
            <w:pPr>
              <w:pStyle w:val="Compact"/>
              <w:jc w:val="left"/>
            </w:pPr>
            <w:r>
              <w:t xml:space="preserve">Ambereen Toubassy</w:t>
            </w:r>
          </w:p>
        </w:tc>
        <w:tc>
          <w:tcPr/>
          <w:p>
            <w:pPr>
              <w:pStyle w:val="Compact"/>
              <w:jc w:val="left"/>
            </w:pPr>
            <w:r>
              <w:t xml:space="preserve">8-Mar-2023 (</w:t>
            </w:r>
            <w:hyperlink r:id="rId437">
              <w:r>
                <w:rPr>
                  <w:rStyle w:val="Hyperlink"/>
                </w:rPr>
                <w:t xml:space="preserve">#0</w:t>
              </w:r>
            </w:hyperlink>
            <w:r>
              <w:t xml:space="preserve">)</w:t>
            </w:r>
          </w:p>
        </w:tc>
        <w:tc>
          <w:tcPr/>
          <w:p>
            <w:pPr>
              <w:pStyle w:val="Compact"/>
              <w:jc w:val="left"/>
            </w:pPr>
            <w:r>
              <w:t xml:space="preserve">Audit (</w:t>
            </w:r>
            <w:hyperlink r:id="rId438">
              <w:r>
                <w:rPr>
                  <w:rStyle w:val="Hyperlink"/>
                </w:rPr>
                <w:t xml:space="preserve">#1</w:t>
              </w:r>
            </w:hyperlink>
            <w:r>
              <w:t xml:space="preserve">)</w:t>
            </w:r>
          </w:p>
        </w:tc>
        <w:tc>
          <w:tcPr/>
          <w:p>
            <w:pPr>
              <w:pStyle w:val="Compact"/>
              <w:jc w:val="left"/>
            </w:pPr>
            <w:r>
              <w:t xml:space="preserve">Not available in tools ‡</w:t>
            </w:r>
          </w:p>
        </w:tc>
        <w:tc>
          <w:tcPr/>
          <w:p>
            <w:pPr>
              <w:pStyle w:val="Compact"/>
              <w:jc w:val="left"/>
            </w:pPr>
            <w:r>
              <w:t xml:space="preserve">n/a ‡</w:t>
            </w:r>
          </w:p>
        </w:tc>
      </w:tr>
      <w:tr>
        <w:tc>
          <w:tcPr/>
          <w:p>
            <w:pPr>
              <w:pStyle w:val="Compact"/>
              <w:jc w:val="left"/>
            </w:pPr>
            <w:r>
              <w:t xml:space="preserve">Asha Sharma</w:t>
            </w:r>
          </w:p>
        </w:tc>
        <w:tc>
          <w:tcPr/>
          <w:p>
            <w:pPr>
              <w:pStyle w:val="Compact"/>
              <w:jc w:val="left"/>
            </w:pPr>
            <w:r>
              <w:t xml:space="preserve">21-Jun-2024 (</w:t>
            </w:r>
            <w:hyperlink r:id="rId439">
              <w:r>
                <w:rPr>
                  <w:rStyle w:val="Hyperlink"/>
                </w:rPr>
                <w:t xml:space="preserve">#0</w:t>
              </w:r>
            </w:hyperlink>
            <w:r>
              <w:t xml:space="preserve">)</w:t>
            </w:r>
          </w:p>
        </w:tc>
        <w:tc>
          <w:tcPr/>
          <w:p>
            <w:pPr>
              <w:pStyle w:val="Compact"/>
              <w:jc w:val="left"/>
            </w:pPr>
            <w:r>
              <w:t xml:space="preserve">Compensation</w:t>
            </w:r>
          </w:p>
        </w:tc>
        <w:tc>
          <w:tcPr/>
          <w:p>
            <w:pPr>
              <w:pStyle w:val="Compact"/>
              <w:jc w:val="left"/>
            </w:pPr>
            <w:r>
              <w:t xml:space="preserve">Technology and operating executive (ex-Instacart; Microsoft) [u]</w:t>
            </w:r>
          </w:p>
        </w:tc>
        <w:tc>
          <w:tcPr/>
          <w:p>
            <w:pPr>
              <w:pStyle w:val="Compact"/>
              <w:jc w:val="left"/>
            </w:pPr>
            <w:r>
              <w:t xml:space="preserve">Independent under NYSE standards (</w:t>
            </w:r>
            <w:hyperlink r:id="rId440">
              <w:r>
                <w:rPr>
                  <w:rStyle w:val="Hyperlink"/>
                </w:rPr>
                <w:t xml:space="preserve">#1</w:t>
              </w:r>
            </w:hyperlink>
            <w:r>
              <w:t xml:space="preserve">)</w:t>
            </w:r>
          </w:p>
        </w:tc>
      </w:tr>
    </w:tbl>
    <w:p>
      <w:pPr>
        <w:pStyle w:val="BodyText"/>
      </w:pPr>
      <w:r>
        <w:rPr>
          <w:bCs/>
          <w:b/>
        </w:rPr>
        <w:t xml:space="preserve">Board changes in the last five years</w:t>
      </w:r>
    </w:p>
    <w:p>
      <w:pPr>
        <w:numPr>
          <w:ilvl w:val="0"/>
          <w:numId w:val="1048"/>
        </w:numPr>
        <w:pStyle w:val="Compact"/>
      </w:pPr>
      <w:r>
        <w:t xml:space="preserve">Franceschi joined (Mar-2022; board grew from 6 to 7).</w:t>
      </w:r>
    </w:p>
    <w:p>
      <w:pPr>
        <w:numPr>
          <w:ilvl w:val="0"/>
          <w:numId w:val="1048"/>
        </w:numPr>
        <w:pStyle w:val="Compact"/>
      </w:pPr>
      <w:r>
        <w:t xml:space="preserve">Child joined (Apr-2022).</w:t>
      </w:r>
    </w:p>
    <w:p>
      <w:pPr>
        <w:numPr>
          <w:ilvl w:val="0"/>
          <w:numId w:val="1048"/>
        </w:numPr>
        <w:pStyle w:val="Compact"/>
      </w:pPr>
      <w:r>
        <w:t xml:space="preserve">Toubassy joined (Mar-2023; board grew from 7 to 8).</w:t>
      </w:r>
    </w:p>
    <w:p>
      <w:pPr>
        <w:numPr>
          <w:ilvl w:val="0"/>
          <w:numId w:val="1048"/>
        </w:numPr>
        <w:pStyle w:val="Compact"/>
      </w:pPr>
      <w:r>
        <w:rPr>
          <w:bCs/>
          <w:b/>
        </w:rPr>
        <w:t xml:space="preserve">Harry You, Audit Committee Chair, retired at the June-2023 AGM</w:t>
      </w:r>
      <w:r>
        <w:t xml:space="preserve"> </w:t>
      </w:r>
      <w:r>
        <w:t xml:space="preserve">(</w:t>
      </w:r>
      <w:hyperlink r:id="rId441">
        <w:r>
          <w:rPr>
            <w:rStyle w:val="Hyperlink"/>
          </w:rPr>
          <w:t xml:space="preserve">#0</w:t>
        </w:r>
      </w:hyperlink>
      <w:r>
        <w:t xml:space="preserve">).</w:t>
      </w:r>
    </w:p>
    <w:p>
      <w:pPr>
        <w:numPr>
          <w:ilvl w:val="0"/>
          <w:numId w:val="1048"/>
        </w:numPr>
        <w:pStyle w:val="Compact"/>
      </w:pPr>
      <w:r>
        <w:t xml:space="preserve">Sharma joined (Jun-2024).</w:t>
      </w:r>
    </w:p>
    <w:p>
      <w:pPr>
        <w:numPr>
          <w:ilvl w:val="0"/>
          <w:numId w:val="1048"/>
        </w:numPr>
        <w:pStyle w:val="Compact"/>
      </w:pPr>
      <w:r>
        <w:t xml:space="preserve">Warsh’s contingent departure was announced in Feb-2026; whether he has been confirmed is not in the tools.</w:t>
      </w:r>
    </w:p>
    <w:p>
      <w:pPr>
        <w:pStyle w:val="FirstParagraph"/>
      </w:pPr>
      <w:r>
        <w:rPr>
          <w:bCs/>
          <w:b/>
        </w:rPr>
        <w:t xml:space="preserve">Governance</w:t>
      </w:r>
    </w:p>
    <w:p>
      <w:pPr>
        <w:numPr>
          <w:ilvl w:val="0"/>
          <w:numId w:val="1049"/>
        </w:numPr>
        <w:pStyle w:val="Compact"/>
      </w:pPr>
      <w:r>
        <w:t xml:space="preserve">Bylaw amendments in Jun-2024 narrowed shareholders’ advance-notice disclosure requirements (</w:t>
      </w:r>
      <w:hyperlink r:id="rId442">
        <w:r>
          <w:rPr>
            <w:rStyle w:val="Hyperlink"/>
          </w:rPr>
          <w:t xml:space="preserve">#1</w:t>
        </w:r>
      </w:hyperlink>
      <w:r>
        <w:t xml:space="preserve">).</w:t>
      </w:r>
    </w:p>
    <w:p>
      <w:pPr>
        <w:numPr>
          <w:ilvl w:val="0"/>
          <w:numId w:val="1049"/>
        </w:numPr>
        <w:pStyle w:val="Compact"/>
      </w:pPr>
      <w:r>
        <w:t xml:space="preserve">Non-employee directors receive an annual RSU grant of US$300k, plus committee grants (</w:t>
      </w:r>
      <w:hyperlink r:id="rId443">
        <w:r>
          <w:rPr>
            <w:rStyle w:val="Hyperlink"/>
          </w:rPr>
          <w:t xml:space="preserve">#3</w:t>
        </w:r>
      </w:hyperlink>
      <w:r>
        <w:t xml:space="preserve">).</w:t>
      </w:r>
    </w:p>
    <w:p>
      <w:pPr>
        <w:numPr>
          <w:ilvl w:val="0"/>
          <w:numId w:val="1049"/>
        </w:numPr>
        <w:pStyle w:val="Compact"/>
      </w:pPr>
      <w:r>
        <w:t xml:space="preserve">Committee chairs, director biographies and the full independence roster are in the 2026 proxy, which is not indexed in the tools ‡.</w:t>
      </w:r>
    </w:p>
    <w:bookmarkEnd w:id="444"/>
    <w:bookmarkStart w:id="449" w:name="shareholders-activism-and-short-interest"/>
    <w:p>
      <w:pPr>
        <w:pStyle w:val="Heading1"/>
      </w:pPr>
      <w:r>
        <w:t xml:space="preserve">17. Shareholders, activism and short interest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Holder</w:t>
            </w:r>
          </w:p>
        </w:tc>
        <w:tc>
          <w:tcPr/>
          <w:p>
            <w:pPr>
              <w:pStyle w:val="Compact"/>
              <w:jc w:val="left"/>
            </w:pPr>
            <w:r>
              <w:t xml:space="preserve">Type</w:t>
            </w:r>
          </w:p>
        </w:tc>
        <w:tc>
          <w:tcPr/>
          <w:p>
            <w:pPr>
              <w:pStyle w:val="Compact"/>
              <w:jc w:val="left"/>
            </w:pPr>
            <w:r>
              <w:t xml:space="preserve">Stake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Bom Kim</w:t>
            </w:r>
          </w:p>
        </w:tc>
        <w:tc>
          <w:tcPr/>
          <w:p>
            <w:pPr>
              <w:pStyle w:val="Compact"/>
              <w:jc w:val="left"/>
            </w:pPr>
            <w:r>
              <w:t xml:space="preserve">Insider / founder</w:t>
            </w:r>
          </w:p>
        </w:tc>
        <w:tc>
          <w:tcPr/>
          <w:p>
            <w:pPr>
              <w:pStyle w:val="Compact"/>
              <w:jc w:val="left"/>
            </w:pPr>
            <w:r>
              <w:t xml:space="preserve">100% of Class B; 74.1% of votes; economic stake ≥~9% [d]</w:t>
            </w:r>
          </w:p>
        </w:tc>
        <w:tc>
          <w:tcPr/>
          <w:p>
            <w:pPr>
              <w:pStyle w:val="Compact"/>
              <w:jc w:val="left"/>
            </w:pPr>
            <w:hyperlink r:id="rId22">
              <w:r>
                <w:rPr>
                  <w:rStyle w:val="Hyperlink"/>
                </w:rPr>
                <w:t xml:space="preserve">#1187</w:t>
              </w:r>
            </w:hyperlink>
          </w:p>
        </w:tc>
      </w:tr>
      <w:tr>
        <w:tc>
          <w:tcPr/>
          <w:p>
            <w:pPr>
              <w:pStyle w:val="Compact"/>
              <w:jc w:val="left"/>
            </w:pPr>
            <w:r>
              <w:t xml:space="preserve">2</w:t>
            </w:r>
          </w:p>
        </w:tc>
        <w:tc>
          <w:tcPr/>
          <w:p>
            <w:pPr>
              <w:pStyle w:val="Compact"/>
              <w:jc w:val="left"/>
            </w:pPr>
            <w:r>
              <w:t xml:space="preserve">Greenoaks Capital funds (director Neil Mehta)</w:t>
            </w:r>
          </w:p>
        </w:tc>
        <w:tc>
          <w:tcPr/>
          <w:p>
            <w:pPr>
              <w:pStyle w:val="Compact"/>
              <w:jc w:val="left"/>
            </w:pPr>
            <w:r>
              <w:t xml:space="preserve">Institutional / VC (related party)</w:t>
            </w:r>
          </w:p>
        </w:tc>
        <w:tc>
          <w:tcPr/>
          <w:p>
            <w:pPr>
              <w:pStyle w:val="Compact"/>
              <w:jc w:val="left"/>
            </w:pPr>
            <w:r>
              <w:t xml:space="preserve">~3.2% of Class A (filing context); received 5.47m shares in Apr-2025</w:t>
            </w:r>
          </w:p>
        </w:tc>
        <w:tc>
          <w:tcPr/>
          <w:p>
            <w:pPr>
              <w:pStyle w:val="Compact"/>
              <w:jc w:val="left"/>
            </w:pPr>
            <w:hyperlink r:id="rId400">
              <w:r>
                <w:rPr>
                  <w:rStyle w:val="Hyperlink"/>
                </w:rPr>
                <w:t xml:space="preserve">#2</w:t>
              </w:r>
            </w:hyperlink>
            <w:r>
              <w:t xml:space="preserve">,</w:t>
            </w:r>
            <w:r>
              <w:t xml:space="preserve"> </w:t>
            </w:r>
            <w:hyperlink r:id="rId429">
              <w:r>
                <w:rPr>
                  <w:rStyle w:val="Hyperlink"/>
                </w:rPr>
                <w:t xml:space="preserve">#4</w:t>
              </w:r>
            </w:hyperlink>
            <w:r>
              <w:t xml:space="preserve">,</w:t>
            </w:r>
            <w:r>
              <w:t xml:space="preserve"> </w:t>
            </w:r>
            <w:hyperlink r:id="rId430">
              <w:r>
                <w:rPr>
                  <w:rStyle w:val="Hyperlink"/>
                </w:rPr>
                <w:t xml:space="preserve">#5</w:t>
              </w:r>
            </w:hyperlink>
            <w:r>
              <w:t xml:space="preserve">,</w:t>
            </w:r>
            <w:r>
              <w:t xml:space="preserve"> </w:t>
            </w:r>
            <w:hyperlink r:id="rId194">
              <w:r>
                <w:rPr>
                  <w:rStyle w:val="Hyperlink"/>
                </w:rPr>
                <w:t xml:space="preserve">#2050</w:t>
              </w:r>
            </w:hyperlink>
          </w:p>
        </w:tc>
      </w:tr>
      <w:tr>
        <w:tc>
          <w:tcPr/>
          <w:p>
            <w:pPr>
              <w:pStyle w:val="Compact"/>
              <w:jc w:val="left"/>
            </w:pPr>
            <w:r>
              <w:t xml:space="preserve">3</w:t>
            </w:r>
          </w:p>
        </w:tc>
        <w:tc>
          <w:tcPr/>
          <w:p>
            <w:pPr>
              <w:pStyle w:val="Compact"/>
              <w:jc w:val="left"/>
            </w:pPr>
            <w:r>
              <w:t xml:space="preserve">Maverick Holdings C</w:t>
            </w:r>
          </w:p>
        </w:tc>
        <w:tc>
          <w:tcPr/>
          <w:p>
            <w:pPr>
              <w:pStyle w:val="Compact"/>
              <w:jc w:val="left"/>
            </w:pPr>
            <w:r>
              <w:t xml:space="preserve">Institutional (early investor)</w:t>
            </w:r>
          </w:p>
        </w:tc>
        <w:tc>
          <w:tcPr/>
          <w:p>
            <w:pPr>
              <w:pStyle w:val="Compact"/>
              <w:jc w:val="left"/>
            </w:pPr>
            <w:r>
              <w:t xml:space="preserve">Sold 10m shares back to Coupang at US$17.79 (Apr-2024); residual stake n.a.</w:t>
            </w:r>
          </w:p>
        </w:tc>
        <w:tc>
          <w:tcPr/>
          <w:p>
            <w:pPr>
              <w:pStyle w:val="Compact"/>
              <w:jc w:val="left"/>
            </w:pPr>
            <w:hyperlink r:id="rId96">
              <w:r>
                <w:rPr>
                  <w:rStyle w:val="Hyperlink"/>
                </w:rPr>
                <w:t xml:space="preserve">#0</w:t>
              </w:r>
            </w:hyperlink>
          </w:p>
        </w:tc>
      </w:tr>
      <w:tr>
        <w:tc>
          <w:tcPr/>
          <w:p>
            <w:pPr>
              <w:pStyle w:val="Compact"/>
              <w:jc w:val="left"/>
            </w:pPr>
            <w:r>
              <w:t xml:space="preserve">4-10</w:t>
            </w:r>
          </w:p>
        </w:tc>
        <w:tc>
          <w:tcPr/>
          <w:p>
            <w:pPr>
              <w:pStyle w:val="Compact"/>
              <w:jc w:val="left"/>
            </w:pPr>
            <w:r>
              <w:t xml:space="preserve">SoftBank Vision Fund (historically the largest outside holder [u]), index funds, long-only institutions</w:t>
            </w:r>
          </w:p>
        </w:tc>
        <w:tc>
          <w:tcPr/>
          <w:p>
            <w:pPr>
              <w:pStyle w:val="Compact"/>
              <w:jc w:val="left"/>
            </w:pPr>
            <w:r>
              <w:t xml:space="preserve">Institutional</w:t>
            </w:r>
          </w:p>
        </w:tc>
        <w:tc>
          <w:tcPr/>
          <w:p>
            <w:pPr>
              <w:pStyle w:val="Compact"/>
              <w:jc w:val="left"/>
            </w:pPr>
            <w:r>
              <w:rPr>
                <w:bCs/>
                <w:b/>
              </w:rPr>
              <w:t xml:space="preserve">Not available.</w:t>
            </w:r>
            <w:r>
              <w:t xml:space="preserve"> </w:t>
            </w:r>
            <w:r>
              <w:t xml:space="preserve">S&amp;P/ProntoNLP do not index the proxy beneficial-ownership table or 13F/13G filings ‡</w:t>
            </w:r>
          </w:p>
        </w:tc>
        <w:tc>
          <w:tcPr/>
          <w:p>
            <w:pPr>
              <w:pStyle w:val="Compact"/>
              <w:jc w:val="left"/>
            </w:pPr>
            <w:r>
              <w:t xml:space="preserve">n/a</w:t>
            </w:r>
          </w:p>
        </w:tc>
      </w:tr>
    </w:tbl>
    <w:p>
      <w:pPr>
        <w:pStyle w:val="BodyText"/>
      </w:pPr>
      <w:r>
        <w:rPr>
          <w:iCs/>
          <w:i/>
        </w:rPr>
        <w:t xml:space="preserve">Analyst note: the full top-10 holder table (with percentages and recent changes) requires the Capital IQ ownership module or the 2026 DEF 14A. Neither is reachable through the connectors used for this report.</w:t>
      </w:r>
    </w:p>
    <w:p>
      <w:pPr>
        <w:pStyle w:val="BodyText"/>
      </w:pPr>
      <w:r>
        <w:rPr>
          <w:bCs/>
          <w:b/>
        </w:rPr>
        <w:t xml:space="preserve">Activism.</w:t>
      </w:r>
      <w:r>
        <w:t xml:space="preserve"> </w:t>
      </w:r>
      <w:r>
        <w:t xml:space="preserve">We found no 13D filings, no shareholder proposals (every AGM from 2022 to 2026 carried management proposals only,</w:t>
      </w:r>
      <w:r>
        <w:t xml:space="preserve"> </w:t>
      </w:r>
      <w:hyperlink r:id="rId445">
        <w:r>
          <w:rPr>
            <w:rStyle w:val="Hyperlink"/>
          </w:rPr>
          <w:t xml:space="preserve">#1</w:t>
        </w:r>
      </w:hyperlink>
      <w:r>
        <w:t xml:space="preserve">) and no activist campaigns. Say-on-pay passed easily in 2026: 5.49bn votes for, 96m against (</w:t>
      </w:r>
      <w:hyperlink r:id="rId446">
        <w:r>
          <w:rPr>
            <w:rStyle w:val="Hyperlink"/>
          </w:rPr>
          <w:t xml:space="preserve">#8</w:t>
        </w:r>
      </w:hyperlink>
      <w:r>
        <w:t xml:space="preserve">). The control structure makes activism structurally ineffective. Pressure is coming instead through litigation:</w:t>
      </w:r>
    </w:p>
    <w:p>
      <w:pPr>
        <w:numPr>
          <w:ilvl w:val="0"/>
          <w:numId w:val="1050"/>
        </w:numPr>
        <w:pStyle w:val="Compact"/>
      </w:pPr>
      <w:r>
        <w:t xml:space="preserve">Securities class action,</w:t>
      </w:r>
      <w:r>
        <w:t xml:space="preserve"> </w:t>
      </w:r>
      <w:r>
        <w:rPr>
          <w:iCs/>
          <w:i/>
        </w:rPr>
        <w:t xml:space="preserve">Lee and Park</w:t>
      </w:r>
      <w:r>
        <w:t xml:space="preserve">, filed 6-Jan-2026 (</w:t>
      </w:r>
      <w:hyperlink r:id="rId105">
        <w:r>
          <w:rPr>
            <w:rStyle w:val="Hyperlink"/>
          </w:rPr>
          <w:t xml:space="preserve">#415</w:t>
        </w:r>
      </w:hyperlink>
      <w:r>
        <w:t xml:space="preserve">).</w:t>
      </w:r>
    </w:p>
    <w:p>
      <w:pPr>
        <w:numPr>
          <w:ilvl w:val="0"/>
          <w:numId w:val="1050"/>
        </w:numPr>
        <w:pStyle w:val="Compact"/>
      </w:pPr>
      <w:r>
        <w:t xml:space="preserve">Consumer class action in the EDNY, seeking damages for US and Korean residents (</w:t>
      </w:r>
      <w:hyperlink r:id="rId447">
        <w:r>
          <w:rPr>
            <w:rStyle w:val="Hyperlink"/>
          </w:rPr>
          <w:t xml:space="preserve">#423</w:t>
        </w:r>
      </w:hyperlink>
      <w:r>
        <w:t xml:space="preserve">).</w:t>
      </w:r>
    </w:p>
    <w:p>
      <w:pPr>
        <w:numPr>
          <w:ilvl w:val="0"/>
          <w:numId w:val="1050"/>
        </w:numPr>
        <w:pStyle w:val="Compact"/>
      </w:pPr>
      <w:r>
        <w:t xml:space="preserve">Derivative suits, including</w:t>
      </w:r>
      <w:r>
        <w:t xml:space="preserve"> </w:t>
      </w:r>
      <w:r>
        <w:rPr>
          <w:iCs/>
          <w:i/>
        </w:rPr>
        <w:t xml:space="preserve">Warga v. Bom Kim</w:t>
      </w:r>
      <w:r>
        <w:t xml:space="preserve">, and board demands (</w:t>
      </w:r>
      <w:hyperlink r:id="rId410">
        <w:r>
          <w:rPr>
            <w:rStyle w:val="Hyperlink"/>
          </w:rPr>
          <w:t xml:space="preserve">#1980</w:t>
        </w:r>
      </w:hyperlink>
      <w:r>
        <w:t xml:space="preserve">).</w:t>
      </w:r>
    </w:p>
    <w:p>
      <w:pPr>
        <w:numPr>
          <w:ilvl w:val="0"/>
          <w:numId w:val="1050"/>
        </w:numPr>
        <w:pStyle w:val="Compact"/>
      </w:pPr>
      <w:r>
        <w:t xml:space="preserve">The appeal of the dismissed IPO class action (</w:t>
      </w:r>
      <w:hyperlink r:id="rId448">
        <w:r>
          <w:rPr>
            <w:rStyle w:val="Hyperlink"/>
          </w:rPr>
          <w:t xml:space="preserve">#408</w:t>
        </w:r>
      </w:hyperlink>
      <w:r>
        <w:t xml:space="preserve">).</w:t>
      </w:r>
    </w:p>
    <w:p>
      <w:pPr>
        <w:pStyle w:val="FirstParagraph"/>
      </w:pPr>
      <w:r>
        <w:rPr>
          <w:bCs/>
          <w:b/>
        </w:rPr>
        <w:t xml:space="preserve">Short interest.</w:t>
      </w:r>
      <w:r>
        <w:t xml:space="preserve"> </w:t>
      </w:r>
      <w:r>
        <w:t xml:space="preserve">Not available in S&amp;P or ProntoNLP ‡. No short-seller reports or named short sellers were found.</w:t>
      </w:r>
    </w:p>
    <w:bookmarkEnd w:id="449"/>
    <w:bookmarkStart w:id="455" w:name="X051b7e4534a02f6e801f0b9a8b73b4ad94a334c"/>
    <w:p>
      <w:pPr>
        <w:pStyle w:val="Heading1"/>
      </w:pPr>
      <w:r>
        <w:t xml:space="preserve">18. Strategic initiatives (last 10 years): success, failure, status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Initiative</w:t>
            </w:r>
          </w:p>
        </w:tc>
        <w:tc>
          <w:tcPr/>
          <w:p>
            <w:pPr>
              <w:pStyle w:val="Compact"/>
              <w:jc w:val="left"/>
            </w:pPr>
            <w:r>
              <w:t xml:space="preserve">Launched</w:t>
            </w:r>
          </w:p>
        </w:tc>
        <w:tc>
          <w:tcPr/>
          <w:p>
            <w:pPr>
              <w:pStyle w:val="Compact"/>
              <w:jc w:val="left"/>
            </w:pPr>
            <w:r>
              <w:t xml:space="preserve">Status (Oct-2026)</w:t>
            </w:r>
          </w:p>
        </w:tc>
        <w:tc>
          <w:tcPr/>
          <w:p>
            <w:pPr>
              <w:pStyle w:val="Compact"/>
              <w:jc w:val="left"/>
            </w:pPr>
            <w:r>
              <w:t xml:space="preserve">Verdict</w:t>
            </w:r>
          </w:p>
        </w:tc>
        <w:tc>
          <w:tcPr/>
          <w:p>
            <w:pPr>
              <w:pStyle w:val="Compact"/>
              <w:jc w:val="left"/>
            </w:pPr>
            <w:r>
              <w:t xml:space="preserve">Evidence</w:t>
            </w:r>
          </w:p>
        </w:tc>
      </w:tr>
      <w:tr>
        <w:tc>
          <w:tcPr/>
          <w:p>
            <w:pPr>
              <w:pStyle w:val="Compact"/>
              <w:jc w:val="left"/>
            </w:pPr>
            <w:r>
              <w:t xml:space="preserve">Rocket Delivery (next-day; dawn)</w:t>
            </w:r>
          </w:p>
        </w:tc>
        <w:tc>
          <w:tcPr/>
          <w:p>
            <w:pPr>
              <w:pStyle w:val="Compact"/>
              <w:jc w:val="left"/>
            </w:pPr>
            <w:r>
              <w:t xml:space="preserve">~2014</w:t>
            </w:r>
          </w:p>
        </w:tc>
        <w:tc>
          <w:tcPr/>
          <w:p>
            <w:pPr>
              <w:pStyle w:val="Compact"/>
              <w:jc w:val="left"/>
            </w:pPr>
            <w:r>
              <w:t xml:space="preserve">Core franchise; extended to Taiwan</w:t>
            </w:r>
          </w:p>
        </w:tc>
        <w:tc>
          <w:tcPr/>
          <w:p>
            <w:pPr>
              <w:pStyle w:val="Compact"/>
              <w:jc w:val="left"/>
            </w:pPr>
            <w:r>
              <w:rPr>
                <w:bCs/>
                <w:b/>
              </w:rPr>
              <w:t xml:space="preserve">Success.</w:t>
            </w:r>
            <w:r>
              <w:t xml:space="preserve"> </w:t>
            </w:r>
            <w:r>
              <w:t xml:space="preserve">The foundation of the moat</w:t>
            </w:r>
          </w:p>
        </w:tc>
        <w:tc>
          <w:tcPr/>
          <w:p>
            <w:pPr>
              <w:pStyle w:val="Compact"/>
              <w:jc w:val="left"/>
            </w:pPr>
            <w:hyperlink r:id="rId114">
              <w:r>
                <w:rPr>
                  <w:rStyle w:val="Hyperlink"/>
                </w:rPr>
                <w:t xml:space="preserve">#31</w:t>
              </w:r>
            </w:hyperlink>
            <w:r>
              <w:t xml:space="preserve">,</w:t>
            </w:r>
            <w:r>
              <w:t xml:space="preserve"> </w:t>
            </w:r>
            <w:hyperlink r:id="rId450">
              <w:r>
                <w:rPr>
                  <w:rStyle w:val="Hyperlink"/>
                </w:rPr>
                <w:t xml:space="preserve">#99</w:t>
              </w:r>
            </w:hyperlink>
          </w:p>
        </w:tc>
      </w:tr>
      <w:tr>
        <w:tc>
          <w:tcPr/>
          <w:p>
            <w:pPr>
              <w:pStyle w:val="Compact"/>
              <w:jc w:val="left"/>
            </w:pPr>
            <w:r>
              <w:t xml:space="preserve">WOW membership</w:t>
            </w:r>
          </w:p>
        </w:tc>
        <w:tc>
          <w:tcPr/>
          <w:p>
            <w:pPr>
              <w:pStyle w:val="Compact"/>
              <w:jc w:val="left"/>
            </w:pPr>
            <w:r>
              <w:t xml:space="preserve">By 2019-20</w:t>
            </w:r>
          </w:p>
        </w:tc>
        <w:tc>
          <w:tcPr/>
          <w:p>
            <w:pPr>
              <w:pStyle w:val="Compact"/>
              <w:jc w:val="left"/>
            </w:pPr>
            <w:r>
              <w:t xml:space="preserve">6m (2020) → 14m (2023) → record in 2026</w:t>
            </w:r>
          </w:p>
        </w:tc>
        <w:tc>
          <w:tcPr/>
          <w:p>
            <w:pPr>
              <w:pStyle w:val="Compact"/>
              <w:jc w:val="left"/>
            </w:pPr>
            <w:r>
              <w:rPr>
                <w:bCs/>
                <w:b/>
              </w:rPr>
              <w:t xml:space="preserve">Success</w:t>
            </w:r>
          </w:p>
        </w:tc>
        <w:tc>
          <w:tcPr/>
          <w:p>
            <w:pPr>
              <w:pStyle w:val="Compact"/>
              <w:jc w:val="left"/>
            </w:pPr>
            <w:hyperlink r:id="rId281">
              <w:r>
                <w:rPr>
                  <w:rStyle w:val="Hyperlink"/>
                </w:rPr>
                <w:t xml:space="preserve">#63</w:t>
              </w:r>
            </w:hyperlink>
            <w:r>
              <w:t xml:space="preserve">,</w:t>
            </w:r>
            <w:r>
              <w:t xml:space="preserve"> </w:t>
            </w:r>
            <w:hyperlink r:id="rId28">
              <w:r>
                <w:rPr>
                  <w:rStyle w:val="Hyperlink"/>
                </w:rPr>
                <w:t xml:space="preserve">#271</w:t>
              </w:r>
            </w:hyperlink>
          </w:p>
        </w:tc>
      </w:tr>
      <w:tr>
        <w:tc>
          <w:tcPr/>
          <w:p>
            <w:pPr>
              <w:pStyle w:val="Compact"/>
              <w:jc w:val="left"/>
            </w:pPr>
            <w:r>
              <w:t xml:space="preserve">Rocket Fresh</w:t>
            </w:r>
          </w:p>
        </w:tc>
        <w:tc>
          <w:tcPr/>
          <w:p>
            <w:pPr>
              <w:pStyle w:val="Compact"/>
              <w:jc w:val="left"/>
            </w:pPr>
            <w:r>
              <w:t xml:space="preserve">Pre-2021</w:t>
            </w:r>
          </w:p>
        </w:tc>
        <w:tc>
          <w:tcPr/>
          <w:p>
            <w:pPr>
              <w:pStyle w:val="Compact"/>
              <w:jc w:val="left"/>
            </w:pPr>
            <w:r>
              <w:t xml:space="preserve">Grows above group; once a drag (2021 under-utilisation)</w:t>
            </w:r>
          </w:p>
        </w:tc>
        <w:tc>
          <w:tcPr/>
          <w:p>
            <w:pPr>
              <w:pStyle w:val="Compact"/>
              <w:jc w:val="left"/>
            </w:pPr>
            <w:r>
              <w:rPr>
                <w:bCs/>
                <w:b/>
              </w:rPr>
              <w:t xml:space="preserve">Success after a costly ramp</w:t>
            </w:r>
          </w:p>
        </w:tc>
        <w:tc>
          <w:tcPr/>
          <w:p>
            <w:pPr>
              <w:pStyle w:val="Compact"/>
              <w:jc w:val="left"/>
            </w:pPr>
            <w:hyperlink r:id="rId87">
              <w:r>
                <w:rPr>
                  <w:rStyle w:val="Hyperlink"/>
                </w:rPr>
                <w:t xml:space="preserve">#128</w:t>
              </w:r>
            </w:hyperlink>
            <w:r>
              <w:t xml:space="preserve">,</w:t>
            </w:r>
            <w:r>
              <w:t xml:space="preserve"> </w:t>
            </w:r>
            <w:hyperlink r:id="rId125">
              <w:r>
                <w:rPr>
                  <w:rStyle w:val="Hyperlink"/>
                </w:rPr>
                <w:t xml:space="preserve">#148</w:t>
              </w:r>
            </w:hyperlink>
          </w:p>
        </w:tc>
      </w:tr>
      <w:tr>
        <w:tc>
          <w:tcPr/>
          <w:p>
            <w:pPr>
              <w:pStyle w:val="Compact"/>
              <w:jc w:val="left"/>
            </w:pPr>
            <w:r>
              <w:t xml:space="preserve">Marketplace + FLC / Rocket Growth</w:t>
            </w:r>
          </w:p>
        </w:tc>
        <w:tc>
          <w:tcPr/>
          <w:p>
            <w:pPr>
              <w:pStyle w:val="Compact"/>
              <w:jc w:val="left"/>
            </w:pPr>
            <w:r>
              <w:t xml:space="preserve">~2022 [u]</w:t>
            </w:r>
          </w:p>
        </w:tc>
        <w:tc>
          <w:tcPr/>
          <w:p>
            <w:pPr>
              <w:pStyle w:val="Compact"/>
              <w:jc w:val="left"/>
            </w:pPr>
            <w:r>
              <w:t xml:space="preserve">Faster than 1P; margin-accretive</w:t>
            </w:r>
          </w:p>
        </w:tc>
        <w:tc>
          <w:tcPr/>
          <w:p>
            <w:pPr>
              <w:pStyle w:val="Compact"/>
              <w:jc w:val="left"/>
            </w:pPr>
            <w:r>
              <w:rPr>
                <w:bCs/>
                <w:b/>
              </w:rPr>
              <w:t xml:space="preserve">Success</w:t>
            </w:r>
          </w:p>
        </w:tc>
        <w:tc>
          <w:tcPr/>
          <w:p>
            <w:pPr>
              <w:pStyle w:val="Compact"/>
              <w:jc w:val="left"/>
            </w:pPr>
            <w:hyperlink r:id="rId69">
              <w:r>
                <w:rPr>
                  <w:rStyle w:val="Hyperlink"/>
                </w:rPr>
                <w:t xml:space="preserve">#145</w:t>
              </w:r>
            </w:hyperlink>
          </w:p>
        </w:tc>
      </w:tr>
      <w:tr>
        <w:tc>
          <w:tcPr/>
          <w:p>
            <w:pPr>
              <w:pStyle w:val="Compact"/>
              <w:jc w:val="left"/>
            </w:pPr>
            <w:r>
              <w:t xml:space="preserve">Coupang Eats</w:t>
            </w:r>
          </w:p>
        </w:tc>
        <w:tc>
          <w:tcPr/>
          <w:p>
            <w:pPr>
              <w:pStyle w:val="Compact"/>
              <w:jc w:val="left"/>
            </w:pPr>
            <w:r>
              <w:t xml:space="preserve">Pre-2021</w:t>
            </w:r>
          </w:p>
        </w:tc>
        <w:tc>
          <w:tcPr/>
          <w:p>
            <w:pPr>
              <w:pStyle w:val="Compact"/>
              <w:jc w:val="left"/>
            </w:pPr>
            <w:r>
              <w:t xml:space="preserve">“</w:t>
            </w:r>
            <w:r>
              <w:t xml:space="preserve">Self-sustaining</w:t>
            </w:r>
            <w:r>
              <w:t xml:space="preserve">”</w:t>
            </w:r>
            <w:r>
              <w:t xml:space="preserve"> </w:t>
            </w:r>
            <w:r>
              <w:t xml:space="preserve">with Rocket Now; KFTC bundling challenge</w:t>
            </w:r>
          </w:p>
        </w:tc>
        <w:tc>
          <w:tcPr/>
          <w:p>
            <w:pPr>
              <w:pStyle w:val="Compact"/>
              <w:jc w:val="left"/>
            </w:pPr>
            <w:r>
              <w:rPr>
                <w:bCs/>
                <w:b/>
              </w:rPr>
              <w:t xml:space="preserve">Partial success.</w:t>
            </w:r>
            <w:r>
              <w:t xml:space="preserve"> </w:t>
            </w:r>
            <w:r>
              <w:t xml:space="preserve">Regulatory risk</w:t>
            </w:r>
          </w:p>
        </w:tc>
        <w:tc>
          <w:tcPr/>
          <w:p>
            <w:pPr>
              <w:pStyle w:val="Compact"/>
              <w:jc w:val="left"/>
            </w:pPr>
            <w:hyperlink r:id="rId133">
              <w:r>
                <w:rPr>
                  <w:rStyle w:val="Hyperlink"/>
                </w:rPr>
                <w:t xml:space="preserve">#129</w:t>
              </w:r>
            </w:hyperlink>
            <w:r>
              <w:t xml:space="preserve">,</w:t>
            </w:r>
            <w:r>
              <w:t xml:space="preserve"> </w:t>
            </w:r>
            <w:hyperlink r:id="rId451">
              <w:r>
                <w:rPr>
                  <w:rStyle w:val="Hyperlink"/>
                </w:rPr>
                <w:t xml:space="preserve">#2008</w:t>
              </w:r>
            </w:hyperlink>
          </w:p>
        </w:tc>
      </w:tr>
      <w:tr>
        <w:tc>
          <w:tcPr/>
          <w:p>
            <w:pPr>
              <w:pStyle w:val="Compact"/>
              <w:jc w:val="left"/>
            </w:pPr>
            <w:r>
              <w:t xml:space="preserve">Coupang Play</w:t>
            </w:r>
          </w:p>
        </w:tc>
        <w:tc>
          <w:tcPr/>
          <w:p>
            <w:pPr>
              <w:pStyle w:val="Compact"/>
              <w:jc w:val="left"/>
            </w:pPr>
            <w:r>
              <w:t xml:space="preserve">Pre-2021</w:t>
            </w:r>
          </w:p>
        </w:tc>
        <w:tc>
          <w:tcPr/>
          <w:p>
            <w:pPr>
              <w:pStyle w:val="Compact"/>
              <w:jc w:val="left"/>
            </w:pPr>
            <w:r>
              <w:t xml:space="preserve">WOW benefit; no standalone KPIs</w:t>
            </w:r>
          </w:p>
        </w:tc>
        <w:tc>
          <w:tcPr/>
          <w:p>
            <w:pPr>
              <w:pStyle w:val="Compact"/>
              <w:jc w:val="left"/>
            </w:pPr>
            <w:r>
              <w:rPr>
                <w:bCs/>
                <w:b/>
              </w:rPr>
              <w:t xml:space="preserve">Unproven</w:t>
            </w:r>
            <w:r>
              <w:t xml:space="preserve"> </w:t>
            </w:r>
            <w:r>
              <w:t xml:space="preserve">(retention tool)</w:t>
            </w:r>
          </w:p>
        </w:tc>
        <w:tc>
          <w:tcPr/>
          <w:p>
            <w:pPr>
              <w:pStyle w:val="Compact"/>
              <w:jc w:val="left"/>
            </w:pPr>
            <w:hyperlink r:id="rId452">
              <w:r>
                <w:rPr>
                  <w:rStyle w:val="Hyperlink"/>
                </w:rPr>
                <w:t xml:space="preserve">#114</w:t>
              </w:r>
            </w:hyperlink>
          </w:p>
        </w:tc>
      </w:tr>
      <w:tr>
        <w:tc>
          <w:tcPr/>
          <w:p>
            <w:pPr>
              <w:pStyle w:val="Compact"/>
              <w:jc w:val="left"/>
            </w:pPr>
            <w:r>
              <w:t xml:space="preserve">Coupang Pay / fintech</w:t>
            </w:r>
          </w:p>
        </w:tc>
        <w:tc>
          <w:tcPr/>
          <w:p>
            <w:pPr>
              <w:pStyle w:val="Compact"/>
              <w:jc w:val="left"/>
            </w:pPr>
            <w:r>
              <w:t xml:space="preserve">n.d.</w:t>
            </w:r>
          </w:p>
        </w:tc>
        <w:tc>
          <w:tcPr/>
          <w:p>
            <w:pPr>
              <w:pStyle w:val="Compact"/>
              <w:jc w:val="left"/>
            </w:pPr>
            <w:r>
              <w:t xml:space="preserve">Active; EFTA settlement-fund rules from Dec-26</w:t>
            </w:r>
          </w:p>
        </w:tc>
        <w:tc>
          <w:tcPr/>
          <w:p>
            <w:pPr>
              <w:pStyle w:val="Compact"/>
              <w:jc w:val="left"/>
            </w:pPr>
            <w:r>
              <w:rPr>
                <w:bCs/>
                <w:b/>
              </w:rPr>
              <w:t xml:space="preserve">Unproven; regulatory drag</w:t>
            </w:r>
          </w:p>
        </w:tc>
        <w:tc>
          <w:tcPr/>
          <w:p>
            <w:pPr>
              <w:pStyle w:val="Compact"/>
              <w:jc w:val="left"/>
            </w:pPr>
            <w:hyperlink r:id="rId453">
              <w:r>
                <w:rPr>
                  <w:rStyle w:val="Hyperlink"/>
                </w:rPr>
                <w:t xml:space="preserve">#616</w:t>
              </w:r>
            </w:hyperlink>
          </w:p>
        </w:tc>
      </w:tr>
      <w:tr>
        <w:tc>
          <w:tcPr/>
          <w:p>
            <w:pPr>
              <w:pStyle w:val="Compact"/>
              <w:jc w:val="left"/>
            </w:pPr>
            <w:r>
              <w:t xml:space="preserve">Japan v1 (quick commerce)</w:t>
            </w:r>
          </w:p>
        </w:tc>
        <w:tc>
          <w:tcPr/>
          <w:p>
            <w:pPr>
              <w:pStyle w:val="Compact"/>
              <w:jc w:val="left"/>
            </w:pPr>
            <w:r>
              <w:t xml:space="preserve">~2021</w:t>
            </w:r>
          </w:p>
        </w:tc>
        <w:tc>
          <w:tcPr/>
          <w:p>
            <w:pPr>
              <w:pStyle w:val="Compact"/>
              <w:jc w:val="left"/>
            </w:pPr>
            <w:r>
              <w:rPr>
                <w:bCs/>
                <w:b/>
              </w:rPr>
              <w:t xml:space="preserve">Exited by Q1’23</w:t>
            </w:r>
          </w:p>
        </w:tc>
        <w:tc>
          <w:tcPr/>
          <w:p>
            <w:pPr>
              <w:pStyle w:val="Compact"/>
              <w:jc w:val="left"/>
            </w:pPr>
            <w:r>
              <w:rPr>
                <w:bCs/>
                <w:b/>
              </w:rPr>
              <w:t xml:space="preserve">Failure</w:t>
            </w:r>
          </w:p>
        </w:tc>
        <w:tc>
          <w:tcPr/>
          <w:p>
            <w:pPr>
              <w:pStyle w:val="Compact"/>
              <w:jc w:val="left"/>
            </w:pPr>
            <w:hyperlink r:id="rId408">
              <w:r>
                <w:rPr>
                  <w:rStyle w:val="Hyperlink"/>
                </w:rPr>
                <w:t xml:space="preserve">#72</w:t>
              </w:r>
            </w:hyperlink>
          </w:p>
        </w:tc>
      </w:tr>
      <w:tr>
        <w:tc>
          <w:tcPr/>
          <w:p>
            <w:pPr>
              <w:pStyle w:val="Compact"/>
              <w:jc w:val="left"/>
            </w:pPr>
            <w:r>
              <w:t xml:space="preserve">Japan v2 (Rocket Now food)</w:t>
            </w:r>
          </w:p>
        </w:tc>
        <w:tc>
          <w:tcPr/>
          <w:p>
            <w:pPr>
              <w:pStyle w:val="Compact"/>
              <w:jc w:val="left"/>
            </w:pPr>
            <w:r>
              <w:t xml:space="preserve">By Q4’25</w:t>
            </w:r>
          </w:p>
        </w:tc>
        <w:tc>
          <w:tcPr/>
          <w:p>
            <w:pPr>
              <w:pStyle w:val="Compact"/>
              <w:jc w:val="left"/>
            </w:pPr>
            <w:r>
              <w:t xml:space="preserve">Early</w:t>
            </w:r>
          </w:p>
        </w:tc>
        <w:tc>
          <w:tcPr/>
          <w:p>
            <w:pPr>
              <w:pStyle w:val="Compact"/>
              <w:jc w:val="left"/>
            </w:pPr>
            <w:r>
              <w:rPr>
                <w:bCs/>
                <w:b/>
              </w:rPr>
              <w:t xml:space="preserve">Too early to call</w:t>
            </w:r>
          </w:p>
        </w:tc>
        <w:tc>
          <w:tcPr/>
          <w:p>
            <w:pPr>
              <w:pStyle w:val="Compact"/>
              <w:jc w:val="left"/>
            </w:pPr>
            <w:hyperlink r:id="rId454">
              <w:r>
                <w:rPr>
                  <w:rStyle w:val="Hyperlink"/>
                </w:rPr>
                <w:t xml:space="preserve">#118</w:t>
              </w:r>
            </w:hyperlink>
          </w:p>
        </w:tc>
      </w:tr>
      <w:tr>
        <w:tc>
          <w:tcPr/>
          <w:p>
            <w:pPr>
              <w:pStyle w:val="Compact"/>
              <w:jc w:val="left"/>
            </w:pPr>
            <w:r>
              <w:t xml:space="preserve">Taiwan</w:t>
            </w:r>
          </w:p>
        </w:tc>
        <w:tc>
          <w:tcPr/>
          <w:p>
            <w:pPr>
              <w:pStyle w:val="Compact"/>
              <w:jc w:val="left"/>
            </w:pPr>
            <w:r>
              <w:t xml:space="preserve">2021-23</w:t>
            </w:r>
          </w:p>
        </w:tc>
        <w:tc>
          <w:tcPr/>
          <w:p>
            <w:pPr>
              <w:pStyle w:val="Compact"/>
              <w:jc w:val="left"/>
            </w:pPr>
            <w:r>
              <w:t xml:space="preserve">Triple-digit growth; largest Developing Offerings loss</w:t>
            </w:r>
          </w:p>
        </w:tc>
        <w:tc>
          <w:tcPr/>
          <w:p>
            <w:pPr>
              <w:pStyle w:val="Compact"/>
              <w:jc w:val="left"/>
            </w:pPr>
            <w:r>
              <w:rPr>
                <w:bCs/>
                <w:b/>
              </w:rPr>
              <w:t xml:space="preserve">Promising operationally, costly financially</w:t>
            </w:r>
          </w:p>
        </w:tc>
        <w:tc>
          <w:tcPr/>
          <w:p>
            <w:pPr>
              <w:pStyle w:val="Compact"/>
              <w:jc w:val="left"/>
            </w:pPr>
            <w:hyperlink r:id="rId136">
              <w:r>
                <w:rPr>
                  <w:rStyle w:val="Hyperlink"/>
                </w:rPr>
                <w:t xml:space="preserve">#94</w:t>
              </w:r>
            </w:hyperlink>
            <w:r>
              <w:t xml:space="preserve">,</w:t>
            </w:r>
            <w:r>
              <w:t xml:space="preserve"> </w:t>
            </w:r>
            <w:hyperlink r:id="rId167">
              <w:r>
                <w:rPr>
                  <w:rStyle w:val="Hyperlink"/>
                </w:rPr>
                <w:t xml:space="preserve">#224</w:t>
              </w:r>
            </w:hyperlink>
          </w:p>
        </w:tc>
      </w:tr>
      <w:tr>
        <w:tc>
          <w:tcPr/>
          <w:p>
            <w:pPr>
              <w:pStyle w:val="Compact"/>
              <w:jc w:val="left"/>
            </w:pPr>
            <w:r>
              <w:t xml:space="preserve">Farfetch</w:t>
            </w:r>
          </w:p>
        </w:tc>
        <w:tc>
          <w:tcPr/>
          <w:p>
            <w:pPr>
              <w:pStyle w:val="Compact"/>
              <w:jc w:val="left"/>
            </w:pPr>
            <w:r>
              <w:t xml:space="preserve">Jan-2024</w:t>
            </w:r>
          </w:p>
        </w:tc>
        <w:tc>
          <w:tcPr/>
          <w:p>
            <w:pPr>
              <w:pStyle w:val="Compact"/>
              <w:jc w:val="left"/>
            </w:pPr>
            <w:r>
              <w:t xml:space="preserve">Restructured; positive economics from Q4’25</w:t>
            </w:r>
          </w:p>
        </w:tc>
        <w:tc>
          <w:tcPr/>
          <w:p>
            <w:pPr>
              <w:pStyle w:val="Compact"/>
              <w:jc w:val="left"/>
            </w:pPr>
            <w:r>
              <w:rPr>
                <w:bCs/>
                <w:b/>
              </w:rPr>
              <w:t xml:space="preserve">Turnaround under way; cheap option</w:t>
            </w:r>
          </w:p>
        </w:tc>
        <w:tc>
          <w:tcPr/>
          <w:p>
            <w:pPr>
              <w:pStyle w:val="Compact"/>
              <w:jc w:val="left"/>
            </w:pPr>
            <w:hyperlink r:id="rId407">
              <w:r>
                <w:rPr>
                  <w:rStyle w:val="Hyperlink"/>
                </w:rPr>
                <w:t xml:space="preserve">#121</w:t>
              </w:r>
            </w:hyperlink>
          </w:p>
        </w:tc>
      </w:tr>
      <w:tr>
        <w:tc>
          <w:tcPr/>
          <w:p>
            <w:pPr>
              <w:pStyle w:val="Compact"/>
              <w:jc w:val="left"/>
            </w:pPr>
            <w:r>
              <w:t xml:space="preserve">AI and automation</w:t>
            </w:r>
          </w:p>
        </w:tc>
        <w:tc>
          <w:tcPr/>
          <w:p>
            <w:pPr>
              <w:pStyle w:val="Compact"/>
              <w:jc w:val="left"/>
            </w:pPr>
            <w:r>
              <w:t xml:space="preserve">Ongoing</w:t>
            </w:r>
          </w:p>
        </w:tc>
        <w:tc>
          <w:tcPr/>
          <w:p>
            <w:pPr>
              <w:pStyle w:val="Compact"/>
              <w:jc w:val="left"/>
            </w:pPr>
            <w:r>
              <w:t xml:space="preserve">Deployed across operations</w:t>
            </w:r>
          </w:p>
        </w:tc>
        <w:tc>
          <w:tcPr/>
          <w:p>
            <w:pPr>
              <w:pStyle w:val="Compact"/>
              <w:jc w:val="left"/>
            </w:pPr>
            <w:r>
              <w:rPr>
                <w:bCs/>
                <w:b/>
              </w:rPr>
              <w:t xml:space="preserve">Enabler</w:t>
            </w:r>
          </w:p>
        </w:tc>
        <w:tc>
          <w:tcPr/>
          <w:p>
            <w:pPr>
              <w:pStyle w:val="Compact"/>
              <w:jc w:val="left"/>
            </w:pPr>
            <w:hyperlink r:id="rId165">
              <w:r>
                <w:rPr>
                  <w:rStyle w:val="Hyperlink"/>
                </w:rPr>
                <w:t xml:space="preserve">#390</w:t>
              </w:r>
            </w:hyperlink>
          </w:p>
        </w:tc>
      </w:tr>
      <w:tr>
        <w:tc>
          <w:tcPr/>
          <w:p>
            <w:pPr>
              <w:pStyle w:val="Compact"/>
              <w:jc w:val="left"/>
            </w:pPr>
            <w:r>
              <w:t xml:space="preserve">Share buybacks</w:t>
            </w:r>
          </w:p>
        </w:tc>
        <w:tc>
          <w:tcPr/>
          <w:p>
            <w:pPr>
              <w:pStyle w:val="Compact"/>
              <w:jc w:val="left"/>
            </w:pPr>
            <w:r>
              <w:t xml:space="preserve">May-2025</w:t>
            </w:r>
          </w:p>
        </w:tc>
        <w:tc>
          <w:tcPr/>
          <w:p>
            <w:pPr>
              <w:pStyle w:val="Compact"/>
              <w:jc w:val="left"/>
            </w:pPr>
            <w:r>
              <w:t xml:space="preserve">US$1.09bn executed under the US$2bn programme</w:t>
            </w:r>
          </w:p>
        </w:tc>
        <w:tc>
          <w:tcPr/>
          <w:p>
            <w:pPr>
              <w:pStyle w:val="Compact"/>
              <w:jc w:val="left"/>
            </w:pPr>
            <w:r>
              <w:rPr>
                <w:bCs/>
                <w:b/>
              </w:rPr>
              <w:t xml:space="preserve">Well timed in 2026 (~US$19.5), but debt-funded</w:t>
            </w:r>
          </w:p>
        </w:tc>
        <w:tc>
          <w:tcPr/>
          <w:p>
            <w:pPr>
              <w:pStyle w:val="Compact"/>
              <w:jc w:val="left"/>
            </w:pPr>
            <w:hyperlink r:id="rId47">
              <w:r>
                <w:rPr>
                  <w:rStyle w:val="Hyperlink"/>
                </w:rPr>
                <w:t xml:space="preserve">#369</w:t>
              </w:r>
            </w:hyperlink>
          </w:p>
        </w:tc>
      </w:tr>
    </w:tbl>
    <w:bookmarkEnd w:id="455"/>
    <w:bookmarkStart w:id="457" w:name="stakes-in-other-companies"/>
    <w:p>
      <w:pPr>
        <w:pStyle w:val="Heading1"/>
      </w:pPr>
      <w:r>
        <w:t xml:space="preserve">19. Stakes in other companies</w:t>
      </w:r>
    </w:p>
    <w:p>
      <w:pPr>
        <w:pStyle w:val="FirstParagraph"/>
      </w:pPr>
      <w:r>
        <w:t xml:space="preserve">We found</w:t>
      </w:r>
      <w:r>
        <w:t xml:space="preserve"> </w:t>
      </w:r>
      <w:r>
        <w:rPr>
          <w:bCs/>
          <w:b/>
        </w:rPr>
        <w:t xml:space="preserve">no material equity-method or minority stakes</w:t>
      </w:r>
      <w:r>
        <w:t xml:space="preserve"> </w:t>
      </w:r>
      <w:r>
        <w:t xml:space="preserve">in listed or unlisted companies in the FY2021-FY2025 10-Ks or the 2026 10-Qs (</w:t>
      </w:r>
      <w:hyperlink r:id="rId402">
        <w:r>
          <w:rPr>
            <w:rStyle w:val="Hyperlink"/>
          </w:rPr>
          <w:t xml:space="preserve">#1415</w:t>
        </w:r>
      </w:hyperlink>
      <w:r>
        <w:t xml:space="preserve">). The strategically relevant holdings are wholly owned subsidiaries:</w:t>
      </w:r>
    </w:p>
    <w:p>
      <w:pPr>
        <w:numPr>
          <w:ilvl w:val="0"/>
          <w:numId w:val="1051"/>
        </w:numPr>
        <w:pStyle w:val="Compact"/>
      </w:pPr>
      <w:r>
        <w:rPr>
          <w:bCs/>
          <w:b/>
        </w:rPr>
        <w:t xml:space="preserve">Farfetch / Surpique LP.</w:t>
      </w:r>
      <w:r>
        <w:t xml:space="preserve"> </w:t>
      </w:r>
      <w:r>
        <w:t xml:space="preserve">100% since April 2025, via the related-party buyout (</w:t>
      </w:r>
      <w:hyperlink r:id="rId401">
        <w:r>
          <w:rPr>
            <w:rStyle w:val="Hyperlink"/>
          </w:rPr>
          <w:t xml:space="preserve">#2052</w:t>
        </w:r>
      </w:hyperlink>
      <w:r>
        <w:t xml:space="preserve">). Strategically optional, financially small. The implied value of ~US$0.7bn [d] is ~2.5% of EV.</w:t>
      </w:r>
    </w:p>
    <w:p>
      <w:pPr>
        <w:numPr>
          <w:ilvl w:val="0"/>
          <w:numId w:val="1051"/>
        </w:numPr>
        <w:pStyle w:val="Compact"/>
      </w:pPr>
      <w:r>
        <w:rPr>
          <w:bCs/>
          <w:b/>
        </w:rPr>
        <w:t xml:space="preserve">Coupang Pay.</w:t>
      </w:r>
      <w:r>
        <w:t xml:space="preserve"> </w:t>
      </w:r>
      <w:r>
        <w:t xml:space="preserve">Licensed fintech subsidiary subject to EFTA rules (</w:t>
      </w:r>
      <w:hyperlink r:id="rId456">
        <w:r>
          <w:rPr>
            <w:rStyle w:val="Hyperlink"/>
          </w:rPr>
          <w:t xml:space="preserve">#2061</w:t>
        </w:r>
      </w:hyperlink>
      <w:r>
        <w:t xml:space="preserve">).</w:t>
      </w:r>
    </w:p>
    <w:p>
      <w:pPr>
        <w:numPr>
          <w:ilvl w:val="0"/>
          <w:numId w:val="1051"/>
        </w:numPr>
        <w:pStyle w:val="Compact"/>
      </w:pPr>
      <w:r>
        <w:rPr>
          <w:bCs/>
          <w:b/>
        </w:rPr>
        <w:t xml:space="preserve">CPLB</w:t>
      </w:r>
      <w:r>
        <w:t xml:space="preserve"> </w:t>
      </w:r>
      <w:r>
        <w:t xml:space="preserve">(private label) and</w:t>
      </w:r>
      <w:r>
        <w:t xml:space="preserve"> </w:t>
      </w:r>
      <w:r>
        <w:rPr>
          <w:bCs/>
          <w:b/>
        </w:rPr>
        <w:t xml:space="preserve">CFS</w:t>
      </w:r>
      <w:r>
        <w:t xml:space="preserve"> </w:t>
      </w:r>
      <w:r>
        <w:t xml:space="preserve">(fulfilment services). CFS is the subject of the ~US$208m NTS transfer-pricing claim (</w:t>
      </w:r>
      <w:hyperlink r:id="rId182">
        <w:r>
          <w:rPr>
            <w:rStyle w:val="Hyperlink"/>
          </w:rPr>
          <w:t xml:space="preserve">#345</w:t>
        </w:r>
      </w:hyperlink>
      <w:r>
        <w:t xml:space="preserve">).</w:t>
      </w:r>
    </w:p>
    <w:bookmarkEnd w:id="457"/>
    <w:bookmarkStart w:id="465" w:name="X19e17f8802ccdc6fc4679c3b68dc5fc7ee6b491"/>
    <w:p>
      <w:pPr>
        <w:pStyle w:val="Heading1"/>
      </w:pPr>
      <w:r>
        <w:t xml:space="preserve">20. Dividends, buybacks and treasury shares (last five years)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Period</w:t>
            </w:r>
          </w:p>
        </w:tc>
        <w:tc>
          <w:tcPr/>
          <w:p>
            <w:pPr>
              <w:pStyle w:val="Compact"/>
              <w:jc w:val="left"/>
            </w:pPr>
            <w:r>
              <w:t xml:space="preserve">Dividend per share</w:t>
            </w:r>
          </w:p>
        </w:tc>
        <w:tc>
          <w:tcPr/>
          <w:p>
            <w:pPr>
              <w:pStyle w:val="Compact"/>
              <w:jc w:val="left"/>
            </w:pPr>
            <w:r>
              <w:t xml:space="preserve">Shares repurchased</w:t>
            </w:r>
          </w:p>
        </w:tc>
        <w:tc>
          <w:tcPr/>
          <w:p>
            <w:pPr>
              <w:pStyle w:val="Compact"/>
              <w:jc w:val="left"/>
            </w:pPr>
            <w:r>
              <w:t xml:space="preserve">Amount</w:t>
            </w:r>
          </w:p>
        </w:tc>
        <w:tc>
          <w:tcPr/>
          <w:p>
            <w:pPr>
              <w:pStyle w:val="Compact"/>
              <w:jc w:val="left"/>
            </w:pPr>
            <w:r>
              <w:t xml:space="preserve">Average price [d]</w:t>
            </w:r>
          </w:p>
        </w:tc>
        <w:tc>
          <w:tcPr/>
          <w:p>
            <w:pPr>
              <w:pStyle w:val="Compact"/>
              <w:jc w:val="left"/>
            </w:pPr>
            <w:r>
              <w:t xml:space="preserve">Source</w:t>
            </w:r>
          </w:p>
        </w:tc>
      </w:tr>
      <w:tr>
        <w:tc>
          <w:tcPr/>
          <w:p>
            <w:pPr>
              <w:pStyle w:val="Compact"/>
              <w:jc w:val="left"/>
            </w:pPr>
            <w:r>
              <w:t xml:space="preserve">FY2021</w:t>
            </w:r>
          </w:p>
        </w:tc>
        <w:tc>
          <w:tcPr/>
          <w:p>
            <w:pPr>
              <w:pStyle w:val="Compact"/>
              <w:jc w:val="left"/>
            </w:pPr>
            <w:r>
              <w:t xml:space="preserve">Nil</w:t>
            </w:r>
          </w:p>
        </w:tc>
        <w:tc>
          <w:tcPr/>
          <w:p>
            <w:pPr>
              <w:pStyle w:val="Compact"/>
              <w:jc w:val="left"/>
            </w:pPr>
            <w:r>
              <w:t xml:space="preserve">Nil (US$97m of pre-IPO unit repurchases in FY2020)</w:t>
            </w:r>
          </w:p>
        </w:tc>
        <w:tc>
          <w:tcPr/>
          <w:p>
            <w:pPr>
              <w:pStyle w:val="Compact"/>
              <w:jc w:val="left"/>
            </w:pPr>
            <w:r>
              <w:t xml:space="preserve">n.a.</w:t>
            </w:r>
          </w:p>
        </w:tc>
        <w:tc>
          <w:tcPr/>
          <w:p>
            <w:pPr>
              <w:pStyle w:val="Compact"/>
              <w:jc w:val="left"/>
            </w:pPr>
            <w:r>
              <w:t xml:space="preserve">n.a.</w:t>
            </w:r>
          </w:p>
        </w:tc>
        <w:tc>
          <w:tcPr/>
          <w:p>
            <w:pPr>
              <w:pStyle w:val="Compact"/>
              <w:jc w:val="left"/>
            </w:pPr>
            <w:hyperlink r:id="rId458">
              <w:r>
                <w:rPr>
                  <w:rStyle w:val="Hyperlink"/>
                </w:rPr>
                <w:t xml:space="preserve">#1453</w:t>
              </w:r>
            </w:hyperlink>
          </w:p>
        </w:tc>
      </w:tr>
      <w:tr>
        <w:tc>
          <w:tcPr/>
          <w:p>
            <w:pPr>
              <w:pStyle w:val="Compact"/>
              <w:jc w:val="left"/>
            </w:pPr>
            <w:r>
              <w:t xml:space="preserve">FY2022</w:t>
            </w:r>
          </w:p>
        </w:tc>
        <w:tc>
          <w:tcPr/>
          <w:p>
            <w:pPr>
              <w:pStyle w:val="Compact"/>
              <w:jc w:val="left"/>
            </w:pPr>
            <w:r>
              <w:t xml:space="preserve">Nil</w:t>
            </w:r>
          </w:p>
        </w:tc>
        <w:tc>
          <w:tcPr/>
          <w:p>
            <w:pPr>
              <w:pStyle w:val="Compact"/>
              <w:jc w:val="left"/>
            </w:pPr>
            <w:r>
              <w:t xml:space="preserve">Nil</w:t>
            </w:r>
          </w:p>
        </w:tc>
        <w:tc>
          <w:tcPr/>
          <w:p>
            <w:pPr>
              <w:pStyle w:val="Compact"/>
              <w:jc w:val="left"/>
            </w:pPr>
            <w:r>
              <w:t xml:space="preserve">Nil</w:t>
            </w:r>
          </w:p>
        </w:tc>
        <w:tc>
          <w:tcPr/>
          <w:p>
            <w:pPr>
              <w:pStyle w:val="Compact"/>
              <w:jc w:val="left"/>
            </w:pPr>
            <w:r>
              <w:t xml:space="preserve">n.a.</w:t>
            </w:r>
          </w:p>
        </w:tc>
        <w:tc>
          <w:tcPr/>
          <w:p>
            <w:pPr>
              <w:pStyle w:val="Compact"/>
              <w:jc w:val="left"/>
            </w:pPr>
            <w:r>
              <w:t xml:space="preserve">S&amp;P (no repurchase line)</w:t>
            </w:r>
          </w:p>
        </w:tc>
      </w:tr>
      <w:tr>
        <w:tc>
          <w:tcPr/>
          <w:p>
            <w:pPr>
              <w:pStyle w:val="Compact"/>
              <w:jc w:val="left"/>
            </w:pPr>
            <w:r>
              <w:t xml:space="preserve">FY2023</w:t>
            </w:r>
          </w:p>
        </w:tc>
        <w:tc>
          <w:tcPr/>
          <w:p>
            <w:pPr>
              <w:pStyle w:val="Compact"/>
              <w:jc w:val="left"/>
            </w:pPr>
            <w:r>
              <w:t xml:space="preserve">Nil</w:t>
            </w:r>
          </w:p>
        </w:tc>
        <w:tc>
          <w:tcPr/>
          <w:p>
            <w:pPr>
              <w:pStyle w:val="Compact"/>
              <w:jc w:val="left"/>
            </w:pPr>
            <w:r>
              <w:t xml:space="preserve">Nil</w:t>
            </w:r>
          </w:p>
        </w:tc>
        <w:tc>
          <w:tcPr/>
          <w:p>
            <w:pPr>
              <w:pStyle w:val="Compact"/>
              <w:jc w:val="left"/>
            </w:pPr>
            <w:r>
              <w:t xml:space="preserve">Nil</w:t>
            </w:r>
          </w:p>
        </w:tc>
        <w:tc>
          <w:tcPr/>
          <w:p>
            <w:pPr>
              <w:pStyle w:val="Compact"/>
              <w:jc w:val="left"/>
            </w:pPr>
            <w:r>
              <w:t xml:space="preserve">n.a.</w:t>
            </w:r>
          </w:p>
        </w:tc>
        <w:tc>
          <w:tcPr/>
          <w:p>
            <w:pPr>
              <w:pStyle w:val="Compact"/>
              <w:jc w:val="left"/>
            </w:pPr>
            <w:r>
              <w:t xml:space="preserve">S&amp;P</w:t>
            </w:r>
          </w:p>
        </w:tc>
      </w:tr>
      <w:tr>
        <w:tc>
          <w:tcPr/>
          <w:p>
            <w:pPr>
              <w:pStyle w:val="Compact"/>
              <w:jc w:val="left"/>
            </w:pPr>
            <w:r>
              <w:t xml:space="preserve">FY2024</w:t>
            </w:r>
          </w:p>
        </w:tc>
        <w:tc>
          <w:tcPr/>
          <w:p>
            <w:pPr>
              <w:pStyle w:val="Compact"/>
              <w:jc w:val="left"/>
            </w:pPr>
            <w:r>
              <w:t xml:space="preserve">Nil</w:t>
            </w:r>
          </w:p>
        </w:tc>
        <w:tc>
          <w:tcPr/>
          <w:p>
            <w:pPr>
              <w:pStyle w:val="Compact"/>
              <w:jc w:val="left"/>
            </w:pPr>
            <w:r>
              <w:t xml:space="preserve">10.0m (private, from Maverick)</w:t>
            </w:r>
          </w:p>
        </w:tc>
        <w:tc>
          <w:tcPr/>
          <w:p>
            <w:pPr>
              <w:pStyle w:val="Compact"/>
              <w:jc w:val="left"/>
            </w:pPr>
            <w:hyperlink r:id="rId459">
              <w:r>
                <w:rPr>
                  <w:rStyle w:val="Hyperlink"/>
                </w:rPr>
                <w:t xml:space="preserve">US$178m</w:t>
              </w:r>
            </w:hyperlink>
          </w:p>
        </w:tc>
        <w:tc>
          <w:tcPr/>
          <w:p>
            <w:pPr>
              <w:pStyle w:val="Compact"/>
              <w:jc w:val="left"/>
            </w:pPr>
            <w:r>
              <w:t xml:space="preserve">US$17.79</w:t>
            </w:r>
          </w:p>
        </w:tc>
        <w:tc>
          <w:tcPr/>
          <w:p>
            <w:pPr>
              <w:pStyle w:val="Compact"/>
              <w:jc w:val="left"/>
            </w:pPr>
            <w:hyperlink r:id="rId96">
              <w:r>
                <w:rPr>
                  <w:rStyle w:val="Hyperlink"/>
                </w:rPr>
                <w:t xml:space="preserve">#0</w:t>
              </w:r>
            </w:hyperlink>
          </w:p>
        </w:tc>
      </w:tr>
      <w:tr>
        <w:tc>
          <w:tcPr/>
          <w:p>
            <w:pPr>
              <w:pStyle w:val="Compact"/>
              <w:jc w:val="left"/>
            </w:pPr>
            <w:r>
              <w:t xml:space="preserve">FY2025</w:t>
            </w:r>
          </w:p>
        </w:tc>
        <w:tc>
          <w:tcPr/>
          <w:p>
            <w:pPr>
              <w:pStyle w:val="Compact"/>
              <w:jc w:val="left"/>
            </w:pPr>
            <w:r>
              <w:t xml:space="preserve">Nil</w:t>
            </w:r>
          </w:p>
        </w:tc>
        <w:tc>
          <w:tcPr/>
          <w:p>
            <w:pPr>
              <w:pStyle w:val="Compact"/>
              <w:jc w:val="left"/>
            </w:pPr>
            <w:r>
              <w:t xml:space="preserve">8.8m (Q3 2.8m; Q4 ~6.0m)</w:t>
            </w:r>
          </w:p>
        </w:tc>
        <w:tc>
          <w:tcPr/>
          <w:p>
            <w:pPr>
              <w:pStyle w:val="Compact"/>
              <w:jc w:val="left"/>
            </w:pPr>
            <w:hyperlink r:id="rId460">
              <w:r>
                <w:rPr>
                  <w:rStyle w:val="Hyperlink"/>
                </w:rPr>
                <w:t xml:space="preserve">US$243m</w:t>
              </w:r>
            </w:hyperlink>
          </w:p>
        </w:tc>
        <w:tc>
          <w:tcPr/>
          <w:p>
            <w:pPr>
              <w:pStyle w:val="Compact"/>
              <w:jc w:val="left"/>
            </w:pPr>
            <w:r>
              <w:t xml:space="preserve">~US$27.6</w:t>
            </w:r>
          </w:p>
        </w:tc>
        <w:tc>
          <w:tcPr/>
          <w:p>
            <w:pPr>
              <w:pStyle w:val="Compact"/>
              <w:jc w:val="left"/>
            </w:pPr>
            <w:hyperlink r:id="rId461">
              <w:r>
                <w:rPr>
                  <w:rStyle w:val="Hyperlink"/>
                </w:rPr>
                <w:t xml:space="preserve">#1487</w:t>
              </w:r>
            </w:hyperlink>
          </w:p>
        </w:tc>
      </w:tr>
      <w:tr>
        <w:tc>
          <w:tcPr/>
          <w:p>
            <w:pPr>
              <w:pStyle w:val="Compact"/>
              <w:jc w:val="left"/>
            </w:pPr>
            <w:r>
              <w:t xml:space="preserve">Q1 2026</w:t>
            </w:r>
          </w:p>
        </w:tc>
        <w:tc>
          <w:tcPr/>
          <w:p>
            <w:pPr>
              <w:pStyle w:val="Compact"/>
              <w:jc w:val="left"/>
            </w:pPr>
            <w:r>
              <w:t xml:space="preserve">Nil</w:t>
            </w:r>
          </w:p>
        </w:tc>
        <w:tc>
          <w:tcPr/>
          <w:p>
            <w:pPr>
              <w:pStyle w:val="Compact"/>
              <w:jc w:val="left"/>
            </w:pPr>
            <w:r>
              <w:t xml:space="preserve">20.4m</w:t>
            </w:r>
          </w:p>
        </w:tc>
        <w:tc>
          <w:tcPr/>
          <w:p>
            <w:pPr>
              <w:pStyle w:val="Compact"/>
              <w:jc w:val="left"/>
            </w:pPr>
            <w:hyperlink r:id="rId462">
              <w:r>
                <w:rPr>
                  <w:rStyle w:val="Hyperlink"/>
                </w:rPr>
                <w:t xml:space="preserve">US$391m</w:t>
              </w:r>
            </w:hyperlink>
          </w:p>
        </w:tc>
        <w:tc>
          <w:tcPr/>
          <w:p>
            <w:pPr>
              <w:pStyle w:val="Compact"/>
              <w:jc w:val="left"/>
            </w:pPr>
            <w:r>
              <w:t xml:space="preserve">~US$19.2</w:t>
            </w:r>
          </w:p>
        </w:tc>
        <w:tc>
          <w:tcPr/>
          <w:p>
            <w:pPr>
              <w:pStyle w:val="Compact"/>
              <w:jc w:val="left"/>
            </w:pPr>
            <w:hyperlink r:id="rId463">
              <w:r>
                <w:rPr>
                  <w:rStyle w:val="Hyperlink"/>
                </w:rPr>
                <w:t xml:space="preserve">#373</w:t>
              </w:r>
            </w:hyperlink>
          </w:p>
        </w:tc>
      </w:tr>
      <w:tr>
        <w:tc>
          <w:tcPr/>
          <w:p>
            <w:pPr>
              <w:pStyle w:val="Compact"/>
              <w:jc w:val="left"/>
            </w:pPr>
            <w:r>
              <w:t xml:space="preserve">Q2 2026</w:t>
            </w:r>
          </w:p>
        </w:tc>
        <w:tc>
          <w:tcPr/>
          <w:p>
            <w:pPr>
              <w:pStyle w:val="Compact"/>
              <w:jc w:val="left"/>
            </w:pPr>
            <w:r>
              <w:t xml:space="preserve">Nil</w:t>
            </w:r>
          </w:p>
        </w:tc>
        <w:tc>
          <w:tcPr/>
          <w:p>
            <w:pPr>
              <w:pStyle w:val="Compact"/>
              <w:jc w:val="left"/>
            </w:pPr>
            <w:r>
              <w:t xml:space="preserve">23.2m</w:t>
            </w:r>
          </w:p>
        </w:tc>
        <w:tc>
          <w:tcPr/>
          <w:p>
            <w:pPr>
              <w:pStyle w:val="Compact"/>
              <w:jc w:val="left"/>
            </w:pPr>
            <w:hyperlink r:id="rId20">
              <w:r>
                <w:rPr>
                  <w:rStyle w:val="Hyperlink"/>
                </w:rPr>
                <w:t xml:space="preserve">US$459m</w:t>
              </w:r>
            </w:hyperlink>
          </w:p>
        </w:tc>
        <w:tc>
          <w:tcPr/>
          <w:p>
            <w:pPr>
              <w:pStyle w:val="Compact"/>
              <w:jc w:val="left"/>
            </w:pPr>
            <w:r>
              <w:t xml:space="preserve">~US$19.8</w:t>
            </w:r>
          </w:p>
        </w:tc>
        <w:tc>
          <w:tcPr/>
          <w:p>
            <w:pPr>
              <w:pStyle w:val="Compact"/>
              <w:jc w:val="left"/>
            </w:pPr>
            <w:hyperlink r:id="rId47">
              <w:r>
                <w:rPr>
                  <w:rStyle w:val="Hyperlink"/>
                </w:rPr>
                <w:t xml:space="preserve">#369</w:t>
              </w:r>
            </w:hyperlink>
          </w:p>
        </w:tc>
      </w:tr>
      <w:tr>
        <w:tc>
          <w:tcPr/>
          <w:p>
            <w:pPr>
              <w:pStyle w:val="Compact"/>
              <w:jc w:val="left"/>
            </w:pPr>
            <w:r>
              <w:rPr>
                <w:bCs/>
                <w:b/>
              </w:rPr>
              <w:t xml:space="preserve">Total since May-2025 programme</w:t>
            </w:r>
          </w:p>
        </w:tc>
        <w:tc>
          <w:tcPr/>
          <w:p>
            <w:pPr>
              <w:pStyle w:val="Compact"/>
            </w:pPr>
          </w:p>
        </w:tc>
        <w:tc>
          <w:tcPr/>
          <w:p>
            <w:pPr>
              <w:pStyle w:val="Compact"/>
              <w:jc w:val="left"/>
            </w:pPr>
            <w:r>
              <w:rPr>
                <w:bCs/>
                <w:b/>
              </w:rPr>
              <w:t xml:space="preserve">~52.5m</w:t>
            </w:r>
          </w:p>
        </w:tc>
        <w:tc>
          <w:tcPr/>
          <w:p>
            <w:pPr>
              <w:pStyle w:val="Compact"/>
              <w:jc w:val="left"/>
            </w:pPr>
            <w:r>
              <w:rPr>
                <w:bCs/>
                <w:b/>
              </w:rPr>
              <w:t xml:space="preserve">US$1,093m</w:t>
            </w:r>
          </w:p>
        </w:tc>
        <w:tc>
          <w:tcPr/>
          <w:p>
            <w:pPr>
              <w:pStyle w:val="Compact"/>
              <w:jc w:val="left"/>
            </w:pPr>
            <w:r>
              <w:rPr>
                <w:bCs/>
                <w:b/>
              </w:rPr>
              <w:t xml:space="preserve">~US$20.8</w:t>
            </w:r>
          </w:p>
        </w:tc>
        <w:tc>
          <w:tcPr/>
          <w:p>
            <w:pPr>
              <w:pStyle w:val="Compact"/>
              <w:jc w:val="left"/>
            </w:pPr>
            <w:r>
              <w:t xml:space="preserve">Authorisation US$2bn (May-25 + May-26); US$907m remaining (</w:t>
            </w:r>
            <w:hyperlink r:id="rId48">
              <w:r>
                <w:rPr>
                  <w:rStyle w:val="Hyperlink"/>
                </w:rPr>
                <w:t xml:space="preserve">#140</w:t>
              </w:r>
            </w:hyperlink>
            <w:r>
              <w:t xml:space="preserve">)</w:t>
            </w:r>
          </w:p>
        </w:tc>
      </w:tr>
    </w:tbl>
    <w:p>
      <w:pPr>
        <w:pStyle w:val="BodyText"/>
      </w:pPr>
      <w:r>
        <w:rPr>
          <w:bCs/>
          <w:b/>
        </w:rPr>
        <w:t xml:space="preserve">Dividend policy.</w:t>
      </w:r>
      <w:r>
        <w:t xml:space="preserve"> </w:t>
      </w:r>
      <w:r>
        <w:t xml:space="preserve">“</w:t>
      </w:r>
      <w:r>
        <w:t xml:space="preserve">We have not in the past and do not anticipate declaring or paying any cash dividends in the foreseeable future</w:t>
      </w:r>
      <w:r>
        <w:t xml:space="preserve">”</w:t>
      </w:r>
      <w:r>
        <w:t xml:space="preserve"> </w:t>
      </w:r>
      <w:r>
        <w:t xml:space="preserve">(</w:t>
      </w:r>
      <w:hyperlink r:id="rId21">
        <w:r>
          <w:rPr>
            <w:rStyle w:val="Hyperlink"/>
          </w:rPr>
          <w:t xml:space="preserve">#1311</w:t>
        </w:r>
      </w:hyperlink>
      <w:r>
        <w:t xml:space="preserve">). Korean subsidiary covenants also restrict upstream dividends (</w:t>
      </w:r>
      <w:hyperlink r:id="rId456">
        <w:r>
          <w:rPr>
            <w:rStyle w:val="Hyperlink"/>
          </w:rPr>
          <w:t xml:space="preserve">#2061</w:t>
        </w:r>
      </w:hyperlink>
      <w:r>
        <w:t xml:space="preserve">).</w:t>
      </w:r>
    </w:p>
    <w:p>
      <w:pPr>
        <w:pStyle w:val="BodyText"/>
      </w:pPr>
      <w:r>
        <w:rPr>
          <w:bCs/>
          <w:b/>
        </w:rPr>
        <w:t xml:space="preserve">Treasury shares and cancellations.</w:t>
      </w:r>
      <w:r>
        <w:t xml:space="preserve"> </w:t>
      </w:r>
      <w:r>
        <w:t xml:space="preserve">Whether repurchased shares are retired or held in treasury is</w:t>
      </w:r>
      <w:r>
        <w:t xml:space="preserve"> </w:t>
      </w:r>
      <w:r>
        <w:rPr>
          <w:bCs/>
          <w:b/>
        </w:rPr>
        <w:t xml:space="preserve">not disclosed</w:t>
      </w:r>
      <w:r>
        <w:t xml:space="preserve"> </w:t>
      </w:r>
      <w:r>
        <w:t xml:space="preserve">in indexed text. S&amp;P returns no treasury-stock line ‡. Offsetting issuance: 5,465,099 shares to Greenoaks (Apr-2025,</w:t>
      </w:r>
      <w:r>
        <w:t xml:space="preserve"> </w:t>
      </w:r>
      <w:hyperlink r:id="rId400">
        <w:r>
          <w:rPr>
            <w:rStyle w:val="Hyperlink"/>
          </w:rPr>
          <w:t xml:space="preserve">#2</w:t>
        </w:r>
      </w:hyperlink>
      <w:r>
        <w:t xml:space="preserve">), plus the annual evergreen increase to the equity plan through 2031 (</w:t>
      </w:r>
      <w:hyperlink r:id="rId464">
        <w:r>
          <w:rPr>
            <w:rStyle w:val="Hyperlink"/>
          </w:rPr>
          <w:t xml:space="preserve">#1884</w:t>
        </w:r>
      </w:hyperlink>
      <w:r>
        <w:t xml:space="preserve">).</w:t>
      </w:r>
    </w:p>
    <w:bookmarkEnd w:id="465"/>
    <w:bookmarkStart w:id="476" w:name="Xe1c7ffb5e9bf24ba27f86f68a3935b9ede088c4"/>
    <w:p>
      <w:pPr>
        <w:pStyle w:val="Heading1"/>
      </w:pPr>
      <w:r>
        <w:t xml:space="preserve">21. Adversarial deep dive: bull case, bear case, pre-mortem, contrarian view</w:t>
      </w:r>
    </w:p>
    <w:bookmarkStart w:id="469" w:name="bull-case"/>
    <w:p>
      <w:pPr>
        <w:pStyle w:val="Heading2"/>
      </w:pPr>
      <w:r>
        <w:t xml:space="preserve">21.1 Bull case</w:t>
      </w:r>
    </w:p>
    <w:p>
      <w:pPr>
        <w:numPr>
          <w:ilvl w:val="0"/>
          <w:numId w:val="1052"/>
        </w:numPr>
        <w:pStyle w:val="Compact"/>
      </w:pPr>
      <w:r>
        <w:rPr>
          <w:bCs/>
          <w:b/>
        </w:rPr>
        <w:t xml:space="preserve">The moat survived a stress test.</w:t>
      </w:r>
    </w:p>
    <w:p>
      <w:pPr>
        <w:numPr>
          <w:ilvl w:val="1"/>
          <w:numId w:val="1053"/>
        </w:numPr>
        <w:pStyle w:val="Compact"/>
      </w:pPr>
      <w:r>
        <w:t xml:space="preserve">Customers left for alternatives with ample time to try them, then came back</w:t>
      </w:r>
      <w:r>
        <w:t xml:space="preserve"> </w:t>
      </w:r>
      <w:r>
        <w:t xml:space="preserve">“</w:t>
      </w:r>
      <w:r>
        <w:t xml:space="preserve">not splitting their prior spend</w:t>
      </w:r>
      <w:r>
        <w:t xml:space="preserve">”</w:t>
      </w:r>
      <w:r>
        <w:t xml:space="preserve"> </w:t>
      </w:r>
      <w:r>
        <w:t xml:space="preserve">(</w:t>
      </w:r>
      <w:hyperlink r:id="rId466">
        <w:r>
          <w:rPr>
            <w:rStyle w:val="Hyperlink"/>
          </w:rPr>
          <w:t xml:space="preserve">#267</w:t>
        </w:r>
      </w:hyperlink>
      <w:r>
        <w:t xml:space="preserve">,</w:t>
      </w:r>
      <w:r>
        <w:t xml:space="preserve"> </w:t>
      </w:r>
      <w:hyperlink r:id="rId29">
        <w:r>
          <w:rPr>
            <w:rStyle w:val="Hyperlink"/>
          </w:rPr>
          <w:t xml:space="preserve">#268</w:t>
        </w:r>
      </w:hyperlink>
      <w:r>
        <w:t xml:space="preserve">).</w:t>
      </w:r>
    </w:p>
    <w:p>
      <w:pPr>
        <w:numPr>
          <w:ilvl w:val="1"/>
          <w:numId w:val="1053"/>
        </w:numPr>
        <w:pStyle w:val="Compact"/>
      </w:pPr>
      <w:r>
        <w:t xml:space="preserve">WOW is at an all-time high (</w:t>
      </w:r>
      <w:hyperlink r:id="rId28">
        <w:r>
          <w:rPr>
            <w:rStyle w:val="Hyperlink"/>
          </w:rPr>
          <w:t xml:space="preserve">#271</w:t>
        </w:r>
      </w:hyperlink>
      <w:r>
        <w:t xml:space="preserve">).</w:t>
      </w:r>
    </w:p>
    <w:p>
      <w:pPr>
        <w:numPr>
          <w:ilvl w:val="1"/>
          <w:numId w:val="1053"/>
        </w:numPr>
        <w:pStyle w:val="Compact"/>
      </w:pPr>
      <w:r>
        <w:t xml:space="preserve">Physical-network scale (78m sq ft) and cohort economics (</w:t>
      </w:r>
      <w:hyperlink r:id="rId115">
        <w:r>
          <w:rPr>
            <w:rStyle w:val="Hyperlink"/>
          </w:rPr>
          <w:t xml:space="preserve">#69</w:t>
        </w:r>
      </w:hyperlink>
      <w:r>
        <w:t xml:space="preserve">) are intact. Management:</w:t>
      </w:r>
      <w:r>
        <w:t xml:space="preserve"> </w:t>
      </w:r>
      <w:r>
        <w:t xml:space="preserve">“</w:t>
      </w:r>
      <w:r>
        <w:t xml:space="preserve">nothing has structurally changed</w:t>
      </w:r>
      <w:r>
        <w:t xml:space="preserve">”</w:t>
      </w:r>
      <w:r>
        <w:t xml:space="preserve"> </w:t>
      </w:r>
      <w:r>
        <w:t xml:space="preserve">(</w:t>
      </w:r>
      <w:hyperlink r:id="rId304">
        <w:r>
          <w:rPr>
            <w:rStyle w:val="Hyperlink"/>
          </w:rPr>
          <w:t xml:space="preserve">#252</w:t>
        </w:r>
      </w:hyperlink>
      <w:r>
        <w:t xml:space="preserve">).</w:t>
      </w:r>
    </w:p>
    <w:p>
      <w:pPr>
        <w:numPr>
          <w:ilvl w:val="0"/>
          <w:numId w:val="1052"/>
        </w:numPr>
        <w:pStyle w:val="Compact"/>
      </w:pPr>
      <w:r>
        <w:rPr>
          <w:bCs/>
          <w:b/>
        </w:rPr>
        <w:t xml:space="preserve">Margin recovery is mostly arithmetic.</w:t>
      </w:r>
    </w:p>
    <w:p>
      <w:pPr>
        <w:numPr>
          <w:ilvl w:val="1"/>
          <w:numId w:val="1054"/>
        </w:numPr>
        <w:pStyle w:val="Compact"/>
      </w:pPr>
      <w:r>
        <w:t xml:space="preserve">The 390bp PC margin compression came from volume below a fixed-cost demand curve, plus one-off promotions and marketing (</w:t>
      </w:r>
      <w:hyperlink r:id="rId272">
        <w:r>
          <w:rPr>
            <w:rStyle w:val="Hyperlink"/>
          </w:rPr>
          <w:t xml:space="preserve">#170</w:t>
        </w:r>
      </w:hyperlink>
      <w:r>
        <w:t xml:space="preserve">,</w:t>
      </w:r>
      <w:r>
        <w:t xml:space="preserve"> </w:t>
      </w:r>
      <w:hyperlink r:id="rId467">
        <w:r>
          <w:rPr>
            <w:rStyle w:val="Hyperlink"/>
          </w:rPr>
          <w:t xml:space="preserve">#204</w:t>
        </w:r>
      </w:hyperlink>
      <w:r>
        <w:t xml:space="preserve">). Management calls this reversible (</w:t>
      </w:r>
      <w:hyperlink r:id="rId468">
        <w:r>
          <w:rPr>
            <w:rStyle w:val="Hyperlink"/>
          </w:rPr>
          <w:t xml:space="preserve">#261</w:t>
        </w:r>
      </w:hyperlink>
      <w:r>
        <w:t xml:space="preserve">).</w:t>
      </w:r>
    </w:p>
    <w:p>
      <w:pPr>
        <w:numPr>
          <w:ilvl w:val="1"/>
          <w:numId w:val="1054"/>
        </w:numPr>
        <w:pStyle w:val="Compact"/>
      </w:pPr>
      <w:r>
        <w:t xml:space="preserve">Each 100bp of PC margin is ~US$0.35bn of EBITDA [d].</w:t>
      </w:r>
    </w:p>
    <w:p>
      <w:pPr>
        <w:numPr>
          <w:ilvl w:val="1"/>
          <w:numId w:val="1054"/>
        </w:numPr>
        <w:pStyle w:val="Compact"/>
      </w:pPr>
      <w:r>
        <w:t xml:space="preserve">Vouchers have finished (mid-April 2026) and marketing steps down in 2027, so 2027 comparisons are easy.</w:t>
      </w:r>
    </w:p>
    <w:p>
      <w:pPr>
        <w:numPr>
          <w:ilvl w:val="0"/>
          <w:numId w:val="1052"/>
        </w:numPr>
        <w:pStyle w:val="Compact"/>
      </w:pPr>
      <w:r>
        <w:rPr>
          <w:bCs/>
          <w:b/>
        </w:rPr>
        <w:t xml:space="preserve">Secular growth levers.</w:t>
      </w:r>
    </w:p>
    <w:p>
      <w:pPr>
        <w:numPr>
          <w:ilvl w:val="1"/>
          <w:numId w:val="1055"/>
        </w:numPr>
        <w:pStyle w:val="Compact"/>
      </w:pPr>
      <w:r>
        <w:t xml:space="preserve">Online is still 41.5% of Korean retail (</w:t>
      </w:r>
      <w:hyperlink r:id="rId148">
        <w:r>
          <w:rPr>
            <w:rStyle w:val="Hyperlink"/>
          </w:rPr>
          <w:t xml:space="preserve">#305</w:t>
        </w:r>
      </w:hyperlink>
      <w:r>
        <w:t xml:space="preserve">), and Coupang’s wallet share is below US-peer levels (</w:t>
      </w:r>
      <w:hyperlink r:id="rId150">
        <w:r>
          <w:rPr>
            <w:rStyle w:val="Hyperlink"/>
          </w:rPr>
          <w:t xml:space="preserve">#80</w:t>
        </w:r>
      </w:hyperlink>
      <w:r>
        <w:t xml:space="preserve">).</w:t>
      </w:r>
    </w:p>
    <w:p>
      <w:pPr>
        <w:numPr>
          <w:ilvl w:val="1"/>
          <w:numId w:val="1055"/>
        </w:numPr>
        <w:pStyle w:val="Compact"/>
      </w:pPr>
      <w:r>
        <w:t xml:space="preserve">Fresh, FLC and ads are margin-accretive.</w:t>
      </w:r>
    </w:p>
    <w:p>
      <w:pPr>
        <w:numPr>
          <w:ilvl w:val="1"/>
          <w:numId w:val="1055"/>
        </w:numPr>
        <w:pStyle w:val="Compact"/>
      </w:pPr>
      <w:r>
        <w:t xml:space="preserve">Taiwan is reaching Dawn Delivery in one year against four in Korea (</w:t>
      </w:r>
      <w:hyperlink r:id="rId450">
        <w:r>
          <w:rPr>
            <w:rStyle w:val="Hyperlink"/>
          </w:rPr>
          <w:t xml:space="preserve">#99</w:t>
        </w:r>
      </w:hyperlink>
      <w:r>
        <w:t xml:space="preserve">).</w:t>
      </w:r>
    </w:p>
    <w:p>
      <w:pPr>
        <w:numPr>
          <w:ilvl w:val="1"/>
          <w:numId w:val="1055"/>
        </w:numPr>
        <w:pStyle w:val="Compact"/>
      </w:pPr>
      <w:r>
        <w:t xml:space="preserve">Farfetch has turned to positive economics (</w:t>
      </w:r>
      <w:hyperlink r:id="rId407">
        <w:r>
          <w:rPr>
            <w:rStyle w:val="Hyperlink"/>
          </w:rPr>
          <w:t xml:space="preserve">#121</w:t>
        </w:r>
      </w:hyperlink>
      <w:r>
        <w:t xml:space="preserve">).</w:t>
      </w:r>
    </w:p>
    <w:p>
      <w:pPr>
        <w:numPr>
          <w:ilvl w:val="0"/>
          <w:numId w:val="1052"/>
        </w:numPr>
        <w:pStyle w:val="Compact"/>
      </w:pPr>
      <w:r>
        <w:rPr>
          <w:bCs/>
          <w:b/>
        </w:rPr>
        <w:t xml:space="preserve">Potential earnings surprises.</w:t>
      </w:r>
    </w:p>
    <w:p>
      <w:pPr>
        <w:numPr>
          <w:ilvl w:val="1"/>
          <w:numId w:val="1056"/>
        </w:numPr>
        <w:pStyle w:val="Compact"/>
      </w:pPr>
      <w:r>
        <w:t xml:space="preserve">KRW mean reversion: a 10% move is worth ~US$3.5-4bn of revenue.</w:t>
      </w:r>
    </w:p>
    <w:p>
      <w:pPr>
        <w:numPr>
          <w:ilvl w:val="1"/>
          <w:numId w:val="1056"/>
        </w:numPr>
        <w:pStyle w:val="Compact"/>
      </w:pPr>
      <w:r>
        <w:t xml:space="preserve">A faster DO loss cut (Q2 losses down US$110m QoQ already).</w:t>
      </w:r>
    </w:p>
    <w:p>
      <w:pPr>
        <w:numPr>
          <w:ilvl w:val="1"/>
          <w:numId w:val="1056"/>
        </w:numPr>
        <w:pStyle w:val="Compact"/>
      </w:pPr>
      <w:r>
        <w:t xml:space="preserve">Insurance recoveries on the Incheon fire.</w:t>
      </w:r>
    </w:p>
    <w:p>
      <w:pPr>
        <w:numPr>
          <w:ilvl w:val="1"/>
          <w:numId w:val="1056"/>
        </w:numPr>
        <w:pStyle w:val="Compact"/>
      </w:pPr>
      <w:r>
        <w:t xml:space="preserve">A successful PIPC appeal (US$410m accrued).</w:t>
      </w:r>
    </w:p>
    <w:p>
      <w:pPr>
        <w:numPr>
          <w:ilvl w:val="0"/>
          <w:numId w:val="1052"/>
        </w:numPr>
        <w:pStyle w:val="Compact"/>
      </w:pPr>
      <w:r>
        <w:rPr>
          <w:bCs/>
          <w:b/>
        </w:rPr>
        <w:t xml:space="preserve">Capital allocation.</w:t>
      </w:r>
      <w:r>
        <w:t xml:space="preserve"> </w:t>
      </w:r>
      <w:r>
        <w:t xml:space="preserve">Buying back ~3% of the shares in H1’26 at ~US$19.5 (</w:t>
      </w:r>
      <w:hyperlink r:id="rId47">
        <w:r>
          <w:rPr>
            <w:rStyle w:val="Hyperlink"/>
          </w:rPr>
          <w:t xml:space="preserve">#369</w:t>
        </w:r>
      </w:hyperlink>
      <w:r>
        <w:t xml:space="preserve">), with US$907m of authorisation left. The founder’s incentives favour long-term value.</w:t>
      </w:r>
    </w:p>
    <w:bookmarkEnd w:id="469"/>
    <w:bookmarkStart w:id="472" w:name="X83535e71e18a3fe89273a6477a0fa75d3c1b288"/>
    <w:p>
      <w:pPr>
        <w:pStyle w:val="Heading2"/>
      </w:pPr>
      <w:r>
        <w:t xml:space="preserve">21.2 Bear case: three risks that could permanently impair the business</w:t>
      </w:r>
    </w:p>
    <w:p>
      <w:pPr>
        <w:numPr>
          <w:ilvl w:val="0"/>
          <w:numId w:val="1057"/>
        </w:numPr>
        <w:pStyle w:val="Compact"/>
      </w:pPr>
      <w:r>
        <w:rPr>
          <w:bCs/>
          <w:b/>
        </w:rPr>
        <w:t xml:space="preserve">The Korean regulatory regime turns hostile to the model, not just the incident.</w:t>
      </w:r>
      <w:r>
        <w:t xml:space="preserve"> </w:t>
      </w:r>
      <w:r>
        <w:t xml:space="preserve">Four threats at once:</w:t>
      </w:r>
    </w:p>
    <w:p>
      <w:pPr>
        <w:numPr>
          <w:ilvl w:val="1"/>
          <w:numId w:val="1058"/>
        </w:numPr>
        <w:pStyle w:val="Compact"/>
      </w:pPr>
      <w:r>
        <w:t xml:space="preserve">A night-delivery ban would end Dawn Delivery (</w:t>
      </w:r>
      <w:hyperlink r:id="rId470">
        <w:r>
          <w:rPr>
            <w:rStyle w:val="Hyperlink"/>
          </w:rPr>
          <w:t xml:space="preserve">#862</w:t>
        </w:r>
      </w:hyperlink>
      <w:r>
        <w:t xml:space="preserve">).</w:t>
      </w:r>
    </w:p>
    <w:p>
      <w:pPr>
        <w:numPr>
          <w:ilvl w:val="1"/>
          <w:numId w:val="1058"/>
        </w:numPr>
        <w:pStyle w:val="Compact"/>
      </w:pPr>
      <w:r>
        <w:t xml:space="preserve">Forced unbundling of Eats from WOW (</w:t>
      </w:r>
      <w:hyperlink r:id="rId178">
        <w:r>
          <w:rPr>
            <w:rStyle w:val="Hyperlink"/>
          </w:rPr>
          <w:t xml:space="preserve">#2009</w:t>
        </w:r>
      </w:hyperlink>
      <w:r>
        <w:t xml:space="preserve">).</w:t>
      </w:r>
    </w:p>
    <w:p>
      <w:pPr>
        <w:numPr>
          <w:ilvl w:val="1"/>
          <w:numId w:val="1058"/>
        </w:numPr>
        <w:pStyle w:val="Compact"/>
      </w:pPr>
      <w:r>
        <w:t xml:space="preserve">Shortened merchant settlement periods that drain the payables float (</w:t>
      </w:r>
      <w:hyperlink r:id="rId50">
        <w:r>
          <w:rPr>
            <w:rStyle w:val="Hyperlink"/>
          </w:rPr>
          <w:t xml:space="preserve">#619</w:t>
        </w:r>
      </w:hyperlink>
      <w:r>
        <w:t xml:space="preserve">).</w:t>
      </w:r>
    </w:p>
    <w:p>
      <w:pPr>
        <w:numPr>
          <w:ilvl w:val="1"/>
          <w:numId w:val="1058"/>
        </w:numPr>
        <w:pStyle w:val="Compact"/>
      </w:pPr>
      <w:r>
        <w:t xml:space="preserve">Escalating fines and criminal referrals (</w:t>
      </w:r>
      <w:hyperlink r:id="rId471">
        <w:r>
          <w:rPr>
            <w:rStyle w:val="Hyperlink"/>
          </w:rPr>
          <w:t xml:space="preserve">#465</w:t>
        </w:r>
      </w:hyperlink>
      <w:r>
        <w:t xml:space="preserve">). Cumulative fines are already ~US$531m [d].</w:t>
      </w:r>
    </w:p>
    <w:p>
      <w:pPr>
        <w:numPr>
          <w:ilvl w:val="0"/>
          <w:numId w:val="1057"/>
        </w:numPr>
        <w:pStyle w:val="Compact"/>
      </w:pPr>
      <w:r>
        <w:rPr>
          <w:bCs/>
          <w:b/>
        </w:rPr>
        <w:t xml:space="preserve">Competitive leakage becomes permanent.</w:t>
      </w:r>
    </w:p>
    <w:p>
      <w:pPr>
        <w:numPr>
          <w:ilvl w:val="1"/>
          <w:numId w:val="1059"/>
        </w:numPr>
        <w:pStyle w:val="Compact"/>
      </w:pPr>
      <w:r>
        <w:t xml:space="preserve">Naver’s asset-light alliance (CJ Logistics, Kurly) plus its Plus membership (with Netflix) offers</w:t>
      </w:r>
      <w:r>
        <w:t xml:space="preserve"> </w:t>
      </w:r>
      <w:r>
        <w:t xml:space="preserve">“</w:t>
      </w:r>
      <w:r>
        <w:t xml:space="preserve">good enough</w:t>
      </w:r>
      <w:r>
        <w:t xml:space="preserve">”</w:t>
      </w:r>
      <w:r>
        <w:t xml:space="preserve"> </w:t>
      </w:r>
      <w:r>
        <w:t xml:space="preserve">speed without the capex. Naver gained GMV and members in January 2026 (</w:t>
      </w:r>
      <w:hyperlink r:id="rId176">
        <w:r>
          <w:rPr>
            <w:rStyle w:val="Hyperlink"/>
          </w:rPr>
          <w:t xml:space="preserve">#298</w:t>
        </w:r>
      </w:hyperlink>
      <w:r>
        <w:t xml:space="preserve">).</w:t>
      </w:r>
    </w:p>
    <w:p>
      <w:pPr>
        <w:numPr>
          <w:ilvl w:val="1"/>
          <w:numId w:val="1059"/>
        </w:numPr>
        <w:pStyle w:val="Compact"/>
      </w:pPr>
      <w:r>
        <w:t xml:space="preserve">Chinese platforms exceed 10m users (</w:t>
      </w:r>
      <w:hyperlink r:id="rId162">
        <w:r>
          <w:rPr>
            <w:rStyle w:val="Hyperlink"/>
          </w:rPr>
          <w:t xml:space="preserve">#344</w:t>
        </w:r>
      </w:hyperlink>
      <w:r>
        <w:t xml:space="preserve">).</w:t>
      </w:r>
    </w:p>
    <w:p>
      <w:pPr>
        <w:numPr>
          <w:ilvl w:val="1"/>
          <w:numId w:val="1059"/>
        </w:numPr>
        <w:pStyle w:val="Compact"/>
      </w:pPr>
      <w:r>
        <w:t xml:space="preserve">Coupang’s 2026 promotions suggest pricing power has weakened (</w:t>
      </w:r>
      <w:hyperlink r:id="rId124">
        <w:r>
          <w:rPr>
            <w:rStyle w:val="Hyperlink"/>
          </w:rPr>
          <w:t xml:space="preserve">#167</w:t>
        </w:r>
      </w:hyperlink>
      <w:r>
        <w:t xml:space="preserve">).</w:t>
      </w:r>
    </w:p>
    <w:p>
      <w:pPr>
        <w:numPr>
          <w:ilvl w:val="0"/>
          <w:numId w:val="1057"/>
        </w:numPr>
        <w:pStyle w:val="Compact"/>
      </w:pPr>
      <w:r>
        <w:rPr>
          <w:bCs/>
          <w:b/>
        </w:rPr>
        <w:t xml:space="preserve">The capital-allocation and cash engine breaks.</w:t>
      </w:r>
    </w:p>
    <w:p>
      <w:pPr>
        <w:numPr>
          <w:ilvl w:val="1"/>
          <w:numId w:val="1060"/>
        </w:numPr>
        <w:pStyle w:val="Compact"/>
      </w:pPr>
      <w:r>
        <w:t xml:space="preserve">FCF has fallen from US$1.76bn (FY23) to ~US$0.1bn (LTM).</w:t>
      </w:r>
    </w:p>
    <w:p>
      <w:pPr>
        <w:numPr>
          <w:ilvl w:val="1"/>
          <w:numId w:val="1060"/>
        </w:numPr>
        <w:pStyle w:val="Compact"/>
      </w:pPr>
      <w:r>
        <w:t xml:space="preserve">Taiwan losses run at ~US$1bn a year with no published hurdle.</w:t>
      </w:r>
    </w:p>
    <w:p>
      <w:pPr>
        <w:numPr>
          <w:ilvl w:val="1"/>
          <w:numId w:val="1060"/>
        </w:numPr>
        <w:pStyle w:val="Compact"/>
      </w:pPr>
      <w:r>
        <w:t xml:space="preserve">Buybacks are being funded with debt.</w:t>
      </w:r>
    </w:p>
    <w:p>
      <w:pPr>
        <w:numPr>
          <w:ilvl w:val="1"/>
          <w:numId w:val="1060"/>
        </w:numPr>
        <w:pStyle w:val="Compact"/>
      </w:pPr>
      <w:r>
        <w:t xml:space="preserve">If margins stall at ~5% PC and the float shrinks, Coupang becomes a low-return retailer valued like Lotte Shopping or E-MART (0.4-1.0x sales).</w:t>
      </w:r>
    </w:p>
    <w:p>
      <w:pPr>
        <w:pStyle w:val="FirstParagraph"/>
      </w:pPr>
      <w:r>
        <w:rPr>
          <w:bCs/>
          <w:b/>
        </w:rPr>
        <w:t xml:space="preserve">Margin compression and revenue deceleration risk.</w:t>
      </w:r>
      <w:r>
        <w:t xml:space="preserve"> </w:t>
      </w:r>
      <w:r>
        <w:t xml:space="preserve">PC growth slowed from +18% cc (Q3’25) to +5-8% cc (H1’26). Management’s Q3 guide implies roughly 6-7% PC growth in constant currency (</w:t>
      </w:r>
      <w:hyperlink r:id="rId337">
        <w:r>
          <w:rPr>
            <w:rStyle w:val="Hyperlink"/>
          </w:rPr>
          <w:t xml:space="preserve">#432</w:t>
        </w:r>
      </w:hyperlink>
      <w:r>
        <w:t xml:space="preserve">). If the non-returning cohort never comes back and promotions persist, the PC margin could settle at ~6%, not 8%+.</w:t>
      </w:r>
    </w:p>
    <w:p>
      <w:pPr>
        <w:pStyle w:val="BodyText"/>
      </w:pPr>
      <w:r>
        <w:rPr>
          <w:bCs/>
          <w:b/>
        </w:rPr>
        <w:t xml:space="preserve">High expectations.</w:t>
      </w:r>
      <w:r>
        <w:t xml:space="preserve"> </w:t>
      </w:r>
      <w:r>
        <w:t xml:space="preserve">Not on revenue: the stock is at 0.79x sales. But the market still assumes a</w:t>
      </w:r>
      <w:r>
        <w:t xml:space="preserve"> </w:t>
      </w:r>
      <w:r>
        <w:rPr>
          <w:bCs/>
          <w:b/>
        </w:rPr>
        <w:t xml:space="preserve">return to profitability</w:t>
      </w:r>
      <w:r>
        <w:t xml:space="preserve">. On FY27E the stock trades at 113x GAAP EPS and 16.6x adjusted EBITDA. Any further slip in the recovery date (it has slipped once already) would hurt.</w:t>
      </w:r>
    </w:p>
    <w:bookmarkEnd w:id="472"/>
    <w:bookmarkStart w:id="473" w:name="X5bf1bcad83fc07a3dbb12a87c4c91277cbf80bc"/>
    <w:p>
      <w:pPr>
        <w:pStyle w:val="Heading2"/>
      </w:pPr>
      <w:r>
        <w:t xml:space="preserve">21.3 Pre-mortem:</w:t>
      </w:r>
      <w:r>
        <w:t xml:space="preserve"> </w:t>
      </w:r>
      <w:r>
        <w:t xml:space="preserve">“</w:t>
      </w:r>
      <w:r>
        <w:t xml:space="preserve">It is October 2027 and CPNG is at US$9. What went wrong?</w:t>
      </w:r>
      <w:r>
        <w:t xml:space="preserve">”</w:t>
      </w:r>
    </w:p>
    <w:p>
      <w:pPr>
        <w:numPr>
          <w:ilvl w:val="0"/>
          <w:numId w:val="1061"/>
        </w:numPr>
        <w:pStyle w:val="Compact"/>
      </w:pPr>
      <w:r>
        <w:t xml:space="preserve">The Q4’26 guide for 2027 showed PC margin recovering only to ~6.5%, not</w:t>
      </w:r>
      <w:r>
        <w:t xml:space="preserve"> </w:t>
      </w:r>
      <w:r>
        <w:t xml:space="preserve">“</w:t>
      </w:r>
      <w:r>
        <w:t xml:space="preserve">pre-incident</w:t>
      </w:r>
      <w:r>
        <w:t xml:space="preserve">”</w:t>
      </w:r>
      <w:r>
        <w:t xml:space="preserve">, because promotions had to stay to defend share against Naver and Chinese platforms.</w:t>
      </w:r>
    </w:p>
    <w:p>
      <w:pPr>
        <w:numPr>
          <w:ilvl w:val="0"/>
          <w:numId w:val="1061"/>
        </w:numPr>
        <w:pStyle w:val="Compact"/>
      </w:pPr>
      <w:r>
        <w:t xml:space="preserve">The KFTC ordered Eats unbundled from WOW. WOW churn rose and Eats volume fell.</w:t>
      </w:r>
    </w:p>
    <w:p>
      <w:pPr>
        <w:numPr>
          <w:ilvl w:val="0"/>
          <w:numId w:val="1061"/>
        </w:numPr>
        <w:pStyle w:val="Compact"/>
      </w:pPr>
      <w:r>
        <w:t xml:space="preserve">The settlement-period rule took ~US$0.7-1.0bn of payables float out in 2027. Combined with capex and the PIPC payment, the company moved to net debt and stopped buybacks.</w:t>
      </w:r>
    </w:p>
    <w:p>
      <w:pPr>
        <w:numPr>
          <w:ilvl w:val="0"/>
          <w:numId w:val="1061"/>
        </w:numPr>
        <w:pStyle w:val="Compact"/>
      </w:pPr>
      <w:r>
        <w:t xml:space="preserve">The KRW stayed weak and USD revenue growth stayed in mid-single digits.</w:t>
      </w:r>
    </w:p>
    <w:p>
      <w:pPr>
        <w:numPr>
          <w:ilvl w:val="0"/>
          <w:numId w:val="1061"/>
        </w:numPr>
        <w:pStyle w:val="Compact"/>
      </w:pPr>
      <w:r>
        <w:t xml:space="preserve">A night-delivery bill progressed in the National Assembly.</w:t>
      </w:r>
    </w:p>
    <w:p>
      <w:pPr>
        <w:numPr>
          <w:ilvl w:val="0"/>
          <w:numId w:val="1061"/>
        </w:numPr>
        <w:pStyle w:val="Compact"/>
      </w:pPr>
      <w:r>
        <w:t xml:space="preserve">Taiwan losses did not fall, and the market started valuing DO at a negative number.</w:t>
      </w:r>
    </w:p>
    <w:p>
      <w:pPr>
        <w:pStyle w:val="FirstParagraph"/>
      </w:pPr>
      <w:r>
        <w:rPr>
          <w:iCs/>
          <w:i/>
        </w:rPr>
        <w:t xml:space="preserve">Early-warning indicators:</w:t>
      </w:r>
      <w:r>
        <w:t xml:space="preserve"> </w:t>
      </w:r>
      <w:r>
        <w:t xml:space="preserve">PC margin in Q4’26 and Q1’27; Q4’26 WOW and active-customer disclosure; the KFTC decision; payables days after Dec-2026; the size and pace of buybacks; DO loss guidance for 2027.</w:t>
      </w:r>
    </w:p>
    <w:bookmarkEnd w:id="473"/>
    <w:bookmarkStart w:id="474" w:name="are-multiples-too-high"/>
    <w:p>
      <w:pPr>
        <w:pStyle w:val="Heading2"/>
      </w:pPr>
      <w:r>
        <w:t xml:space="preserve">21.4 Are multiples too high?</w:t>
      </w:r>
    </w:p>
    <w:p>
      <w:pPr>
        <w:pStyle w:val="FirstParagraph"/>
      </w:pPr>
      <w:r>
        <w:t xml:space="preserve">On trough numbers, yes: 32x LTM adjusted EBITDA, n.m. P/E, 0.3% FCF yield. On normalised numbers, no. FY25-level adjusted EBITDA margins (4.3%) on FY27E sales of US$41bn would give ~US$1.8bn of EBITDA, or ~16x [d]. At the FY28E base case the stock is at 10.7x adjusted EBITDA and 0.61x sales. The question is not whether the multiple is high. It is whether margins normalise.</w:t>
      </w:r>
    </w:p>
    <w:bookmarkEnd w:id="474"/>
    <w:bookmarkStart w:id="475" w:name="Xa773c430f9871367dd9db68de53309dd1a99134"/>
    <w:p>
      <w:pPr>
        <w:pStyle w:val="Heading2"/>
      </w:pPr>
      <w:r>
        <w:t xml:space="preserve">21.5 The contrarian view: what the market refuses to see</w:t>
      </w:r>
    </w:p>
    <w:p>
      <w:pPr>
        <w:pStyle w:val="FirstParagraph"/>
      </w:pPr>
      <w:r>
        <w:t xml:space="preserve">The market is treating Coupang’s USD-reported 2026 as the new run-rate. In fact, 2026 combines four temporary distortions:</w:t>
      </w:r>
    </w:p>
    <w:p>
      <w:pPr>
        <w:numPr>
          <w:ilvl w:val="0"/>
          <w:numId w:val="1062"/>
        </w:numPr>
        <w:pStyle w:val="Compact"/>
      </w:pPr>
      <w:r>
        <w:t xml:space="preserve">A KRW at a 15-year low (-7pts on PC growth in Q2).</w:t>
      </w:r>
    </w:p>
    <w:p>
      <w:pPr>
        <w:numPr>
          <w:ilvl w:val="0"/>
          <w:numId w:val="1062"/>
        </w:numPr>
        <w:pStyle w:val="Compact"/>
      </w:pPr>
      <w:r>
        <w:t xml:space="preserve">~US$1.2bn of compensation vouchers netted against revenue.</w:t>
      </w:r>
    </w:p>
    <w:p>
      <w:pPr>
        <w:numPr>
          <w:ilvl w:val="0"/>
          <w:numId w:val="1062"/>
        </w:numPr>
        <w:pStyle w:val="Compact"/>
      </w:pPr>
      <w:r>
        <w:t xml:space="preserve">A one-off reacquisition marketing spend.</w:t>
      </w:r>
    </w:p>
    <w:p>
      <w:pPr>
        <w:numPr>
          <w:ilvl w:val="0"/>
          <w:numId w:val="1062"/>
        </w:numPr>
        <w:pStyle w:val="Compact"/>
      </w:pPr>
      <w:r>
        <w:t xml:space="preserve">US$410m of fines and ~US$246m of fire exposure.</w:t>
      </w:r>
    </w:p>
    <w:p>
      <w:pPr>
        <w:pStyle w:val="FirstParagraph"/>
      </w:pPr>
      <w:r>
        <w:t xml:space="preserve">Strip these out and Coupang is still a ~10% constant-currency grower, with 24.7m customers and its highest-ever WOW membership.</w:t>
      </w:r>
    </w:p>
    <w:p>
      <w:pPr>
        <w:pStyle w:val="BodyText"/>
      </w:pPr>
      <w:r>
        <w:t xml:space="preserve">A second under-appreciated point:</w:t>
      </w:r>
      <w:r>
        <w:t xml:space="preserve"> </w:t>
      </w:r>
      <w:r>
        <w:rPr>
          <w:bCs/>
          <w:b/>
        </w:rPr>
        <w:t xml:space="preserve">the Delivery Hero/Baemin deal re-prices Korean delivery assets.</w:t>
      </w:r>
      <w:r>
        <w:t xml:space="preserve"> </w:t>
      </w:r>
      <w:r>
        <w:t xml:space="preserve">Uber is paying ~1.1x sales for a business whose crown jewel competes head-on with Coupang Eats (</w:t>
      </w:r>
      <w:hyperlink r:id="rId146">
        <w:r>
          <w:rPr>
            <w:rStyle w:val="Hyperlink"/>
          </w:rPr>
          <w:t xml:space="preserve">#1089</w:t>
        </w:r>
      </w:hyperlink>
      <w:r>
        <w:t xml:space="preserve">), while Coupang as a whole trades at 0.79x sales.</w:t>
      </w:r>
    </w:p>
    <w:p>
      <w:pPr>
        <w:pStyle w:val="BodyText"/>
      </w:pPr>
      <w:r>
        <w:t xml:space="preserve">The contrarian</w:t>
      </w:r>
      <w:r>
        <w:t xml:space="preserve"> </w:t>
      </w:r>
      <w:r>
        <w:rPr>
          <w:iCs/>
          <w:i/>
        </w:rPr>
        <w:t xml:space="preserve">bear</w:t>
      </w:r>
      <w:r>
        <w:t xml:space="preserve"> </w:t>
      </w:r>
      <w:r>
        <w:t xml:space="preserve">view the market also refuses to see is the working-capital time bomb. Coupang’s negative-working-capital model (CCC of about -57 days) has funded growth, and Korea’s post-TMON settlement reforms are aimed squarely at it (</w:t>
      </w:r>
      <w:hyperlink r:id="rId50">
        <w:r>
          <w:rPr>
            <w:rStyle w:val="Hyperlink"/>
          </w:rPr>
          <w:t xml:space="preserve">#619</w:t>
        </w:r>
      </w:hyperlink>
      <w:r>
        <w:t xml:space="preserve">).</w:t>
      </w:r>
    </w:p>
    <w:bookmarkEnd w:id="475"/>
    <w:bookmarkEnd w:id="476"/>
    <w:bookmarkStart w:id="480" w:name="scenario-analysis-12-month-view"/>
    <w:p>
      <w:pPr>
        <w:pStyle w:val="Heading1"/>
      </w:pPr>
      <w:r>
        <w:t xml:space="preserve">22. Scenario analysis (12-month view)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Bear (25%)</w:t>
            </w:r>
          </w:p>
        </w:tc>
        <w:tc>
          <w:tcPr/>
          <w:p>
            <w:pPr>
              <w:pStyle w:val="Compact"/>
              <w:jc w:val="left"/>
            </w:pPr>
            <w:r>
              <w:t xml:space="preserve">Base (50%)</w:t>
            </w:r>
          </w:p>
        </w:tc>
        <w:tc>
          <w:tcPr/>
          <w:p>
            <w:pPr>
              <w:pStyle w:val="Compact"/>
              <w:jc w:val="left"/>
            </w:pPr>
            <w:r>
              <w:t xml:space="preserve">Bull (25%)</w:t>
            </w:r>
          </w:p>
        </w:tc>
      </w:tr>
      <w:tr>
        <w:tc>
          <w:tcPr/>
          <w:p>
            <w:pPr>
              <w:pStyle w:val="Compact"/>
              <w:jc w:val="left"/>
            </w:pPr>
            <w:r>
              <w:t xml:space="preserve">PC constant-currency growth FY27 / FY28</w:t>
            </w:r>
          </w:p>
        </w:tc>
        <w:tc>
          <w:tcPr/>
          <w:p>
            <w:pPr>
              <w:pStyle w:val="Compact"/>
              <w:jc w:val="left"/>
            </w:pPr>
            <w:r>
              <w:t xml:space="preserve">+5.5% / +5.5%</w:t>
            </w:r>
          </w:p>
        </w:tc>
        <w:tc>
          <w:tcPr/>
          <w:p>
            <w:pPr>
              <w:pStyle w:val="Compact"/>
              <w:jc w:val="left"/>
            </w:pPr>
            <w:r>
              <w:t xml:space="preserve">+11% / +10%</w:t>
            </w:r>
          </w:p>
        </w:tc>
        <w:tc>
          <w:tcPr/>
          <w:p>
            <w:pPr>
              <w:pStyle w:val="Compact"/>
              <w:jc w:val="left"/>
            </w:pPr>
            <w:r>
              <w:t xml:space="preserve">+14% / +13%</w:t>
            </w:r>
          </w:p>
        </w:tc>
      </w:tr>
      <w:tr>
        <w:tc>
          <w:tcPr/>
          <w:p>
            <w:pPr>
              <w:pStyle w:val="Compact"/>
              <w:jc w:val="left"/>
            </w:pPr>
            <w:r>
              <w:t xml:space="preserve">PC adj. EBITDA margin FY27 / FY28</w:t>
            </w:r>
          </w:p>
        </w:tc>
        <w:tc>
          <w:tcPr/>
          <w:p>
            <w:pPr>
              <w:pStyle w:val="Compact"/>
              <w:jc w:val="left"/>
            </w:pPr>
            <w:r>
              <w:t xml:space="preserve">5.8% / 6.2%</w:t>
            </w:r>
          </w:p>
        </w:tc>
        <w:tc>
          <w:tcPr/>
          <w:p>
            <w:pPr>
              <w:pStyle w:val="Compact"/>
              <w:jc w:val="left"/>
            </w:pPr>
            <w:r>
              <w:t xml:space="preserve">7.3% / 8.6%</w:t>
            </w:r>
          </w:p>
        </w:tc>
        <w:tc>
          <w:tcPr/>
          <w:p>
            <w:pPr>
              <w:pStyle w:val="Compact"/>
              <w:jc w:val="left"/>
            </w:pPr>
            <w:r>
              <w:t xml:space="preserve">8.0% / 10.0%</w:t>
            </w:r>
          </w:p>
        </w:tc>
      </w:tr>
      <w:tr>
        <w:tc>
          <w:tcPr/>
          <w:p>
            <w:pPr>
              <w:pStyle w:val="Compact"/>
              <w:jc w:val="left"/>
            </w:pPr>
            <w:r>
              <w:t xml:space="preserve">DO adj. EBITDA FY27 / FY28 (US$m)</w:t>
            </w:r>
          </w:p>
        </w:tc>
        <w:tc>
          <w:tcPr/>
          <w:p>
            <w:pPr>
              <w:pStyle w:val="Compact"/>
              <w:jc w:val="left"/>
            </w:pPr>
            <w:r>
              <w:t xml:space="preserve">-900 / -850</w:t>
            </w:r>
          </w:p>
        </w:tc>
        <w:tc>
          <w:tcPr/>
          <w:p>
            <w:pPr>
              <w:pStyle w:val="Compact"/>
              <w:jc w:val="left"/>
            </w:pPr>
            <w:r>
              <w:t xml:space="preserve">-800 / -600</w:t>
            </w:r>
          </w:p>
        </w:tc>
        <w:tc>
          <w:tcPr/>
          <w:p>
            <w:pPr>
              <w:pStyle w:val="Compact"/>
              <w:jc w:val="left"/>
            </w:pPr>
            <w:r>
              <w:t xml:space="preserve">-750 / -450</w:t>
            </w:r>
          </w:p>
        </w:tc>
      </w:tr>
      <w:tr>
        <w:tc>
          <w:tcPr/>
          <w:p>
            <w:pPr>
              <w:pStyle w:val="Compact"/>
              <w:jc w:val="left"/>
            </w:pPr>
            <w:r>
              <w:t xml:space="preserve">FY28E revenue (US$bn)</w:t>
            </w:r>
          </w:p>
        </w:tc>
        <w:tc>
          <w:tcPr/>
          <w:p>
            <w:pPr>
              <w:pStyle w:val="Compact"/>
              <w:jc w:val="left"/>
            </w:pPr>
            <w:r>
              <w:t xml:space="preserve">41.5</w:t>
            </w:r>
          </w:p>
        </w:tc>
        <w:tc>
          <w:tcPr/>
          <w:p>
            <w:pPr>
              <w:pStyle w:val="Compact"/>
              <w:jc w:val="left"/>
            </w:pPr>
            <w:r>
              <w:t xml:space="preserve">45.8</w:t>
            </w:r>
          </w:p>
        </w:tc>
        <w:tc>
          <w:tcPr/>
          <w:p>
            <w:pPr>
              <w:pStyle w:val="Compact"/>
              <w:jc w:val="left"/>
            </w:pPr>
            <w:r>
              <w:t xml:space="preserve">48.3</w:t>
            </w:r>
          </w:p>
        </w:tc>
      </w:tr>
      <w:tr>
        <w:tc>
          <w:tcPr/>
          <w:p>
            <w:pPr>
              <w:pStyle w:val="Compact"/>
              <w:jc w:val="left"/>
            </w:pPr>
            <w:r>
              <w:t xml:space="preserve">FY28E adj. EBITDA (margin)</w:t>
            </w:r>
          </w:p>
        </w:tc>
        <w:tc>
          <w:tcPr/>
          <w:p>
            <w:pPr>
              <w:pStyle w:val="Compact"/>
              <w:jc w:val="left"/>
            </w:pPr>
            <w:r>
              <w:t xml:space="preserve">US$1.27bn (3.1%)</w:t>
            </w:r>
          </w:p>
        </w:tc>
        <w:tc>
          <w:tcPr/>
          <w:p>
            <w:pPr>
              <w:pStyle w:val="Compact"/>
              <w:jc w:val="left"/>
            </w:pPr>
            <w:r>
              <w:t xml:space="preserve">US$2.63bn (5.7%)</w:t>
            </w:r>
          </w:p>
        </w:tc>
        <w:tc>
          <w:tcPr/>
          <w:p>
            <w:pPr>
              <w:pStyle w:val="Compact"/>
              <w:jc w:val="left"/>
            </w:pPr>
            <w:r>
              <w:t xml:space="preserve">US$3.51bn (7.3%)</w:t>
            </w:r>
          </w:p>
        </w:tc>
      </w:tr>
      <w:tr>
        <w:tc>
          <w:tcPr/>
          <w:p>
            <w:pPr>
              <w:pStyle w:val="Compact"/>
              <w:jc w:val="left"/>
            </w:pPr>
            <w:r>
              <w:t xml:space="preserve">FY28E GAAP EPS</w:t>
            </w:r>
          </w:p>
        </w:tc>
        <w:tc>
          <w:tcPr/>
          <w:p>
            <w:pPr>
              <w:pStyle w:val="Compact"/>
              <w:jc w:val="left"/>
            </w:pPr>
            <w:r>
              <w:t xml:space="preserve">-US$0.20</w:t>
            </w:r>
          </w:p>
        </w:tc>
        <w:tc>
          <w:tcPr/>
          <w:p>
            <w:pPr>
              <w:pStyle w:val="Compact"/>
              <w:jc w:val="left"/>
            </w:pPr>
            <w:r>
              <w:t xml:space="preserve">US$0.42</w:t>
            </w:r>
          </w:p>
        </w:tc>
        <w:tc>
          <w:tcPr/>
          <w:p>
            <w:pPr>
              <w:pStyle w:val="Compact"/>
              <w:jc w:val="left"/>
            </w:pPr>
            <w:r>
              <w:t xml:space="preserve">US$0.79</w:t>
            </w:r>
          </w:p>
        </w:tc>
      </w:tr>
      <w:tr>
        <w:tc>
          <w:tcPr/>
          <w:p>
            <w:pPr>
              <w:pStyle w:val="Compact"/>
              <w:jc w:val="left"/>
            </w:pPr>
            <w:r>
              <w:t xml:space="preserve">Valuation multiple (NTM sales at Oct-2027)</w:t>
            </w:r>
          </w:p>
        </w:tc>
        <w:tc>
          <w:tcPr/>
          <w:p>
            <w:pPr>
              <w:pStyle w:val="Compact"/>
              <w:jc w:val="left"/>
            </w:pPr>
            <w:r>
              <w:t xml:space="preserve">0.45x (Rakuten / E-MART / Zalando band)</w:t>
            </w:r>
          </w:p>
        </w:tc>
        <w:tc>
          <w:tcPr/>
          <w:p>
            <w:pPr>
              <w:pStyle w:val="Compact"/>
              <w:jc w:val="left"/>
            </w:pPr>
            <w:r>
              <w:t xml:space="preserve">0.85x (below the 0.92x regression value)</w:t>
            </w:r>
          </w:p>
        </w:tc>
        <w:tc>
          <w:tcPr/>
          <w:p>
            <w:pPr>
              <w:pStyle w:val="Compact"/>
              <w:jc w:val="left"/>
            </w:pPr>
            <w:r>
              <w:t xml:space="preserve">1.20x (FY24-25 average)</w:t>
            </w:r>
          </w:p>
        </w:tc>
      </w:tr>
      <w:tr>
        <w:tc>
          <w:tcPr/>
          <w:p>
            <w:pPr>
              <w:pStyle w:val="Compact"/>
              <w:jc w:val="left"/>
            </w:pPr>
            <w:r>
              <w:t xml:space="preserve">Implied EV/FY28E adj. EBITDA</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16.0x</w:t>
            </w:r>
          </w:p>
        </w:tc>
      </w:tr>
      <w:tr>
        <w:tc>
          <w:tcPr/>
          <w:p>
            <w:pPr>
              <w:pStyle w:val="Compact"/>
              <w:jc w:val="left"/>
            </w:pPr>
            <w:r>
              <w:t xml:space="preserve">Net debt (cash) assumed</w:t>
            </w:r>
          </w:p>
        </w:tc>
        <w:tc>
          <w:tcPr/>
          <w:p>
            <w:pPr>
              <w:pStyle w:val="Compact"/>
              <w:jc w:val="left"/>
            </w:pPr>
            <w:r>
              <w:t xml:space="preserve">+US$1.2bn (fines, NTS, settlement drain)</w:t>
            </w:r>
          </w:p>
        </w:tc>
        <w:tc>
          <w:tcPr/>
          <w:p>
            <w:pPr>
              <w:pStyle w:val="Compact"/>
              <w:jc w:val="left"/>
            </w:pPr>
            <w:r>
              <w:t xml:space="preserve">+US$0.3bn</w:t>
            </w:r>
          </w:p>
        </w:tc>
        <w:tc>
          <w:tcPr/>
          <w:p>
            <w:pPr>
              <w:pStyle w:val="Compact"/>
              <w:jc w:val="left"/>
            </w:pPr>
            <w:r>
              <w:t xml:space="preserve">-US$0.5bn</w:t>
            </w:r>
          </w:p>
        </w:tc>
      </w:tr>
      <w:tr>
        <w:tc>
          <w:tcPr/>
          <w:p>
            <w:pPr>
              <w:pStyle w:val="Compact"/>
              <w:jc w:val="left"/>
            </w:pPr>
            <w:r>
              <w:rPr>
                <w:bCs/>
                <w:b/>
              </w:rPr>
              <w:t xml:space="preserve">Value per share</w:t>
            </w:r>
          </w:p>
        </w:tc>
        <w:tc>
          <w:tcPr/>
          <w:p>
            <w:pPr>
              <w:pStyle w:val="Compact"/>
              <w:jc w:val="left"/>
            </w:pPr>
            <w:r>
              <w:rPr>
                <w:bCs/>
                <w:b/>
              </w:rPr>
              <w:t xml:space="preserve">US$9.5 (-40%)</w:t>
            </w:r>
          </w:p>
        </w:tc>
        <w:tc>
          <w:tcPr/>
          <w:p>
            <w:pPr>
              <w:pStyle w:val="Compact"/>
              <w:jc w:val="left"/>
            </w:pPr>
            <w:r>
              <w:rPr>
                <w:bCs/>
                <w:b/>
              </w:rPr>
              <w:t xml:space="preserve">US$21.0 (+33%)</w:t>
            </w:r>
          </w:p>
        </w:tc>
        <w:tc>
          <w:tcPr/>
          <w:p>
            <w:pPr>
              <w:pStyle w:val="Compact"/>
              <w:jc w:val="left"/>
            </w:pPr>
            <w:r>
              <w:rPr>
                <w:bCs/>
                <w:b/>
              </w:rPr>
              <w:t xml:space="preserve">US$31.7 (+100%)</w:t>
            </w:r>
          </w:p>
        </w:tc>
      </w:tr>
      <w:tr>
        <w:tc>
          <w:tcPr/>
          <w:p>
            <w:pPr>
              <w:pStyle w:val="Compact"/>
              <w:jc w:val="left"/>
            </w:pPr>
            <w:r>
              <w:t xml:space="preserve">Key triggers</w:t>
            </w:r>
          </w:p>
        </w:tc>
        <w:tc>
          <w:tcPr/>
          <w:p>
            <w:pPr>
              <w:pStyle w:val="Compact"/>
              <w:jc w:val="left"/>
            </w:pPr>
            <w:r>
              <w:t xml:space="preserve">KFTC unbundling; night-delivery ban; settlement drain; share loss</w:t>
            </w:r>
          </w:p>
        </w:tc>
        <w:tc>
          <w:tcPr/>
          <w:p>
            <w:pPr>
              <w:pStyle w:val="Compact"/>
              <w:jc w:val="left"/>
            </w:pPr>
            <w:r>
              <w:t xml:space="preserve">Mid-2027 margin normalisation; DO losses fall</w:t>
            </w:r>
          </w:p>
        </w:tc>
        <w:tc>
          <w:tcPr/>
          <w:p>
            <w:pPr>
              <w:pStyle w:val="Compact"/>
              <w:jc w:val="left"/>
            </w:pPr>
            <w:r>
              <w:t xml:space="preserve">KRW recovery; faster margins; Taiwan inflects; PIPC appeal win</w:t>
            </w:r>
          </w:p>
        </w:tc>
      </w:tr>
    </w:tbl>
    <w:p>
      <w:pPr>
        <w:pStyle w:val="BodyText"/>
      </w:pPr>
      <w:r>
        <w:rPr>
          <w:bCs/>
          <w:b/>
        </w:rPr>
        <w:t xml:space="preserve">Probability-weighted value: US$20.8 (+31%) [e].</w:t>
      </w:r>
      <w:r>
        <w:t xml:space="preserve"> </w:t>
      </w:r>
      <w:r>
        <w:t xml:space="preserve">Upside to the bull case (+100%) is about 2.5x the downside to the bear case (-40%), and the base case alone offers +33%.</w:t>
      </w:r>
    </w:p>
    <w:p>
      <w:pPr>
        <w:pStyle w:val="CaptionedFigure"/>
      </w:pPr>
      <w:r>
        <w:drawing>
          <wp:inline>
            <wp:extent cx="4533900" cy="2193822"/>
            <wp:effectExtent b="0" l="0" r="0" t="0"/>
            <wp:docPr descr="Scenario values" title="" id="478" name="Picture"/>
            <a:graphic>
              <a:graphicData uri="http://schemas.openxmlformats.org/drawingml/2006/picture">
                <pic:pic>
                  <pic:nvPicPr>
                    <pic:cNvPr descr="out/charts/scenarios.png" id="479" name="Picture"/>
                    <pic:cNvPicPr>
                      <a:picLocks noChangeArrowheads="1" noChangeAspect="1"/>
                    </pic:cNvPicPr>
                  </pic:nvPicPr>
                  <pic:blipFill>
                    <a:blip r:embed="rId477"/>
                    <a:stretch>
                      <a:fillRect/>
                    </a:stretch>
                  </pic:blipFill>
                  <pic:spPr bwMode="auto">
                    <a:xfrm>
                      <a:off x="0" y="0"/>
                      <a:ext cx="4533900" cy="2193822"/>
                    </a:xfrm>
                    <a:prstGeom prst="rect">
                      <a:avLst/>
                    </a:prstGeom>
                    <a:noFill/>
                    <a:ln w="9525">
                      <a:noFill/>
                      <a:headEnd/>
                      <a:tailEnd/>
                    </a:ln>
                  </pic:spPr>
                </pic:pic>
              </a:graphicData>
            </a:graphic>
          </wp:inline>
        </w:drawing>
      </w:r>
    </w:p>
    <w:p>
      <w:pPr>
        <w:pStyle w:val="ImageCaption"/>
      </w:pPr>
      <w:r>
        <w:t xml:space="preserve">Scenario values</w:t>
      </w:r>
    </w:p>
    <w:bookmarkEnd w:id="480"/>
    <w:bookmarkStart w:id="481" w:name="X3b59ec5290e3a719d5d55e3d93a5172c513fd03"/>
    <w:p>
      <w:pPr>
        <w:pStyle w:val="Heading1"/>
      </w:pPr>
      <w:r>
        <w:t xml:space="preserve">23. Fifteen questions for the CEO / Chairman (ordered by information value)</w:t>
      </w:r>
    </w:p>
    <w:p>
      <w:pPr>
        <w:numPr>
          <w:ilvl w:val="0"/>
          <w:numId w:val="1063"/>
        </w:numPr>
        <w:pStyle w:val="Compact"/>
      </w:pPr>
      <w:r>
        <w:t xml:space="preserve">The PC margin recovery date moved from</w:t>
      </w:r>
      <w:r>
        <w:t xml:space="preserve"> </w:t>
      </w:r>
      <w:r>
        <w:t xml:space="preserve">“</w:t>
      </w:r>
      <w:r>
        <w:t xml:space="preserve">next year</w:t>
      </w:r>
      <w:r>
        <w:t xml:space="preserve">”</w:t>
      </w:r>
      <w:r>
        <w:t xml:space="preserve"> </w:t>
      </w:r>
      <w:r>
        <w:t xml:space="preserve">to</w:t>
      </w:r>
      <w:r>
        <w:t xml:space="preserve"> </w:t>
      </w:r>
      <w:r>
        <w:t xml:space="preserve">“</w:t>
      </w:r>
      <w:r>
        <w:t xml:space="preserve">mid-2027</w:t>
      </w:r>
      <w:r>
        <w:t xml:space="preserve">”</w:t>
      </w:r>
      <w:r>
        <w:t xml:space="preserve">. Exactly which levers (volume back on the demand curve, promotions, marketing, network rationalisation) get you there, and what PC margin will the 2027 guide embed?</w:t>
      </w:r>
    </w:p>
    <w:p>
      <w:pPr>
        <w:numPr>
          <w:ilvl w:val="0"/>
          <w:numId w:val="1063"/>
        </w:numPr>
        <w:pStyle w:val="Compact"/>
      </w:pPr>
      <w:r>
        <w:t xml:space="preserve">How large is the non-returning cohort in accounts and pre-incident spend, and what evidence do you have on where that spend went?</w:t>
      </w:r>
    </w:p>
    <w:p>
      <w:pPr>
        <w:numPr>
          <w:ilvl w:val="0"/>
          <w:numId w:val="1063"/>
        </w:numPr>
        <w:pStyle w:val="Compact"/>
      </w:pPr>
      <w:r>
        <w:t xml:space="preserve">Quantify the December-2026 settlement-period rules: how much of the US$6.3bn of payables is marketplace settlement float, and what is the cash impact in 2027?</w:t>
      </w:r>
    </w:p>
    <w:p>
      <w:pPr>
        <w:numPr>
          <w:ilvl w:val="0"/>
          <w:numId w:val="1063"/>
        </w:numPr>
        <w:pStyle w:val="Compact"/>
      </w:pPr>
      <w:r>
        <w:t xml:space="preserve">Why fund US$850m of H1’26 buybacks alongside a US$750m revolver draw when TTM FCF is ~US$0.1bn? What leverage and FCF guardrails govern the remaining US$907m?</w:t>
      </w:r>
    </w:p>
    <w:p>
      <w:pPr>
        <w:numPr>
          <w:ilvl w:val="0"/>
          <w:numId w:val="1063"/>
        </w:numPr>
        <w:pStyle w:val="Compact"/>
      </w:pPr>
      <w:r>
        <w:t xml:space="preserve">What are the break-even timeline, the investment cap and the kill criteria for Taiwan, and what return hurdle do you apply to Developing Offerings capital?</w:t>
      </w:r>
    </w:p>
    <w:p>
      <w:pPr>
        <w:numPr>
          <w:ilvl w:val="0"/>
          <w:numId w:val="1063"/>
        </w:numPr>
        <w:pStyle w:val="Compact"/>
      </w:pPr>
      <w:r>
        <w:t xml:space="preserve">If the KFTC forces Eats out of WOW, what happens to WOW retention and Eats volume, and what is your contingency?</w:t>
      </w:r>
    </w:p>
    <w:p>
      <w:pPr>
        <w:numPr>
          <w:ilvl w:val="0"/>
          <w:numId w:val="1063"/>
        </w:numPr>
        <w:pStyle w:val="Compact"/>
      </w:pPr>
      <w:r>
        <w:t xml:space="preserve">When will Coupang Corp. have a permanent Korean CEO? What does the regulatory</w:t>
      </w:r>
      <w:r>
        <w:t xml:space="preserve"> </w:t>
      </w:r>
      <w:r>
        <w:t xml:space="preserve">“</w:t>
      </w:r>
      <w:r>
        <w:t xml:space="preserve">designation</w:t>
      </w:r>
      <w:r>
        <w:t xml:space="preserve">”</w:t>
      </w:r>
      <w:r>
        <w:t xml:space="preserve"> </w:t>
      </w:r>
      <w:r>
        <w:t xml:space="preserve">concerning you personally mean for your role?</w:t>
      </w:r>
    </w:p>
    <w:p>
      <w:pPr>
        <w:numPr>
          <w:ilvl w:val="0"/>
          <w:numId w:val="1063"/>
        </w:numPr>
        <w:pStyle w:val="Compact"/>
      </w:pPr>
      <w:r>
        <w:t xml:space="preserve">What share of volume is Dawn Delivery, and how would you re-engineer the network under a night-delivery ban?</w:t>
      </w:r>
    </w:p>
    <w:p>
      <w:pPr>
        <w:numPr>
          <w:ilvl w:val="0"/>
          <w:numId w:val="1063"/>
        </w:numPr>
        <w:pStyle w:val="Compact"/>
      </w:pPr>
      <w:r>
        <w:t xml:space="preserve">Is the 10%+ long-term adjusted EBITDA margin target still valid? Why has it not been restated since the incident?</w:t>
      </w:r>
    </w:p>
    <w:p>
      <w:pPr>
        <w:numPr>
          <w:ilvl w:val="0"/>
          <w:numId w:val="1063"/>
        </w:numPr>
        <w:pStyle w:val="Compact"/>
      </w:pPr>
      <w:r>
        <w:t xml:space="preserve">What is the all-in cost of the incident (vouchers, fines, marketing, security), and what residual exposure remains from US and Korean litigation?</w:t>
      </w:r>
    </w:p>
    <w:p>
      <w:pPr>
        <w:numPr>
          <w:ilvl w:val="0"/>
          <w:numId w:val="1063"/>
        </w:numPr>
        <w:pStyle w:val="Compact"/>
      </w:pPr>
      <w:r>
        <w:t xml:space="preserve">Why is the ~US$208m NTS transfer-pricing claim unreserved, and does the CFS / Coupang Corp. structure need to change? What does it mean for the effective tax rate?</w:t>
      </w:r>
    </w:p>
    <w:p>
      <w:pPr>
        <w:numPr>
          <w:ilvl w:val="0"/>
          <w:numId w:val="1063"/>
        </w:numPr>
        <w:pStyle w:val="Compact"/>
      </w:pPr>
      <w:r>
        <w:t xml:space="preserve">What insurance cover applies to the ~US$246m Incheon fire exposure, and when do you expect recoveries? Is Q4 peak capacity constrained?</w:t>
      </w:r>
    </w:p>
    <w:p>
      <w:pPr>
        <w:numPr>
          <w:ilvl w:val="0"/>
          <w:numId w:val="1063"/>
        </w:numPr>
        <w:pStyle w:val="Compact"/>
      </w:pPr>
      <w:r>
        <w:t xml:space="preserve">How do you measure wallet-share recapture against Naver’s Plus / Kurly / CJ Logistics alliance and the Chinese platforms? Is further price investment needed?</w:t>
      </w:r>
    </w:p>
    <w:p>
      <w:pPr>
        <w:numPr>
          <w:ilvl w:val="0"/>
          <w:numId w:val="1063"/>
        </w:numPr>
        <w:pStyle w:val="Compact"/>
      </w:pPr>
      <w:r>
        <w:t xml:space="preserve">Will you consider a Class B sunset or succession disclosures? Do you intend to sell further shares after the 15m-share plan?</w:t>
      </w:r>
    </w:p>
    <w:p>
      <w:pPr>
        <w:numPr>
          <w:ilvl w:val="0"/>
          <w:numId w:val="1063"/>
        </w:numPr>
        <w:pStyle w:val="Compact"/>
      </w:pPr>
      <w:r>
        <w:t xml:space="preserve">With Uber consolidating Baemin and Grab buying Foodpanda Taiwan, would you consider partnerships or separations for Eats, Farfetch or Taiwan to crystallise value?</w:t>
      </w:r>
    </w:p>
    <w:bookmarkEnd w:id="481"/>
    <w:bookmarkStart w:id="483" w:name="Xb01bf49ab7ee51b8b7e345c67dcfc5d03481f08"/>
    <w:p>
      <w:pPr>
        <w:pStyle w:val="Heading1"/>
      </w:pPr>
      <w:r>
        <w:t xml:space="preserve">24. The short-seller’s case (forensic and adversarial)</w:t>
      </w:r>
    </w:p>
    <w:p>
      <w:pPr>
        <w:pStyle w:val="FirstParagraph"/>
      </w:pPr>
      <w:r>
        <w:rPr>
          <w:bCs/>
          <w:b/>
        </w:rPr>
        <w:t xml:space="preserve">What could structurally break how Coupang makes money?</w:t>
      </w:r>
    </w:p>
    <w:p>
      <w:pPr>
        <w:numPr>
          <w:ilvl w:val="0"/>
          <w:numId w:val="1064"/>
        </w:numPr>
        <w:pStyle w:val="Compact"/>
      </w:pPr>
      <w:r>
        <w:t xml:space="preserve">The economics depend on three things: a regulator tolerant of overnight labour, bundled memberships, and long settlement terms.</w:t>
      </w:r>
    </w:p>
    <w:p>
      <w:pPr>
        <w:numPr>
          <w:ilvl w:val="0"/>
          <w:numId w:val="1064"/>
        </w:numPr>
        <w:pStyle w:val="Compact"/>
      </w:pPr>
      <w:r>
        <w:t xml:space="preserve">Each is now in play: night-delivery ban (</w:t>
      </w:r>
      <w:hyperlink r:id="rId166">
        <w:r>
          <w:rPr>
            <w:rStyle w:val="Hyperlink"/>
          </w:rPr>
          <w:t xml:space="preserve">#861</w:t>
        </w:r>
      </w:hyperlink>
      <w:r>
        <w:t xml:space="preserve">), Eats-WOW bundling (</w:t>
      </w:r>
      <w:hyperlink r:id="rId451">
        <w:r>
          <w:rPr>
            <w:rStyle w:val="Hyperlink"/>
          </w:rPr>
          <w:t xml:space="preserve">#2008</w:t>
        </w:r>
      </w:hyperlink>
      <w:r>
        <w:t xml:space="preserve">), and the EFTA / Large-Scale Retail Business Act reforms (</w:t>
      </w:r>
      <w:hyperlink r:id="rId50">
        <w:r>
          <w:rPr>
            <w:rStyle w:val="Hyperlink"/>
          </w:rPr>
          <w:t xml:space="preserve">#619</w:t>
        </w:r>
      </w:hyperlink>
      <w:r>
        <w:t xml:space="preserve">).</w:t>
      </w:r>
    </w:p>
    <w:p>
      <w:pPr>
        <w:numPr>
          <w:ilvl w:val="0"/>
          <w:numId w:val="1064"/>
        </w:numPr>
        <w:pStyle w:val="Compact"/>
      </w:pPr>
      <w:r>
        <w:t xml:space="preserve">Remove the payables float and the business needs external capital to grow.</w:t>
      </w:r>
    </w:p>
    <w:p>
      <w:pPr>
        <w:pStyle w:val="FirstParagraph"/>
      </w:pPr>
      <w:r>
        <w:rPr>
          <w:bCs/>
          <w:b/>
        </w:rPr>
        <w:t xml:space="preserve">Concentration</w:t>
      </w:r>
    </w:p>
    <w:p>
      <w:pPr>
        <w:numPr>
          <w:ilvl w:val="0"/>
          <w:numId w:val="1065"/>
        </w:numPr>
        <w:pStyle w:val="Compact"/>
      </w:pPr>
      <w:r>
        <w:t xml:space="preserve">Over 90% of revenue is in Korea (</w:t>
      </w:r>
      <w:hyperlink r:id="rId78">
        <w:r>
          <w:rPr>
            <w:rStyle w:val="Hyperlink"/>
          </w:rPr>
          <w:t xml:space="preserve">#1858</w:t>
        </w:r>
      </w:hyperlink>
      <w:r>
        <w:t xml:space="preserve">). Product Commerce is ~86% of revenue and more than 100% of adjusted EBITDA.</w:t>
      </w:r>
    </w:p>
    <w:p>
      <w:pPr>
        <w:numPr>
          <w:ilvl w:val="0"/>
          <w:numId w:val="1065"/>
        </w:numPr>
        <w:pStyle w:val="Compact"/>
      </w:pPr>
      <w:r>
        <w:t xml:space="preserve">A single country’s consumer mood, regulator and currency drive the entire equity.</w:t>
      </w:r>
    </w:p>
    <w:p>
      <w:pPr>
        <w:numPr>
          <w:ilvl w:val="0"/>
          <w:numId w:val="1065"/>
        </w:numPr>
        <w:pStyle w:val="Compact"/>
      </w:pPr>
      <w:r>
        <w:t xml:space="preserve">If Korean shoppers’ default shifts to Naver’s ecosystem (search, then membership, then delivery), there is no second leg. Taiwan and Farfetch are loss-making or marginal.</w:t>
      </w:r>
    </w:p>
    <w:p>
      <w:pPr>
        <w:pStyle w:val="FirstParagraph"/>
      </w:pPr>
      <w:r>
        <w:rPr>
          <w:bCs/>
          <w:b/>
        </w:rPr>
        <w:t xml:space="preserve">Why the moat is weaker than bulls think</w:t>
      </w:r>
    </w:p>
    <w:p>
      <w:pPr>
        <w:numPr>
          <w:ilvl w:val="0"/>
          <w:numId w:val="1066"/>
        </w:numPr>
        <w:pStyle w:val="Compact"/>
      </w:pPr>
      <w:r>
        <w:t xml:space="preserve">Switching costs are behavioural, not contractual.</w:t>
      </w:r>
    </w:p>
    <w:p>
      <w:pPr>
        <w:numPr>
          <w:ilvl w:val="0"/>
          <w:numId w:val="1066"/>
        </w:numPr>
        <w:pStyle w:val="Compact"/>
      </w:pPr>
      <w:r>
        <w:t xml:space="preserve">Naver gained members and GMV within weeks of the breach (</w:t>
      </w:r>
      <w:hyperlink r:id="rId176">
        <w:r>
          <w:rPr>
            <w:rStyle w:val="Hyperlink"/>
          </w:rPr>
          <w:t xml:space="preserve">#298</w:t>
        </w:r>
      </w:hyperlink>
      <w:r>
        <w:t xml:space="preserve">).</w:t>
      </w:r>
    </w:p>
    <w:p>
      <w:pPr>
        <w:numPr>
          <w:ilvl w:val="0"/>
          <w:numId w:val="1066"/>
        </w:numPr>
        <w:pStyle w:val="Compact"/>
      </w:pPr>
      <w:r>
        <w:t xml:space="preserve">Coupang needed promotions and marketing to win customers back (</w:t>
      </w:r>
      <w:hyperlink r:id="rId172">
        <w:r>
          <w:rPr>
            <w:rStyle w:val="Hyperlink"/>
          </w:rPr>
          <w:t xml:space="preserve">#420</w:t>
        </w:r>
      </w:hyperlink>
      <w:r>
        <w:t xml:space="preserve">).</w:t>
      </w:r>
    </w:p>
    <w:p>
      <w:pPr>
        <w:numPr>
          <w:ilvl w:val="0"/>
          <w:numId w:val="1066"/>
        </w:numPr>
        <w:pStyle w:val="Compact"/>
      </w:pPr>
      <w:r>
        <w:t xml:space="preserve">Regulation works</w:t>
      </w:r>
      <w:r>
        <w:t xml:space="preserve"> </w:t>
      </w:r>
      <w:r>
        <w:rPr>
          <w:iCs/>
          <w:i/>
        </w:rPr>
        <w:t xml:space="preserve">against</w:t>
      </w:r>
      <w:r>
        <w:t xml:space="preserve"> </w:t>
      </w:r>
      <w:r>
        <w:t xml:space="preserve">incumbency.</w:t>
      </w:r>
    </w:p>
    <w:p>
      <w:pPr>
        <w:pStyle w:val="FirstParagraph"/>
      </w:pPr>
      <w:r>
        <w:rPr>
          <w:bCs/>
          <w:b/>
        </w:rPr>
        <w:t xml:space="preserve">The most dangerous competitor: NAVER</w:t>
      </w:r>
    </w:p>
    <w:p>
      <w:pPr>
        <w:numPr>
          <w:ilvl w:val="0"/>
          <w:numId w:val="1067"/>
        </w:numPr>
        <w:pStyle w:val="Compact"/>
      </w:pPr>
      <w:r>
        <w:t xml:space="preserve">It owns the top of the funnel (search and price comparison), payments and a membership with Netflix.</w:t>
      </w:r>
    </w:p>
    <w:p>
      <w:pPr>
        <w:numPr>
          <w:ilvl w:val="0"/>
          <w:numId w:val="1067"/>
        </w:numPr>
        <w:pStyle w:val="Compact"/>
      </w:pPr>
      <w:r>
        <w:t xml:space="preserve">It now delivers dawn grocery via Kurly and CJ Logistics without Coupang’s capex (</w:t>
      </w:r>
      <w:hyperlink r:id="rId142">
        <w:r>
          <w:rPr>
            <w:rStyle w:val="Hyperlink"/>
          </w:rPr>
          <w:t xml:space="preserve">#321</w:t>
        </w:r>
      </w:hyperlink>
      <w:r>
        <w:t xml:space="preserve">,</w:t>
      </w:r>
      <w:r>
        <w:t xml:space="preserve"> </w:t>
      </w:r>
      <w:hyperlink r:id="rId143">
        <w:r>
          <w:rPr>
            <w:rStyle w:val="Hyperlink"/>
          </w:rPr>
          <w:t xml:space="preserve">#326</w:t>
        </w:r>
      </w:hyperlink>
      <w:r>
        <w:t xml:space="preserve">).</w:t>
      </w:r>
    </w:p>
    <w:p>
      <w:pPr>
        <w:numPr>
          <w:ilvl w:val="0"/>
          <w:numId w:val="1067"/>
        </w:numPr>
        <w:pStyle w:val="Compact"/>
      </w:pPr>
      <w:r>
        <w:t xml:space="preserve">Bulls underestimate it because they benchmark Coupang against retailers, not against the traffic gatekeeper.</w:t>
      </w:r>
    </w:p>
    <w:p>
      <w:pPr>
        <w:pStyle w:val="FirstParagraph"/>
      </w:pPr>
      <w:r>
        <w:rPr>
          <w:bCs/>
          <w:b/>
        </w:rPr>
        <w:t xml:space="preserve">Worst capital allocation</w:t>
      </w:r>
    </w:p>
    <w:p>
      <w:pPr>
        <w:numPr>
          <w:ilvl w:val="0"/>
          <w:numId w:val="1068"/>
        </w:numPr>
        <w:pStyle w:val="Compact"/>
      </w:pPr>
      <w:r>
        <w:t xml:space="preserve">About US$1bn a year of Developing Offerings losses (</w:t>
      </w:r>
      <w:hyperlink r:id="rId76">
        <w:r>
          <w:rPr>
            <w:rStyle w:val="Hyperlink"/>
          </w:rPr>
          <w:t xml:space="preserve">#56</w:t>
        </w:r>
      </w:hyperlink>
      <w:r>
        <w:t xml:space="preserve">).</w:t>
      </w:r>
    </w:p>
    <w:p>
      <w:pPr>
        <w:numPr>
          <w:ilvl w:val="0"/>
          <w:numId w:val="1068"/>
        </w:numPr>
        <w:pStyle w:val="Compact"/>
      </w:pPr>
      <w:r>
        <w:t xml:space="preserve">The Japan v1 exit (</w:t>
      </w:r>
      <w:hyperlink r:id="rId408">
        <w:r>
          <w:rPr>
            <w:rStyle w:val="Hyperlink"/>
          </w:rPr>
          <w:t xml:space="preserve">#72</w:t>
        </w:r>
      </w:hyperlink>
      <w:r>
        <w:t xml:space="preserve">).</w:t>
      </w:r>
    </w:p>
    <w:p>
      <w:pPr>
        <w:numPr>
          <w:ilvl w:val="0"/>
          <w:numId w:val="1068"/>
        </w:numPr>
        <w:pStyle w:val="Compact"/>
      </w:pPr>
      <w:r>
        <w:t xml:space="preserve">Debt-funded buybacks at ~US$27.6 in 2025 and ~US$19.5 in 2026, against a price now of US$15.82.</w:t>
      </w:r>
    </w:p>
    <w:p>
      <w:pPr>
        <w:numPr>
          <w:ilvl w:val="0"/>
          <w:numId w:val="1068"/>
        </w:numPr>
        <w:pStyle w:val="Compact"/>
      </w:pPr>
      <w:r>
        <w:t xml:space="preserve">The Greenoaks buyout at ~US$122-140m against US$70m contributed (</w:t>
      </w:r>
      <w:hyperlink r:id="rId482">
        <w:r>
          <w:rPr>
            <w:rStyle w:val="Hyperlink"/>
          </w:rPr>
          <w:t xml:space="preserve">#1956</w:t>
        </w:r>
      </w:hyperlink>
      <w:r>
        <w:t xml:space="preserve">,</w:t>
      </w:r>
      <w:r>
        <w:t xml:space="preserve"> </w:t>
      </w:r>
      <w:hyperlink r:id="rId401">
        <w:r>
          <w:rPr>
            <w:rStyle w:val="Hyperlink"/>
          </w:rPr>
          <w:t xml:space="preserve">#2052</w:t>
        </w:r>
      </w:hyperlink>
      <w:r>
        <w:t xml:space="preserve">).</w:t>
      </w:r>
    </w:p>
    <w:p>
      <w:pPr>
        <w:pStyle w:val="FirstParagraph"/>
      </w:pPr>
      <w:r>
        <w:rPr>
          <w:bCs/>
          <w:b/>
        </w:rPr>
        <w:t xml:space="preserve">Related parties, accounting and incentives</w:t>
      </w:r>
    </w:p>
    <w:p>
      <w:pPr>
        <w:numPr>
          <w:ilvl w:val="0"/>
          <w:numId w:val="1069"/>
        </w:numPr>
        <w:pStyle w:val="Compact"/>
      </w:pPr>
      <w:r>
        <w:rPr>
          <w:bCs/>
          <w:b/>
        </w:rPr>
        <w:t xml:space="preserve">Greenoaks.</w:t>
      </w:r>
      <w:r>
        <w:t xml:space="preserve"> </w:t>
      </w:r>
      <w:r>
        <w:t xml:space="preserve">Director Mehta is its Managing Partner (</w:t>
      </w:r>
      <w:hyperlink r:id="rId194">
        <w:r>
          <w:rPr>
            <w:rStyle w:val="Hyperlink"/>
          </w:rPr>
          <w:t xml:space="preserve">#2050</w:t>
        </w:r>
      </w:hyperlink>
      <w:r>
        <w:t xml:space="preserve">).</w:t>
      </w:r>
    </w:p>
    <w:p>
      <w:pPr>
        <w:numPr>
          <w:ilvl w:val="0"/>
          <w:numId w:val="1069"/>
        </w:numPr>
        <w:pStyle w:val="Compact"/>
      </w:pPr>
      <w:r>
        <w:rPr>
          <w:bCs/>
          <w:b/>
        </w:rPr>
        <w:t xml:space="preserve">The</w:t>
      </w:r>
      <w:r>
        <w:rPr>
          <w:bCs/>
          <w:b/>
        </w:rPr>
        <w:t xml:space="preserve"> </w:t>
      </w:r>
      <w:r>
        <w:rPr>
          <w:bCs/>
          <w:b/>
        </w:rPr>
        <w:t xml:space="preserve">“</w:t>
      </w:r>
      <w:r>
        <w:rPr>
          <w:bCs/>
          <w:b/>
        </w:rPr>
        <w:t xml:space="preserve">administrative fines</w:t>
      </w:r>
      <w:r>
        <w:rPr>
          <w:bCs/>
          <w:b/>
        </w:rPr>
        <w:t xml:space="preserve">”</w:t>
      </w:r>
      <w:r>
        <w:rPr>
          <w:bCs/>
          <w:b/>
        </w:rPr>
        <w:t xml:space="preserve"> </w:t>
      </w:r>
      <w:r>
        <w:rPr>
          <w:bCs/>
          <w:b/>
        </w:rPr>
        <w:t xml:space="preserve">add-back.</w:t>
      </w:r>
      <w:r>
        <w:t xml:space="preserve"> </w:t>
      </w:r>
      <w:r>
        <w:t xml:space="preserve">It is new in 2026 and judgment-based, despite a recurring pattern of fines (</w:t>
      </w:r>
      <w:hyperlink r:id="rId217">
        <w:r>
          <w:rPr>
            <w:rStyle w:val="Hyperlink"/>
          </w:rPr>
          <w:t xml:space="preserve">#339</w:t>
        </w:r>
      </w:hyperlink>
      <w:r>
        <w:t xml:space="preserve">).</w:t>
      </w:r>
    </w:p>
    <w:p>
      <w:pPr>
        <w:numPr>
          <w:ilvl w:val="0"/>
          <w:numId w:val="1069"/>
        </w:numPr>
        <w:pStyle w:val="Compact"/>
      </w:pPr>
      <w:r>
        <w:rPr>
          <w:bCs/>
          <w:b/>
        </w:rPr>
        <w:t xml:space="preserve">Vouchers.</w:t>
      </w:r>
      <w:r>
        <w:t xml:space="preserve"> </w:t>
      </w:r>
      <w:r>
        <w:t xml:space="preserve">US$1.2bn was netted against revenue with no accrual at announcement (</w:t>
      </w:r>
      <w:hyperlink r:id="rId42">
        <w:r>
          <w:rPr>
            <w:rStyle w:val="Hyperlink"/>
          </w:rPr>
          <w:t xml:space="preserve">#16</w:t>
        </w:r>
      </w:hyperlink>
      <w:r>
        <w:t xml:space="preserve">).</w:t>
      </w:r>
    </w:p>
    <w:p>
      <w:pPr>
        <w:numPr>
          <w:ilvl w:val="0"/>
          <w:numId w:val="1069"/>
        </w:numPr>
        <w:pStyle w:val="Compact"/>
      </w:pPr>
      <w:r>
        <w:rPr>
          <w:bCs/>
          <w:b/>
        </w:rPr>
        <w:t xml:space="preserve">SBC.</w:t>
      </w:r>
      <w:r>
        <w:t xml:space="preserve"> </w:t>
      </w:r>
      <w:r>
        <w:t xml:space="preserve">US$475m in FY25, more than net income, with US$973m unvested (</w:t>
      </w:r>
      <w:hyperlink r:id="rId346">
        <w:r>
          <w:rPr>
            <w:rStyle w:val="Hyperlink"/>
          </w:rPr>
          <w:t xml:space="preserve">#1886</w:t>
        </w:r>
      </w:hyperlink>
      <w:r>
        <w:t xml:space="preserve">).</w:t>
      </w:r>
    </w:p>
    <w:p>
      <w:pPr>
        <w:numPr>
          <w:ilvl w:val="0"/>
          <w:numId w:val="1069"/>
        </w:numPr>
        <w:pStyle w:val="Compact"/>
      </w:pPr>
      <w:r>
        <w:rPr>
          <w:bCs/>
          <w:b/>
        </w:rPr>
        <w:t xml:space="preserve">Insider selling plans after the breach.</w:t>
      </w:r>
      <w:r>
        <w:t xml:space="preserve"> </w:t>
      </w:r>
      <w:r>
        <w:t xml:space="preserve">CFO, GC and CAO adopted plans in March-May 2026 (</w:t>
      </w:r>
      <w:hyperlink r:id="rId414">
        <w:r>
          <w:rPr>
            <w:rStyle w:val="Hyperlink"/>
          </w:rPr>
          <w:t xml:space="preserve">#300</w:t>
        </w:r>
      </w:hyperlink>
      <w:r>
        <w:t xml:space="preserve">,</w:t>
      </w:r>
      <w:r>
        <w:t xml:space="preserve"> </w:t>
      </w:r>
      <w:hyperlink r:id="rId415">
        <w:r>
          <w:rPr>
            <w:rStyle w:val="Hyperlink"/>
          </w:rPr>
          <w:t xml:space="preserve">#303</w:t>
        </w:r>
      </w:hyperlink>
      <w:r>
        <w:t xml:space="preserve">,</w:t>
      </w:r>
      <w:r>
        <w:t xml:space="preserve"> </w:t>
      </w:r>
      <w:hyperlink r:id="rId418">
        <w:r>
          <w:rPr>
            <w:rStyle w:val="Hyperlink"/>
          </w:rPr>
          <w:t xml:space="preserve">#294</w:t>
        </w:r>
      </w:hyperlink>
      <w:r>
        <w:t xml:space="preserve">).</w:t>
      </w:r>
    </w:p>
    <w:p>
      <w:pPr>
        <w:numPr>
          <w:ilvl w:val="0"/>
          <w:numId w:val="1069"/>
        </w:numPr>
        <w:pStyle w:val="Compact"/>
      </w:pPr>
      <w:r>
        <w:rPr>
          <w:bCs/>
          <w:b/>
        </w:rPr>
        <w:t xml:space="preserve">Founder selling.</w:t>
      </w:r>
      <w:r>
        <w:t xml:space="preserve"> </w:t>
      </w:r>
      <w:r>
        <w:t xml:space="preserve">Bom Kim adopted a 15m-share plan in 2024 (</w:t>
      </w:r>
      <w:hyperlink r:id="rId394">
        <w:r>
          <w:rPr>
            <w:rStyle w:val="Hyperlink"/>
          </w:rPr>
          <w:t xml:space="preserve">#311</w:t>
        </w:r>
      </w:hyperlink>
      <w:r>
        <w:t xml:space="preserve">).</w:t>
      </w:r>
    </w:p>
    <w:p>
      <w:pPr>
        <w:pStyle w:val="FirstParagraph"/>
      </w:pPr>
      <w:r>
        <w:rPr>
          <w:bCs/>
          <w:b/>
        </w:rPr>
        <w:t xml:space="preserve">What must hold for today’s price [d].</w:t>
      </w:r>
      <w:r>
        <w:t xml:space="preserve"> </w:t>
      </w:r>
      <w:r>
        <w:t xml:space="preserve">At US$15.82 the EV is ~US$28bn. Assume ~10% revenue CAGR to ~US$54bn in 2030, 20x terminal FCF and a 10% discount rate. Coupang then needs a</w:t>
      </w:r>
      <w:r>
        <w:t xml:space="preserve"> </w:t>
      </w:r>
      <w:r>
        <w:rPr>
          <w:bCs/>
          <w:b/>
        </w:rPr>
        <w:t xml:space="preserve">~3.8% FCF margin by 2030</w:t>
      </w:r>
      <w:r>
        <w:t xml:space="preserve">. That is a return to FY23-24 levels (7.2% and 3.3%), against 0.3% today.</w:t>
      </w:r>
    </w:p>
    <w:p>
      <w:pPr>
        <w:pStyle w:val="BodyText"/>
      </w:pPr>
      <w:r>
        <w:rPr>
          <w:bCs/>
          <w:b/>
        </w:rPr>
        <w:t xml:space="preserve">If growth disappoints by 20-30% [d]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Revenue CAGR</w:t>
            </w:r>
          </w:p>
        </w:tc>
        <w:tc>
          <w:tcPr/>
          <w:p>
            <w:pPr>
              <w:pStyle w:val="Compact"/>
              <w:jc w:val="left"/>
            </w:pPr>
            <w:r>
              <w:t xml:space="preserve">2030 revenue</w:t>
            </w:r>
          </w:p>
        </w:tc>
        <w:tc>
          <w:tcPr/>
          <w:p>
            <w:pPr>
              <w:pStyle w:val="Compact"/>
              <w:jc w:val="left"/>
            </w:pPr>
            <w:r>
              <w:t xml:space="preserve">2030 FCF margin</w:t>
            </w:r>
          </w:p>
        </w:tc>
        <w:tc>
          <w:tcPr/>
          <w:p>
            <w:pPr>
              <w:pStyle w:val="Compact"/>
              <w:jc w:val="left"/>
            </w:pPr>
            <w:r>
              <w:t xml:space="preserve">Implied value per share</w:t>
            </w:r>
          </w:p>
        </w:tc>
        <w:tc>
          <w:tcPr/>
          <w:p>
            <w:pPr>
              <w:pStyle w:val="Compact"/>
              <w:jc w:val="left"/>
            </w:pPr>
            <w:r>
              <w:t xml:space="preserve">Change</w:t>
            </w:r>
          </w:p>
        </w:tc>
      </w:tr>
      <w:tr>
        <w:tc>
          <w:tcPr/>
          <w:p>
            <w:pPr>
              <w:pStyle w:val="Compact"/>
              <w:jc w:val="left"/>
            </w:pPr>
            <w:r>
              <w:t xml:space="preserve">Growth -20%</w:t>
            </w:r>
          </w:p>
        </w:tc>
        <w:tc>
          <w:tcPr/>
          <w:p>
            <w:pPr>
              <w:pStyle w:val="Compact"/>
              <w:jc w:val="left"/>
            </w:pPr>
            <w:r>
              <w:t xml:space="preserve">8%</w:t>
            </w:r>
          </w:p>
        </w:tc>
        <w:tc>
          <w:tcPr/>
          <w:p>
            <w:pPr>
              <w:pStyle w:val="Compact"/>
              <w:jc w:val="left"/>
            </w:pPr>
            <w:r>
              <w:t xml:space="preserve">~US$50bn</w:t>
            </w:r>
          </w:p>
        </w:tc>
        <w:tc>
          <w:tcPr/>
          <w:p>
            <w:pPr>
              <w:pStyle w:val="Compact"/>
              <w:jc w:val="left"/>
            </w:pPr>
            <w:r>
              <w:t xml:space="preserve">3.8%</w:t>
            </w:r>
          </w:p>
        </w:tc>
        <w:tc>
          <w:tcPr/>
          <w:p>
            <w:pPr>
              <w:pStyle w:val="Compact"/>
              <w:jc w:val="left"/>
            </w:pPr>
            <w:r>
              <w:t xml:space="preserve">~US$14.5</w:t>
            </w:r>
          </w:p>
        </w:tc>
        <w:tc>
          <w:tcPr/>
          <w:p>
            <w:pPr>
              <w:pStyle w:val="Compact"/>
              <w:jc w:val="left"/>
            </w:pPr>
            <w:r>
              <w:t xml:space="preserve">-8%</w:t>
            </w:r>
          </w:p>
        </w:tc>
      </w:tr>
      <w:tr>
        <w:tc>
          <w:tcPr/>
          <w:p>
            <w:pPr>
              <w:pStyle w:val="Compact"/>
              <w:jc w:val="left"/>
            </w:pPr>
            <w:r>
              <w:t xml:space="preserve">Growth -30%, margin also slips</w:t>
            </w:r>
          </w:p>
        </w:tc>
        <w:tc>
          <w:tcPr/>
          <w:p>
            <w:pPr>
              <w:pStyle w:val="Compact"/>
              <w:jc w:val="left"/>
            </w:pPr>
            <w:r>
              <w:t xml:space="preserve">7%</w:t>
            </w:r>
          </w:p>
        </w:tc>
        <w:tc>
          <w:tcPr/>
          <w:p>
            <w:pPr>
              <w:pStyle w:val="Compact"/>
              <w:jc w:val="left"/>
            </w:pPr>
            <w:r>
              <w:t xml:space="preserve">~US$48bn</w:t>
            </w:r>
          </w:p>
        </w:tc>
        <w:tc>
          <w:tcPr/>
          <w:p>
            <w:pPr>
              <w:pStyle w:val="Compact"/>
              <w:jc w:val="left"/>
            </w:pPr>
            <w:r>
              <w:t xml:space="preserve">3.0%</w:t>
            </w:r>
          </w:p>
        </w:tc>
        <w:tc>
          <w:tcPr/>
          <w:p>
            <w:pPr>
              <w:pStyle w:val="Compact"/>
              <w:jc w:val="left"/>
            </w:pPr>
            <w:r>
              <w:t xml:space="preserve">~US$11</w:t>
            </w:r>
          </w:p>
        </w:tc>
        <w:tc>
          <w:tcPr/>
          <w:p>
            <w:pPr>
              <w:pStyle w:val="Compact"/>
              <w:jc w:val="left"/>
            </w:pPr>
            <w:r>
              <w:t xml:space="preserve">-30%</w:t>
            </w:r>
          </w:p>
        </w:tc>
      </w:tr>
    </w:tbl>
    <w:p>
      <w:pPr>
        <w:pStyle w:val="BodyText"/>
      </w:pPr>
      <w:r>
        <w:t xml:space="preserve">The stock is far more sensitive to margin than to growth.</w:t>
      </w:r>
    </w:p>
    <w:p>
      <w:pPr>
        <w:pStyle w:val="BodyText"/>
      </w:pPr>
      <w:r>
        <w:rPr>
          <w:bCs/>
          <w:b/>
        </w:rPr>
        <w:t xml:space="preserve">The single scenario that would permanently impair the business.</w:t>
      </w:r>
      <w:r>
        <w:t xml:space="preserve"> </w:t>
      </w:r>
      <w:r>
        <w:t xml:space="preserve">A Korean regulatory package that simultaneously:</w:t>
      </w:r>
    </w:p>
    <w:p>
      <w:pPr>
        <w:numPr>
          <w:ilvl w:val="0"/>
          <w:numId w:val="1070"/>
        </w:numPr>
        <w:pStyle w:val="Compact"/>
      </w:pPr>
      <w:r>
        <w:t xml:space="preserve">bans night deliveries;</w:t>
      </w:r>
    </w:p>
    <w:p>
      <w:pPr>
        <w:numPr>
          <w:ilvl w:val="0"/>
          <w:numId w:val="1070"/>
        </w:numPr>
        <w:pStyle w:val="Compact"/>
      </w:pPr>
      <w:r>
        <w:t xml:space="preserve">forces membership unbundling;</w:t>
      </w:r>
    </w:p>
    <w:p>
      <w:pPr>
        <w:numPr>
          <w:ilvl w:val="0"/>
          <w:numId w:val="1070"/>
        </w:numPr>
        <w:pStyle w:val="Compact"/>
      </w:pPr>
      <w:r>
        <w:t xml:space="preserve">shortens settlement terms; and</w:t>
      </w:r>
    </w:p>
    <w:p>
      <w:pPr>
        <w:numPr>
          <w:ilvl w:val="0"/>
          <w:numId w:val="1070"/>
        </w:numPr>
        <w:pStyle w:val="Compact"/>
      </w:pPr>
      <w:r>
        <w:t xml:space="preserve">reclassifies delivery partners as employees.</w:t>
      </w:r>
    </w:p>
    <w:p>
      <w:pPr>
        <w:pStyle w:val="FirstParagraph"/>
      </w:pPr>
      <w:r>
        <w:t xml:space="preserve">That combination would convert Coupang into a low-margin, capital-hungry retailer worth ~0.4-0.5x sales (~US$8-10 a share).</w:t>
      </w:r>
      <w:r>
        <w:t xml:space="preserve"> </w:t>
      </w:r>
      <w:r>
        <w:rPr>
          <w:bCs/>
          <w:b/>
        </w:rPr>
        <w:t xml:space="preserve">Plausibility: low to moderate (~10-15%).</w:t>
      </w:r>
      <w:r>
        <w:t xml:space="preserve"> </w:t>
      </w:r>
      <w:r>
        <w:t xml:space="preserve">Each element exists today, but the full combination would require a political shift against a 100,000-plus employer at a time of weak consumption.</w:t>
      </w:r>
    </w:p>
    <w:bookmarkEnd w:id="483"/>
    <w:bookmarkStart w:id="493" w:name="forensic-accounting-review-red-flags"/>
    <w:p>
      <w:pPr>
        <w:pStyle w:val="Heading1"/>
      </w:pPr>
      <w:r>
        <w:t xml:space="preserve">25. Forensic accounting review: red flags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Area</w:t>
            </w:r>
          </w:p>
        </w:tc>
        <w:tc>
          <w:tcPr/>
          <w:p>
            <w:pPr>
              <w:pStyle w:val="Compact"/>
              <w:jc w:val="left"/>
            </w:pPr>
            <w:r>
              <w:t xml:space="preserve">Statement</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Evidence</w:t>
            </w:r>
          </w:p>
        </w:tc>
      </w:tr>
      <w:tr>
        <w:tc>
          <w:tcPr/>
          <w:p>
            <w:pPr>
              <w:pStyle w:val="Compact"/>
              <w:jc w:val="left"/>
            </w:pPr>
            <w:r>
              <w:t xml:space="preserve">Revenue recognition</w:t>
            </w:r>
          </w:p>
        </w:tc>
        <w:tc>
          <w:tcPr/>
          <w:p>
            <w:pPr>
              <w:pStyle w:val="Compact"/>
              <w:jc w:val="left"/>
            </w:pPr>
            <w:r>
              <w:t xml:space="preserve">IS</w:t>
            </w:r>
          </w:p>
        </w:tc>
        <w:tc>
          <w:tcPr/>
          <w:p>
            <w:pPr>
              <w:pStyle w:val="Compact"/>
              <w:jc w:val="left"/>
            </w:pPr>
            <w:r>
              <w:t xml:space="preserve">~US$1.2bn of vouchers booked as reduced revenue on redemption; no liability accrued at announcement; amount redeemed not disclosed</w:t>
            </w:r>
          </w:p>
        </w:tc>
        <w:tc>
          <w:tcPr/>
          <w:p>
            <w:pPr>
              <w:pStyle w:val="Compact"/>
              <w:jc w:val="left"/>
            </w:pPr>
            <w:r>
              <w:t xml:space="preserve">Medium</w:t>
            </w:r>
          </w:p>
        </w:tc>
        <w:tc>
          <w:tcPr/>
          <w:p>
            <w:pPr>
              <w:pStyle w:val="Compact"/>
              <w:jc w:val="left"/>
            </w:pPr>
            <w:hyperlink r:id="rId42">
              <w:r>
                <w:rPr>
                  <w:rStyle w:val="Hyperlink"/>
                </w:rPr>
                <w:t xml:space="preserve">#16</w:t>
              </w:r>
            </w:hyperlink>
            <w:r>
              <w:t xml:space="preserve">,</w:t>
            </w:r>
            <w:r>
              <w:t xml:space="preserve"> </w:t>
            </w:r>
            <w:hyperlink r:id="rId70">
              <w:r>
                <w:rPr>
                  <w:rStyle w:val="Hyperlink"/>
                </w:rPr>
                <w:t xml:space="preserve">#1761</w:t>
              </w:r>
            </w:hyperlink>
          </w:p>
        </w:tc>
      </w:tr>
      <w:tr>
        <w:tc>
          <w:tcPr/>
          <w:p>
            <w:pPr>
              <w:pStyle w:val="Compact"/>
              <w:jc w:val="left"/>
            </w:pPr>
            <w:r>
              <w:t xml:space="preserve">Revenue recognition</w:t>
            </w:r>
          </w:p>
        </w:tc>
        <w:tc>
          <w:tcPr/>
          <w:p>
            <w:pPr>
              <w:pStyle w:val="Compact"/>
              <w:jc w:val="left"/>
            </w:pPr>
            <w:r>
              <w:t xml:space="preserve">IS</w:t>
            </w:r>
          </w:p>
        </w:tc>
        <w:tc>
          <w:tcPr/>
          <w:p>
            <w:pPr>
              <w:pStyle w:val="Compact"/>
              <w:jc w:val="left"/>
            </w:pPr>
            <w:r>
              <w:t xml:space="preserve">Gross (1P) vs net (3P/FLC) mix shifts distort growth (the 2023 FLC net change cost ~520bp of growth); supplier ad payments reduce COGS</w:t>
            </w:r>
          </w:p>
        </w:tc>
        <w:tc>
          <w:tcPr/>
          <w:p>
            <w:pPr>
              <w:pStyle w:val="Compact"/>
              <w:jc w:val="left"/>
            </w:pPr>
            <w:r>
              <w:t xml:space="preserve">Low-Medium</w:t>
            </w:r>
          </w:p>
        </w:tc>
        <w:tc>
          <w:tcPr/>
          <w:p>
            <w:pPr>
              <w:pStyle w:val="Compact"/>
              <w:jc w:val="left"/>
            </w:pPr>
            <w:hyperlink r:id="rId267">
              <w:r>
                <w:rPr>
                  <w:rStyle w:val="Hyperlink"/>
                </w:rPr>
                <w:t xml:space="preserve">#28</w:t>
              </w:r>
            </w:hyperlink>
            <w:r>
              <w:t xml:space="preserve">,</w:t>
            </w:r>
            <w:r>
              <w:t xml:space="preserve"> </w:t>
            </w:r>
            <w:hyperlink r:id="rId68">
              <w:r>
                <w:rPr>
                  <w:rStyle w:val="Hyperlink"/>
                </w:rPr>
                <w:t xml:space="preserve">#1745</w:t>
              </w:r>
            </w:hyperlink>
          </w:p>
        </w:tc>
      </w:tr>
      <w:tr>
        <w:tc>
          <w:tcPr/>
          <w:p>
            <w:pPr>
              <w:pStyle w:val="Compact"/>
              <w:jc w:val="left"/>
            </w:pPr>
            <w:r>
              <w:t xml:space="preserve">Segment reporting</w:t>
            </w:r>
          </w:p>
        </w:tc>
        <w:tc>
          <w:tcPr/>
          <w:p>
            <w:pPr>
              <w:pStyle w:val="Compact"/>
              <w:jc w:val="left"/>
            </w:pPr>
            <w:r>
              <w:t xml:space="preserve">IS</w:t>
            </w:r>
          </w:p>
        </w:tc>
        <w:tc>
          <w:tcPr/>
          <w:p>
            <w:pPr>
              <w:pStyle w:val="Compact"/>
              <w:jc w:val="left"/>
            </w:pPr>
            <w:r>
              <w:t xml:space="preserve">New</w:t>
            </w:r>
            <w:r>
              <w:t xml:space="preserve"> </w:t>
            </w:r>
            <w:r>
              <w:t xml:space="preserve">“</w:t>
            </w:r>
            <w:r>
              <w:t xml:space="preserve">administrative fines</w:t>
            </w:r>
            <w:r>
              <w:t xml:space="preserve">”</w:t>
            </w:r>
            <w:r>
              <w:t xml:space="preserve"> </w:t>
            </w:r>
            <w:r>
              <w:t xml:space="preserve">add-back (US$410m); costs allocated</w:t>
            </w:r>
            <w:r>
              <w:t xml:space="preserve"> </w:t>
            </w:r>
            <w:r>
              <w:t xml:space="preserve">“</w:t>
            </w:r>
            <w:r>
              <w:t xml:space="preserve">based on usage</w:t>
            </w:r>
            <w:r>
              <w:t xml:space="preserve">”</w:t>
            </w:r>
            <w:r>
              <w:t xml:space="preserve">; no segment assets; Farfetch inside DO</w:t>
            </w:r>
          </w:p>
        </w:tc>
        <w:tc>
          <w:tcPr/>
          <w:p>
            <w:pPr>
              <w:pStyle w:val="Compact"/>
              <w:jc w:val="left"/>
            </w:pPr>
            <w:r>
              <w:t xml:space="preserve">High</w:t>
            </w:r>
          </w:p>
        </w:tc>
        <w:tc>
          <w:tcPr/>
          <w:p>
            <w:pPr>
              <w:pStyle w:val="Compact"/>
              <w:jc w:val="left"/>
            </w:pPr>
            <w:hyperlink r:id="rId217">
              <w:r>
                <w:rPr>
                  <w:rStyle w:val="Hyperlink"/>
                </w:rPr>
                <w:t xml:space="preserve">#339</w:t>
              </w:r>
            </w:hyperlink>
            <w:r>
              <w:t xml:space="preserve">,</w:t>
            </w:r>
            <w:r>
              <w:t xml:space="preserve"> </w:t>
            </w:r>
            <w:hyperlink r:id="rId235">
              <w:r>
                <w:rPr>
                  <w:rStyle w:val="Hyperlink"/>
                </w:rPr>
                <w:t xml:space="preserve">#1868</w:t>
              </w:r>
            </w:hyperlink>
          </w:p>
        </w:tc>
      </w:tr>
      <w:tr>
        <w:tc>
          <w:tcPr/>
          <w:p>
            <w:pPr>
              <w:pStyle w:val="Compact"/>
              <w:jc w:val="left"/>
            </w:pPr>
            <w:r>
              <w:t xml:space="preserve">Leases</w:t>
            </w:r>
          </w:p>
        </w:tc>
        <w:tc>
          <w:tcPr/>
          <w:p>
            <w:pPr>
              <w:pStyle w:val="Compact"/>
              <w:jc w:val="left"/>
            </w:pPr>
            <w:r>
              <w:t xml:space="preserve">BS</w:t>
            </w:r>
          </w:p>
        </w:tc>
        <w:tc>
          <w:tcPr/>
          <w:p>
            <w:pPr>
              <w:pStyle w:val="Compact"/>
              <w:jc w:val="left"/>
            </w:pPr>
            <w:r>
              <w:t xml:space="preserve">US$3.03bn of operating leases (more than funded debt) plus US$689m signed but not commenced; the Incheon fire was at a leased FC, so ROU impairment is possible</w:t>
            </w:r>
          </w:p>
        </w:tc>
        <w:tc>
          <w:tcPr/>
          <w:p>
            <w:pPr>
              <w:pStyle w:val="Compact"/>
              <w:jc w:val="left"/>
            </w:pPr>
            <w:r>
              <w:t xml:space="preserve">Medium</w:t>
            </w:r>
          </w:p>
        </w:tc>
        <w:tc>
          <w:tcPr/>
          <w:p>
            <w:pPr>
              <w:pStyle w:val="Compact"/>
              <w:jc w:val="left"/>
            </w:pPr>
            <w:hyperlink r:id="rId191">
              <w:r>
                <w:rPr>
                  <w:rStyle w:val="Hyperlink"/>
                </w:rPr>
                <w:t xml:space="preserve">#1931</w:t>
              </w:r>
            </w:hyperlink>
            <w:r>
              <w:t xml:space="preserve">,</w:t>
            </w:r>
            <w:r>
              <w:t xml:space="preserve"> </w:t>
            </w:r>
            <w:hyperlink r:id="rId109">
              <w:r>
                <w:rPr>
                  <w:rStyle w:val="Hyperlink"/>
                </w:rPr>
                <w:t xml:space="preserve">#470</w:t>
              </w:r>
            </w:hyperlink>
          </w:p>
        </w:tc>
      </w:tr>
      <w:tr>
        <w:tc>
          <w:tcPr/>
          <w:p>
            <w:pPr>
              <w:pStyle w:val="Compact"/>
              <w:jc w:val="left"/>
            </w:pPr>
            <w:r>
              <w:t xml:space="preserve">Related parties</w:t>
            </w:r>
          </w:p>
        </w:tc>
        <w:tc>
          <w:tcPr/>
          <w:p>
            <w:pPr>
              <w:pStyle w:val="Compact"/>
              <w:jc w:val="left"/>
            </w:pPr>
            <w:r>
              <w:t xml:space="preserve">BS/IS</w:t>
            </w:r>
          </w:p>
        </w:tc>
        <w:tc>
          <w:tcPr/>
          <w:p>
            <w:pPr>
              <w:pStyle w:val="Compact"/>
              <w:jc w:val="left"/>
            </w:pPr>
            <w:r>
              <w:t xml:space="preserve">Greenoaks: contributed US$70m, absorbed ~US$88m of FY24 losses, bought out for US$122m at fair value (US$140m at VWAP)</w:t>
            </w:r>
          </w:p>
        </w:tc>
        <w:tc>
          <w:tcPr/>
          <w:p>
            <w:pPr>
              <w:pStyle w:val="Compact"/>
              <w:jc w:val="left"/>
            </w:pPr>
            <w:r>
              <w:t xml:space="preserve">Medium</w:t>
            </w:r>
          </w:p>
        </w:tc>
        <w:tc>
          <w:tcPr/>
          <w:p>
            <w:pPr>
              <w:pStyle w:val="Compact"/>
              <w:jc w:val="left"/>
            </w:pPr>
            <w:hyperlink r:id="rId482">
              <w:r>
                <w:rPr>
                  <w:rStyle w:val="Hyperlink"/>
                </w:rPr>
                <w:t xml:space="preserve">#1956</w:t>
              </w:r>
            </w:hyperlink>
            <w:r>
              <w:t xml:space="preserve">,</w:t>
            </w:r>
            <w:r>
              <w:t xml:space="preserve"> </w:t>
            </w:r>
            <w:hyperlink r:id="rId401">
              <w:r>
                <w:rPr>
                  <w:rStyle w:val="Hyperlink"/>
                </w:rPr>
                <w:t xml:space="preserve">#2052</w:t>
              </w:r>
            </w:hyperlink>
          </w:p>
        </w:tc>
      </w:tr>
      <w:tr>
        <w:tc>
          <w:tcPr/>
          <w:p>
            <w:pPr>
              <w:pStyle w:val="Compact"/>
              <w:jc w:val="left"/>
            </w:pPr>
            <w:r>
              <w:t xml:space="preserve">Contingencies</w:t>
            </w:r>
          </w:p>
        </w:tc>
        <w:tc>
          <w:tcPr/>
          <w:p>
            <w:pPr>
              <w:pStyle w:val="Compact"/>
              <w:jc w:val="left"/>
            </w:pPr>
            <w:r>
              <w:t xml:space="preserve">BS</w:t>
            </w:r>
          </w:p>
        </w:tc>
        <w:tc>
          <w:tcPr/>
          <w:p>
            <w:pPr>
              <w:pStyle w:val="Compact"/>
              <w:jc w:val="left"/>
            </w:pPr>
            <w:r>
              <w:t xml:space="preserve">PIPC US$410m accrued but unpaid; NTS ~US$208m unreserved; KFTC bundling case with no estimate; US class actions with no estimate; criminal complaints against executives</w:t>
            </w:r>
          </w:p>
        </w:tc>
        <w:tc>
          <w:tcPr/>
          <w:p>
            <w:pPr>
              <w:pStyle w:val="Compact"/>
              <w:jc w:val="left"/>
            </w:pPr>
            <w:r>
              <w:t xml:space="preserve">High</w:t>
            </w:r>
          </w:p>
        </w:tc>
        <w:tc>
          <w:tcPr/>
          <w:p>
            <w:pPr>
              <w:pStyle w:val="Compact"/>
              <w:jc w:val="left"/>
            </w:pPr>
            <w:hyperlink r:id="rId484">
              <w:r>
                <w:rPr>
                  <w:rStyle w:val="Hyperlink"/>
                </w:rPr>
                <w:t xml:space="preserve">#463</w:t>
              </w:r>
            </w:hyperlink>
            <w:r>
              <w:t xml:space="preserve">,</w:t>
            </w:r>
            <w:r>
              <w:t xml:space="preserve"> </w:t>
            </w:r>
            <w:hyperlink r:id="rId182">
              <w:r>
                <w:rPr>
                  <w:rStyle w:val="Hyperlink"/>
                </w:rPr>
                <w:t xml:space="preserve">#345</w:t>
              </w:r>
            </w:hyperlink>
            <w:r>
              <w:t xml:space="preserve">,</w:t>
            </w:r>
            <w:r>
              <w:t xml:space="preserve"> </w:t>
            </w:r>
            <w:hyperlink r:id="rId46">
              <w:r>
                <w:rPr>
                  <w:rStyle w:val="Hyperlink"/>
                </w:rPr>
                <w:t xml:space="preserve">#452</w:t>
              </w:r>
            </w:hyperlink>
            <w:r>
              <w:t xml:space="preserve">,</w:t>
            </w:r>
            <w:r>
              <w:t xml:space="preserve"> </w:t>
            </w:r>
            <w:hyperlink r:id="rId471">
              <w:r>
                <w:rPr>
                  <w:rStyle w:val="Hyperlink"/>
                </w:rPr>
                <w:t xml:space="preserve">#465</w:t>
              </w:r>
            </w:hyperlink>
          </w:p>
        </w:tc>
      </w:tr>
      <w:tr>
        <w:tc>
          <w:tcPr/>
          <w:p>
            <w:pPr>
              <w:pStyle w:val="Compact"/>
              <w:jc w:val="left"/>
            </w:pPr>
            <w:r>
              <w:t xml:space="preserve">Stock-based compensation</w:t>
            </w:r>
          </w:p>
        </w:tc>
        <w:tc>
          <w:tcPr/>
          <w:p>
            <w:pPr>
              <w:pStyle w:val="Compact"/>
              <w:jc w:val="left"/>
            </w:pPr>
            <w:r>
              <w:t xml:space="preserve">IS/CF</w:t>
            </w:r>
          </w:p>
        </w:tc>
        <w:tc>
          <w:tcPr/>
          <w:p>
            <w:pPr>
              <w:pStyle w:val="Compact"/>
              <w:jc w:val="left"/>
            </w:pPr>
            <w:r>
              <w:t xml:space="preserve">US$475m in FY25, more than net income; Q2’26 US$161m; US$973m unvested; 386m shares available; evergreen to 2031</w:t>
            </w:r>
          </w:p>
        </w:tc>
        <w:tc>
          <w:tcPr/>
          <w:p>
            <w:pPr>
              <w:pStyle w:val="Compact"/>
              <w:jc w:val="left"/>
            </w:pPr>
            <w:r>
              <w:t xml:space="preserve">Medium</w:t>
            </w:r>
          </w:p>
        </w:tc>
        <w:tc>
          <w:tcPr/>
          <w:p>
            <w:pPr>
              <w:pStyle w:val="Compact"/>
              <w:jc w:val="left"/>
            </w:pPr>
            <w:hyperlink r:id="rId346">
              <w:r>
                <w:rPr>
                  <w:rStyle w:val="Hyperlink"/>
                </w:rPr>
                <w:t xml:space="preserve">#1886</w:t>
              </w:r>
            </w:hyperlink>
          </w:p>
        </w:tc>
      </w:tr>
      <w:tr>
        <w:tc>
          <w:tcPr/>
          <w:p>
            <w:pPr>
              <w:pStyle w:val="Compact"/>
              <w:jc w:val="left"/>
            </w:pPr>
            <w:r>
              <w:t xml:space="preserve">Goodwill / intangibles</w:t>
            </w:r>
          </w:p>
        </w:tc>
        <w:tc>
          <w:tcPr/>
          <w:p>
            <w:pPr>
              <w:pStyle w:val="Compact"/>
              <w:jc w:val="left"/>
            </w:pPr>
            <w:r>
              <w:t xml:space="preserve">BS</w:t>
            </w:r>
          </w:p>
        </w:tc>
        <w:tc>
          <w:tcPr/>
          <w:p>
            <w:pPr>
              <w:pStyle w:val="Compact"/>
              <w:jc w:val="left"/>
            </w:pPr>
            <w:r>
              <w:t xml:space="preserve">Farfetch recorded with goodwill (no bargain gain); intangibles US$167m; no impairment disclosed; small</w:t>
            </w:r>
          </w:p>
        </w:tc>
        <w:tc>
          <w:tcPr/>
          <w:p>
            <w:pPr>
              <w:pStyle w:val="Compact"/>
              <w:jc w:val="left"/>
            </w:pPr>
            <w:r>
              <w:t xml:space="preserve">Low</w:t>
            </w:r>
          </w:p>
        </w:tc>
        <w:tc>
          <w:tcPr/>
          <w:p>
            <w:pPr>
              <w:pStyle w:val="Compact"/>
              <w:jc w:val="left"/>
            </w:pPr>
            <w:hyperlink r:id="rId485">
              <w:r>
                <w:rPr>
                  <w:rStyle w:val="Hyperlink"/>
                </w:rPr>
                <w:t xml:space="preserve">#2040</w:t>
              </w:r>
            </w:hyperlink>
          </w:p>
        </w:tc>
      </w:tr>
      <w:tr>
        <w:tc>
          <w:tcPr/>
          <w:p>
            <w:pPr>
              <w:pStyle w:val="Compact"/>
              <w:jc w:val="left"/>
            </w:pPr>
            <w:r>
              <w:t xml:space="preserve">Taxes</w:t>
            </w:r>
          </w:p>
        </w:tc>
        <w:tc>
          <w:tcPr/>
          <w:p>
            <w:pPr>
              <w:pStyle w:val="Compact"/>
              <w:jc w:val="left"/>
            </w:pPr>
            <w:r>
              <w:t xml:space="preserve">IS/BS</w:t>
            </w:r>
          </w:p>
        </w:tc>
        <w:tc>
          <w:tcPr/>
          <w:p>
            <w:pPr>
              <w:pStyle w:val="Compact"/>
              <w:jc w:val="left"/>
            </w:pPr>
            <w:r>
              <w:t xml:space="preserve">US$905m VA release (2023) drove FY23 profit; DTA of ~US$0.6bn at risk if Korean losses persist; VA US$1.3bn; NOLs US$4.7bn</w:t>
            </w:r>
          </w:p>
        </w:tc>
        <w:tc>
          <w:tcPr/>
          <w:p>
            <w:pPr>
              <w:pStyle w:val="Compact"/>
              <w:jc w:val="left"/>
            </w:pPr>
            <w:r>
              <w:t xml:space="preserve">Medium</w:t>
            </w:r>
          </w:p>
        </w:tc>
        <w:tc>
          <w:tcPr/>
          <w:p>
            <w:pPr>
              <w:pStyle w:val="Compact"/>
              <w:jc w:val="left"/>
            </w:pPr>
            <w:hyperlink r:id="rId65">
              <w:r>
                <w:rPr>
                  <w:rStyle w:val="Hyperlink"/>
                </w:rPr>
                <w:t xml:space="preserve">#1901</w:t>
              </w:r>
            </w:hyperlink>
            <w:r>
              <w:t xml:space="preserve">,</w:t>
            </w:r>
            <w:r>
              <w:t xml:space="preserve"> </w:t>
            </w:r>
            <w:hyperlink r:id="rId486">
              <w:r>
                <w:rPr>
                  <w:rStyle w:val="Hyperlink"/>
                </w:rPr>
                <w:t xml:space="preserve">#1905</w:t>
              </w:r>
            </w:hyperlink>
            <w:r>
              <w:t xml:space="preserve">,</w:t>
            </w:r>
            <w:r>
              <w:t xml:space="preserve"> </w:t>
            </w:r>
            <w:hyperlink r:id="rId487">
              <w:r>
                <w:rPr>
                  <w:rStyle w:val="Hyperlink"/>
                </w:rPr>
                <w:t xml:space="preserve">#1174</w:t>
              </w:r>
            </w:hyperlink>
          </w:p>
        </w:tc>
      </w:tr>
      <w:tr>
        <w:tc>
          <w:tcPr/>
          <w:p>
            <w:pPr>
              <w:pStyle w:val="Compact"/>
              <w:jc w:val="left"/>
            </w:pPr>
            <w:r>
              <w:t xml:space="preserve">Working capital</w:t>
            </w:r>
          </w:p>
        </w:tc>
        <w:tc>
          <w:tcPr/>
          <w:p>
            <w:pPr>
              <w:pStyle w:val="Compact"/>
              <w:jc w:val="left"/>
            </w:pPr>
            <w:r>
              <w:t xml:space="preserve">BS/CF</w:t>
            </w:r>
          </w:p>
        </w:tc>
        <w:tc>
          <w:tcPr/>
          <w:p>
            <w:pPr>
              <w:pStyle w:val="Compact"/>
              <w:jc w:val="left"/>
            </w:pPr>
            <w:r>
              <w:t xml:space="preserve">CCC about -57 days; supplier finance US$430m; settlement-rule exposure; FX moves cash (-US$564m in FY24)</w:t>
            </w:r>
          </w:p>
        </w:tc>
        <w:tc>
          <w:tcPr/>
          <w:p>
            <w:pPr>
              <w:pStyle w:val="Compact"/>
              <w:jc w:val="left"/>
            </w:pPr>
            <w:r>
              <w:t xml:space="preserve">High</w:t>
            </w:r>
          </w:p>
        </w:tc>
        <w:tc>
          <w:tcPr/>
          <w:p>
            <w:pPr>
              <w:pStyle w:val="Compact"/>
              <w:jc w:val="left"/>
            </w:pPr>
            <w:hyperlink r:id="rId152">
              <w:r>
                <w:rPr>
                  <w:rStyle w:val="Hyperlink"/>
                </w:rPr>
                <w:t xml:space="preserve">#366</w:t>
              </w:r>
            </w:hyperlink>
            <w:r>
              <w:t xml:space="preserve">,</w:t>
            </w:r>
            <w:r>
              <w:t xml:space="preserve"> </w:t>
            </w:r>
            <w:hyperlink r:id="rId50">
              <w:r>
                <w:rPr>
                  <w:rStyle w:val="Hyperlink"/>
                </w:rPr>
                <w:t xml:space="preserve">#619</w:t>
              </w:r>
            </w:hyperlink>
          </w:p>
        </w:tc>
      </w:tr>
      <w:tr>
        <w:tc>
          <w:tcPr/>
          <w:p>
            <w:pPr>
              <w:pStyle w:val="Compact"/>
              <w:jc w:val="left"/>
            </w:pPr>
            <w:r>
              <w:t xml:space="preserve">Cash flow quality</w:t>
            </w:r>
          </w:p>
        </w:tc>
        <w:tc>
          <w:tcPr/>
          <w:p>
            <w:pPr>
              <w:pStyle w:val="Compact"/>
              <w:jc w:val="left"/>
            </w:pPr>
            <w:r>
              <w:t xml:space="preserve">CF</w:t>
            </w:r>
          </w:p>
        </w:tc>
        <w:tc>
          <w:tcPr/>
          <w:p>
            <w:pPr>
              <w:pStyle w:val="Compact"/>
              <w:jc w:val="left"/>
            </w:pPr>
            <w:r>
              <w:t xml:space="preserve">FCF from US$1,756m (FY23) to ~US$99m LTM; buybacks of US$1,093m over the same LTM; Q4’25 CFO only US$82m</w:t>
            </w:r>
          </w:p>
        </w:tc>
        <w:tc>
          <w:tcPr/>
          <w:p>
            <w:pPr>
              <w:pStyle w:val="Compact"/>
              <w:jc w:val="left"/>
            </w:pPr>
            <w:r>
              <w:t xml:space="preserve">High</w:t>
            </w:r>
          </w:p>
        </w:tc>
        <w:tc>
          <w:tcPr/>
          <w:p>
            <w:pPr>
              <w:pStyle w:val="Compact"/>
              <w:jc w:val="left"/>
            </w:pPr>
            <w:hyperlink r:id="rId488">
              <w:r>
                <w:rPr>
                  <w:rStyle w:val="Hyperlink"/>
                </w:rPr>
                <w:t xml:space="preserve">CFO FY25 US$1,773m</w:t>
              </w:r>
            </w:hyperlink>
            <w:r>
              <w:t xml:space="preserve">,</w:t>
            </w:r>
            <w:r>
              <w:t xml:space="preserve"> </w:t>
            </w:r>
            <w:hyperlink r:id="rId489">
              <w:r>
                <w:rPr>
                  <w:rStyle w:val="Hyperlink"/>
                </w:rPr>
                <w:t xml:space="preserve">#188</w:t>
              </w:r>
            </w:hyperlink>
          </w:p>
        </w:tc>
      </w:tr>
      <w:tr>
        <w:tc>
          <w:tcPr/>
          <w:p>
            <w:pPr>
              <w:pStyle w:val="Compact"/>
              <w:jc w:val="left"/>
            </w:pPr>
            <w:r>
              <w:t xml:space="preserve">Internal controls</w:t>
            </w:r>
          </w:p>
        </w:tc>
        <w:tc>
          <w:tcPr/>
          <w:p>
            <w:pPr>
              <w:pStyle w:val="Compact"/>
              <w:jc w:val="left"/>
            </w:pPr>
            <w:r>
              <w:t xml:space="preserve">—</w:t>
            </w:r>
          </w:p>
        </w:tc>
        <w:tc>
          <w:tcPr/>
          <w:p>
            <w:pPr>
              <w:pStyle w:val="Compact"/>
              <w:jc w:val="left"/>
            </w:pPr>
            <w:r>
              <w:t xml:space="preserve">Material weaknesses pre-2022; inherited Farfetch material weakness</w:t>
            </w:r>
            <w:r>
              <w:t xml:space="preserve"> </w:t>
            </w:r>
            <w:r>
              <w:t xml:space="preserve">“</w:t>
            </w:r>
            <w:r>
              <w:t xml:space="preserve">resolved</w:t>
            </w:r>
            <w:r>
              <w:t xml:space="preserve">”</w:t>
            </w:r>
            <w:r>
              <w:t xml:space="preserve"> </w:t>
            </w:r>
            <w:r>
              <w:t xml:space="preserve">by divestiture, not remediation; no auditor change (Samil PwC) or restatement</w:t>
            </w:r>
          </w:p>
        </w:tc>
        <w:tc>
          <w:tcPr/>
          <w:p>
            <w:pPr>
              <w:pStyle w:val="Compact"/>
              <w:jc w:val="left"/>
            </w:pPr>
            <w:r>
              <w:t xml:space="preserve">Low-Medium</w:t>
            </w:r>
          </w:p>
        </w:tc>
        <w:tc>
          <w:tcPr/>
          <w:p>
            <w:pPr>
              <w:pStyle w:val="Compact"/>
              <w:jc w:val="left"/>
            </w:pPr>
            <w:hyperlink r:id="rId88">
              <w:r>
                <w:rPr>
                  <w:rStyle w:val="Hyperlink"/>
                </w:rPr>
                <w:t xml:space="preserve">#1671</w:t>
              </w:r>
            </w:hyperlink>
            <w:r>
              <w:t xml:space="preserve">,</w:t>
            </w:r>
            <w:r>
              <w:t xml:space="preserve"> </w:t>
            </w:r>
            <w:hyperlink r:id="rId490">
              <w:r>
                <w:rPr>
                  <w:rStyle w:val="Hyperlink"/>
                </w:rPr>
                <w:t xml:space="preserve">#1680</w:t>
              </w:r>
            </w:hyperlink>
          </w:p>
        </w:tc>
      </w:tr>
      <w:tr>
        <w:tc>
          <w:tcPr/>
          <w:p>
            <w:pPr>
              <w:pStyle w:val="Compact"/>
              <w:jc w:val="left"/>
            </w:pPr>
            <w:r>
              <w:t xml:space="preserve">Disclosure consistency</w:t>
            </w:r>
          </w:p>
        </w:tc>
        <w:tc>
          <w:tcPr/>
          <w:p>
            <w:pPr>
              <w:pStyle w:val="Compact"/>
              <w:jc w:val="left"/>
            </w:pPr>
            <w:r>
              <w:t xml:space="preserve">—</w:t>
            </w:r>
          </w:p>
        </w:tc>
        <w:tc>
          <w:tcPr/>
          <w:p>
            <w:pPr>
              <w:pStyle w:val="Compact"/>
              <w:jc w:val="left"/>
            </w:pPr>
            <w:r>
              <w:t xml:space="preserve">Revolver maturity text out of date in the FY25 10-K;</w:t>
            </w:r>
            <w:r>
              <w:t xml:space="preserve"> </w:t>
            </w:r>
            <w:r>
              <w:t xml:space="preserve">“</w:t>
            </w:r>
            <w:r>
              <w:t xml:space="preserve">US$0.3bn available</w:t>
            </w:r>
            <w:r>
              <w:t xml:space="preserve">”</w:t>
            </w:r>
            <w:r>
              <w:t xml:space="preserve"> </w:t>
            </w:r>
            <w:r>
              <w:t xml:space="preserve">does not reconcile with capacity</w:t>
            </w:r>
          </w:p>
        </w:tc>
        <w:tc>
          <w:tcPr/>
          <w:p>
            <w:pPr>
              <w:pStyle w:val="Compact"/>
              <w:jc w:val="left"/>
            </w:pPr>
            <w:r>
              <w:t xml:space="preserve">Low-Medium</w:t>
            </w:r>
          </w:p>
        </w:tc>
        <w:tc>
          <w:tcPr/>
          <w:p>
            <w:pPr>
              <w:pStyle w:val="Compact"/>
              <w:jc w:val="left"/>
            </w:pPr>
            <w:hyperlink r:id="rId491">
              <w:r>
                <w:rPr>
                  <w:rStyle w:val="Hyperlink"/>
                </w:rPr>
                <w:t xml:space="preserve">#2064</w:t>
              </w:r>
            </w:hyperlink>
            <w:r>
              <w:t xml:space="preserve">,</w:t>
            </w:r>
            <w:r>
              <w:t xml:space="preserve"> </w:t>
            </w:r>
            <w:hyperlink r:id="rId341">
              <w:r>
                <w:rPr>
                  <w:rStyle w:val="Hyperlink"/>
                </w:rPr>
                <w:t xml:space="preserve">#130</w:t>
              </w:r>
            </w:hyperlink>
          </w:p>
        </w:tc>
      </w:tr>
      <w:tr>
        <w:tc>
          <w:tcPr/>
          <w:p>
            <w:pPr>
              <w:pStyle w:val="Compact"/>
              <w:jc w:val="left"/>
            </w:pPr>
            <w:r>
              <w:t xml:space="preserve">Insurance gains</w:t>
            </w:r>
          </w:p>
        </w:tc>
        <w:tc>
          <w:tcPr/>
          <w:p>
            <w:pPr>
              <w:pStyle w:val="Compact"/>
              <w:jc w:val="left"/>
            </w:pPr>
            <w:r>
              <w:t xml:space="preserve">IS</w:t>
            </w:r>
          </w:p>
        </w:tc>
        <w:tc>
          <w:tcPr/>
          <w:p>
            <w:pPr>
              <w:pStyle w:val="Compact"/>
              <w:jc w:val="left"/>
            </w:pPr>
            <w:r>
              <w:t xml:space="preserve">US$175m Deokpyeong insurance gain booked in Q4’24 COGS and OG&amp;A flattered FY24 margins</w:t>
            </w:r>
          </w:p>
        </w:tc>
        <w:tc>
          <w:tcPr/>
          <w:p>
            <w:pPr>
              <w:pStyle w:val="Compact"/>
              <w:jc w:val="left"/>
            </w:pPr>
            <w:r>
              <w:t xml:space="preserve">Low-Medium</w:t>
            </w:r>
          </w:p>
        </w:tc>
        <w:tc>
          <w:tcPr/>
          <w:p>
            <w:pPr>
              <w:pStyle w:val="Compact"/>
              <w:jc w:val="left"/>
            </w:pPr>
            <w:hyperlink r:id="rId492">
              <w:r>
                <w:rPr>
                  <w:rStyle w:val="Hyperlink"/>
                </w:rPr>
                <w:t xml:space="preserve">#1340</w:t>
              </w:r>
            </w:hyperlink>
          </w:p>
        </w:tc>
      </w:tr>
    </w:tbl>
    <w:bookmarkEnd w:id="493"/>
    <w:bookmarkStart w:id="503" w:name="X504b81d5fb94c61f27644976a2d55666a18e6c6"/>
    <w:p>
      <w:pPr>
        <w:pStyle w:val="Heading1"/>
      </w:pPr>
      <w:r>
        <w:t xml:space="preserve">26. Timeline of key events and catalyst calendar</w:t>
      </w:r>
    </w:p>
    <w:bookmarkStart w:id="501" w:name="key-past-events"/>
    <w:p>
      <w:pPr>
        <w:pStyle w:val="Heading2"/>
      </w:pPr>
      <w:r>
        <w:t xml:space="preserve">26.1 Key past events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r>
      <w:tr>
        <w:tc>
          <w:tcPr/>
          <w:p>
            <w:pPr>
              <w:pStyle w:val="Compact"/>
              <w:jc w:val="left"/>
            </w:pPr>
            <w:r>
              <w:t xml:space="preserve">2010</w:t>
            </w:r>
          </w:p>
        </w:tc>
        <w:tc>
          <w:tcPr/>
          <w:p>
            <w:pPr>
              <w:pStyle w:val="Compact"/>
              <w:jc w:val="left"/>
            </w:pPr>
            <w:r>
              <w:t xml:space="preserve">Coupang founded (S&amp;P founding date)</w:t>
            </w:r>
          </w:p>
        </w:tc>
        <w:tc>
          <w:tcPr/>
          <w:p>
            <w:pPr>
              <w:pStyle w:val="Compact"/>
              <w:jc w:val="left"/>
            </w:pPr>
            <w:r>
              <w:t xml:space="preserve">S&amp;P company info ‡</w:t>
            </w:r>
          </w:p>
        </w:tc>
      </w:tr>
      <w:tr>
        <w:tc>
          <w:tcPr/>
          <w:p>
            <w:pPr>
              <w:pStyle w:val="Compact"/>
              <w:jc w:val="left"/>
            </w:pPr>
            <w:r>
              <w:t xml:space="preserve">~2014</w:t>
            </w:r>
          </w:p>
        </w:tc>
        <w:tc>
          <w:tcPr/>
          <w:p>
            <w:pPr>
              <w:pStyle w:val="Compact"/>
              <w:jc w:val="left"/>
            </w:pPr>
            <w:r>
              <w:t xml:space="preserve">Rocket Delivery launched (</w:t>
            </w:r>
            <w:r>
              <w:t xml:space="preserve">“</w:t>
            </w:r>
            <w:r>
              <w:t xml:space="preserve">over 10 years ago</w:t>
            </w:r>
            <w:r>
              <w:t xml:space="preserve">”</w:t>
            </w:r>
            <w:r>
              <w:t xml:space="preserve">)</w:t>
            </w:r>
          </w:p>
        </w:tc>
        <w:tc>
          <w:tcPr/>
          <w:p>
            <w:pPr>
              <w:pStyle w:val="Compact"/>
              <w:jc w:val="left"/>
            </w:pPr>
            <w:hyperlink r:id="rId114">
              <w:r>
                <w:rPr>
                  <w:rStyle w:val="Hyperlink"/>
                </w:rPr>
                <w:t xml:space="preserve">#31</w:t>
              </w:r>
            </w:hyperlink>
          </w:p>
        </w:tc>
      </w:tr>
      <w:tr>
        <w:tc>
          <w:tcPr/>
          <w:p>
            <w:pPr>
              <w:pStyle w:val="Compact"/>
              <w:jc w:val="left"/>
            </w:pPr>
            <w:r>
              <w:t xml:space="preserve">11/15-Mar-2021</w:t>
            </w:r>
          </w:p>
        </w:tc>
        <w:tc>
          <w:tcPr/>
          <w:p>
            <w:pPr>
              <w:pStyle w:val="Compact"/>
              <w:jc w:val="left"/>
            </w:pPr>
            <w:r>
              <w:t xml:space="preserve">NYSE IPO: 100m shares at US$35</w:t>
            </w:r>
          </w:p>
        </w:tc>
        <w:tc>
          <w:tcPr/>
          <w:p>
            <w:pPr>
              <w:pStyle w:val="Compact"/>
              <w:jc w:val="left"/>
            </w:pPr>
            <w:hyperlink r:id="rId83">
              <w:r>
                <w:rPr>
                  <w:rStyle w:val="Hyperlink"/>
                </w:rPr>
                <w:t xml:space="preserve">#1284</w:t>
              </w:r>
            </w:hyperlink>
          </w:p>
        </w:tc>
      </w:tr>
      <w:tr>
        <w:tc>
          <w:tcPr/>
          <w:p>
            <w:pPr>
              <w:pStyle w:val="Compact"/>
              <w:jc w:val="left"/>
            </w:pPr>
            <w:r>
              <w:t xml:space="preserve">17-Jun-2021</w:t>
            </w:r>
          </w:p>
        </w:tc>
        <w:tc>
          <w:tcPr/>
          <w:p>
            <w:pPr>
              <w:pStyle w:val="Compact"/>
              <w:jc w:val="left"/>
            </w:pPr>
            <w:r>
              <w:t xml:space="preserve">Deokpyeong FC fire</w:t>
            </w:r>
          </w:p>
        </w:tc>
        <w:tc>
          <w:tcPr/>
          <w:p>
            <w:pPr>
              <w:pStyle w:val="Compact"/>
              <w:jc w:val="left"/>
            </w:pPr>
            <w:hyperlink r:id="rId85">
              <w:r>
                <w:rPr>
                  <w:rStyle w:val="Hyperlink"/>
                </w:rPr>
                <w:t xml:space="preserve">#1724</w:t>
              </w:r>
            </w:hyperlink>
          </w:p>
        </w:tc>
      </w:tr>
      <w:tr>
        <w:tc>
          <w:tcPr/>
          <w:p>
            <w:pPr>
              <w:pStyle w:val="Compact"/>
              <w:jc w:val="left"/>
            </w:pPr>
            <w:r>
              <w:t xml:space="preserve">Jun-2021</w:t>
            </w:r>
          </w:p>
        </w:tc>
        <w:tc>
          <w:tcPr/>
          <w:p>
            <w:pPr>
              <w:pStyle w:val="Compact"/>
              <w:jc w:val="left"/>
            </w:pPr>
            <w:r>
              <w:t xml:space="preserve">KFTC investigation of Coupang Corp./CPLB opened</w:t>
            </w:r>
          </w:p>
        </w:tc>
        <w:tc>
          <w:tcPr/>
          <w:p>
            <w:pPr>
              <w:pStyle w:val="Compact"/>
              <w:jc w:val="left"/>
            </w:pPr>
            <w:hyperlink r:id="rId494">
              <w:r>
                <w:rPr>
                  <w:rStyle w:val="Hyperlink"/>
                </w:rPr>
                <w:t xml:space="preserve">#1991</w:t>
              </w:r>
            </w:hyperlink>
          </w:p>
        </w:tc>
      </w:tr>
      <w:tr>
        <w:tc>
          <w:tcPr/>
          <w:p>
            <w:pPr>
              <w:pStyle w:val="Compact"/>
              <w:jc w:val="left"/>
            </w:pPr>
            <w:r>
              <w:t xml:space="preserve">Q2’22 / Q3’22</w:t>
            </w:r>
          </w:p>
        </w:tc>
        <w:tc>
          <w:tcPr/>
          <w:p>
            <w:pPr>
              <w:pStyle w:val="Compact"/>
              <w:jc w:val="left"/>
            </w:pPr>
            <w:r>
              <w:t xml:space="preserve">First positive adjusted EBITDA; first net profit</w:t>
            </w:r>
          </w:p>
        </w:tc>
        <w:tc>
          <w:tcPr/>
          <w:p>
            <w:pPr>
              <w:pStyle w:val="Compact"/>
              <w:jc w:val="left"/>
            </w:pPr>
            <w:hyperlink r:id="rId92">
              <w:r>
                <w:rPr>
                  <w:rStyle w:val="Hyperlink"/>
                </w:rPr>
                <w:t xml:space="preserve">#156</w:t>
              </w:r>
            </w:hyperlink>
            <w:r>
              <w:t xml:space="preserve">,</w:t>
            </w:r>
            <w:r>
              <w:t xml:space="preserve"> </w:t>
            </w:r>
            <w:hyperlink r:id="rId93">
              <w:r>
                <w:rPr>
                  <w:rStyle w:val="Hyperlink"/>
                </w:rPr>
                <w:t xml:space="preserve">#80</w:t>
              </w:r>
            </w:hyperlink>
          </w:p>
        </w:tc>
      </w:tr>
      <w:tr>
        <w:tc>
          <w:tcPr/>
          <w:p>
            <w:pPr>
              <w:pStyle w:val="Compact"/>
              <w:jc w:val="left"/>
            </w:pPr>
            <w:r>
              <w:t xml:space="preserve">Q1’23</w:t>
            </w:r>
          </w:p>
        </w:tc>
        <w:tc>
          <w:tcPr/>
          <w:p>
            <w:pPr>
              <w:pStyle w:val="Compact"/>
              <w:jc w:val="left"/>
            </w:pPr>
            <w:r>
              <w:t xml:space="preserve">Japan v1 exited</w:t>
            </w:r>
          </w:p>
        </w:tc>
        <w:tc>
          <w:tcPr/>
          <w:p>
            <w:pPr>
              <w:pStyle w:val="Compact"/>
              <w:jc w:val="left"/>
            </w:pPr>
            <w:hyperlink r:id="rId408">
              <w:r>
                <w:rPr>
                  <w:rStyle w:val="Hyperlink"/>
                </w:rPr>
                <w:t xml:space="preserve">#72</w:t>
              </w:r>
            </w:hyperlink>
          </w:p>
        </w:tc>
      </w:tr>
      <w:tr>
        <w:tc>
          <w:tcPr/>
          <w:p>
            <w:pPr>
              <w:pStyle w:val="Compact"/>
              <w:jc w:val="left"/>
            </w:pPr>
            <w:r>
              <w:t xml:space="preserve">30-Jan-2024</w:t>
            </w:r>
          </w:p>
        </w:tc>
        <w:tc>
          <w:tcPr/>
          <w:p>
            <w:pPr>
              <w:pStyle w:val="Compact"/>
              <w:jc w:val="left"/>
            </w:pPr>
            <w:r>
              <w:t xml:space="preserve">Farfetch acquisition closed</w:t>
            </w:r>
          </w:p>
        </w:tc>
        <w:tc>
          <w:tcPr/>
          <w:p>
            <w:pPr>
              <w:pStyle w:val="Compact"/>
              <w:jc w:val="left"/>
            </w:pPr>
            <w:hyperlink r:id="rId95">
              <w:r>
                <w:rPr>
                  <w:rStyle w:val="Hyperlink"/>
                </w:rPr>
                <w:t xml:space="preserve">#2035</w:t>
              </w:r>
            </w:hyperlink>
          </w:p>
        </w:tc>
      </w:tr>
      <w:tr>
        <w:tc>
          <w:tcPr/>
          <w:p>
            <w:pPr>
              <w:pStyle w:val="Compact"/>
              <w:jc w:val="left"/>
            </w:pPr>
            <w:r>
              <w:t xml:space="preserve">Apr-2024</w:t>
            </w:r>
          </w:p>
        </w:tc>
        <w:tc>
          <w:tcPr/>
          <w:p>
            <w:pPr>
              <w:pStyle w:val="Compact"/>
              <w:jc w:val="left"/>
            </w:pPr>
            <w:r>
              <w:t xml:space="preserve">10m-share private buyback from Maverick</w:t>
            </w:r>
          </w:p>
        </w:tc>
        <w:tc>
          <w:tcPr/>
          <w:p>
            <w:pPr>
              <w:pStyle w:val="Compact"/>
              <w:jc w:val="left"/>
            </w:pPr>
            <w:hyperlink r:id="rId96">
              <w:r>
                <w:rPr>
                  <w:rStyle w:val="Hyperlink"/>
                </w:rPr>
                <w:t xml:space="preserve">#0</w:t>
              </w:r>
            </w:hyperlink>
          </w:p>
        </w:tc>
      </w:tr>
      <w:tr>
        <w:tc>
          <w:tcPr/>
          <w:p>
            <w:pPr>
              <w:pStyle w:val="Compact"/>
              <w:jc w:val="left"/>
            </w:pPr>
            <w:r>
              <w:t xml:space="preserve">May-Aug 2024</w:t>
            </w:r>
          </w:p>
        </w:tc>
        <w:tc>
          <w:tcPr/>
          <w:p>
            <w:pPr>
              <w:pStyle w:val="Compact"/>
              <w:jc w:val="left"/>
            </w:pPr>
            <w:r>
              <w:t xml:space="preserve">WOW fee increase</w:t>
            </w:r>
          </w:p>
        </w:tc>
        <w:tc>
          <w:tcPr/>
          <w:p>
            <w:pPr>
              <w:pStyle w:val="Compact"/>
              <w:jc w:val="left"/>
            </w:pPr>
            <w:hyperlink r:id="rId123">
              <w:r>
                <w:rPr>
                  <w:rStyle w:val="Hyperlink"/>
                </w:rPr>
                <w:t xml:space="preserve">#248</w:t>
              </w:r>
            </w:hyperlink>
          </w:p>
        </w:tc>
      </w:tr>
      <w:tr>
        <w:tc>
          <w:tcPr/>
          <w:p>
            <w:pPr>
              <w:pStyle w:val="Compact"/>
              <w:jc w:val="left"/>
            </w:pPr>
            <w:r>
              <w:t xml:space="preserve">12-Jun / 7-Aug-2024</w:t>
            </w:r>
          </w:p>
        </w:tc>
        <w:tc>
          <w:tcPr/>
          <w:p>
            <w:pPr>
              <w:pStyle w:val="Compact"/>
              <w:jc w:val="left"/>
            </w:pPr>
            <w:r>
              <w:t xml:space="preserve">KFTC search-ranking decision; US$121m fine</w:t>
            </w:r>
          </w:p>
        </w:tc>
        <w:tc>
          <w:tcPr/>
          <w:p>
            <w:pPr>
              <w:pStyle w:val="Compact"/>
              <w:jc w:val="left"/>
            </w:pPr>
            <w:hyperlink r:id="rId495">
              <w:r>
                <w:rPr>
                  <w:rStyle w:val="Hyperlink"/>
                </w:rPr>
                <w:t xml:space="preserve">#0</w:t>
              </w:r>
            </w:hyperlink>
            <w:r>
              <w:t xml:space="preserve">,</w:t>
            </w:r>
            <w:r>
              <w:t xml:space="preserve"> </w:t>
            </w:r>
            <w:hyperlink r:id="rId496">
              <w:r>
                <w:rPr>
                  <w:rStyle w:val="Hyperlink"/>
                </w:rPr>
                <w:t xml:space="preserve">#0</w:t>
              </w:r>
            </w:hyperlink>
          </w:p>
        </w:tc>
      </w:tr>
      <w:tr>
        <w:tc>
          <w:tcPr/>
          <w:p>
            <w:pPr>
              <w:pStyle w:val="Compact"/>
              <w:jc w:val="left"/>
            </w:pPr>
            <w:r>
              <w:t xml:space="preserve">7-Apr-2025</w:t>
            </w:r>
          </w:p>
        </w:tc>
        <w:tc>
          <w:tcPr/>
          <w:p>
            <w:pPr>
              <w:pStyle w:val="Compact"/>
              <w:jc w:val="left"/>
            </w:pPr>
            <w:r>
              <w:t xml:space="preserve">Greenoaks stake buyout</w:t>
            </w:r>
          </w:p>
        </w:tc>
        <w:tc>
          <w:tcPr/>
          <w:p>
            <w:pPr>
              <w:pStyle w:val="Compact"/>
              <w:jc w:val="left"/>
            </w:pPr>
            <w:hyperlink r:id="rId399">
              <w:r>
                <w:rPr>
                  <w:rStyle w:val="Hyperlink"/>
                </w:rPr>
                <w:t xml:space="preserve">#1</w:t>
              </w:r>
            </w:hyperlink>
          </w:p>
        </w:tc>
      </w:tr>
      <w:tr>
        <w:tc>
          <w:tcPr/>
          <w:p>
            <w:pPr>
              <w:pStyle w:val="Compact"/>
              <w:jc w:val="left"/>
            </w:pPr>
            <w:r>
              <w:t xml:space="preserve">6-May-2025</w:t>
            </w:r>
          </w:p>
        </w:tc>
        <w:tc>
          <w:tcPr/>
          <w:p>
            <w:pPr>
              <w:pStyle w:val="Compact"/>
              <w:jc w:val="left"/>
            </w:pPr>
            <w:r>
              <w:t xml:space="preserve">First US$1bn buyback authorised</w:t>
            </w:r>
          </w:p>
        </w:tc>
        <w:tc>
          <w:tcPr/>
          <w:p>
            <w:pPr>
              <w:pStyle w:val="Compact"/>
              <w:jc w:val="left"/>
            </w:pPr>
            <w:hyperlink r:id="rId100">
              <w:r>
                <w:rPr>
                  <w:rStyle w:val="Hyperlink"/>
                </w:rPr>
                <w:t xml:space="preserve">#296</w:t>
              </w:r>
            </w:hyperlink>
          </w:p>
        </w:tc>
      </w:tr>
      <w:tr>
        <w:tc>
          <w:tcPr/>
          <w:p>
            <w:pPr>
              <w:pStyle w:val="Compact"/>
              <w:jc w:val="left"/>
            </w:pPr>
            <w:r>
              <w:t xml:space="preserve">Jun-2025</w:t>
            </w:r>
          </w:p>
        </w:tc>
        <w:tc>
          <w:tcPr/>
          <w:p>
            <w:pPr>
              <w:pStyle w:val="Compact"/>
              <w:jc w:val="left"/>
            </w:pPr>
            <w:r>
              <w:t xml:space="preserve">New US$1.5bn RCF</w:t>
            </w:r>
          </w:p>
        </w:tc>
        <w:tc>
          <w:tcPr/>
          <w:p>
            <w:pPr>
              <w:pStyle w:val="Compact"/>
              <w:jc w:val="left"/>
            </w:pPr>
            <w:hyperlink r:id="rId497">
              <w:r>
                <w:rPr>
                  <w:rStyle w:val="Hyperlink"/>
                </w:rPr>
                <w:t xml:space="preserve">#0</w:t>
              </w:r>
            </w:hyperlink>
          </w:p>
        </w:tc>
      </w:tr>
      <w:tr>
        <w:tc>
          <w:tcPr/>
          <w:p>
            <w:pPr>
              <w:pStyle w:val="Compact"/>
              <w:jc w:val="left"/>
            </w:pPr>
            <w:r>
              <w:t xml:space="preserve">10-Sep-2025</w:t>
            </w:r>
          </w:p>
        </w:tc>
        <w:tc>
          <w:tcPr/>
          <w:p>
            <w:pPr>
              <w:pStyle w:val="Compact"/>
              <w:jc w:val="left"/>
            </w:pPr>
            <w:r>
              <w:t xml:space="preserve">IPO class action dismissed (appealed 10-Oct-2025)</w:t>
            </w:r>
          </w:p>
        </w:tc>
        <w:tc>
          <w:tcPr/>
          <w:p>
            <w:pPr>
              <w:pStyle w:val="Compact"/>
              <w:jc w:val="left"/>
            </w:pPr>
            <w:hyperlink r:id="rId498">
              <w:r>
                <w:rPr>
                  <w:rStyle w:val="Hyperlink"/>
                </w:rPr>
                <w:t xml:space="preserve">#407</w:t>
              </w:r>
            </w:hyperlink>
          </w:p>
        </w:tc>
      </w:tr>
      <w:tr>
        <w:tc>
          <w:tcPr/>
          <w:p>
            <w:pPr>
              <w:pStyle w:val="Compact"/>
              <w:jc w:val="left"/>
            </w:pPr>
            <w:r>
              <w:t xml:space="preserve">18-Nov-2025</w:t>
            </w:r>
          </w:p>
        </w:tc>
        <w:tc>
          <w:tcPr/>
          <w:p>
            <w:pPr>
              <w:pStyle w:val="Compact"/>
              <w:jc w:val="left"/>
            </w:pPr>
            <w:r>
              <w:t xml:space="preserve">Data incident discovered (up to 33m accounts)</w:t>
            </w:r>
          </w:p>
        </w:tc>
        <w:tc>
          <w:tcPr/>
          <w:p>
            <w:pPr>
              <w:pStyle w:val="Compact"/>
              <w:jc w:val="left"/>
            </w:pPr>
            <w:hyperlink r:id="rId24">
              <w:r>
                <w:rPr>
                  <w:rStyle w:val="Hyperlink"/>
                </w:rPr>
                <w:t xml:space="preserve">#0</w:t>
              </w:r>
            </w:hyperlink>
          </w:p>
        </w:tc>
      </w:tr>
      <w:tr>
        <w:tc>
          <w:tcPr/>
          <w:p>
            <w:pPr>
              <w:pStyle w:val="Compact"/>
              <w:jc w:val="left"/>
            </w:pPr>
            <w:r>
              <w:t xml:space="preserve">10-Dec-2025</w:t>
            </w:r>
          </w:p>
        </w:tc>
        <w:tc>
          <w:tcPr/>
          <w:p>
            <w:pPr>
              <w:pStyle w:val="Compact"/>
              <w:jc w:val="left"/>
            </w:pPr>
            <w:r>
              <w:t xml:space="preserve">Coupang Corp. CEO resigns</w:t>
            </w:r>
          </w:p>
        </w:tc>
        <w:tc>
          <w:tcPr/>
          <w:p>
            <w:pPr>
              <w:pStyle w:val="Compact"/>
              <w:jc w:val="left"/>
            </w:pPr>
            <w:hyperlink r:id="rId103">
              <w:r>
                <w:rPr>
                  <w:rStyle w:val="Hyperlink"/>
                </w:rPr>
                <w:t xml:space="preserve">#10</w:t>
              </w:r>
            </w:hyperlink>
          </w:p>
        </w:tc>
      </w:tr>
      <w:tr>
        <w:tc>
          <w:tcPr/>
          <w:p>
            <w:pPr>
              <w:pStyle w:val="Compact"/>
              <w:jc w:val="left"/>
            </w:pPr>
            <w:r>
              <w:t xml:space="preserve">Dec-2025</w:t>
            </w:r>
          </w:p>
        </w:tc>
        <w:tc>
          <w:tcPr/>
          <w:p>
            <w:pPr>
              <w:pStyle w:val="Compact"/>
              <w:jc w:val="left"/>
            </w:pPr>
            <w:r>
              <w:t xml:space="preserve">~US$1.2bn voucher programme announced</w:t>
            </w:r>
          </w:p>
        </w:tc>
        <w:tc>
          <w:tcPr/>
          <w:p>
            <w:pPr>
              <w:pStyle w:val="Compact"/>
              <w:jc w:val="left"/>
            </w:pPr>
            <w:hyperlink r:id="rId499">
              <w:r>
                <w:rPr>
                  <w:rStyle w:val="Hyperlink"/>
                </w:rPr>
                <w:t xml:space="preserve">#1339</w:t>
              </w:r>
            </w:hyperlink>
          </w:p>
        </w:tc>
      </w:tr>
      <w:tr>
        <w:tc>
          <w:tcPr/>
          <w:p>
            <w:pPr>
              <w:pStyle w:val="Compact"/>
              <w:jc w:val="left"/>
            </w:pPr>
            <w:r>
              <w:t xml:space="preserve">6-Jan-2026</w:t>
            </w:r>
          </w:p>
        </w:tc>
        <w:tc>
          <w:tcPr/>
          <w:p>
            <w:pPr>
              <w:pStyle w:val="Compact"/>
              <w:jc w:val="left"/>
            </w:pPr>
            <w:r>
              <w:t xml:space="preserve">US securities class action filed</w:t>
            </w:r>
          </w:p>
        </w:tc>
        <w:tc>
          <w:tcPr/>
          <w:p>
            <w:pPr>
              <w:pStyle w:val="Compact"/>
              <w:jc w:val="left"/>
            </w:pPr>
            <w:hyperlink r:id="rId105">
              <w:r>
                <w:rPr>
                  <w:rStyle w:val="Hyperlink"/>
                </w:rPr>
                <w:t xml:space="preserve">#415</w:t>
              </w:r>
            </w:hyperlink>
          </w:p>
        </w:tc>
      </w:tr>
      <w:tr>
        <w:tc>
          <w:tcPr/>
          <w:p>
            <w:pPr>
              <w:pStyle w:val="Compact"/>
              <w:jc w:val="left"/>
            </w:pPr>
            <w:r>
              <w:t xml:space="preserve">5-May-2026</w:t>
            </w:r>
          </w:p>
        </w:tc>
        <w:tc>
          <w:tcPr/>
          <w:p>
            <w:pPr>
              <w:pStyle w:val="Compact"/>
              <w:jc w:val="left"/>
            </w:pPr>
            <w:r>
              <w:t xml:space="preserve">Q1’26 loss; further US$1bn buyback authorised</w:t>
            </w:r>
          </w:p>
        </w:tc>
        <w:tc>
          <w:tcPr/>
          <w:p>
            <w:pPr>
              <w:pStyle w:val="Compact"/>
              <w:jc w:val="left"/>
            </w:pPr>
            <w:hyperlink r:id="rId500">
              <w:r>
                <w:rPr>
                  <w:rStyle w:val="Hyperlink"/>
                </w:rPr>
                <w:t xml:space="preserve">#140</w:t>
              </w:r>
            </w:hyperlink>
          </w:p>
        </w:tc>
      </w:tr>
      <w:tr>
        <w:tc>
          <w:tcPr/>
          <w:p>
            <w:pPr>
              <w:pStyle w:val="Compact"/>
              <w:jc w:val="left"/>
            </w:pPr>
            <w:r>
              <w:t xml:space="preserve">10-Jun-2026</w:t>
            </w:r>
          </w:p>
        </w:tc>
        <w:tc>
          <w:tcPr/>
          <w:p>
            <w:pPr>
              <w:pStyle w:val="Compact"/>
              <w:jc w:val="left"/>
            </w:pPr>
            <w:r>
              <w:t xml:space="preserve">PIPC fines of ~US$278m + ~US$132m</w:t>
            </w:r>
          </w:p>
        </w:tc>
        <w:tc>
          <w:tcPr/>
          <w:p>
            <w:pPr>
              <w:pStyle w:val="Compact"/>
              <w:jc w:val="left"/>
            </w:pPr>
            <w:hyperlink r:id="rId108">
              <w:r>
                <w:rPr>
                  <w:rStyle w:val="Hyperlink"/>
                </w:rPr>
                <w:t xml:space="preserve">#0</w:t>
              </w:r>
            </w:hyperlink>
          </w:p>
        </w:tc>
      </w:tr>
      <w:tr>
        <w:tc>
          <w:tcPr/>
          <w:p>
            <w:pPr>
              <w:pStyle w:val="Compact"/>
              <w:jc w:val="left"/>
            </w:pPr>
            <w:r>
              <w:t xml:space="preserve">Jun-2026</w:t>
            </w:r>
          </w:p>
        </w:tc>
        <w:tc>
          <w:tcPr/>
          <w:p>
            <w:pPr>
              <w:pStyle w:val="Compact"/>
              <w:jc w:val="left"/>
            </w:pPr>
            <w:r>
              <w:t xml:space="preserve">NTS audit claim of ~US$208m</w:t>
            </w:r>
          </w:p>
        </w:tc>
        <w:tc>
          <w:tcPr/>
          <w:p>
            <w:pPr>
              <w:pStyle w:val="Compact"/>
              <w:jc w:val="left"/>
            </w:pPr>
            <w:hyperlink r:id="rId182">
              <w:r>
                <w:rPr>
                  <w:rStyle w:val="Hyperlink"/>
                </w:rPr>
                <w:t xml:space="preserve">#345</w:t>
              </w:r>
            </w:hyperlink>
          </w:p>
        </w:tc>
      </w:tr>
      <w:tr>
        <w:tc>
          <w:tcPr/>
          <w:p>
            <w:pPr>
              <w:pStyle w:val="Compact"/>
              <w:jc w:val="left"/>
            </w:pPr>
            <w:r>
              <w:t xml:space="preserve">Jul-2026</w:t>
            </w:r>
          </w:p>
        </w:tc>
        <w:tc>
          <w:tcPr/>
          <w:p>
            <w:pPr>
              <w:pStyle w:val="Compact"/>
              <w:jc w:val="left"/>
            </w:pPr>
            <w:r>
              <w:t xml:space="preserve">Incheon FC fire (~US$246m exposure)</w:t>
            </w:r>
          </w:p>
        </w:tc>
        <w:tc>
          <w:tcPr/>
          <w:p>
            <w:pPr>
              <w:pStyle w:val="Compact"/>
              <w:jc w:val="left"/>
            </w:pPr>
            <w:hyperlink r:id="rId109">
              <w:r>
                <w:rPr>
                  <w:rStyle w:val="Hyperlink"/>
                </w:rPr>
                <w:t xml:space="preserve">#470</w:t>
              </w:r>
            </w:hyperlink>
          </w:p>
        </w:tc>
      </w:tr>
      <w:tr>
        <w:tc>
          <w:tcPr/>
          <w:p>
            <w:pPr>
              <w:pStyle w:val="Compact"/>
              <w:jc w:val="left"/>
            </w:pPr>
            <w:r>
              <w:t xml:space="preserve">16-Jul-2026</w:t>
            </w:r>
          </w:p>
        </w:tc>
        <w:tc>
          <w:tcPr/>
          <w:p>
            <w:pPr>
              <w:pStyle w:val="Compact"/>
              <w:jc w:val="left"/>
            </w:pPr>
            <w:r>
              <w:t xml:space="preserve">Uber offer for Delivery Hero (Baemin)</w:t>
            </w:r>
          </w:p>
        </w:tc>
        <w:tc>
          <w:tcPr/>
          <w:p>
            <w:pPr>
              <w:pStyle w:val="Compact"/>
              <w:jc w:val="left"/>
            </w:pPr>
            <w:hyperlink r:id="rId146">
              <w:r>
                <w:rPr>
                  <w:rStyle w:val="Hyperlink"/>
                </w:rPr>
                <w:t xml:space="preserve">#1089</w:t>
              </w:r>
            </w:hyperlink>
          </w:p>
        </w:tc>
      </w:tr>
      <w:tr>
        <w:tc>
          <w:tcPr/>
          <w:p>
            <w:pPr>
              <w:pStyle w:val="Compact"/>
              <w:jc w:val="left"/>
            </w:pPr>
            <w:r>
              <w:t xml:space="preserve">4-Aug-2026</w:t>
            </w:r>
          </w:p>
        </w:tc>
        <w:tc>
          <w:tcPr/>
          <w:p>
            <w:pPr>
              <w:pStyle w:val="Compact"/>
              <w:jc w:val="left"/>
            </w:pPr>
            <w:r>
              <w:t xml:space="preserve">Q2’26 results; margin recovery guided to mid-2027</w:t>
            </w:r>
          </w:p>
        </w:tc>
        <w:tc>
          <w:tcPr/>
          <w:p>
            <w:pPr>
              <w:pStyle w:val="Compact"/>
              <w:jc w:val="left"/>
            </w:pPr>
            <w:hyperlink r:id="rId38">
              <w:r>
                <w:rPr>
                  <w:rStyle w:val="Hyperlink"/>
                </w:rPr>
                <w:t xml:space="preserve">#220</w:t>
              </w:r>
            </w:hyperlink>
          </w:p>
        </w:tc>
      </w:tr>
    </w:tbl>
    <w:bookmarkEnd w:id="501"/>
    <w:bookmarkStart w:id="502" w:name="upcoming-catalysts"/>
    <w:p>
      <w:pPr>
        <w:pStyle w:val="Heading2"/>
      </w:pPr>
      <w:r>
        <w:t xml:space="preserve">26.2 Upcoming catalysts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Expected date</w:t>
            </w:r>
          </w:p>
        </w:tc>
        <w:tc>
          <w:tcPr/>
          <w:p>
            <w:pPr>
              <w:pStyle w:val="Compact"/>
              <w:jc w:val="left"/>
            </w:pPr>
            <w:r>
              <w:t xml:space="preserve">Catalyst</w:t>
            </w:r>
          </w:p>
        </w:tc>
        <w:tc>
          <w:tcPr/>
          <w:p>
            <w:pPr>
              <w:pStyle w:val="Compact"/>
              <w:jc w:val="left"/>
            </w:pPr>
            <w:r>
              <w:t xml:space="preserve">What to watch</w:t>
            </w:r>
          </w:p>
        </w:tc>
        <w:tc>
          <w:tcPr/>
          <w:p>
            <w:pPr>
              <w:pStyle w:val="Compact"/>
              <w:jc w:val="left"/>
            </w:pPr>
            <w:r>
              <w:t xml:space="preserve">Importance</w:t>
            </w:r>
          </w:p>
        </w:tc>
      </w:tr>
      <w:tr>
        <w:tc>
          <w:tcPr/>
          <w:p>
            <w:pPr>
              <w:pStyle w:val="Compact"/>
              <w:jc w:val="left"/>
            </w:pPr>
            <w:r>
              <w:rPr>
                <w:bCs/>
                <w:b/>
              </w:rPr>
              <w:t xml:space="preserve">3-Nov-2026</w:t>
            </w:r>
          </w:p>
        </w:tc>
        <w:tc>
          <w:tcPr/>
          <w:p>
            <w:pPr>
              <w:pStyle w:val="Compact"/>
              <w:jc w:val="left"/>
            </w:pPr>
            <w:r>
              <w:t xml:space="preserve">Q3’26 results (</w:t>
            </w:r>
            <w:hyperlink r:id="rId44">
              <w:r>
                <w:rPr>
                  <w:rStyle w:val="Hyperlink"/>
                </w:rPr>
                <w:t xml:space="preserve">listed upcoming</w:t>
              </w:r>
            </w:hyperlink>
            <w:r>
              <w:t xml:space="preserve">)</w:t>
            </w:r>
          </w:p>
        </w:tc>
        <w:tc>
          <w:tcPr/>
          <w:p>
            <w:pPr>
              <w:pStyle w:val="Compact"/>
              <w:jc w:val="left"/>
            </w:pPr>
            <w:r>
              <w:t xml:space="preserve">Guide: +8-9% cc revenue, -300 to -400bp margin; first Incheon fire losses; buyback pace</w:t>
            </w:r>
          </w:p>
        </w:tc>
        <w:tc>
          <w:tcPr/>
          <w:p>
            <w:pPr>
              <w:pStyle w:val="Compact"/>
              <w:jc w:val="left"/>
            </w:pPr>
            <w:r>
              <w:rPr>
                <w:bCs/>
                <w:b/>
              </w:rPr>
              <w:t xml:space="preserve">High</w:t>
            </w:r>
          </w:p>
        </w:tc>
      </w:tr>
      <w:tr>
        <w:tc>
          <w:tcPr/>
          <w:p>
            <w:pPr>
              <w:pStyle w:val="Compact"/>
              <w:jc w:val="left"/>
            </w:pPr>
            <w:r>
              <w:t xml:space="preserve">Q4-2026 (date n.a.)</w:t>
            </w:r>
          </w:p>
        </w:tc>
        <w:tc>
          <w:tcPr/>
          <w:p>
            <w:pPr>
              <w:pStyle w:val="Compact"/>
              <w:jc w:val="left"/>
            </w:pPr>
            <w:r>
              <w:t xml:space="preserve">KFTC Eats-WOW bundling decision (hearing tentatively Sep-2026)</w:t>
            </w:r>
          </w:p>
        </w:tc>
        <w:tc>
          <w:tcPr/>
          <w:p>
            <w:pPr>
              <w:pStyle w:val="Compact"/>
              <w:jc w:val="left"/>
            </w:pPr>
            <w:r>
              <w:t xml:space="preserve">Fine and/or forced unbundling</w:t>
            </w:r>
          </w:p>
        </w:tc>
        <w:tc>
          <w:tcPr/>
          <w:p>
            <w:pPr>
              <w:pStyle w:val="Compact"/>
              <w:jc w:val="left"/>
            </w:pPr>
            <w:r>
              <w:rPr>
                <w:bCs/>
                <w:b/>
              </w:rPr>
              <w:t xml:space="preserve">Critical</w:t>
            </w:r>
          </w:p>
        </w:tc>
      </w:tr>
      <w:tr>
        <w:tc>
          <w:tcPr/>
          <w:p>
            <w:pPr>
              <w:pStyle w:val="Compact"/>
              <w:jc w:val="left"/>
            </w:pPr>
            <w:r>
              <w:t xml:space="preserve">Dec-2026</w:t>
            </w:r>
          </w:p>
        </w:tc>
        <w:tc>
          <w:tcPr/>
          <w:p>
            <w:pPr>
              <w:pStyle w:val="Compact"/>
              <w:jc w:val="left"/>
            </w:pPr>
            <w:r>
              <w:t xml:space="preserve">EFTA settlement-fund rules start (≥60% external custody); settlement periods shortened</w:t>
            </w:r>
          </w:p>
        </w:tc>
        <w:tc>
          <w:tcPr/>
          <w:p>
            <w:pPr>
              <w:pStyle w:val="Compact"/>
              <w:jc w:val="left"/>
            </w:pPr>
            <w:r>
              <w:t xml:space="preserve">Payables and cash impact</w:t>
            </w:r>
          </w:p>
        </w:tc>
        <w:tc>
          <w:tcPr/>
          <w:p>
            <w:pPr>
              <w:pStyle w:val="Compact"/>
              <w:jc w:val="left"/>
            </w:pPr>
            <w:r>
              <w:rPr>
                <w:bCs/>
                <w:b/>
              </w:rPr>
              <w:t xml:space="preserve">High</w:t>
            </w:r>
          </w:p>
        </w:tc>
      </w:tr>
      <w:tr>
        <w:tc>
          <w:tcPr/>
          <w:p>
            <w:pPr>
              <w:pStyle w:val="Compact"/>
              <w:jc w:val="left"/>
            </w:pPr>
            <w:r>
              <w:t xml:space="preserve">“</w:t>
            </w:r>
            <w:r>
              <w:t xml:space="preserve">Towards end of 2026</w:t>
            </w:r>
            <w:r>
              <w:t xml:space="preserve">”</w:t>
            </w:r>
          </w:p>
        </w:tc>
        <w:tc>
          <w:tcPr/>
          <w:p>
            <w:pPr>
              <w:pStyle w:val="Compact"/>
              <w:jc w:val="left"/>
            </w:pPr>
            <w:r>
              <w:t xml:space="preserve">2027 guidance</w:t>
            </w:r>
          </w:p>
        </w:tc>
        <w:tc>
          <w:tcPr/>
          <w:p>
            <w:pPr>
              <w:pStyle w:val="Compact"/>
              <w:jc w:val="left"/>
            </w:pPr>
            <w:r>
              <w:t xml:space="preserve">PC margin path; DO losses; capex</w:t>
            </w:r>
          </w:p>
        </w:tc>
        <w:tc>
          <w:tcPr/>
          <w:p>
            <w:pPr>
              <w:pStyle w:val="Compact"/>
              <w:jc w:val="left"/>
            </w:pPr>
            <w:r>
              <w:rPr>
                <w:bCs/>
                <w:b/>
              </w:rPr>
              <w:t xml:space="preserve">High</w:t>
            </w:r>
          </w:p>
        </w:tc>
      </w:tr>
      <w:tr>
        <w:tc>
          <w:tcPr/>
          <w:p>
            <w:pPr>
              <w:pStyle w:val="Compact"/>
              <w:jc w:val="left"/>
            </w:pPr>
            <w:r>
              <w:t xml:space="preserve">Pending</w:t>
            </w:r>
          </w:p>
        </w:tc>
        <w:tc>
          <w:tcPr/>
          <w:p>
            <w:pPr>
              <w:pStyle w:val="Compact"/>
              <w:jc w:val="left"/>
            </w:pPr>
            <w:r>
              <w:t xml:space="preserve">PIPC written decisions; appeal to the Seoul Administrative Court; payment of ~US$410m</w:t>
            </w:r>
          </w:p>
        </w:tc>
        <w:tc>
          <w:tcPr/>
          <w:p>
            <w:pPr>
              <w:pStyle w:val="Compact"/>
              <w:jc w:val="left"/>
            </w:pPr>
            <w:r>
              <w:t xml:space="preserve">Final amounts; cash outflow</w:t>
            </w:r>
          </w:p>
        </w:tc>
        <w:tc>
          <w:tcPr/>
          <w:p>
            <w:pPr>
              <w:pStyle w:val="Compact"/>
              <w:jc w:val="left"/>
            </w:pPr>
            <w:r>
              <w:t xml:space="preserve">Medium</w:t>
            </w:r>
          </w:p>
        </w:tc>
      </w:tr>
      <w:tr>
        <w:tc>
          <w:tcPr/>
          <w:p>
            <w:pPr>
              <w:pStyle w:val="Compact"/>
              <w:jc w:val="left"/>
            </w:pPr>
            <w:r>
              <w:t xml:space="preserve">Pending</w:t>
            </w:r>
          </w:p>
        </w:tc>
        <w:tc>
          <w:tcPr/>
          <w:p>
            <w:pPr>
              <w:pStyle w:val="Compact"/>
              <w:jc w:val="left"/>
            </w:pPr>
            <w:r>
              <w:t xml:space="preserve">NTS transfer-pricing assessment</w:t>
            </w:r>
          </w:p>
        </w:tc>
        <w:tc>
          <w:tcPr/>
          <w:p>
            <w:pPr>
              <w:pStyle w:val="Compact"/>
              <w:jc w:val="left"/>
            </w:pPr>
            <w:r>
              <w:t xml:space="preserve">Reserve or settlement</w:t>
            </w:r>
          </w:p>
        </w:tc>
        <w:tc>
          <w:tcPr/>
          <w:p>
            <w:pPr>
              <w:pStyle w:val="Compact"/>
              <w:jc w:val="left"/>
            </w:pPr>
            <w:r>
              <w:t xml:space="preserve">Medium</w:t>
            </w:r>
          </w:p>
        </w:tc>
      </w:tr>
      <w:tr>
        <w:tc>
          <w:tcPr/>
          <w:p>
            <w:pPr>
              <w:pStyle w:val="Compact"/>
              <w:jc w:val="left"/>
            </w:pPr>
            <w:r>
              <w:t xml:space="preserve">Pending</w:t>
            </w:r>
          </w:p>
        </w:tc>
        <w:tc>
          <w:tcPr/>
          <w:p>
            <w:pPr>
              <w:pStyle w:val="Compact"/>
              <w:jc w:val="left"/>
            </w:pPr>
            <w:r>
              <w:t xml:space="preserve">KFTC search-ranking appeal (Seoul High Court); criminal trial</w:t>
            </w:r>
          </w:p>
        </w:tc>
        <w:tc>
          <w:tcPr/>
          <w:p>
            <w:pPr>
              <w:pStyle w:val="Compact"/>
              <w:jc w:val="left"/>
            </w:pPr>
            <w:r>
              <w:t xml:space="preserve">Possible refund of US$121m; criminal outcome</w:t>
            </w:r>
          </w:p>
        </w:tc>
        <w:tc>
          <w:tcPr/>
          <w:p>
            <w:pPr>
              <w:pStyle w:val="Compact"/>
              <w:jc w:val="left"/>
            </w:pPr>
            <w:r>
              <w:t xml:space="preserve">Medium</w:t>
            </w:r>
          </w:p>
        </w:tc>
      </w:tr>
      <w:tr>
        <w:tc>
          <w:tcPr/>
          <w:p>
            <w:pPr>
              <w:pStyle w:val="Compact"/>
              <w:jc w:val="left"/>
            </w:pPr>
            <w:r>
              <w:t xml:space="preserve">H2-2026</w:t>
            </w:r>
          </w:p>
        </w:tc>
        <w:tc>
          <w:tcPr/>
          <w:p>
            <w:pPr>
              <w:pStyle w:val="Compact"/>
              <w:jc w:val="left"/>
            </w:pPr>
            <w:r>
              <w:t xml:space="preserve">Grab / Foodpanda Taiwan TFTC review; Uber / Delivery Hero tender process</w:t>
            </w:r>
          </w:p>
        </w:tc>
        <w:tc>
          <w:tcPr/>
          <w:p>
            <w:pPr>
              <w:pStyle w:val="Compact"/>
              <w:jc w:val="left"/>
            </w:pPr>
            <w:r>
              <w:t xml:space="preserve">Competitive structure in Taiwan and Korean food delivery</w:t>
            </w:r>
          </w:p>
        </w:tc>
        <w:tc>
          <w:tcPr/>
          <w:p>
            <w:pPr>
              <w:pStyle w:val="Compact"/>
              <w:jc w:val="left"/>
            </w:pPr>
            <w:r>
              <w:t xml:space="preserve">Medium</w:t>
            </w:r>
          </w:p>
        </w:tc>
      </w:tr>
      <w:tr>
        <w:tc>
          <w:tcPr/>
          <w:p>
            <w:pPr>
              <w:pStyle w:val="Compact"/>
              <w:jc w:val="left"/>
            </w:pPr>
            <w:r>
              <w:t xml:space="preserve">Late Feb-2027 [e]</w:t>
            </w:r>
          </w:p>
        </w:tc>
        <w:tc>
          <w:tcPr/>
          <w:p>
            <w:pPr>
              <w:pStyle w:val="Compact"/>
              <w:jc w:val="left"/>
            </w:pPr>
            <w:r>
              <w:t xml:space="preserve">Q4’26 results and FY2027 outlook</w:t>
            </w:r>
          </w:p>
        </w:tc>
        <w:tc>
          <w:tcPr/>
          <w:p>
            <w:pPr>
              <w:pStyle w:val="Compact"/>
              <w:jc w:val="left"/>
            </w:pPr>
            <w:r>
              <w:t xml:space="preserve">WOW / active-customer disclosure</w:t>
            </w:r>
          </w:p>
        </w:tc>
        <w:tc>
          <w:tcPr/>
          <w:p>
            <w:pPr>
              <w:pStyle w:val="Compact"/>
              <w:jc w:val="left"/>
            </w:pPr>
            <w:r>
              <w:rPr>
                <w:bCs/>
                <w:b/>
              </w:rPr>
              <w:t xml:space="preserve">High</w:t>
            </w:r>
          </w:p>
        </w:tc>
      </w:tr>
      <w:tr>
        <w:tc>
          <w:tcPr/>
          <w:p>
            <w:pPr>
              <w:pStyle w:val="Compact"/>
              <w:jc w:val="left"/>
            </w:pPr>
            <w:r>
              <w:t xml:space="preserve">H1-2027</w:t>
            </w:r>
          </w:p>
        </w:tc>
        <w:tc>
          <w:tcPr/>
          <w:p>
            <w:pPr>
              <w:pStyle w:val="Compact"/>
              <w:jc w:val="left"/>
            </w:pPr>
            <w:r>
              <w:t xml:space="preserve">Incheon insurance recoveries</w:t>
            </w:r>
          </w:p>
        </w:tc>
        <w:tc>
          <w:tcPr/>
          <w:p>
            <w:pPr>
              <w:pStyle w:val="Compact"/>
              <w:jc w:val="left"/>
            </w:pPr>
            <w:r>
              <w:t xml:space="preserve">Gains</w:t>
            </w:r>
          </w:p>
        </w:tc>
        <w:tc>
          <w:tcPr/>
          <w:p>
            <w:pPr>
              <w:pStyle w:val="Compact"/>
              <w:jc w:val="left"/>
            </w:pPr>
            <w:r>
              <w:t xml:space="preserve">Low-Medium</w:t>
            </w:r>
          </w:p>
        </w:tc>
      </w:tr>
      <w:tr>
        <w:tc>
          <w:tcPr/>
          <w:p>
            <w:pPr>
              <w:pStyle w:val="Compact"/>
              <w:jc w:val="left"/>
            </w:pPr>
            <w:r>
              <w:t xml:space="preserve">~Jun-2027 [e]</w:t>
            </w:r>
          </w:p>
        </w:tc>
        <w:tc>
          <w:tcPr/>
          <w:p>
            <w:pPr>
              <w:pStyle w:val="Compact"/>
              <w:jc w:val="left"/>
            </w:pPr>
            <w:r>
              <w:t xml:space="preserve">AGM</w:t>
            </w:r>
          </w:p>
        </w:tc>
        <w:tc>
          <w:tcPr/>
          <w:p>
            <w:pPr>
              <w:pStyle w:val="Compact"/>
              <w:jc w:val="left"/>
            </w:pPr>
            <w:r>
              <w:t xml:space="preserve">Board composition (Warsh contingency)</w:t>
            </w:r>
          </w:p>
        </w:tc>
        <w:tc>
          <w:tcPr/>
          <w:p>
            <w:pPr>
              <w:pStyle w:val="Compact"/>
              <w:jc w:val="left"/>
            </w:pPr>
            <w:r>
              <w:t xml:space="preserve">Low</w:t>
            </w:r>
          </w:p>
        </w:tc>
      </w:tr>
      <w:tr>
        <w:tc>
          <w:tcPr/>
          <w:p>
            <w:pPr>
              <w:pStyle w:val="Compact"/>
              <w:jc w:val="left"/>
            </w:pPr>
            <w:r>
              <w:t xml:space="preserve">Mid-2027</w:t>
            </w:r>
          </w:p>
        </w:tc>
        <w:tc>
          <w:tcPr/>
          <w:p>
            <w:pPr>
              <w:pStyle w:val="Compact"/>
              <w:jc w:val="left"/>
            </w:pPr>
            <w:r>
              <w:t xml:space="preserve">Management’s PC margin normalisation milestone</w:t>
            </w:r>
          </w:p>
        </w:tc>
        <w:tc>
          <w:tcPr/>
          <w:p>
            <w:pPr>
              <w:pStyle w:val="Compact"/>
              <w:jc w:val="left"/>
            </w:pPr>
            <w:r>
              <w:t xml:space="preserve">Delivery vs promise</w:t>
            </w:r>
          </w:p>
        </w:tc>
        <w:tc>
          <w:tcPr/>
          <w:p>
            <w:pPr>
              <w:pStyle w:val="Compact"/>
              <w:jc w:val="left"/>
            </w:pPr>
            <w:r>
              <w:rPr>
                <w:bCs/>
                <w:b/>
              </w:rPr>
              <w:t xml:space="preserve">Critical</w:t>
            </w:r>
          </w:p>
        </w:tc>
      </w:tr>
      <w:tr>
        <w:tc>
          <w:tcPr/>
          <w:p>
            <w:pPr>
              <w:pStyle w:val="Compact"/>
              <w:jc w:val="left"/>
            </w:pPr>
            <w:r>
              <w:t xml:space="preserve">Ongoing</w:t>
            </w:r>
          </w:p>
        </w:tc>
        <w:tc>
          <w:tcPr/>
          <w:p>
            <w:pPr>
              <w:pStyle w:val="Compact"/>
              <w:jc w:val="left"/>
            </w:pPr>
            <w:r>
              <w:t xml:space="preserve">Night-delivery legislation; US class actions; KRW/USD</w:t>
            </w:r>
          </w:p>
        </w:tc>
        <w:tc>
          <w:tcPr/>
          <w:p>
            <w:pPr>
              <w:pStyle w:val="Compact"/>
            </w:pPr>
          </w:p>
        </w:tc>
        <w:tc>
          <w:tcPr/>
          <w:p>
            <w:pPr>
              <w:pStyle w:val="Compact"/>
              <w:jc w:val="left"/>
            </w:pPr>
            <w:r>
              <w:t xml:space="preserve">Medium</w:t>
            </w:r>
          </w:p>
        </w:tc>
      </w:tr>
    </w:tbl>
    <w:bookmarkEnd w:id="502"/>
    <w:bookmarkEnd w:id="503"/>
    <w:bookmarkStart w:id="507" w:name="Xac31d7e669f49c5248f1c34b57516c9771d25bd"/>
    <w:p>
      <w:pPr>
        <w:pStyle w:val="Heading1"/>
      </w:pPr>
      <w:r>
        <w:t xml:space="preserve">27. The newsletter’s claims: verification (</w:t>
      </w:r>
      <w:r>
        <w:t xml:space="preserve">“</w:t>
      </w:r>
      <w:r>
        <w:t xml:space="preserve">A temporary glitch?</w:t>
      </w:r>
      <w:r>
        <w:t xml:space="preserve">”</w:t>
      </w:r>
      <w:r>
        <w:t xml:space="preserve">, Asian Century Stocks, 11-Oct-2026)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Verdict</w:t>
            </w:r>
          </w:p>
        </w:tc>
        <w:tc>
          <w:tcPr/>
          <w:p>
            <w:pPr>
              <w:pStyle w:val="Compact"/>
              <w:jc w:val="left"/>
            </w:pPr>
            <w:r>
              <w:t xml:space="preserve">Evidence</w:t>
            </w:r>
          </w:p>
        </w:tc>
      </w:tr>
      <w:tr>
        <w:tc>
          <w:tcPr/>
          <w:p>
            <w:pPr>
              <w:pStyle w:val="Compact"/>
              <w:jc w:val="left"/>
            </w:pPr>
            <w:r>
              <w:t xml:space="preserve">Founded by Bom Kim; initially a Groupon-style deals site; HBS dropout</w:t>
            </w:r>
          </w:p>
        </w:tc>
        <w:tc>
          <w:tcPr/>
          <w:p>
            <w:pPr>
              <w:pStyle w:val="Compact"/>
              <w:jc w:val="left"/>
            </w:pPr>
            <w:r>
              <w:t xml:space="preserve">Founder</w:t>
            </w:r>
            <w:r>
              <w:t xml:space="preserve"> </w:t>
            </w:r>
            <w:r>
              <w:rPr>
                <w:bCs/>
                <w:b/>
              </w:rPr>
              <w:t xml:space="preserve">verified</w:t>
            </w:r>
            <w:r>
              <w:t xml:space="preserve">; origin story and education</w:t>
            </w:r>
            <w:r>
              <w:t xml:space="preserve"> </w:t>
            </w:r>
            <w:r>
              <w:rPr>
                <w:bCs/>
                <w:b/>
              </w:rPr>
              <w:t xml:space="preserve">[u]</w:t>
            </w:r>
          </w:p>
        </w:tc>
        <w:tc>
          <w:tcPr/>
          <w:p>
            <w:pPr>
              <w:pStyle w:val="Compact"/>
              <w:jc w:val="left"/>
            </w:pPr>
            <w:hyperlink r:id="rId504">
              <w:r>
                <w:rPr>
                  <w:rStyle w:val="Hyperlink"/>
                </w:rPr>
                <w:t xml:space="preserve">#1181</w:t>
              </w:r>
            </w:hyperlink>
          </w:p>
        </w:tc>
      </w:tr>
      <w:tr>
        <w:tc>
          <w:tcPr/>
          <w:p>
            <w:pPr>
              <w:pStyle w:val="Compact"/>
              <w:jc w:val="left"/>
            </w:pPr>
            <w:r>
              <w:t xml:space="preserve">~28% share of Korean e-commerce</w:t>
            </w:r>
          </w:p>
        </w:tc>
        <w:tc>
          <w:tcPr/>
          <w:p>
            <w:pPr>
              <w:pStyle w:val="Compact"/>
              <w:jc w:val="left"/>
            </w:pPr>
            <w:r>
              <w:rPr>
                <w:bCs/>
                <w:b/>
              </w:rPr>
              <w:t xml:space="preserve">[u]</w:t>
            </w:r>
            <w:r>
              <w:t xml:space="preserve">. Not in S&amp;P/ProntoNLP; the CEO says</w:t>
            </w:r>
            <w:r>
              <w:t xml:space="preserve"> </w:t>
            </w:r>
            <w:r>
              <w:t xml:space="preserve">“</w:t>
            </w:r>
            <w:r>
              <w:t xml:space="preserve">a small share</w:t>
            </w:r>
            <w:r>
              <w:t xml:space="preserve">”</w:t>
            </w:r>
          </w:p>
        </w:tc>
        <w:tc>
          <w:tcPr/>
          <w:p>
            <w:pPr>
              <w:pStyle w:val="Compact"/>
              <w:jc w:val="left"/>
            </w:pPr>
            <w:hyperlink r:id="rId149">
              <w:r>
                <w:rPr>
                  <w:rStyle w:val="Hyperlink"/>
                </w:rPr>
                <w:t xml:space="preserve">#355</w:t>
              </w:r>
            </w:hyperlink>
          </w:p>
        </w:tc>
      </w:tr>
      <w:tr>
        <w:tc>
          <w:tcPr/>
          <w:p>
            <w:pPr>
              <w:pStyle w:val="Compact"/>
              <w:jc w:val="left"/>
            </w:pPr>
            <w:r>
              <w:t xml:space="preserve">Cohort chart among the strongest; each cohort spends more each year</w:t>
            </w:r>
          </w:p>
        </w:tc>
        <w:tc>
          <w:tcPr/>
          <w:p>
            <w:pPr>
              <w:pStyle w:val="Compact"/>
              <w:jc w:val="left"/>
            </w:pPr>
            <w:r>
              <w:rPr>
                <w:bCs/>
                <w:b/>
              </w:rPr>
              <w:t xml:space="preserve">Verified</w:t>
            </w:r>
          </w:p>
        </w:tc>
        <w:tc>
          <w:tcPr/>
          <w:p>
            <w:pPr>
              <w:pStyle w:val="Compact"/>
              <w:jc w:val="left"/>
            </w:pPr>
            <w:hyperlink r:id="rId115">
              <w:r>
                <w:rPr>
                  <w:rStyle w:val="Hyperlink"/>
                </w:rPr>
                <w:t xml:space="preserve">#69</w:t>
              </w:r>
            </w:hyperlink>
          </w:p>
        </w:tc>
      </w:tr>
      <w:tr>
        <w:tc>
          <w:tcPr/>
          <w:p>
            <w:pPr>
              <w:pStyle w:val="Compact"/>
              <w:jc w:val="left"/>
            </w:pPr>
            <w:r>
              <w:t xml:space="preserve">WOW at KRW7,890/month; price rise in 2024 slowed growth; ≥14m members</w:t>
            </w:r>
          </w:p>
        </w:tc>
        <w:tc>
          <w:tcPr/>
          <w:p>
            <w:pPr>
              <w:pStyle w:val="Compact"/>
              <w:jc w:val="left"/>
            </w:pPr>
            <w:r>
              <w:t xml:space="preserve">2024 rise</w:t>
            </w:r>
            <w:r>
              <w:t xml:space="preserve"> </w:t>
            </w:r>
            <w:r>
              <w:rPr>
                <w:bCs/>
                <w:b/>
              </w:rPr>
              <w:t xml:space="preserve">verified</w:t>
            </w:r>
            <w:r>
              <w:t xml:space="preserve">; KRW price</w:t>
            </w:r>
            <w:r>
              <w:t xml:space="preserve"> </w:t>
            </w:r>
            <w:r>
              <w:rPr>
                <w:bCs/>
                <w:b/>
              </w:rPr>
              <w:t xml:space="preserve">[u]</w:t>
            </w:r>
            <w:r>
              <w:t xml:space="preserve">; 14m</w:t>
            </w:r>
            <w:r>
              <w:t xml:space="preserve"> </w:t>
            </w:r>
            <w:r>
              <w:rPr>
                <w:bCs/>
                <w:b/>
              </w:rPr>
              <w:t xml:space="preserve">verified as end-2023</w:t>
            </w:r>
          </w:p>
        </w:tc>
        <w:tc>
          <w:tcPr/>
          <w:p>
            <w:pPr>
              <w:pStyle w:val="Compact"/>
              <w:jc w:val="left"/>
            </w:pPr>
            <w:hyperlink r:id="rId123">
              <w:r>
                <w:rPr>
                  <w:rStyle w:val="Hyperlink"/>
                </w:rPr>
                <w:t xml:space="preserve">#248</w:t>
              </w:r>
            </w:hyperlink>
            <w:r>
              <w:t xml:space="preserve">,</w:t>
            </w:r>
            <w:r>
              <w:t xml:space="preserve"> </w:t>
            </w:r>
            <w:hyperlink r:id="rId139">
              <w:r>
                <w:rPr>
                  <w:rStyle w:val="Hyperlink"/>
                </w:rPr>
                <w:t xml:space="preserve">#41</w:t>
              </w:r>
            </w:hyperlink>
          </w:p>
        </w:tc>
      </w:tr>
      <w:tr>
        <w:tc>
          <w:tcPr/>
          <w:p>
            <w:pPr>
              <w:pStyle w:val="Compact"/>
              <w:jc w:val="left"/>
            </w:pPr>
            <w:r>
              <w:t xml:space="preserve">~78m sq ft of logistics infrastructure; 108,000 employees</w:t>
            </w:r>
          </w:p>
        </w:tc>
        <w:tc>
          <w:tcPr/>
          <w:p>
            <w:pPr>
              <w:pStyle w:val="Compact"/>
              <w:jc w:val="left"/>
            </w:pPr>
            <w:r>
              <w:rPr>
                <w:bCs/>
                <w:b/>
              </w:rPr>
              <w:t xml:space="preserve">Verified</w:t>
            </w:r>
            <w:r>
              <w:t xml:space="preserve">: &gt;78m sq ft; S&amp;P lists 108,000 employees ‡</w:t>
            </w:r>
          </w:p>
        </w:tc>
        <w:tc>
          <w:tcPr/>
          <w:p>
            <w:pPr>
              <w:pStyle w:val="Compact"/>
              <w:jc w:val="left"/>
            </w:pPr>
            <w:hyperlink r:id="rId111">
              <w:r>
                <w:rPr>
                  <w:rStyle w:val="Hyperlink"/>
                </w:rPr>
                <w:t xml:space="preserve">#1295</w:t>
              </w:r>
            </w:hyperlink>
          </w:p>
        </w:tc>
      </w:tr>
      <w:tr>
        <w:tc>
          <w:tcPr/>
          <w:p>
            <w:pPr>
              <w:pStyle w:val="Compact"/>
              <w:jc w:val="left"/>
            </w:pPr>
            <w:r>
              <w:t xml:space="preserve">~100% of Korea within 10km of a Coupang centre by 2027</w:t>
            </w:r>
          </w:p>
        </w:tc>
        <w:tc>
          <w:tcPr/>
          <w:p>
            <w:pPr>
              <w:pStyle w:val="Compact"/>
              <w:jc w:val="left"/>
            </w:pPr>
            <w:r>
              <w:rPr>
                <w:bCs/>
                <w:b/>
              </w:rPr>
              <w:t xml:space="preserve">[u]</w:t>
            </w:r>
            <w:r>
              <w:t xml:space="preserve">. Not found</w:t>
            </w:r>
          </w:p>
        </w:tc>
        <w:tc>
          <w:tcPr/>
          <w:p>
            <w:pPr>
              <w:pStyle w:val="Compact"/>
              <w:jc w:val="left"/>
            </w:pPr>
            <w:r>
              <w:t xml:space="preserve">n/a</w:t>
            </w:r>
          </w:p>
        </w:tc>
      </w:tr>
      <w:tr>
        <w:tc>
          <w:tcPr/>
          <w:p>
            <w:pPr>
              <w:pStyle w:val="Compact"/>
              <w:jc w:val="left"/>
            </w:pPr>
            <w:r>
              <w:t xml:space="preserve">Five tenets incl. long-term FCF and return-on-capital mindset</w:t>
            </w:r>
          </w:p>
        </w:tc>
        <w:tc>
          <w:tcPr/>
          <w:p>
            <w:pPr>
              <w:pStyle w:val="Compact"/>
              <w:jc w:val="left"/>
            </w:pPr>
            <w:r>
              <w:rPr>
                <w:bCs/>
                <w:b/>
              </w:rPr>
              <w:t xml:space="preserve">Partly verified</w:t>
            </w:r>
          </w:p>
        </w:tc>
        <w:tc>
          <w:tcPr/>
          <w:p>
            <w:pPr>
              <w:pStyle w:val="Compact"/>
              <w:jc w:val="left"/>
            </w:pPr>
            <w:hyperlink r:id="rId505">
              <w:r>
                <w:rPr>
                  <w:rStyle w:val="Hyperlink"/>
                </w:rPr>
                <w:t xml:space="preserve">#28</w:t>
              </w:r>
            </w:hyperlink>
            <w:r>
              <w:t xml:space="preserve">,</w:t>
            </w:r>
            <w:r>
              <w:t xml:space="preserve"> </w:t>
            </w:r>
            <w:hyperlink r:id="rId506">
              <w:r>
                <w:rPr>
                  <w:rStyle w:val="Hyperlink"/>
                </w:rPr>
                <w:t xml:space="preserve">#116</w:t>
              </w:r>
            </w:hyperlink>
          </w:p>
        </w:tc>
      </w:tr>
      <w:tr>
        <w:tc>
          <w:tcPr/>
          <w:p>
            <w:pPr>
              <w:pStyle w:val="Compact"/>
              <w:jc w:val="left"/>
            </w:pPr>
            <w:r>
              <w:t xml:space="preserve">Bom Kim controls 100% of Class B at 29x votes</w:t>
            </w:r>
          </w:p>
        </w:tc>
        <w:tc>
          <w:tcPr/>
          <w:p>
            <w:pPr>
              <w:pStyle w:val="Compact"/>
              <w:jc w:val="left"/>
            </w:pPr>
            <w:r>
              <w:rPr>
                <w:bCs/>
                <w:b/>
              </w:rPr>
              <w:t xml:space="preserve">Verified</w:t>
            </w:r>
            <w:r>
              <w:t xml:space="preserve">; 74.1% of voting power</w:t>
            </w:r>
          </w:p>
        </w:tc>
        <w:tc>
          <w:tcPr/>
          <w:p>
            <w:pPr>
              <w:pStyle w:val="Compact"/>
              <w:jc w:val="left"/>
            </w:pPr>
            <w:hyperlink r:id="rId504">
              <w:r>
                <w:rPr>
                  <w:rStyle w:val="Hyperlink"/>
                </w:rPr>
                <w:t xml:space="preserve">#1181</w:t>
              </w:r>
            </w:hyperlink>
            <w:r>
              <w:t xml:space="preserve">,</w:t>
            </w:r>
            <w:r>
              <w:t xml:space="preserve"> </w:t>
            </w:r>
            <w:hyperlink r:id="rId22">
              <w:r>
                <w:rPr>
                  <w:rStyle w:val="Hyperlink"/>
                </w:rPr>
                <w:t xml:space="preserve">#1187</w:t>
              </w:r>
            </w:hyperlink>
          </w:p>
        </w:tc>
      </w:tr>
      <w:tr>
        <w:tc>
          <w:tcPr/>
          <w:p>
            <w:pPr>
              <w:pStyle w:val="Compact"/>
              <w:jc w:val="left"/>
            </w:pPr>
            <w:r>
              <w:t xml:space="preserve">US$26bn market cap</w:t>
            </w:r>
          </w:p>
        </w:tc>
        <w:tc>
          <w:tcPr/>
          <w:p>
            <w:pPr>
              <w:pStyle w:val="Compact"/>
              <w:jc w:val="left"/>
            </w:pPr>
            <w:r>
              <w:t xml:space="preserve">~US$25-28.5bn depending on date and share count (ProntoNLP market-cap field US$24.9bn; our price × diluted shares US$28.5bn)</w:t>
            </w:r>
          </w:p>
        </w:tc>
        <w:tc>
          <w:tcPr/>
          <w:p>
            <w:pPr>
              <w:pStyle w:val="Compact"/>
              <w:jc w:val="left"/>
            </w:pPr>
            <w:r>
              <w:t xml:space="preserve">ProntoNLP ‡</w:t>
            </w:r>
          </w:p>
        </w:tc>
      </w:tr>
      <w:tr>
        <w:tc>
          <w:tcPr/>
          <w:p>
            <w:pPr>
              <w:pStyle w:val="Compact"/>
              <w:jc w:val="left"/>
            </w:pPr>
            <w:r>
              <w:t xml:space="preserve">“</w:t>
            </w:r>
            <w:r>
              <w:t xml:space="preserve">Glitch or lasting change?</w:t>
            </w:r>
            <w:r>
              <w:t xml:space="preserve">”</w:t>
            </w:r>
          </w:p>
        </w:tc>
        <w:tc>
          <w:tcPr/>
          <w:p>
            <w:pPr>
              <w:pStyle w:val="Compact"/>
              <w:jc w:val="left"/>
            </w:pPr>
            <w:r>
              <w:rPr>
                <w:bCs/>
                <w:b/>
              </w:rPr>
              <w:t xml:space="preserve">Our view:</w:t>
            </w:r>
            <w:r>
              <w:t xml:space="preserve"> </w:t>
            </w:r>
            <w:r>
              <w:t xml:space="preserve">a glitch for customers; a lasting change for regulatory intensity and the cash model. Net, mispriced to the downside</w:t>
            </w:r>
          </w:p>
        </w:tc>
        <w:tc>
          <w:tcPr/>
          <w:p>
            <w:pPr>
              <w:pStyle w:val="Compact"/>
              <w:jc w:val="left"/>
            </w:pPr>
            <w:r>
              <w:t xml:space="preserve">This report</w:t>
            </w:r>
          </w:p>
        </w:tc>
      </w:tr>
    </w:tbl>
    <w:bookmarkEnd w:id="507"/>
    <w:bookmarkStart w:id="508" w:name="appendix-methodology-and-data-notes"/>
    <w:p>
      <w:pPr>
        <w:pStyle w:val="Heading1"/>
      </w:pPr>
      <w:r>
        <w:t xml:space="preserve">Appendix: methodology and data notes</w:t>
      </w:r>
    </w:p>
    <w:p>
      <w:pPr>
        <w:numPr>
          <w:ilvl w:val="0"/>
          <w:numId w:val="1071"/>
        </w:numPr>
        <w:pStyle w:val="Compact"/>
      </w:pPr>
      <w:r>
        <w:rPr>
          <w:bCs/>
          <w:b/>
        </w:rPr>
        <w:t xml:space="preserve">Sources.</w:t>
      </w:r>
      <w:r>
        <w:t xml:space="preserve"> </w:t>
      </w:r>
      <w:r>
        <w:t xml:space="preserve">S&amp;P Global Capital IQ (via the S&amp;P Deterministic Retrieval MCP) supplied financial statements and line items for Coupang, 15 listed peers and transaction targets. ProntoNLP MCP supplied transcripts, SEC and non-SEC filings, prices, consensus, sentiment analytics and peers. No web searches or other sources were used. Five parallel research agents queried ProntoNLP and S&amp;P; their notes and tool logs are summarised in the provenance document.</w:t>
      </w:r>
    </w:p>
    <w:p>
      <w:pPr>
        <w:numPr>
          <w:ilvl w:val="0"/>
          <w:numId w:val="1071"/>
        </w:numPr>
        <w:pStyle w:val="Compact"/>
      </w:pPr>
      <w:r>
        <w:rPr>
          <w:bCs/>
          <w:b/>
        </w:rPr>
        <w:t xml:space="preserve">Price data.</w:t>
      </w:r>
      <w:r>
        <w:t xml:space="preserve"> </w:t>
      </w:r>
      <w:r>
        <w:t xml:space="preserve">ProntoNLP price series return no source links (‡). The reference price is the 9-Oct-2026 close. EV uses S&amp;P Q2’26 net debt including leases (-US$477m) and diluted weighted shares (1,799m).</w:t>
      </w:r>
    </w:p>
    <w:p>
      <w:pPr>
        <w:numPr>
          <w:ilvl w:val="0"/>
          <w:numId w:val="1071"/>
        </w:numPr>
        <w:pStyle w:val="Compact"/>
      </w:pPr>
      <w:r>
        <w:rPr>
          <w:bCs/>
          <w:b/>
        </w:rPr>
        <w:t xml:space="preserve">FX.</w:t>
      </w:r>
      <w:r>
        <w:t xml:space="preserve"> </w:t>
      </w:r>
      <w:r>
        <w:t xml:space="preserve">No FX rates are available from the connectors. Chinese ADR peers use CNY7.10/US$ and HKD7.80/US$ [e]. KRW, JPY, EUR and PLN peers are valued in local currency, so no FX is needed for multiples. USD market caps use FX implied by ProntoNLP’s USD vs local market-cap fields [d].</w:t>
      </w:r>
    </w:p>
    <w:p>
      <w:pPr>
        <w:numPr>
          <w:ilvl w:val="0"/>
          <w:numId w:val="1071"/>
        </w:numPr>
        <w:pStyle w:val="Compact"/>
      </w:pPr>
      <w:r>
        <w:rPr>
          <w:bCs/>
          <w:b/>
        </w:rPr>
        <w:t xml:space="preserve">Consensus.</w:t>
      </w:r>
      <w:r>
        <w:t xml:space="preserve"> </w:t>
      </w:r>
      <w:r>
        <w:t xml:space="preserve">ProntoNLP consensus is used for historical beats and misses only. Forward 3Q26/4Q26 entries are stale (dated March 2025) and are not used.</w:t>
      </w:r>
    </w:p>
    <w:p>
      <w:pPr>
        <w:numPr>
          <w:ilvl w:val="0"/>
          <w:numId w:val="1071"/>
        </w:numPr>
        <w:pStyle w:val="Compact"/>
      </w:pPr>
      <w:r>
        <w:rPr>
          <w:bCs/>
          <w:b/>
        </w:rPr>
        <w:t xml:space="preserve">Limitations.</w:t>
      </w:r>
      <w:r>
        <w:t xml:space="preserve"> </w:t>
      </w:r>
      <w:r>
        <w:t xml:space="preserve">Proxy contents (executive pay, the beneficial-ownership table), 13F/13G data, short interest, news-driven causes of market-wide moves, and Korean industry deal values are not available through the connectors. These are flagged ‡ or [u] where relevant.</w:t>
      </w:r>
    </w:p>
    <w:p>
      <w:pPr>
        <w:pStyle w:val="FirstParagraph"/>
      </w:pPr>
      <w:r>
        <w:rPr>
          <w:iCs/>
          <w:i/>
        </w:rPr>
        <w:t xml:space="preserve">This report is for professional investors. It is not investment advice. Figures marked [e] are the analyst’s estimates and rest on assumptions that may prove wrong.</w:t>
      </w:r>
    </w:p>
    <w:bookmarkEnd w:id="508"/>
    <w:sectPr>
      <w:pgSz w:h="16838" w:w="11906"/>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19"/>
    </w:rPr>
  </w:style>
  <w:style w:styleId="BodyText" w:type="paragraph">
    <w:name w:val="Body Text"/>
    <w:basedOn w:val="Normal"/>
    <w:link w:val="BodyTextChar"/>
    <w:pPr>
      <w:spacing w:after="180" w:before="180"/>
    </w:pPr>
    <w:qFormat/>
    <w:rPr>
      <w:rFonts w:ascii="Arial" w:cs="Arial" w:eastAsia="Arial" w:hAnsi="Arial"/>
      <w:sz w:val="19"/>
    </w:rPr>
  </w:style>
  <w:style w:customStyle="1" w:styleId="FirstParagraph" w:type="paragraph">
    <w:name w:val="First Paragraph"/>
    <w:basedOn w:val="BodyText"/>
    <w:next w:val="BodyText"/>
    <w:qFormat/>
    <w:rPr>
      <w:rFonts w:ascii="Arial" w:cs="Arial" w:eastAsia="Arial" w:hAnsi="Arial"/>
      <w:sz w:val="19"/>
    </w:rPr>
  </w:style>
  <w:style w:customStyle="1" w:styleId="Compact" w:type="paragraph">
    <w:name w:val="Compact"/>
    <w:basedOn w:val="BodyText"/>
    <w:qFormat/>
    <w:pPr>
      <w:spacing w:after="36" w:before="36"/>
    </w:pPr>
    <w:rPr>
      <w:rFonts w:ascii="Arial" w:cs="Arial" w:eastAsia="Arial" w:hAnsi="Arial"/>
      <w:sz w:val="19"/>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3213D"/>
      <w:sz w:val="44"/>
      <w:szCs w:val="36"/>
    </w:rPr>
  </w:style>
  <w:style w:styleId="Subtitle" w:type="paragraph">
    <w:name w:val="Subtitle"/>
    <w:basedOn w:val="Title"/>
    <w:next w:val="BodyText"/>
    <w:qFormat/>
    <w:pPr>
      <w:keepNext/>
      <w:keepLines/>
      <w:spacing w:after="240" w:before="240"/>
      <w:jc w:val="center"/>
    </w:pPr>
    <w:rPr>
      <w:rFonts w:ascii="Arial" w:cs="Arial" w:eastAsia="Arial" w:hAnsi="Arial"/>
      <w:color w:val="2F6FD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val="13213D"/>
      <w:sz w:val="30"/>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val="2F6FD0"/>
      <w:sz w:val="24"/>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val="13213D"/>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4"/>
    </w:rPr>
    <w:tblPr>
      <w:tblInd w:type="dxa" w:w="0"/>
      <w:tblCellMar>
        <w:top w:type="dxa" w:w="0"/>
        <w:left w:type="dxa" w:w="108"/>
        <w:bottom w:type="dxa" w:w="0"/>
        <w:right w:type="dxa" w:w="108"/>
      </w:tblCellMar>
      <w:tblBorders>
        <w:top w:color="C9CED6" w:sz="4" w:val="single"/>
        <w:bottom w:color="C9CED6" w:sz="4" w:val="single"/>
        <w:insideH w:color="C9CED6" w:sz="4" w:val="single"/>
      </w:tblBorders>
    </w:tblPr>
    <w:tblStylePr w:type="firstRow">
      <w:tblPr>
        <w:jc w:val="left"/>
        <w:tblInd w:type="dxa" w:w="0"/>
      </w:tblPr>
      <w:trPr>
        <w:jc w:val="left"/>
      </w:trPr>
      <w:tcPr>
        <w:vAlign w:val="bottom"/>
        <w:tcBorders>
          <w:bottom w:val="single"/>
        </w:tcBorders>
      </w:tcPr>
    </w:tblStylePr>
    <w:tblStylePr w:type="firstRow">
      <w:rPr>
        <w:b/>
        <w:color w:val="FFFFFF"/>
      </w:rPr>
      <w:tcPr>
        <w:shd w:color="auto" w:fill="13213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i/>
      <w:color w:val="6B7280"/>
      <w:sz w:val="16"/>
    </w:rPr>
  </w:style>
  <w:style w:customStyle="1" w:styleId="TableCaption" w:type="paragraph">
    <w:name w:val="Table Caption"/>
    <w:basedOn w:val="Caption"/>
    <w:pPr>
      <w:keepNext/>
    </w:pPr>
    <w:rPr>
      <w:rFonts w:ascii="Arial" w:cs="Arial" w:eastAsia="Arial" w:hAnsi="Arial"/>
      <w:color w:val="6B7280"/>
      <w:sz w:val="16"/>
    </w:rPr>
  </w:style>
  <w:style w:customStyle="1" w:styleId="ImageCaption" w:type="paragraph">
    <w:name w:val="Image Caption"/>
    <w:basedOn w:val="Caption"/>
    <w:rPr>
      <w:rFonts w:ascii="Arial" w:cs="Arial" w:eastAsia="Arial" w:hAnsi="Arial"/>
      <w:color w:val="6B7280"/>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4FA3"/>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 w:type="paragraph">
    <w:name w:val="Cover"/>
    <w:basedOn w:val="Normal"/>
    <w:pPr>
      <w:shd w:color="auto" w:fill="EEF2F9" w:val="clear"/>
    </w:pPr>
    <w:rPr>
      <w:rFonts w:ascii="Arial" w:cs="Arial" w:eastAsia="Arial" w:hAnsi="Arial"/>
      <w:color w:val="13213D"/>
      <w:sz w:val="20"/>
    </w:rPr>
  </w:style>
  <w:style w:customStyle="1" w:styleId="Callout" w:type="paragraph">
    <w:name w:val="Callout"/>
    <w:basedOn w:val="Normal"/>
    <w:pPr>
      <w:shd w:color="auto" w:fill="EEF2F9" w:val="clear"/>
    </w:pPr>
    <w:rPr>
      <w:rFonts w:ascii="Arial" w:cs="Arial" w:eastAsia="Arial" w:hAnsi="Arial"/>
      <w:color w:val="13213D"/>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9" Target="media/rId219.png" /><Relationship Type="http://schemas.openxmlformats.org/officeDocument/2006/relationships/image" Id="rId365" Target="media/rId365.png" /><Relationship Type="http://schemas.openxmlformats.org/officeDocument/2006/relationships/image" Id="rId259" Target="media/rId259.png" /><Relationship Type="http://schemas.openxmlformats.org/officeDocument/2006/relationships/image" Id="rId80" Target="media/rId80.png" /><Relationship Type="http://schemas.openxmlformats.org/officeDocument/2006/relationships/image" Id="rId369" Target="media/rId369.png" /><Relationship Type="http://schemas.openxmlformats.org/officeDocument/2006/relationships/image" Id="rId477" Target="media/rId477.png" /><Relationship Type="http://schemas.openxmlformats.org/officeDocument/2006/relationships/image" Id="rId236" Target="media/rId236.png" /><Relationship Type="http://schemas.openxmlformats.org/officeDocument/2006/relationships/image" Id="rId319" Target="media/rId319.png" /><Relationship Type="http://schemas.openxmlformats.org/officeDocument/2006/relationships/image" Id="rId186" Target="media/rId186.png" /><Relationship Type="http://schemas.openxmlformats.org/officeDocument/2006/relationships/hyperlink" Id="rId23" Target="https://gam.prontonlp.com/#/ref/$COMPANY_704377650" TargetMode="External" /><Relationship Type="http://schemas.openxmlformats.org/officeDocument/2006/relationships/hyperlink" Id="rId306" Target="https://gam.prontonlp.com/#/ref/$DOCID_T000003041770" TargetMode="External" /><Relationship Type="http://schemas.openxmlformats.org/officeDocument/2006/relationships/hyperlink" Id="rId307" Target="https://gam.prontonlp.com/#/ref/$DOCID_T000003113152" TargetMode="External" /><Relationship Type="http://schemas.openxmlformats.org/officeDocument/2006/relationships/hyperlink" Id="rId308" Target="https://gam.prontonlp.com/#/ref/$DOCID_T000003215027" TargetMode="External" /><Relationship Type="http://schemas.openxmlformats.org/officeDocument/2006/relationships/hyperlink" Id="rId309" Target="https://gam.prontonlp.com/#/ref/$DOCID_T000003299355" TargetMode="External" /><Relationship Type="http://schemas.openxmlformats.org/officeDocument/2006/relationships/hyperlink" Id="rId310" Target="https://gam.prontonlp.com/#/ref/$DOCID_T000003299355_$GROUPBY_PatternSentiment" TargetMode="External" /><Relationship Type="http://schemas.openxmlformats.org/officeDocument/2006/relationships/hyperlink" Id="rId311" Target="https://gam.prontonlp.com/#/ref/$DOCID_T000003384178" TargetMode="External" /><Relationship Type="http://schemas.openxmlformats.org/officeDocument/2006/relationships/hyperlink" Id="rId312" Target="https://gam.prontonlp.com/#/ref/$DOCID_T000003384178_$GROUPBY_PatternSentiment" TargetMode="External" /><Relationship Type="http://schemas.openxmlformats.org/officeDocument/2006/relationships/hyperlink" Id="rId313" Target="https://gam.prontonlp.com/#/ref/$DOCID_T000003441812" TargetMode="External" /><Relationship Type="http://schemas.openxmlformats.org/officeDocument/2006/relationships/hyperlink" Id="rId314" Target="https://gam.prontonlp.com/#/ref/$DOCID_T000003515732" TargetMode="External" /><Relationship Type="http://schemas.openxmlformats.org/officeDocument/2006/relationships/hyperlink" Id="rId288" Target="https://gam.prontonlp.com/#/ref/$DOCID_T000003578475" TargetMode="External" /><Relationship Type="http://schemas.openxmlformats.org/officeDocument/2006/relationships/hyperlink" Id="rId315" Target="https://gam.prontonlp.com/#/ref/$DOCID_T000003578475_$GROUPBY_PatternSentiment" TargetMode="External" /><Relationship Type="http://schemas.openxmlformats.org/officeDocument/2006/relationships/hyperlink" Id="rId292" Target="https://gam.prontonlp.com/#/ref/$DOCID_T000003665452" TargetMode="External" /><Relationship Type="http://schemas.openxmlformats.org/officeDocument/2006/relationships/hyperlink" Id="rId316" Target="https://gam.prontonlp.com/#/ref/$DOCID_T000003665452_$GROUPBY_PatternSentiment" TargetMode="External" /><Relationship Type="http://schemas.openxmlformats.org/officeDocument/2006/relationships/hyperlink" Id="rId300" Target="https://gam.prontonlp.com/#/ref/$DOCID_T000003711263" TargetMode="External" /><Relationship Type="http://schemas.openxmlformats.org/officeDocument/2006/relationships/hyperlink" Id="rId317" Target="https://gam.prontonlp.com/#/ref/$DOCID_T000003711263_$GROUPBY_PatternSentiment" TargetMode="External" /><Relationship Type="http://schemas.openxmlformats.org/officeDocument/2006/relationships/hyperlink" Id="rId303" Target="https://gam.prontonlp.com/#/ref/$DOCID_T000003779883" TargetMode="External" /><Relationship Type="http://schemas.openxmlformats.org/officeDocument/2006/relationships/hyperlink" Id="rId325" Target="https://gam.prontonlp.com/#/ref/$DOCID_T000003779883_$GROUPBY_Aspects_$KEY_CurrentState" TargetMode="External" /><Relationship Type="http://schemas.openxmlformats.org/officeDocument/2006/relationships/hyperlink" Id="rId324" Target="https://gam.prontonlp.com/#/ref/$DOCID_T000003779883_$GROUPBY_EventTypes_$KEY_CustomerRetention" TargetMode="External" /><Relationship Type="http://schemas.openxmlformats.org/officeDocument/2006/relationships/hyperlink" Id="rId323" Target="https://gam.prontonlp.com/#/ref/$DOCID_T000003779883_$GROUPBY_EventTypes_$KEY_FinancialChallenge" TargetMode="External" /><Relationship Type="http://schemas.openxmlformats.org/officeDocument/2006/relationships/hyperlink" Id="rId322" Target="https://gam.prontonlp.com/#/ref/$DOCID_T000003779883_$GROUPBY_EventTypes_$KEY_OperationalChallenge" TargetMode="External" /><Relationship Type="http://schemas.openxmlformats.org/officeDocument/2006/relationships/hyperlink" Id="rId318" Target="https://gam.prontonlp.com/#/ref/$DOCID_T000003779883_$GROUPBY_PatternSentiment" TargetMode="External" /><Relationship Type="http://schemas.openxmlformats.org/officeDocument/2006/relationships/hyperlink" Id="rId44" Target="https://gam.prontonlp.com/#/ref/$DOCID_upcoming-doc-704377650" TargetMode="External" /><Relationship Type="http://schemas.openxmlformats.org/officeDocument/2006/relationships/hyperlink" Id="rId391" Target="https://gam.prontonlp.com/#/ref/$SENTID_NONSEC000181144328-1308" TargetMode="External" /><Relationship Type="http://schemas.openxmlformats.org/officeDocument/2006/relationships/hyperlink" Id="rId382" Target="https://gam.prontonlp.com/#/ref/$SENTID_NONSEC000243246805-379" TargetMode="External" /><Relationship Type="http://schemas.openxmlformats.org/officeDocument/2006/relationships/hyperlink" Id="rId145" Target="https://gam.prontonlp.com/#/ref/$SENTID_NONSEC000256750115-92" TargetMode="External" /><Relationship Type="http://schemas.openxmlformats.org/officeDocument/2006/relationships/hyperlink" Id="rId148" Target="https://gam.prontonlp.com/#/ref/$SENTID_NONSEC000256804358-305" TargetMode="External" /><Relationship Type="http://schemas.openxmlformats.org/officeDocument/2006/relationships/hyperlink" Id="rId144" Target="https://gam.prontonlp.com/#/ref/$SENTID_NONSEC000256804358-308" TargetMode="External" /><Relationship Type="http://schemas.openxmlformats.org/officeDocument/2006/relationships/hyperlink" Id="rId179" Target="https://gam.prontonlp.com/#/ref/$SENTID_NONSEC000256804358-310" TargetMode="External" /><Relationship Type="http://schemas.openxmlformats.org/officeDocument/2006/relationships/hyperlink" Id="rId390" Target="https://gam.prontonlp.com/#/ref/$SENTID_NONSEC000256804358-318" TargetMode="External" /><Relationship Type="http://schemas.openxmlformats.org/officeDocument/2006/relationships/hyperlink" Id="rId142" Target="https://gam.prontonlp.com/#/ref/$SENTID_NONSEC000256804358-321" TargetMode="External" /><Relationship Type="http://schemas.openxmlformats.org/officeDocument/2006/relationships/hyperlink" Id="rId143" Target="https://gam.prontonlp.com/#/ref/$SENTID_NONSEC000256804358-326" TargetMode="External" /><Relationship Type="http://schemas.openxmlformats.org/officeDocument/2006/relationships/hyperlink" Id="rId386" Target="https://gam.prontonlp.com/#/ref/$SENTID_NONSEC000257202319-4947" TargetMode="External" /><Relationship Type="http://schemas.openxmlformats.org/officeDocument/2006/relationships/hyperlink" Id="rId374" Target="https://gam.prontonlp.com/#/ref/$SENTID_NONSEC000257375768-325" TargetMode="External" /><Relationship Type="http://schemas.openxmlformats.org/officeDocument/2006/relationships/hyperlink" Id="rId174" Target="https://gam.prontonlp.com/#/ref/$SENTID_NONSEC000264476510-93" TargetMode="External" /><Relationship Type="http://schemas.openxmlformats.org/officeDocument/2006/relationships/hyperlink" Id="rId373" Target="https://gam.prontonlp.com/#/ref/$SENTID_SEC000177519257-675" TargetMode="External" /><Relationship Type="http://schemas.openxmlformats.org/officeDocument/2006/relationships/hyperlink" Id="rId211" Target="https://gam.prontonlp.com/#/ref/$SENTID_SEC000177872792-28" TargetMode="External" /><Relationship Type="http://schemas.openxmlformats.org/officeDocument/2006/relationships/hyperlink" Id="rId223" Target="https://gam.prontonlp.com/#/ref/$SENTID_SEC000177872792-38" TargetMode="External" /><Relationship Type="http://schemas.openxmlformats.org/officeDocument/2006/relationships/hyperlink" Id="rId227" Target="https://gam.prontonlp.com/#/ref/$SENTID_SEC000177872792-43" TargetMode="External" /><Relationship Type="http://schemas.openxmlformats.org/officeDocument/2006/relationships/hyperlink" Id="rId409" Target="https://gam.prontonlp.com/#/ref/$SENTID_SEC000177952319-1160" TargetMode="External" /><Relationship Type="http://schemas.openxmlformats.org/officeDocument/2006/relationships/hyperlink" Id="rId83" Target="https://gam.prontonlp.com/#/ref/$SENTID_SEC000177952319-1284" TargetMode="External" /><Relationship Type="http://schemas.openxmlformats.org/officeDocument/2006/relationships/hyperlink" Id="rId458" Target="https://gam.prontonlp.com/#/ref/$SENTID_SEC000177952319-1453" TargetMode="External" /><Relationship Type="http://schemas.openxmlformats.org/officeDocument/2006/relationships/hyperlink" Id="rId88" Target="https://gam.prontonlp.com/#/ref/$SENTID_SEC000177952319-1671" TargetMode="External" /><Relationship Type="http://schemas.openxmlformats.org/officeDocument/2006/relationships/hyperlink" Id="rId405" Target="https://gam.prontonlp.com/#/ref/$SENTID_SEC000177952319-1710" TargetMode="External" /><Relationship Type="http://schemas.openxmlformats.org/officeDocument/2006/relationships/hyperlink" Id="rId85" Target="https://gam.prontonlp.com/#/ref/$SENTID_SEC000177952319-1724" TargetMode="External" /><Relationship Type="http://schemas.openxmlformats.org/officeDocument/2006/relationships/hyperlink" Id="rId433" Target="https://gam.prontonlp.com/#/ref/$SENTID_SEC000178637463-0" TargetMode="External" /><Relationship Type="http://schemas.openxmlformats.org/officeDocument/2006/relationships/hyperlink" Id="rId434" Target="https://gam.prontonlp.com/#/ref/$SENTID_SEC000178637463-1" TargetMode="External" /><Relationship Type="http://schemas.openxmlformats.org/officeDocument/2006/relationships/hyperlink" Id="rId435" Target="https://gam.prontonlp.com/#/ref/$SENTID_SEC000180700685-0" TargetMode="External" /><Relationship Type="http://schemas.openxmlformats.org/officeDocument/2006/relationships/hyperlink" Id="rId436" Target="https://gam.prontonlp.com/#/ref/$SENTID_SEC000180700685-1" TargetMode="External" /><Relationship Type="http://schemas.openxmlformats.org/officeDocument/2006/relationships/hyperlink" Id="rId419" Target="https://gam.prontonlp.com/#/ref/$SENTID_SEC000186080531-0" TargetMode="External" /><Relationship Type="http://schemas.openxmlformats.org/officeDocument/2006/relationships/hyperlink" Id="rId416" Target="https://gam.prontonlp.com/#/ref/$SENTID_SEC000193145117-0" TargetMode="External" /><Relationship Type="http://schemas.openxmlformats.org/officeDocument/2006/relationships/hyperlink" Id="rId417" Target="https://gam.prontonlp.com/#/ref/$SENTID_SEC000193145117-3" TargetMode="External" /><Relationship Type="http://schemas.openxmlformats.org/officeDocument/2006/relationships/hyperlink" Id="rId198" Target="https://gam.prontonlp.com/#/ref/$SENTID_SEC000200362169-24" TargetMode="External" /><Relationship Type="http://schemas.openxmlformats.org/officeDocument/2006/relationships/hyperlink" Id="rId212" Target="https://gam.prontonlp.com/#/ref/$SENTID_SEC000200362169-27" TargetMode="External" /><Relationship Type="http://schemas.openxmlformats.org/officeDocument/2006/relationships/hyperlink" Id="rId224" Target="https://gam.prontonlp.com/#/ref/$SENTID_SEC000200362169-28" TargetMode="External" /><Relationship Type="http://schemas.openxmlformats.org/officeDocument/2006/relationships/hyperlink" Id="rId228" Target="https://gam.prontonlp.com/#/ref/$SENTID_SEC000200362169-29" TargetMode="External" /><Relationship Type="http://schemas.openxmlformats.org/officeDocument/2006/relationships/hyperlink" Id="rId282" Target="https://gam.prontonlp.com/#/ref/$SENTID_SEC000200362169-32" TargetMode="External" /><Relationship Type="http://schemas.openxmlformats.org/officeDocument/2006/relationships/hyperlink" Id="rId437" Target="https://gam.prontonlp.com/#/ref/$SENTID_SEC000200940081-0" TargetMode="External" /><Relationship Type="http://schemas.openxmlformats.org/officeDocument/2006/relationships/hyperlink" Id="rId438" Target="https://gam.prontonlp.com/#/ref/$SENTID_SEC000200940081-1" TargetMode="External" /><Relationship Type="http://schemas.openxmlformats.org/officeDocument/2006/relationships/hyperlink" Id="rId443" Target="https://gam.prontonlp.com/#/ref/$SENTID_SEC000200940081-3" TargetMode="External" /><Relationship Type="http://schemas.openxmlformats.org/officeDocument/2006/relationships/hyperlink" Id="rId441" Target="https://gam.prontonlp.com/#/ref/$SENTID_SEC000203357895-0" TargetMode="External" /><Relationship Type="http://schemas.openxmlformats.org/officeDocument/2006/relationships/hyperlink" Id="rId420" Target="https://gam.prontonlp.com/#/ref/$SENTID_SEC000213983483-0" TargetMode="External" /><Relationship Type="http://schemas.openxmlformats.org/officeDocument/2006/relationships/hyperlink" Id="rId396" Target="https://gam.prontonlp.com/#/ref/$SENTID_SEC000215408244-0" TargetMode="External" /><Relationship Type="http://schemas.openxmlformats.org/officeDocument/2006/relationships/hyperlink" Id="rId397" Target="https://gam.prontonlp.com/#/ref/$SENTID_SEC000215408244-21" TargetMode="External" /><Relationship Type="http://schemas.openxmlformats.org/officeDocument/2006/relationships/hyperlink" Id="rId388" Target="https://gam.prontonlp.com/#/ref/$SENTID_SEC000215408244-4" TargetMode="External" /><Relationship Type="http://schemas.openxmlformats.org/officeDocument/2006/relationships/hyperlink" Id="rId275" Target="https://gam.prontonlp.com/#/ref/$SENTID_SEC000218768452-25" TargetMode="External" /><Relationship Type="http://schemas.openxmlformats.org/officeDocument/2006/relationships/hyperlink" Id="rId199" Target="https://gam.prontonlp.com/#/ref/$SENTID_SEC000218768452-27" TargetMode="External" /><Relationship Type="http://schemas.openxmlformats.org/officeDocument/2006/relationships/hyperlink" Id="rId267" Target="https://gam.prontonlp.com/#/ref/$SENTID_SEC000218768452-28" TargetMode="External" /><Relationship Type="http://schemas.openxmlformats.org/officeDocument/2006/relationships/hyperlink" Id="rId55" Target="https://gam.prontonlp.com/#/ref/$SENTID_SEC000218768452-32" TargetMode="External" /><Relationship Type="http://schemas.openxmlformats.org/officeDocument/2006/relationships/hyperlink" Id="rId225" Target="https://gam.prontonlp.com/#/ref/$SENTID_SEC000218768452-34" TargetMode="External" /><Relationship Type="http://schemas.openxmlformats.org/officeDocument/2006/relationships/hyperlink" Id="rId229" Target="https://gam.prontonlp.com/#/ref/$SENTID_SEC000218768452-35" TargetMode="External" /><Relationship Type="http://schemas.openxmlformats.org/officeDocument/2006/relationships/hyperlink" Id="rId231" Target="https://gam.prontonlp.com/#/ref/$SENTID_SEC000218768452-37" TargetMode="External" /><Relationship Type="http://schemas.openxmlformats.org/officeDocument/2006/relationships/hyperlink" Id="rId233" Target="https://gam.prontonlp.com/#/ref/$SENTID_SEC000218768452-38" TargetMode="External" /><Relationship Type="http://schemas.openxmlformats.org/officeDocument/2006/relationships/hyperlink" Id="rId139" Target="https://gam.prontonlp.com/#/ref/$SENTID_SEC000218768452-41" TargetMode="External" /><Relationship Type="http://schemas.openxmlformats.org/officeDocument/2006/relationships/hyperlink" Id="rId402" Target="https://gam.prontonlp.com/#/ref/$SENTID_SEC000218853463-1415" TargetMode="External" /><Relationship Type="http://schemas.openxmlformats.org/officeDocument/2006/relationships/hyperlink" Id="rId96" Target="https://gam.prontonlp.com/#/ref/$SENTID_SEC000220937380-0" TargetMode="External" /><Relationship Type="http://schemas.openxmlformats.org/officeDocument/2006/relationships/hyperlink" Id="rId495" Target="https://gam.prontonlp.com/#/ref/$SENTID_SEC000225346257-0" TargetMode="External" /><Relationship Type="http://schemas.openxmlformats.org/officeDocument/2006/relationships/hyperlink" Id="rId439" Target="https://gam.prontonlp.com/#/ref/$SENTID_SEC000225830033-0" TargetMode="External" /><Relationship Type="http://schemas.openxmlformats.org/officeDocument/2006/relationships/hyperlink" Id="rId440" Target="https://gam.prontonlp.com/#/ref/$SENTID_SEC000225830033-1" TargetMode="External" /><Relationship Type="http://schemas.openxmlformats.org/officeDocument/2006/relationships/hyperlink" Id="rId442" Target="https://gam.prontonlp.com/#/ref/$SENTID_SEC000225962227-1" TargetMode="External" /><Relationship Type="http://schemas.openxmlformats.org/officeDocument/2006/relationships/hyperlink" Id="rId496" Target="https://gam.prontonlp.com/#/ref/$SENTID_SEC000228616434-0" TargetMode="External" /><Relationship Type="http://schemas.openxmlformats.org/officeDocument/2006/relationships/hyperlink" Id="rId98" Target="https://gam.prontonlp.com/#/ref/$SENTID_SEC000228616434-1" TargetMode="External" /><Relationship Type="http://schemas.openxmlformats.org/officeDocument/2006/relationships/hyperlink" Id="rId394" Target="https://gam.prontonlp.com/#/ref/$SENTID_SEC000232383623-311" TargetMode="External" /><Relationship Type="http://schemas.openxmlformats.org/officeDocument/2006/relationships/hyperlink" Id="rId276" Target="https://gam.prontonlp.com/#/ref/$SENTID_SEC000237406755-27" TargetMode="External" /><Relationship Type="http://schemas.openxmlformats.org/officeDocument/2006/relationships/hyperlink" Id="rId200" Target="https://gam.prontonlp.com/#/ref/$SENTID_SEC000237406755-35" TargetMode="External" /><Relationship Type="http://schemas.openxmlformats.org/officeDocument/2006/relationships/hyperlink" Id="rId268" Target="https://gam.prontonlp.com/#/ref/$SENTID_SEC000237406755-36" TargetMode="External" /><Relationship Type="http://schemas.openxmlformats.org/officeDocument/2006/relationships/hyperlink" Id="rId56" Target="https://gam.prontonlp.com/#/ref/$SENTID_SEC000237406755-44" TargetMode="External" /><Relationship Type="http://schemas.openxmlformats.org/officeDocument/2006/relationships/hyperlink" Id="rId226" Target="https://gam.prontonlp.com/#/ref/$SENTID_SEC000237406755-49" TargetMode="External" /><Relationship Type="http://schemas.openxmlformats.org/officeDocument/2006/relationships/hyperlink" Id="rId230" Target="https://gam.prontonlp.com/#/ref/$SENTID_SEC000237406755-50" TargetMode="External" /><Relationship Type="http://schemas.openxmlformats.org/officeDocument/2006/relationships/hyperlink" Id="rId232" Target="https://gam.prontonlp.com/#/ref/$SENTID_SEC000237406755-51" TargetMode="External" /><Relationship Type="http://schemas.openxmlformats.org/officeDocument/2006/relationships/hyperlink" Id="rId234" Target="https://gam.prontonlp.com/#/ref/$SENTID_SEC000237406755-53" TargetMode="External" /><Relationship Type="http://schemas.openxmlformats.org/officeDocument/2006/relationships/hyperlink" Id="rId112" Target="https://gam.prontonlp.com/#/ref/$SENTID_SEC000237408246-1145" TargetMode="External" /><Relationship Type="http://schemas.openxmlformats.org/officeDocument/2006/relationships/hyperlink" Id="rId265" Target="https://gam.prontonlp.com/#/ref/$SENTID_SEC000237408246-1525" TargetMode="External" /><Relationship Type="http://schemas.openxmlformats.org/officeDocument/2006/relationships/hyperlink" Id="rId413" Target="https://gam.prontonlp.com/#/ref/$SENTID_SEC000237408246-1547" TargetMode="External" /><Relationship Type="http://schemas.openxmlformats.org/officeDocument/2006/relationships/hyperlink" Id="rId352" Target="https://gam.prontonlp.com/#/ref/$SENTID_SEC000237408246-1862" TargetMode="External" /><Relationship Type="http://schemas.openxmlformats.org/officeDocument/2006/relationships/hyperlink" Id="rId482" Target="https://gam.prontonlp.com/#/ref/$SENTID_SEC000237408246-1956" TargetMode="External" /><Relationship Type="http://schemas.openxmlformats.org/officeDocument/2006/relationships/hyperlink" Id="rId399" Target="https://gam.prontonlp.com/#/ref/$SENTID_SEC000239328925-1" TargetMode="External" /><Relationship Type="http://schemas.openxmlformats.org/officeDocument/2006/relationships/hyperlink" Id="rId400" Target="https://gam.prontonlp.com/#/ref/$SENTID_SEC000239328925-2" TargetMode="External" /><Relationship Type="http://schemas.openxmlformats.org/officeDocument/2006/relationships/hyperlink" Id="rId429" Target="https://gam.prontonlp.com/#/ref/$SENTID_SEC000239328925-4" TargetMode="External" /><Relationship Type="http://schemas.openxmlformats.org/officeDocument/2006/relationships/hyperlink" Id="rId430" Target="https://gam.prontonlp.com/#/ref/$SENTID_SEC000239328925-5" TargetMode="External" /><Relationship Type="http://schemas.openxmlformats.org/officeDocument/2006/relationships/hyperlink" Id="rId421" Target="https://gam.prontonlp.com/#/ref/$SENTID_SEC000242143978-0" TargetMode="External" /><Relationship Type="http://schemas.openxmlformats.org/officeDocument/2006/relationships/hyperlink" Id="rId497" Target="https://gam.prontonlp.com/#/ref/$SENTID_SEC000242375946-0" TargetMode="External" /><Relationship Type="http://schemas.openxmlformats.org/officeDocument/2006/relationships/hyperlink" Id="rId422" Target="https://gam.prontonlp.com/#/ref/$SENTID_SEC000250216310-0" TargetMode="External" /><Relationship Type="http://schemas.openxmlformats.org/officeDocument/2006/relationships/hyperlink" Id="rId24" Target="https://gam.prontonlp.com/#/ref/$SENTID_SEC000253203320-0" TargetMode="External" /><Relationship Type="http://schemas.openxmlformats.org/officeDocument/2006/relationships/hyperlink" Id="rId103" Target="https://gam.prontonlp.com/#/ref/$SENTID_SEC000253203320-10" TargetMode="External" /><Relationship Type="http://schemas.openxmlformats.org/officeDocument/2006/relationships/hyperlink" Id="rId25" Target="https://gam.prontonlp.com/#/ref/$SENTID_SEC000253203320-2" TargetMode="External" /><Relationship Type="http://schemas.openxmlformats.org/officeDocument/2006/relationships/hyperlink" Id="rId431" Target="https://gam.prontonlp.com/#/ref/$SENTID_SEC000255152730-0" TargetMode="External" /><Relationship Type="http://schemas.openxmlformats.org/officeDocument/2006/relationships/hyperlink" Id="rId432" Target="https://gam.prontonlp.com/#/ref/$SENTID_SEC000255152730-1" TargetMode="External" /><Relationship Type="http://schemas.openxmlformats.org/officeDocument/2006/relationships/hyperlink" Id="rId379" Target="https://gam.prontonlp.com/#/ref/$SENTID_SEC000255458473-2045" TargetMode="External" /><Relationship Type="http://schemas.openxmlformats.org/officeDocument/2006/relationships/hyperlink" Id="rId381" Target="https://gam.prontonlp.com/#/ref/$SENTID_SEC000255598146-2063" TargetMode="External" /><Relationship Type="http://schemas.openxmlformats.org/officeDocument/2006/relationships/hyperlink" Id="rId380" Target="https://gam.prontonlp.com/#/ref/$SENTID_SEC000255598146-2247" TargetMode="External" /><Relationship Type="http://schemas.openxmlformats.org/officeDocument/2006/relationships/hyperlink" Id="rId277" Target="https://gam.prontonlp.com/#/ref/$SENTID_SEC000255972090-27" TargetMode="External" /><Relationship Type="http://schemas.openxmlformats.org/officeDocument/2006/relationships/hyperlink" Id="rId77" Target="https://gam.prontonlp.com/#/ref/$SENTID_SEC000255972090-39" TargetMode="External" /><Relationship Type="http://schemas.openxmlformats.org/officeDocument/2006/relationships/hyperlink" Id="rId218" Target="https://gam.prontonlp.com/#/ref/$SENTID_SEC000255972090-42" TargetMode="External" /><Relationship Type="http://schemas.openxmlformats.org/officeDocument/2006/relationships/hyperlink" Id="rId57" Target="https://gam.prontonlp.com/#/ref/$SENTID_SEC000255972090-45" TargetMode="External" /><Relationship Type="http://schemas.openxmlformats.org/officeDocument/2006/relationships/hyperlink" Id="rId73" Target="https://gam.prontonlp.com/#/ref/$SENTID_SEC000255972090-50" TargetMode="External" /><Relationship Type="http://schemas.openxmlformats.org/officeDocument/2006/relationships/hyperlink" Id="rId283" Target="https://gam.prontonlp.com/#/ref/$SENTID_SEC000255972090-51" TargetMode="External" /><Relationship Type="http://schemas.openxmlformats.org/officeDocument/2006/relationships/hyperlink" Id="rId74" Target="https://gam.prontonlp.com/#/ref/$SENTID_SEC000255972090-54" TargetMode="External" /><Relationship Type="http://schemas.openxmlformats.org/officeDocument/2006/relationships/hyperlink" Id="rId75" Target="https://gam.prontonlp.com/#/ref/$SENTID_SEC000255972090-55" TargetMode="External" /><Relationship Type="http://schemas.openxmlformats.org/officeDocument/2006/relationships/hyperlink" Id="rId76" Target="https://gam.prontonlp.com/#/ref/$SENTID_SEC000255972090-56" TargetMode="External" /><Relationship Type="http://schemas.openxmlformats.org/officeDocument/2006/relationships/hyperlink" Id="rId183" Target="https://gam.prontonlp.com/#/ref/$SENTID_SEC000255973354-1007" TargetMode="External" /><Relationship Type="http://schemas.openxmlformats.org/officeDocument/2006/relationships/hyperlink" Id="rId180" Target="https://gam.prontonlp.com/#/ref/$SENTID_SEC000255973354-1064" TargetMode="External" /><Relationship Type="http://schemas.openxmlformats.org/officeDocument/2006/relationships/hyperlink" Id="rId487" Target="https://gam.prontonlp.com/#/ref/$SENTID_SEC000255973354-1174" TargetMode="External" /><Relationship Type="http://schemas.openxmlformats.org/officeDocument/2006/relationships/hyperlink" Id="rId504" Target="https://gam.prontonlp.com/#/ref/$SENTID_SEC000255973354-1181" TargetMode="External" /><Relationship Type="http://schemas.openxmlformats.org/officeDocument/2006/relationships/hyperlink" Id="rId22" Target="https://gam.prontonlp.com/#/ref/$SENTID_SEC000255973354-1187" TargetMode="External" /><Relationship Type="http://schemas.openxmlformats.org/officeDocument/2006/relationships/hyperlink" Id="rId393" Target="https://gam.prontonlp.com/#/ref/$SENTID_SEC000255973354-1188" TargetMode="External" /><Relationship Type="http://schemas.openxmlformats.org/officeDocument/2006/relationships/hyperlink" Id="rId111" Target="https://gam.prontonlp.com/#/ref/$SENTID_SEC000255973354-1295" TargetMode="External" /><Relationship Type="http://schemas.openxmlformats.org/officeDocument/2006/relationships/hyperlink" Id="rId21" Target="https://gam.prontonlp.com/#/ref/$SENTID_SEC000255973354-1311" TargetMode="External" /><Relationship Type="http://schemas.openxmlformats.org/officeDocument/2006/relationships/hyperlink" Id="rId499" Target="https://gam.prontonlp.com/#/ref/$SENTID_SEC000255973354-1339" TargetMode="External" /><Relationship Type="http://schemas.openxmlformats.org/officeDocument/2006/relationships/hyperlink" Id="rId492" Target="https://gam.prontonlp.com/#/ref/$SENTID_SEC000255973354-1340" TargetMode="External" /><Relationship Type="http://schemas.openxmlformats.org/officeDocument/2006/relationships/hyperlink" Id="rId137" Target="https://gam.prontonlp.com/#/ref/$SENTID_SEC000255973354-1342" TargetMode="External" /><Relationship Type="http://schemas.openxmlformats.org/officeDocument/2006/relationships/hyperlink" Id="rId271" Target="https://gam.prontonlp.com/#/ref/$SENTID_SEC000255973354-1360" TargetMode="External" /><Relationship Type="http://schemas.openxmlformats.org/officeDocument/2006/relationships/hyperlink" Id="rId280" Target="https://gam.prontonlp.com/#/ref/$SENTID_SEC000255973354-1386" TargetMode="External" /><Relationship Type="http://schemas.openxmlformats.org/officeDocument/2006/relationships/hyperlink" Id="rId269" Target="https://gam.prontonlp.com/#/ref/$SENTID_SEC000255973354-1389" TargetMode="External" /><Relationship Type="http://schemas.openxmlformats.org/officeDocument/2006/relationships/hyperlink" Id="rId423" Target="https://gam.prontonlp.com/#/ref/$SENTID_SEC000255973354-1403" TargetMode="External" /><Relationship Type="http://schemas.openxmlformats.org/officeDocument/2006/relationships/hyperlink" Id="rId161" Target="https://gam.prontonlp.com/#/ref/$SENTID_SEC000255973354-1413" TargetMode="External" /><Relationship Type="http://schemas.openxmlformats.org/officeDocument/2006/relationships/hyperlink" Id="rId461" Target="https://gam.prontonlp.com/#/ref/$SENTID_SEC000255973354-1487" TargetMode="External" /><Relationship Type="http://schemas.openxmlformats.org/officeDocument/2006/relationships/hyperlink" Id="rId154" Target="https://gam.prontonlp.com/#/ref/$SENTID_SEC000255973354-1507" TargetMode="External" /><Relationship Type="http://schemas.openxmlformats.org/officeDocument/2006/relationships/hyperlink" Id="rId351" Target="https://gam.prontonlp.com/#/ref/$SENTID_SEC000255973354-1514" TargetMode="External" /><Relationship Type="http://schemas.openxmlformats.org/officeDocument/2006/relationships/hyperlink" Id="rId127" Target="https://gam.prontonlp.com/#/ref/$SENTID_SEC000255973354-1624" TargetMode="External" /><Relationship Type="http://schemas.openxmlformats.org/officeDocument/2006/relationships/hyperlink" Id="rId490" Target="https://gam.prontonlp.com/#/ref/$SENTID_SEC000255973354-1680" TargetMode="External" /><Relationship Type="http://schemas.openxmlformats.org/officeDocument/2006/relationships/hyperlink" Id="rId406" Target="https://gam.prontonlp.com/#/ref/$SENTID_SEC000255973354-1707" TargetMode="External" /><Relationship Type="http://schemas.openxmlformats.org/officeDocument/2006/relationships/hyperlink" Id="rId68" Target="https://gam.prontonlp.com/#/ref/$SENTID_SEC000255973354-1745" TargetMode="External" /><Relationship Type="http://schemas.openxmlformats.org/officeDocument/2006/relationships/hyperlink" Id="rId132" Target="https://gam.prontonlp.com/#/ref/$SENTID_SEC000255973354-1754" TargetMode="External" /><Relationship Type="http://schemas.openxmlformats.org/officeDocument/2006/relationships/hyperlink" Id="rId71" Target="https://gam.prontonlp.com/#/ref/$SENTID_SEC000255973354-1755" TargetMode="External" /><Relationship Type="http://schemas.openxmlformats.org/officeDocument/2006/relationships/hyperlink" Id="rId70" Target="https://gam.prontonlp.com/#/ref/$SENTID_SEC000255973354-1761" TargetMode="External" /><Relationship Type="http://schemas.openxmlformats.org/officeDocument/2006/relationships/hyperlink" Id="rId78" Target="https://gam.prontonlp.com/#/ref/$SENTID_SEC000255973354-1858" TargetMode="External" /><Relationship Type="http://schemas.openxmlformats.org/officeDocument/2006/relationships/hyperlink" Id="rId263" Target="https://gam.prontonlp.com/#/ref/$SENTID_SEC000255973354-1859" TargetMode="External" /><Relationship Type="http://schemas.openxmlformats.org/officeDocument/2006/relationships/hyperlink" Id="rId235" Target="https://gam.prontonlp.com/#/ref/$SENTID_SEC000255973354-1868" TargetMode="External" /><Relationship Type="http://schemas.openxmlformats.org/officeDocument/2006/relationships/hyperlink" Id="rId464" Target="https://gam.prontonlp.com/#/ref/$SENTID_SEC000255973354-1884" TargetMode="External" /><Relationship Type="http://schemas.openxmlformats.org/officeDocument/2006/relationships/hyperlink" Id="rId346" Target="https://gam.prontonlp.com/#/ref/$SENTID_SEC000255973354-1886" TargetMode="External" /><Relationship Type="http://schemas.openxmlformats.org/officeDocument/2006/relationships/hyperlink" Id="rId65" Target="https://gam.prontonlp.com/#/ref/$SENTID_SEC000255973354-1901" TargetMode="External" /><Relationship Type="http://schemas.openxmlformats.org/officeDocument/2006/relationships/hyperlink" Id="rId486" Target="https://gam.prontonlp.com/#/ref/$SENTID_SEC000255973354-1905" TargetMode="External" /><Relationship Type="http://schemas.openxmlformats.org/officeDocument/2006/relationships/hyperlink" Id="rId191" Target="https://gam.prontonlp.com/#/ref/$SENTID_SEC000255973354-1931" TargetMode="External" /><Relationship Type="http://schemas.openxmlformats.org/officeDocument/2006/relationships/hyperlink" Id="rId153" Target="https://gam.prontonlp.com/#/ref/$SENTID_SEC000255973354-1939" TargetMode="External" /><Relationship Type="http://schemas.openxmlformats.org/officeDocument/2006/relationships/hyperlink" Id="rId398" Target="https://gam.prontonlp.com/#/ref/$SENTID_SEC000255973354-1950" TargetMode="External" /><Relationship Type="http://schemas.openxmlformats.org/officeDocument/2006/relationships/hyperlink" Id="rId410" Target="https://gam.prontonlp.com/#/ref/$SENTID_SEC000255973354-1980" TargetMode="External" /><Relationship Type="http://schemas.openxmlformats.org/officeDocument/2006/relationships/hyperlink" Id="rId494" Target="https://gam.prontonlp.com/#/ref/$SENTID_SEC000255973354-1991" TargetMode="External" /><Relationship Type="http://schemas.openxmlformats.org/officeDocument/2006/relationships/hyperlink" Id="rId451" Target="https://gam.prontonlp.com/#/ref/$SENTID_SEC000255973354-2008" TargetMode="External" /><Relationship Type="http://schemas.openxmlformats.org/officeDocument/2006/relationships/hyperlink" Id="rId178" Target="https://gam.prontonlp.com/#/ref/$SENTID_SEC000255973354-2009" TargetMode="External" /><Relationship Type="http://schemas.openxmlformats.org/officeDocument/2006/relationships/hyperlink" Id="rId95" Target="https://gam.prontonlp.com/#/ref/$SENTID_SEC000255973354-2035" TargetMode="External" /><Relationship Type="http://schemas.openxmlformats.org/officeDocument/2006/relationships/hyperlink" Id="rId389" Target="https://gam.prontonlp.com/#/ref/$SENTID_SEC000255973354-2038" TargetMode="External" /><Relationship Type="http://schemas.openxmlformats.org/officeDocument/2006/relationships/hyperlink" Id="rId485" Target="https://gam.prontonlp.com/#/ref/$SENTID_SEC000255973354-2040" TargetMode="External" /><Relationship Type="http://schemas.openxmlformats.org/officeDocument/2006/relationships/hyperlink" Id="rId194" Target="https://gam.prontonlp.com/#/ref/$SENTID_SEC000255973354-2050" TargetMode="External" /><Relationship Type="http://schemas.openxmlformats.org/officeDocument/2006/relationships/hyperlink" Id="rId401" Target="https://gam.prontonlp.com/#/ref/$SENTID_SEC000255973354-2052" TargetMode="External" /><Relationship Type="http://schemas.openxmlformats.org/officeDocument/2006/relationships/hyperlink" Id="rId456" Target="https://gam.prontonlp.com/#/ref/$SENTID_SEC000255973354-2061" TargetMode="External" /><Relationship Type="http://schemas.openxmlformats.org/officeDocument/2006/relationships/hyperlink" Id="rId491" Target="https://gam.prontonlp.com/#/ref/$SENTID_SEC000255973354-2064" TargetMode="External" /><Relationship Type="http://schemas.openxmlformats.org/officeDocument/2006/relationships/hyperlink" Id="rId412" Target="https://gam.prontonlp.com/#/ref/$SENTID_SEC000255973354-2080" TargetMode="External" /><Relationship Type="http://schemas.openxmlformats.org/officeDocument/2006/relationships/hyperlink" Id="rId104" Target="https://gam.prontonlp.com/#/ref/$SENTID_SEC000255973354-225" TargetMode="External" /><Relationship Type="http://schemas.openxmlformats.org/officeDocument/2006/relationships/hyperlink" Id="rId130" Target="https://gam.prontonlp.com/#/ref/$SENTID_SEC000255973354-331" TargetMode="External" /><Relationship Type="http://schemas.openxmlformats.org/officeDocument/2006/relationships/hyperlink" Id="rId192" Target="https://gam.prontonlp.com/#/ref/$SENTID_SEC000255973354-368" TargetMode="External" /><Relationship Type="http://schemas.openxmlformats.org/officeDocument/2006/relationships/hyperlink" Id="rId453" Target="https://gam.prontonlp.com/#/ref/$SENTID_SEC000255973354-616" TargetMode="External" /><Relationship Type="http://schemas.openxmlformats.org/officeDocument/2006/relationships/hyperlink" Id="rId50" Target="https://gam.prontonlp.com/#/ref/$SENTID_SEC000255973354-619" TargetMode="External" /><Relationship Type="http://schemas.openxmlformats.org/officeDocument/2006/relationships/hyperlink" Id="rId141" Target="https://gam.prontonlp.com/#/ref/$SENTID_SEC000255973354-695" TargetMode="External" /><Relationship Type="http://schemas.openxmlformats.org/officeDocument/2006/relationships/hyperlink" Id="rId190" Target="https://gam.prontonlp.com/#/ref/$SENTID_SEC000255973354-696" TargetMode="External" /><Relationship Type="http://schemas.openxmlformats.org/officeDocument/2006/relationships/hyperlink" Id="rId189" Target="https://gam.prontonlp.com/#/ref/$SENTID_SEC000255973354-74" TargetMode="External" /><Relationship Type="http://schemas.openxmlformats.org/officeDocument/2006/relationships/hyperlink" Id="rId157" Target="https://gam.prontonlp.com/#/ref/$SENTID_SEC000255973354-824" TargetMode="External" /><Relationship Type="http://schemas.openxmlformats.org/officeDocument/2006/relationships/hyperlink" Id="rId159" Target="https://gam.prontonlp.com/#/ref/$SENTID_SEC000255973354-843" TargetMode="External" /><Relationship Type="http://schemas.openxmlformats.org/officeDocument/2006/relationships/hyperlink" Id="rId166" Target="https://gam.prontonlp.com/#/ref/$SENTID_SEC000255973354-861" TargetMode="External" /><Relationship Type="http://schemas.openxmlformats.org/officeDocument/2006/relationships/hyperlink" Id="rId470" Target="https://gam.prontonlp.com/#/ref/$SENTID_SEC000255973354-862" TargetMode="External" /><Relationship Type="http://schemas.openxmlformats.org/officeDocument/2006/relationships/hyperlink" Id="rId160" Target="https://gam.prontonlp.com/#/ref/$SENTID_SEC000255973354-869" TargetMode="External" /><Relationship Type="http://schemas.openxmlformats.org/officeDocument/2006/relationships/hyperlink" Id="rId113" Target="https://gam.prontonlp.com/#/ref/$SENTID_SEC000255973354-88" TargetMode="External" /><Relationship Type="http://schemas.openxmlformats.org/officeDocument/2006/relationships/hyperlink" Id="rId128" Target="https://gam.prontonlp.com/#/ref/$SENTID_SEC000255973354-915" TargetMode="External" /><Relationship Type="http://schemas.openxmlformats.org/officeDocument/2006/relationships/hyperlink" Id="rId384" Target="https://gam.prontonlp.com/#/ref/$SENTID_SEC000258587508-1966" TargetMode="External" /><Relationship Type="http://schemas.openxmlformats.org/officeDocument/2006/relationships/hyperlink" Id="rId385" Target="https://gam.prontonlp.com/#/ref/$SENTID_SEC000258587508-1971" TargetMode="External" /><Relationship Type="http://schemas.openxmlformats.org/officeDocument/2006/relationships/hyperlink" Id="rId100" Target="https://gam.prontonlp.com/#/ref/$SENTID_SEC000259645823-296" TargetMode="External" /><Relationship Type="http://schemas.openxmlformats.org/officeDocument/2006/relationships/hyperlink" Id="rId414" Target="https://gam.prontonlp.com/#/ref/$SENTID_SEC000259645823-300" TargetMode="External" /><Relationship Type="http://schemas.openxmlformats.org/officeDocument/2006/relationships/hyperlink" Id="rId415" Target="https://gam.prontonlp.com/#/ref/$SENTID_SEC000259645823-303" TargetMode="External" /><Relationship Type="http://schemas.openxmlformats.org/officeDocument/2006/relationships/hyperlink" Id="rId152" Target="https://gam.prontonlp.com/#/ref/$SENTID_SEC000259645823-366" TargetMode="External" /><Relationship Type="http://schemas.openxmlformats.org/officeDocument/2006/relationships/hyperlink" Id="rId463" Target="https://gam.prontonlp.com/#/ref/$SENTID_SEC000259645823-373" TargetMode="External" /><Relationship Type="http://schemas.openxmlformats.org/officeDocument/2006/relationships/hyperlink" Id="rId135" Target="https://gam.prontonlp.com/#/ref/$SENTID_SEC000259645823-526" TargetMode="External" /><Relationship Type="http://schemas.openxmlformats.org/officeDocument/2006/relationships/hyperlink" Id="rId134" Target="https://gam.prontonlp.com/#/ref/$SENTID_SEC000259645823-530" TargetMode="External" /><Relationship Type="http://schemas.openxmlformats.org/officeDocument/2006/relationships/hyperlink" Id="rId108" Target="https://gam.prontonlp.com/#/ref/$SENTID_SEC000261784634-0" TargetMode="External" /><Relationship Type="http://schemas.openxmlformats.org/officeDocument/2006/relationships/hyperlink" Id="rId362" Target="https://gam.prontonlp.com/#/ref/$SENTID_SEC000261784634-7" TargetMode="External" /><Relationship Type="http://schemas.openxmlformats.org/officeDocument/2006/relationships/hyperlink" Id="rId37" Target="https://gam.prontonlp.com/#/ref/$SENTID_SEC000261784634-8" TargetMode="External" /><Relationship Type="http://schemas.openxmlformats.org/officeDocument/2006/relationships/hyperlink" Id="rId445" Target="https://gam.prontonlp.com/#/ref/$SENTID_SEC000261896065-1" TargetMode="External" /><Relationship Type="http://schemas.openxmlformats.org/officeDocument/2006/relationships/hyperlink" Id="rId446" Target="https://gam.prontonlp.com/#/ref/$SENTID_SEC000261896065-8" TargetMode="External" /><Relationship Type="http://schemas.openxmlformats.org/officeDocument/2006/relationships/hyperlink" Id="rId146" Target="https://gam.prontonlp.com/#/ref/$SENTID_SEC000263635795-1089" TargetMode="External" /><Relationship Type="http://schemas.openxmlformats.org/officeDocument/2006/relationships/hyperlink" Id="rId377" Target="https://gam.prontonlp.com/#/ref/$SENTID_SEC000263635795-84" TargetMode="External" /><Relationship Type="http://schemas.openxmlformats.org/officeDocument/2006/relationships/hyperlink" Id="rId26" Target="https://gam.prontonlp.com/#/ref/$SENTID_SEC000264557825-29" TargetMode="External" /><Relationship Type="http://schemas.openxmlformats.org/officeDocument/2006/relationships/hyperlink" Id="rId359" Target="https://gam.prontonlp.com/#/ref/$SENTID_SEC000264559057-129" TargetMode="External" /><Relationship Type="http://schemas.openxmlformats.org/officeDocument/2006/relationships/hyperlink" Id="rId341" Target="https://gam.prontonlp.com/#/ref/$SENTID_SEC000264559057-130" TargetMode="External" /><Relationship Type="http://schemas.openxmlformats.org/officeDocument/2006/relationships/hyperlink" Id="rId126" Target="https://gam.prontonlp.com/#/ref/$SENTID_SEC000264559057-138" TargetMode="External" /><Relationship Type="http://schemas.openxmlformats.org/officeDocument/2006/relationships/hyperlink" Id="rId48" Target="https://gam.prontonlp.com/#/ref/$SENTID_SEC000264559057-140" TargetMode="External" /><Relationship Type="http://schemas.openxmlformats.org/officeDocument/2006/relationships/hyperlink" Id="rId342" Target="https://gam.prontonlp.com/#/ref/$SENTID_SEC000264559057-142" TargetMode="External" /><Relationship Type="http://schemas.openxmlformats.org/officeDocument/2006/relationships/hyperlink" Id="rId42" Target="https://gam.prontonlp.com/#/ref/$SENTID_SEC000264559057-16" TargetMode="External" /><Relationship Type="http://schemas.openxmlformats.org/officeDocument/2006/relationships/hyperlink" Id="rId51" Target="https://gam.prontonlp.com/#/ref/$SENTID_SEC000264559057-165" TargetMode="External" /><Relationship Type="http://schemas.openxmlformats.org/officeDocument/2006/relationships/hyperlink" Id="rId350" Target="https://gam.prontonlp.com/#/ref/$SENTID_SEC000264559057-166" TargetMode="External" /><Relationship Type="http://schemas.openxmlformats.org/officeDocument/2006/relationships/hyperlink" Id="rId43" Target="https://gam.prontonlp.com/#/ref/$SENTID_SEC000264559057-17" TargetMode="External" /><Relationship Type="http://schemas.openxmlformats.org/officeDocument/2006/relationships/hyperlink" Id="rId345" Target="https://gam.prontonlp.com/#/ref/$SENTID_SEC000264559057-173" TargetMode="External" /><Relationship Type="http://schemas.openxmlformats.org/officeDocument/2006/relationships/hyperlink" Id="rId356" Target="https://gam.prontonlp.com/#/ref/$SENTID_SEC000264559057-194" TargetMode="External" /><Relationship Type="http://schemas.openxmlformats.org/officeDocument/2006/relationships/hyperlink" Id="rId72" Target="https://gam.prontonlp.com/#/ref/$SENTID_SEC000264559057-28" TargetMode="External" /><Relationship Type="http://schemas.openxmlformats.org/officeDocument/2006/relationships/hyperlink" Id="rId418" Target="https://gam.prontonlp.com/#/ref/$SENTID_SEC000264559057-294" TargetMode="External" /><Relationship Type="http://schemas.openxmlformats.org/officeDocument/2006/relationships/hyperlink" Id="rId217" Target="https://gam.prontonlp.com/#/ref/$SENTID_SEC000264559057-339" TargetMode="External" /><Relationship Type="http://schemas.openxmlformats.org/officeDocument/2006/relationships/hyperlink" Id="rId182" Target="https://gam.prontonlp.com/#/ref/$SENTID_SEC000264559057-345" TargetMode="External" /><Relationship Type="http://schemas.openxmlformats.org/officeDocument/2006/relationships/hyperlink" Id="rId47" Target="https://gam.prontonlp.com/#/ref/$SENTID_SEC000264559057-369" TargetMode="External" /><Relationship Type="http://schemas.openxmlformats.org/officeDocument/2006/relationships/hyperlink" Id="rId349" Target="https://gam.prontonlp.com/#/ref/$SENTID_SEC000264559057-371" TargetMode="External" /><Relationship Type="http://schemas.openxmlformats.org/officeDocument/2006/relationships/hyperlink" Id="rId357" Target="https://gam.prontonlp.com/#/ref/$SENTID_SEC000264559057-377" TargetMode="External" /><Relationship Type="http://schemas.openxmlformats.org/officeDocument/2006/relationships/hyperlink" Id="rId498" Target="https://gam.prontonlp.com/#/ref/$SENTID_SEC000264559057-407" TargetMode="External" /><Relationship Type="http://schemas.openxmlformats.org/officeDocument/2006/relationships/hyperlink" Id="rId448" Target="https://gam.prontonlp.com/#/ref/$SENTID_SEC000264559057-408" TargetMode="External" /><Relationship Type="http://schemas.openxmlformats.org/officeDocument/2006/relationships/hyperlink" Id="rId105" Target="https://gam.prontonlp.com/#/ref/$SENTID_SEC000264559057-415" TargetMode="External" /><Relationship Type="http://schemas.openxmlformats.org/officeDocument/2006/relationships/hyperlink" Id="rId447" Target="https://gam.prontonlp.com/#/ref/$SENTID_SEC000264559057-423" TargetMode="External" /><Relationship Type="http://schemas.openxmlformats.org/officeDocument/2006/relationships/hyperlink" Id="rId181" Target="https://gam.prontonlp.com/#/ref/$SENTID_SEC000264559057-440" TargetMode="External" /><Relationship Type="http://schemas.openxmlformats.org/officeDocument/2006/relationships/hyperlink" Id="rId46" Target="https://gam.prontonlp.com/#/ref/$SENTID_SEC000264559057-452" TargetMode="External" /><Relationship Type="http://schemas.openxmlformats.org/officeDocument/2006/relationships/hyperlink" Id="rId484" Target="https://gam.prontonlp.com/#/ref/$SENTID_SEC000264559057-463" TargetMode="External" /><Relationship Type="http://schemas.openxmlformats.org/officeDocument/2006/relationships/hyperlink" Id="rId471" Target="https://gam.prontonlp.com/#/ref/$SENTID_SEC000264559057-465" TargetMode="External" /><Relationship Type="http://schemas.openxmlformats.org/officeDocument/2006/relationships/hyperlink" Id="rId109" Target="https://gam.prontonlp.com/#/ref/$SENTID_SEC000264559057-470" TargetMode="External" /><Relationship Type="http://schemas.openxmlformats.org/officeDocument/2006/relationships/hyperlink" Id="rId121" Target="https://gam.prontonlp.com/#/ref/$SENTID_SEC000264559057-59" TargetMode="External" /><Relationship Type="http://schemas.openxmlformats.org/officeDocument/2006/relationships/hyperlink" Id="rId40" Target="https://gam.prontonlp.com/#/ref/$SENTID_SEC000264559057-60" TargetMode="External" /><Relationship Type="http://schemas.openxmlformats.org/officeDocument/2006/relationships/hyperlink" Id="rId452" Target="https://gam.prontonlp.com/#/ref/$SENTID_T000002283898-114" TargetMode="External" /><Relationship Type="http://schemas.openxmlformats.org/officeDocument/2006/relationships/hyperlink" Id="rId84" Target="https://gam.prontonlp.com/#/ref/$SENTID_T000002374084-174" TargetMode="External" /><Relationship Type="http://schemas.openxmlformats.org/officeDocument/2006/relationships/hyperlink" Id="rId86" Target="https://gam.prontonlp.com/#/ref/$SENTID_T000002437086-117" TargetMode="External" /><Relationship Type="http://schemas.openxmlformats.org/officeDocument/2006/relationships/hyperlink" Id="rId274" Target="https://gam.prontonlp.com/#/ref/$SENTID_T000002514904-108" TargetMode="External" /><Relationship Type="http://schemas.openxmlformats.org/officeDocument/2006/relationships/hyperlink" Id="rId87" Target="https://gam.prontonlp.com/#/ref/$SENTID_T000002514904-128" TargetMode="External" /><Relationship Type="http://schemas.openxmlformats.org/officeDocument/2006/relationships/hyperlink" Id="rId281" Target="https://gam.prontonlp.com/#/ref/$SENTID_T000002514904-63" TargetMode="External" /><Relationship Type="http://schemas.openxmlformats.org/officeDocument/2006/relationships/hyperlink" Id="rId90" Target="https://gam.prontonlp.com/#/ref/$SENTID_T000002563967-103" TargetMode="External" /><Relationship Type="http://schemas.openxmlformats.org/officeDocument/2006/relationships/hyperlink" Id="rId89" Target="https://gam.prontonlp.com/#/ref/$SENTID_T000002563967-92" TargetMode="External" /><Relationship Type="http://schemas.openxmlformats.org/officeDocument/2006/relationships/hyperlink" Id="rId91" Target="https://gam.prontonlp.com/#/ref/$SENTID_T000002626640-46" TargetMode="External" /><Relationship Type="http://schemas.openxmlformats.org/officeDocument/2006/relationships/hyperlink" Id="rId92" Target="https://gam.prontonlp.com/#/ref/$SENTID_T000002682334-156" TargetMode="External" /><Relationship Type="http://schemas.openxmlformats.org/officeDocument/2006/relationships/hyperlink" Id="rId93" Target="https://gam.prontonlp.com/#/ref/$SENTID_T000002682334-80" TargetMode="External" /><Relationship Type="http://schemas.openxmlformats.org/officeDocument/2006/relationships/hyperlink" Id="rId408" Target="https://gam.prontonlp.com/#/ref/$SENTID_T000002800142-72" TargetMode="External" /><Relationship Type="http://schemas.openxmlformats.org/officeDocument/2006/relationships/hyperlink" Id="rId94" Target="https://gam.prontonlp.com/#/ref/$SENTID_T000003041770-30" TargetMode="External" /><Relationship Type="http://schemas.openxmlformats.org/officeDocument/2006/relationships/hyperlink" Id="rId123" Target="https://gam.prontonlp.com/#/ref/$SENTID_T000003215027-248" TargetMode="External" /><Relationship Type="http://schemas.openxmlformats.org/officeDocument/2006/relationships/hyperlink" Id="rId170" Target="https://gam.prontonlp.com/#/ref/$SENTID_T000003215027-261" TargetMode="External" /><Relationship Type="http://schemas.openxmlformats.org/officeDocument/2006/relationships/hyperlink" Id="rId97" Target="https://gam.prontonlp.com/#/ref/$SENTID_T000003215027-36" TargetMode="External" /><Relationship Type="http://schemas.openxmlformats.org/officeDocument/2006/relationships/hyperlink" Id="rId140" Target="https://gam.prontonlp.com/#/ref/$SENTID_T000003307391-98" TargetMode="External" /><Relationship Type="http://schemas.openxmlformats.org/officeDocument/2006/relationships/hyperlink" Id="rId67" Target="https://gam.prontonlp.com/#/ref/$SENTID_T000003370588-16" TargetMode="External" /><Relationship Type="http://schemas.openxmlformats.org/officeDocument/2006/relationships/hyperlink" Id="rId99" Target="https://gam.prontonlp.com/#/ref/$SENTID_T000003441812-23" TargetMode="External" /><Relationship Type="http://schemas.openxmlformats.org/officeDocument/2006/relationships/hyperlink" Id="rId347" Target="https://gam.prontonlp.com/#/ref/$SENTID_T000003578475-120" TargetMode="External" /><Relationship Type="http://schemas.openxmlformats.org/officeDocument/2006/relationships/hyperlink" Id="rId33" Target="https://gam.prontonlp.com/#/ref/$SENTID_T000003578475-122" TargetMode="External" /><Relationship Type="http://schemas.openxmlformats.org/officeDocument/2006/relationships/hyperlink" Id="rId290" Target="https://gam.prontonlp.com/#/ref/$SENTID_T000003578475-126" TargetMode="External" /><Relationship Type="http://schemas.openxmlformats.org/officeDocument/2006/relationships/hyperlink" Id="rId125" Target="https://gam.prontonlp.com/#/ref/$SENTID_T000003578475-148" TargetMode="External" /><Relationship Type="http://schemas.openxmlformats.org/officeDocument/2006/relationships/hyperlink" Id="rId289" Target="https://gam.prontonlp.com/#/ref/$SENTID_T000003578475-22" TargetMode="External" /><Relationship Type="http://schemas.openxmlformats.org/officeDocument/2006/relationships/hyperlink" Id="rId291" Target="https://gam.prontonlp.com/#/ref/$SENTID_T000003578475-271" TargetMode="External" /><Relationship Type="http://schemas.openxmlformats.org/officeDocument/2006/relationships/hyperlink" Id="rId239" Target="https://gam.prontonlp.com/#/ref/$SENTID_T000003578475-72" TargetMode="External" /><Relationship Type="http://schemas.openxmlformats.org/officeDocument/2006/relationships/hyperlink" Id="rId243" Target="https://gam.prontonlp.com/#/ref/$SENTID_T000003578475-81" TargetMode="External" /><Relationship Type="http://schemas.openxmlformats.org/officeDocument/2006/relationships/hyperlink" Id="rId31" Target="https://gam.prontonlp.com/#/ref/$SENTID_T000003578475-86" TargetMode="External" /><Relationship Type="http://schemas.openxmlformats.org/officeDocument/2006/relationships/hyperlink" Id="rId249" Target="https://gam.prontonlp.com/#/ref/$SENTID_T000003578475-92" TargetMode="External" /><Relationship Type="http://schemas.openxmlformats.org/officeDocument/2006/relationships/hyperlink" Id="rId136" Target="https://gam.prontonlp.com/#/ref/$SENTID_T000003578475-94" TargetMode="External" /><Relationship Type="http://schemas.openxmlformats.org/officeDocument/2006/relationships/hyperlink" Id="rId101" Target="https://gam.prontonlp.com/#/ref/$SENTID_T000003578475-97" TargetMode="External" /><Relationship Type="http://schemas.openxmlformats.org/officeDocument/2006/relationships/hyperlink" Id="rId102" Target="https://gam.prontonlp.com/#/ref/$SENTID_T000003578475-98" TargetMode="External" /><Relationship Type="http://schemas.openxmlformats.org/officeDocument/2006/relationships/hyperlink" Id="rId175" Target="https://gam.prontonlp.com/#/ref/$SENTID_T000003585246-78" TargetMode="External" /><Relationship Type="http://schemas.openxmlformats.org/officeDocument/2006/relationships/hyperlink" Id="rId176" Target="https://gam.prontonlp.com/#/ref/$SENTID_T000003646016-298" TargetMode="External" /><Relationship Type="http://schemas.openxmlformats.org/officeDocument/2006/relationships/hyperlink" Id="rId454" Target="https://gam.prontonlp.com/#/ref/$SENTID_T000003665452-118" TargetMode="External" /><Relationship Type="http://schemas.openxmlformats.org/officeDocument/2006/relationships/hyperlink" Id="rId407" Target="https://gam.prontonlp.com/#/ref/$SENTID_T000003665452-121" TargetMode="External" /><Relationship Type="http://schemas.openxmlformats.org/officeDocument/2006/relationships/hyperlink" Id="rId240" Target="https://gam.prontonlp.com/#/ref/$SENTID_T000003665452-131" TargetMode="External" /><Relationship Type="http://schemas.openxmlformats.org/officeDocument/2006/relationships/hyperlink" Id="rId284" Target="https://gam.prontonlp.com/#/ref/$SENTID_T000003665452-139" TargetMode="External" /><Relationship Type="http://schemas.openxmlformats.org/officeDocument/2006/relationships/hyperlink" Id="rId285" Target="https://gam.prontonlp.com/#/ref/$SENTID_T000003665452-140" TargetMode="External" /><Relationship Type="http://schemas.openxmlformats.org/officeDocument/2006/relationships/hyperlink" Id="rId69" Target="https://gam.prontonlp.com/#/ref/$SENTID_T000003665452-145" TargetMode="External" /><Relationship Type="http://schemas.openxmlformats.org/officeDocument/2006/relationships/hyperlink" Id="rId244" Target="https://gam.prontonlp.com/#/ref/$SENTID_T000003665452-147" TargetMode="External" /><Relationship Type="http://schemas.openxmlformats.org/officeDocument/2006/relationships/hyperlink" Id="rId247" Target="https://gam.prontonlp.com/#/ref/$SENTID_T000003665452-151" TargetMode="External" /><Relationship Type="http://schemas.openxmlformats.org/officeDocument/2006/relationships/hyperlink" Id="rId250" Target="https://gam.prontonlp.com/#/ref/$SENTID_T000003665452-155" TargetMode="External" /><Relationship Type="http://schemas.openxmlformats.org/officeDocument/2006/relationships/hyperlink" Id="rId253" Target="https://gam.prontonlp.com/#/ref/$SENTID_T000003665452-161" TargetMode="External" /><Relationship Type="http://schemas.openxmlformats.org/officeDocument/2006/relationships/hyperlink" Id="rId256" Target="https://gam.prontonlp.com/#/ref/$SENTID_T000003665452-183" TargetMode="External" /><Relationship Type="http://schemas.openxmlformats.org/officeDocument/2006/relationships/hyperlink" Id="rId489" Target="https://gam.prontonlp.com/#/ref/$SENTID_T000003665452-188" TargetMode="External" /><Relationship Type="http://schemas.openxmlformats.org/officeDocument/2006/relationships/hyperlink" Id="rId299" Target="https://gam.prontonlp.com/#/ref/$SENTID_T000003665452-197" TargetMode="External" /><Relationship Type="http://schemas.openxmlformats.org/officeDocument/2006/relationships/hyperlink" Id="rId296" Target="https://gam.prontonlp.com/#/ref/$SENTID_T000003665452-199" TargetMode="External" /><Relationship Type="http://schemas.openxmlformats.org/officeDocument/2006/relationships/hyperlink" Id="rId297" Target="https://gam.prontonlp.com/#/ref/$SENTID_T000003665452-200" TargetMode="External" /><Relationship Type="http://schemas.openxmlformats.org/officeDocument/2006/relationships/hyperlink" Id="rId298" Target="https://gam.prontonlp.com/#/ref/$SENTID_T000003665452-202" TargetMode="External" /><Relationship Type="http://schemas.openxmlformats.org/officeDocument/2006/relationships/hyperlink" Id="rId293" Target="https://gam.prontonlp.com/#/ref/$SENTID_T000003665452-26" TargetMode="External" /><Relationship Type="http://schemas.openxmlformats.org/officeDocument/2006/relationships/hyperlink" Id="rId294" Target="https://gam.prontonlp.com/#/ref/$SENTID_T000003665452-35" TargetMode="External" /><Relationship Type="http://schemas.openxmlformats.org/officeDocument/2006/relationships/hyperlink" Id="rId193" Target="https://gam.prontonlp.com/#/ref/$SENTID_T000003665452-36" TargetMode="External" /><Relationship Type="http://schemas.openxmlformats.org/officeDocument/2006/relationships/hyperlink" Id="rId295" Target="https://gam.prontonlp.com/#/ref/$SENTID_T000003665452-53" TargetMode="External" /><Relationship Type="http://schemas.openxmlformats.org/officeDocument/2006/relationships/hyperlink" Id="rId131" Target="https://gam.prontonlp.com/#/ref/$SENTID_T000003665452-94" TargetMode="External" /><Relationship Type="http://schemas.openxmlformats.org/officeDocument/2006/relationships/hyperlink" Id="rId264" Target="https://gam.prontonlp.com/#/ref/$SENTID_T000003665452-98" TargetMode="External" /><Relationship Type="http://schemas.openxmlformats.org/officeDocument/2006/relationships/hyperlink" Id="rId245" Target="https://gam.prontonlp.com/#/ref/$SENTID_T000003711263-100" TargetMode="External" /><Relationship Type="http://schemas.openxmlformats.org/officeDocument/2006/relationships/hyperlink" Id="rId270" Target="https://gam.prontonlp.com/#/ref/$SENTID_T000003711263-102" TargetMode="External" /><Relationship Type="http://schemas.openxmlformats.org/officeDocument/2006/relationships/hyperlink" Id="rId248" Target="https://gam.prontonlp.com/#/ref/$SENTID_T000003711263-106" TargetMode="External" /><Relationship Type="http://schemas.openxmlformats.org/officeDocument/2006/relationships/hyperlink" Id="rId251" Target="https://gam.prontonlp.com/#/ref/$SENTID_T000003711263-111" TargetMode="External" /><Relationship Type="http://schemas.openxmlformats.org/officeDocument/2006/relationships/hyperlink" Id="rId254" Target="https://gam.prontonlp.com/#/ref/$SENTID_T000003711263-115" TargetMode="External" /><Relationship Type="http://schemas.openxmlformats.org/officeDocument/2006/relationships/hyperlink" Id="rId106" Target="https://gam.prontonlp.com/#/ref/$SENTID_T000003711263-132" TargetMode="External" /><Relationship Type="http://schemas.openxmlformats.org/officeDocument/2006/relationships/hyperlink" Id="rId257" Target="https://gam.prontonlp.com/#/ref/$SENTID_T000003711263-134" TargetMode="External" /><Relationship Type="http://schemas.openxmlformats.org/officeDocument/2006/relationships/hyperlink" Id="rId500" Target="https://gam.prontonlp.com/#/ref/$SENTID_T000003711263-140" TargetMode="External" /><Relationship Type="http://schemas.openxmlformats.org/officeDocument/2006/relationships/hyperlink" Id="rId107" Target="https://gam.prontonlp.com/#/ref/$SENTID_T000003711263-145" TargetMode="External" /><Relationship Type="http://schemas.openxmlformats.org/officeDocument/2006/relationships/hyperlink" Id="rId302" Target="https://gam.prontonlp.com/#/ref/$SENTID_T000003711263-147" TargetMode="External" /><Relationship Type="http://schemas.openxmlformats.org/officeDocument/2006/relationships/hyperlink" Id="rId117" Target="https://gam.prontonlp.com/#/ref/$SENTID_T000003711263-166" TargetMode="External" /><Relationship Type="http://schemas.openxmlformats.org/officeDocument/2006/relationships/hyperlink" Id="rId301" Target="https://gam.prontonlp.com/#/ref/$SENTID_T000003711263-186" TargetMode="External" /><Relationship Type="http://schemas.openxmlformats.org/officeDocument/2006/relationships/hyperlink" Id="rId411" Target="https://gam.prontonlp.com/#/ref/$SENTID_T000003711263-239" TargetMode="External" /><Relationship Type="http://schemas.openxmlformats.org/officeDocument/2006/relationships/hyperlink" Id="rId505" Target="https://gam.prontonlp.com/#/ref/$SENTID_T000003711263-28" TargetMode="External" /><Relationship Type="http://schemas.openxmlformats.org/officeDocument/2006/relationships/hyperlink" Id="rId158" Target="https://gam.prontonlp.com/#/ref/$SENTID_T000003711263-302" TargetMode="External" /><Relationship Type="http://schemas.openxmlformats.org/officeDocument/2006/relationships/hyperlink" Id="rId114" Target="https://gam.prontonlp.com/#/ref/$SENTID_T000003711263-31" TargetMode="External" /><Relationship Type="http://schemas.openxmlformats.org/officeDocument/2006/relationships/hyperlink" Id="rId162" Target="https://gam.prontonlp.com/#/ref/$SENTID_T000003711263-344" TargetMode="External" /><Relationship Type="http://schemas.openxmlformats.org/officeDocument/2006/relationships/hyperlink" Id="rId149" Target="https://gam.prontonlp.com/#/ref/$SENTID_T000003711263-355" TargetMode="External" /><Relationship Type="http://schemas.openxmlformats.org/officeDocument/2006/relationships/hyperlink" Id="rId169" Target="https://gam.prontonlp.com/#/ref/$SENTID_T000003711263-356" TargetMode="External" /><Relationship Type="http://schemas.openxmlformats.org/officeDocument/2006/relationships/hyperlink" Id="rId171" Target="https://gam.prontonlp.com/#/ref/$SENTID_T000003711263-36" TargetMode="External" /><Relationship Type="http://schemas.openxmlformats.org/officeDocument/2006/relationships/hyperlink" Id="rId241" Target="https://gam.prontonlp.com/#/ref/$SENTID_T000003711263-90" TargetMode="External" /><Relationship Type="http://schemas.openxmlformats.org/officeDocument/2006/relationships/hyperlink" Id="rId278" Target="https://gam.prontonlp.com/#/ref/$SENTID_T000003711263-92" TargetMode="External" /><Relationship Type="http://schemas.openxmlformats.org/officeDocument/2006/relationships/hyperlink" Id="rId279" Target="https://gam.prontonlp.com/#/ref/$SENTID_T000003711263-93" TargetMode="External" /><Relationship Type="http://schemas.openxmlformats.org/officeDocument/2006/relationships/hyperlink" Id="rId506" Target="https://gam.prontonlp.com/#/ref/$SENTID_T000003779883-116" TargetMode="External" /><Relationship Type="http://schemas.openxmlformats.org/officeDocument/2006/relationships/hyperlink" Id="rId133" Target="https://gam.prontonlp.com/#/ref/$SENTID_T000003779883-129" TargetMode="External" /><Relationship Type="http://schemas.openxmlformats.org/officeDocument/2006/relationships/hyperlink" Id="rId39" Target="https://gam.prontonlp.com/#/ref/$SENTID_T000003779883-150" TargetMode="External" /><Relationship Type="http://schemas.openxmlformats.org/officeDocument/2006/relationships/hyperlink" Id="rId242" Target="https://gam.prontonlp.com/#/ref/$SENTID_T000003779883-158" TargetMode="External" /><Relationship Type="http://schemas.openxmlformats.org/officeDocument/2006/relationships/hyperlink" Id="rId331" Target="https://gam.prontonlp.com/#/ref/$SENTID_T000003779883-159" TargetMode="External" /><Relationship Type="http://schemas.openxmlformats.org/officeDocument/2006/relationships/hyperlink" Id="rId120" Target="https://gam.prontonlp.com/#/ref/$SENTID_T000003779883-160" TargetMode="External" /><Relationship Type="http://schemas.openxmlformats.org/officeDocument/2006/relationships/hyperlink" Id="rId246" Target="https://gam.prontonlp.com/#/ref/$SENTID_T000003779883-165" TargetMode="External" /><Relationship Type="http://schemas.openxmlformats.org/officeDocument/2006/relationships/hyperlink" Id="rId124" Target="https://gam.prontonlp.com/#/ref/$SENTID_T000003779883-167" TargetMode="External" /><Relationship Type="http://schemas.openxmlformats.org/officeDocument/2006/relationships/hyperlink" Id="rId32" Target="https://gam.prontonlp.com/#/ref/$SENTID_T000003779883-169" TargetMode="External" /><Relationship Type="http://schemas.openxmlformats.org/officeDocument/2006/relationships/hyperlink" Id="rId272" Target="https://gam.prontonlp.com/#/ref/$SENTID_T000003779883-170" TargetMode="External" /><Relationship Type="http://schemas.openxmlformats.org/officeDocument/2006/relationships/hyperlink" Id="rId252" Target="https://gam.prontonlp.com/#/ref/$SENTID_T000003779883-175" TargetMode="External" /><Relationship Type="http://schemas.openxmlformats.org/officeDocument/2006/relationships/hyperlink" Id="rId332" Target="https://gam.prontonlp.com/#/ref/$SENTID_T000003779883-176" TargetMode="External" /><Relationship Type="http://schemas.openxmlformats.org/officeDocument/2006/relationships/hyperlink" Id="rId255" Target="https://gam.prontonlp.com/#/ref/$SENTID_T000003779883-179" TargetMode="External" /><Relationship Type="http://schemas.openxmlformats.org/officeDocument/2006/relationships/hyperlink" Id="rId41" Target="https://gam.prontonlp.com/#/ref/$SENTID_T000003779883-180" TargetMode="External" /><Relationship Type="http://schemas.openxmlformats.org/officeDocument/2006/relationships/hyperlink" Id="rId333" Target="https://gam.prontonlp.com/#/ref/$SENTID_T000003779883-183" TargetMode="External" /><Relationship Type="http://schemas.openxmlformats.org/officeDocument/2006/relationships/hyperlink" Id="rId334" Target="https://gam.prontonlp.com/#/ref/$SENTID_T000003779883-187" TargetMode="External" /><Relationship Type="http://schemas.openxmlformats.org/officeDocument/2006/relationships/hyperlink" Id="rId329" Target="https://gam.prontonlp.com/#/ref/$SENTID_T000003779883-199" TargetMode="External" /><Relationship Type="http://schemas.openxmlformats.org/officeDocument/2006/relationships/hyperlink" Id="rId330" Target="https://gam.prontonlp.com/#/ref/$SENTID_T000003779883-200" TargetMode="External" /><Relationship Type="http://schemas.openxmlformats.org/officeDocument/2006/relationships/hyperlink" Id="rId34" Target="https://gam.prontonlp.com/#/ref/$SENTID_T000003779883-201" TargetMode="External" /><Relationship Type="http://schemas.openxmlformats.org/officeDocument/2006/relationships/hyperlink" Id="rId467" Target="https://gam.prontonlp.com/#/ref/$SENTID_T000003779883-204" TargetMode="External" /><Relationship Type="http://schemas.openxmlformats.org/officeDocument/2006/relationships/hyperlink" Id="rId343" Target="https://gam.prontonlp.com/#/ref/$SENTID_T000003779883-206" TargetMode="External" /><Relationship Type="http://schemas.openxmlformats.org/officeDocument/2006/relationships/hyperlink" Id="rId335" Target="https://gam.prontonlp.com/#/ref/$SENTID_T000003779883-213" TargetMode="External" /><Relationship Type="http://schemas.openxmlformats.org/officeDocument/2006/relationships/hyperlink" Id="rId38" Target="https://gam.prontonlp.com/#/ref/$SENTID_T000003779883-220" TargetMode="External" /><Relationship Type="http://schemas.openxmlformats.org/officeDocument/2006/relationships/hyperlink" Id="rId45" Target="https://gam.prontonlp.com/#/ref/$SENTID_T000003779883-221" TargetMode="External" /><Relationship Type="http://schemas.openxmlformats.org/officeDocument/2006/relationships/hyperlink" Id="rId49" Target="https://gam.prontonlp.com/#/ref/$SENTID_T000003779883-223" TargetMode="External" /><Relationship Type="http://schemas.openxmlformats.org/officeDocument/2006/relationships/hyperlink" Id="rId167" Target="https://gam.prontonlp.com/#/ref/$SENTID_T000003779883-224" TargetMode="External" /><Relationship Type="http://schemas.openxmlformats.org/officeDocument/2006/relationships/hyperlink" Id="rId336" Target="https://gam.prontonlp.com/#/ref/$SENTID_T000003779883-247" TargetMode="External" /><Relationship Type="http://schemas.openxmlformats.org/officeDocument/2006/relationships/hyperlink" Id="rId304" Target="https://gam.prontonlp.com/#/ref/$SENTID_T000003779883-252" TargetMode="External" /><Relationship Type="http://schemas.openxmlformats.org/officeDocument/2006/relationships/hyperlink" Id="rId468" Target="https://gam.prontonlp.com/#/ref/$SENTID_T000003779883-261" TargetMode="External" /><Relationship Type="http://schemas.openxmlformats.org/officeDocument/2006/relationships/hyperlink" Id="rId466" Target="https://gam.prontonlp.com/#/ref/$SENTID_T000003779883-267" TargetMode="External" /><Relationship Type="http://schemas.openxmlformats.org/officeDocument/2006/relationships/hyperlink" Id="rId29" Target="https://gam.prontonlp.com/#/ref/$SENTID_T000003779883-268" TargetMode="External" /><Relationship Type="http://schemas.openxmlformats.org/officeDocument/2006/relationships/hyperlink" Id="rId28" Target="https://gam.prontonlp.com/#/ref/$SENTID_T000003779883-271" TargetMode="External" /><Relationship Type="http://schemas.openxmlformats.org/officeDocument/2006/relationships/hyperlink" Id="rId122" Target="https://gam.prontonlp.com/#/ref/$SENTID_T000003779883-329" TargetMode="External" /><Relationship Type="http://schemas.openxmlformats.org/officeDocument/2006/relationships/hyperlink" Id="rId27" Target="https://gam.prontonlp.com/#/ref/$SENTID_T000003779883-39" TargetMode="External" /><Relationship Type="http://schemas.openxmlformats.org/officeDocument/2006/relationships/hyperlink" Id="rId165" Target="https://gam.prontonlp.com/#/ref/$SENTID_T000003779883-390" TargetMode="External" /><Relationship Type="http://schemas.openxmlformats.org/officeDocument/2006/relationships/hyperlink" Id="rId172" Target="https://gam.prontonlp.com/#/ref/$SENTID_T000003779883-420" TargetMode="External" /><Relationship Type="http://schemas.openxmlformats.org/officeDocument/2006/relationships/hyperlink" Id="rId424" Target="https://gam.prontonlp.com/#/ref/$SENTID_T000003779883-424" TargetMode="External" /><Relationship Type="http://schemas.openxmlformats.org/officeDocument/2006/relationships/hyperlink" Id="rId30" Target="https://gam.prontonlp.com/#/ref/$SENTID_T000003779883-43" TargetMode="External" /><Relationship Type="http://schemas.openxmlformats.org/officeDocument/2006/relationships/hyperlink" Id="rId337" Target="https://gam.prontonlp.com/#/ref/$SENTID_T000003779883-432" TargetMode="External" /><Relationship Type="http://schemas.openxmlformats.org/officeDocument/2006/relationships/hyperlink" Id="rId163" Target="https://gam.prontonlp.com/#/ref/$SENTID_T000003779883-478" TargetMode="External" /><Relationship Type="http://schemas.openxmlformats.org/officeDocument/2006/relationships/hyperlink" Id="rId116" Target="https://gam.prontonlp.com/#/ref/$SENTID_T000003779883-54" TargetMode="External" /><Relationship Type="http://schemas.openxmlformats.org/officeDocument/2006/relationships/hyperlink" Id="rId173" Target="https://gam.prontonlp.com/#/ref/$SENTID_T000003779883-55" TargetMode="External" /><Relationship Type="http://schemas.openxmlformats.org/officeDocument/2006/relationships/hyperlink" Id="rId118" Target="https://gam.prontonlp.com/#/ref/$SENTID_T000003779883-58" TargetMode="External" /><Relationship Type="http://schemas.openxmlformats.org/officeDocument/2006/relationships/hyperlink" Id="rId115" Target="https://gam.prontonlp.com/#/ref/$SENTID_T000003779883-69" TargetMode="External" /><Relationship Type="http://schemas.openxmlformats.org/officeDocument/2006/relationships/hyperlink" Id="rId150" Target="https://gam.prontonlp.com/#/ref/$SENTID_T000003779883-80" TargetMode="External" /><Relationship Type="http://schemas.openxmlformats.org/officeDocument/2006/relationships/hyperlink" Id="rId164" Target="https://gam.prontonlp.com/#/ref/$SENTID_T000003779883-90" TargetMode="External" /><Relationship Type="http://schemas.openxmlformats.org/officeDocument/2006/relationships/hyperlink" Id="rId450" Target="https://gam.prontonlp.com/#/ref/$SENTID_T000003779883-99" TargetMode="External" /><Relationship Type="http://schemas.openxmlformats.org/officeDocument/2006/relationships/hyperlink" Id="rId387" Target="https://www.capitaliq.spglobal.com/apisv3/spg-webplatform-core/docviewer?mid=200874269&amp;uctSearch=2316.680000" TargetMode="External" /><Relationship Type="http://schemas.openxmlformats.org/officeDocument/2006/relationships/hyperlink" Id="rId213" Target="https://www.capitaliq.spglobal.com/apisv3/spg-webplatform-core/docviewer?mid=218853463&amp;uctSearch=-1198.000000" TargetMode="External" /><Relationship Type="http://schemas.openxmlformats.org/officeDocument/2006/relationships/hyperlink" Id="rId215" Target="https://www.capitaliq.spglobal.com/apisv3/spg-webplatform-core/docviewer?mid=218853463&amp;uctSearch=-1543.000000" TargetMode="External" /><Relationship Type="http://schemas.openxmlformats.org/officeDocument/2006/relationships/hyperlink" Id="rId206" Target="https://www.capitaliq.spglobal.com/apisv3/spg-webplatform-core/docviewer?mid=218853463&amp;uctSearch=-997.000000" TargetMode="External" /><Relationship Type="http://schemas.openxmlformats.org/officeDocument/2006/relationships/hyperlink" Id="rId196" Target="https://www.capitaliq.spglobal.com/apisv3/spg-webplatform-core/docviewer?mid=218853463&amp;uctSearch=18406.000000" TargetMode="External" /><Relationship Type="http://schemas.openxmlformats.org/officeDocument/2006/relationships/hyperlink" Id="rId201" Target="https://www.capitaliq.spglobal.com/apisv3/spg-webplatform-core/docviewer?mid=218853463&amp;uctSearch=3109.000000" TargetMode="External" /><Relationship Type="http://schemas.openxmlformats.org/officeDocument/2006/relationships/hyperlink" Id="rId214" Target="https://www.capitaliq.spglobal.com/apisv3/spg-webplatform-core/docviewer?mid=237408246&amp;uctSearch=-112.000000" TargetMode="External" /><Relationship Type="http://schemas.openxmlformats.org/officeDocument/2006/relationships/hyperlink" Id="rId216" Target="https://www.capitaliq.spglobal.com/apisv3/spg-webplatform-core/docviewer?mid=237408246&amp;uctSearch=-92.000000" TargetMode="External" /><Relationship Type="http://schemas.openxmlformats.org/officeDocument/2006/relationships/hyperlink" Id="rId207" Target="https://www.capitaliq.spglobal.com/apisv3/spg-webplatform-core/docviewer?mid=237408246&amp;uctSearch=119.000000" TargetMode="External" /><Relationship Type="http://schemas.openxmlformats.org/officeDocument/2006/relationships/hyperlink" Id="rId197" Target="https://www.capitaliq.spglobal.com/apisv3/spg-webplatform-core/docviewer?mid=237408246&amp;uctSearch=20583.000000" TargetMode="External" /><Relationship Type="http://schemas.openxmlformats.org/officeDocument/2006/relationships/hyperlink" Id="rId202" Target="https://www.capitaliq.spglobal.com/apisv3/spg-webplatform-core/docviewer?mid=237408246&amp;uctSearch=4710.000000" TargetMode="External" /><Relationship Type="http://schemas.openxmlformats.org/officeDocument/2006/relationships/hyperlink" Id="rId383" Target="https://www.capitaliq.spglobal.com/apisv3/spg-webplatform-core/docviewer?mid=238578856&amp;uctSearch=3564.000000" TargetMode="External" /><Relationship Type="http://schemas.openxmlformats.org/officeDocument/2006/relationships/hyperlink" Id="rId64" Target="https://www.capitaliq.spglobal.com/apisv3/spg-webplatform-core/docviewer?mid=255973354" TargetMode="External" /><Relationship Type="http://schemas.openxmlformats.org/officeDocument/2006/relationships/hyperlink" Id="rId361" Target="https://www.capitaliq.spglobal.com/apisv3/spg-webplatform-core/docviewer?mid=255973354&amp;uctSearch=-140.000000" TargetMode="External" /><Relationship Type="http://schemas.openxmlformats.org/officeDocument/2006/relationships/hyperlink" Id="rId459" Target="https://www.capitaliq.spglobal.com/apisv3/spg-webplatform-core/docviewer?mid=255973354&amp;uctSearch=-178.000000" TargetMode="External" /><Relationship Type="http://schemas.openxmlformats.org/officeDocument/2006/relationships/hyperlink" Id="rId460" Target="https://www.capitaliq.spglobal.com/apisv3/spg-webplatform-core/docviewer?mid=255973354&amp;uctSearch=-243.000000" TargetMode="External" /><Relationship Type="http://schemas.openxmlformats.org/officeDocument/2006/relationships/hyperlink" Id="rId360" Target="https://www.capitaliq.spglobal.com/apisv3/spg-webplatform-core/docviewer?mid=255973354&amp;uctSearch=-86.000000" TargetMode="External" /><Relationship Type="http://schemas.openxmlformats.org/officeDocument/2006/relationships/hyperlink" Id="rId205" Target="https://www.capitaliq.spglobal.com/apisv3/spg-webplatform-core/docviewer?mid=255973354&amp;uctSearch=10141.000000" TargetMode="External" /><Relationship Type="http://schemas.openxmlformats.org/officeDocument/2006/relationships/hyperlink" Id="rId210" Target="https://www.capitaliq.spglobal.com/apisv3/spg-webplatform-core/docviewer?mid=255973354&amp;uctSearch=1015.000000" TargetMode="External" /><Relationship Type="http://schemas.openxmlformats.org/officeDocument/2006/relationships/hyperlink" Id="rId61" Target="https://www.capitaliq.spglobal.com/apisv3/spg-webplatform-core/docviewer?mid=255973354&amp;uctSearch=1360.000000" TargetMode="External" /><Relationship Type="http://schemas.openxmlformats.org/officeDocument/2006/relationships/hyperlink" Id="rId62" Target="https://www.capitaliq.spglobal.com/apisv3/spg-webplatform-core/docviewer?mid=255973354&amp;uctSearch=154.000000" TargetMode="External" /><Relationship Type="http://schemas.openxmlformats.org/officeDocument/2006/relationships/hyperlink" Id="rId488" Target="https://www.capitaliq.spglobal.com/apisv3/spg-webplatform-core/docviewer?mid=255973354&amp;uctSearch=1773.000000" TargetMode="External" /><Relationship Type="http://schemas.openxmlformats.org/officeDocument/2006/relationships/hyperlink" Id="rId63" Target="https://www.capitaliq.spglobal.com/apisv3/spg-webplatform-core/docviewer?mid=255973354&amp;uctSearch=208.000000" TargetMode="External" /><Relationship Type="http://schemas.openxmlformats.org/officeDocument/2006/relationships/hyperlink" Id="rId52" Target="https://www.capitaliq.spglobal.com/apisv3/spg-webplatform-core/docviewer?mid=255973354&amp;uctSearch=24383.000000" TargetMode="External" /><Relationship Type="http://schemas.openxmlformats.org/officeDocument/2006/relationships/hyperlink" Id="rId53" Target="https://www.capitaliq.spglobal.com/apisv3/spg-webplatform-core/docviewer?mid=255973354&amp;uctSearch=30268.000000" TargetMode="External" /><Relationship Type="http://schemas.openxmlformats.org/officeDocument/2006/relationships/hyperlink" Id="rId54" Target="https://www.capitaliq.spglobal.com/apisv3/spg-webplatform-core/docviewer?mid=255973354&amp;uctSearch=34534.000000" TargetMode="External" /><Relationship Type="http://schemas.openxmlformats.org/officeDocument/2006/relationships/hyperlink" Id="rId59" Target="https://www.capitaliq.spglobal.com/apisv3/spg-webplatform-core/docviewer?mid=255973354&amp;uctSearch=388.000000" TargetMode="External" /><Relationship Type="http://schemas.openxmlformats.org/officeDocument/2006/relationships/hyperlink" Id="rId58" Target="https://www.capitaliq.spglobal.com/apisv3/spg-webplatform-core/docviewer?mid=255973354&amp;uctSearch=473.000000" TargetMode="External" /><Relationship Type="http://schemas.openxmlformats.org/officeDocument/2006/relationships/hyperlink" Id="rId60" Target="https://www.capitaliq.spglobal.com/apisv3/spg-webplatform-core/docviewer?mid=255973354&amp;uctSearch=498.000000" TargetMode="External" /><Relationship Type="http://schemas.openxmlformats.org/officeDocument/2006/relationships/hyperlink" Id="rId203" Target="https://www.capitaliq.spglobal.com/apisv3/spg-webplatform-core/docviewer?mid=255973354&amp;uctSearch=6190.000000" TargetMode="External" /><Relationship Type="http://schemas.openxmlformats.org/officeDocument/2006/relationships/hyperlink" Id="rId208" Target="https://www.capitaliq.spglobal.com/apisv3/spg-webplatform-core/docviewer?mid=255973354&amp;uctSearch=748.000000" TargetMode="External" /><Relationship Type="http://schemas.openxmlformats.org/officeDocument/2006/relationships/hyperlink" Id="rId209" Target="https://www.capitaliq.spglobal.com/apisv3/spg-webplatform-core/docviewer?mid=255973354&amp;uctSearch=821.000000" TargetMode="External" /><Relationship Type="http://schemas.openxmlformats.org/officeDocument/2006/relationships/hyperlink" Id="rId204" Target="https://www.capitaliq.spglobal.com/apisv3/spg-webplatform-core/docviewer?mid=255973354&amp;uctSearch=8715.000000" TargetMode="External" /><Relationship Type="http://schemas.openxmlformats.org/officeDocument/2006/relationships/hyperlink" Id="rId35" Target="https://www.capitaliq.spglobal.com/apisv3/spg-webplatform-core/docviewer?mid=259645823&amp;uctSearch=-242.000000" TargetMode="External" /><Relationship Type="http://schemas.openxmlformats.org/officeDocument/2006/relationships/hyperlink" Id="rId462" Target="https://www.capitaliq.spglobal.com/apisv3/spg-webplatform-core/docviewer?mid=259645823&amp;uctSearch=-391.000000" TargetMode="External" /><Relationship Type="http://schemas.openxmlformats.org/officeDocument/2006/relationships/hyperlink" Id="rId258" Target="https://www.capitaliq.spglobal.com/apisv3/spg-webplatform-core/docviewer?mid=259645823&amp;uctSearch=162.000000" TargetMode="External" /><Relationship Type="http://schemas.openxmlformats.org/officeDocument/2006/relationships/hyperlink" Id="rId338" Target="https://www.capitaliq.spglobal.com/apisv3/spg-webplatform-core/docviewer?mid=259645823&amp;uctSearch=406.000000" TargetMode="External" /><Relationship Type="http://schemas.openxmlformats.org/officeDocument/2006/relationships/hyperlink" Id="rId20" Target="https://www.capitaliq.spglobal.com/apisv3/spg-webplatform-core/docviewer?mid=264559057" TargetMode="External" /><Relationship Type="http://schemas.openxmlformats.org/officeDocument/2006/relationships/hyperlink" Id="rId36" Target="https://www.capitaliq.spglobal.com/apisv3/spg-webplatform-core/docviewer?mid=264559057&amp;uctSearch=-556.000000" TargetMode="External" /><Relationship Type="http://schemas.openxmlformats.org/officeDocument/2006/relationships/hyperlink" Id="rId340" Target="https://www.capitaliq.spglobal.com/apisv3/spg-webplatform-core/docviewer?mid=264559057&amp;uctSearch=1985.000000" TargetMode="External" /><Relationship Type="http://schemas.openxmlformats.org/officeDocument/2006/relationships/hyperlink" Id="rId354" Target="https://www.capitaliq.spglobal.com/apisv3/spg-webplatform-core/docviewer?mid=264559057&amp;uctSearch=2470.000000" TargetMode="External" /><Relationship Type="http://schemas.openxmlformats.org/officeDocument/2006/relationships/hyperlink" Id="rId353" Target="https://www.capitaliq.spglobal.com/apisv3/spg-webplatform-core/docviewer?mid=264559057&amp;uctSearch=560.000000" TargetMode="External" /><Relationship Type="http://schemas.openxmlformats.org/officeDocument/2006/relationships/hyperlink" Id="rId358" Target="https://www.capitaliq.spglobal.com/apisv3/spg-webplatform-core/docviewer?mid=264559057&amp;uctSearch=6110.000000" TargetMode="External" /><Relationship Type="http://schemas.openxmlformats.org/officeDocument/2006/relationships/hyperlink" Id="rId355" Target="https://www.capitaliq.spglobal.com/apisv3/spg-webplatform-core/docviewer?mid=264559057&amp;uctSearch=618.000000" TargetMode="External" /><Relationship Type="http://schemas.openxmlformats.org/officeDocument/2006/relationships/hyperlink" Id="rId339" Target="https://www.capitaliq.spglobal.com/apisv3/spg-webplatform-core/docviewer?mid=264559057&amp;uctSearch=876.000000" TargetMode="External" /><Relationship Type="http://schemas.openxmlformats.org/officeDocument/2006/relationships/hyperlink" Id="rId328" Target="https://www.capitaliq.spglobal.com/apisv3/spg-webplatform-core/docviewer?mid=264559057&amp;uctSearch=8856.000000" TargetMode="External" /><Relationship Type="http://schemas.openxmlformats.org/officeDocument/2006/relationships/hyperlink" Id="rId378" Target="https://www.capitaliq.spglobal.com/apisv3/spg-webplatform-core/docviewer?mid=265578278" TargetMode="External" /></Relationships>
</file>

<file path=word/_rels/footnotes.xml.rels><?xml version="1.0" encoding="UTF-8"?><Relationships xmlns="http://schemas.openxmlformats.org/package/2006/relationships"><Relationship Type="http://schemas.openxmlformats.org/officeDocument/2006/relationships/hyperlink" Id="rId23" Target="https://gam.prontonlp.com/#/ref/$COMPANY_704377650" TargetMode="External" /><Relationship Type="http://schemas.openxmlformats.org/officeDocument/2006/relationships/hyperlink" Id="rId306" Target="https://gam.prontonlp.com/#/ref/$DOCID_T000003041770" TargetMode="External" /><Relationship Type="http://schemas.openxmlformats.org/officeDocument/2006/relationships/hyperlink" Id="rId307" Target="https://gam.prontonlp.com/#/ref/$DOCID_T000003113152" TargetMode="External" /><Relationship Type="http://schemas.openxmlformats.org/officeDocument/2006/relationships/hyperlink" Id="rId308" Target="https://gam.prontonlp.com/#/ref/$DOCID_T000003215027" TargetMode="External" /><Relationship Type="http://schemas.openxmlformats.org/officeDocument/2006/relationships/hyperlink" Id="rId309" Target="https://gam.prontonlp.com/#/ref/$DOCID_T000003299355" TargetMode="External" /><Relationship Type="http://schemas.openxmlformats.org/officeDocument/2006/relationships/hyperlink" Id="rId310" Target="https://gam.prontonlp.com/#/ref/$DOCID_T000003299355_$GROUPBY_PatternSentiment" TargetMode="External" /><Relationship Type="http://schemas.openxmlformats.org/officeDocument/2006/relationships/hyperlink" Id="rId311" Target="https://gam.prontonlp.com/#/ref/$DOCID_T000003384178" TargetMode="External" /><Relationship Type="http://schemas.openxmlformats.org/officeDocument/2006/relationships/hyperlink" Id="rId312" Target="https://gam.prontonlp.com/#/ref/$DOCID_T000003384178_$GROUPBY_PatternSentiment" TargetMode="External" /><Relationship Type="http://schemas.openxmlformats.org/officeDocument/2006/relationships/hyperlink" Id="rId313" Target="https://gam.prontonlp.com/#/ref/$DOCID_T000003441812" TargetMode="External" /><Relationship Type="http://schemas.openxmlformats.org/officeDocument/2006/relationships/hyperlink" Id="rId314" Target="https://gam.prontonlp.com/#/ref/$DOCID_T000003515732" TargetMode="External" /><Relationship Type="http://schemas.openxmlformats.org/officeDocument/2006/relationships/hyperlink" Id="rId288" Target="https://gam.prontonlp.com/#/ref/$DOCID_T000003578475" TargetMode="External" /><Relationship Type="http://schemas.openxmlformats.org/officeDocument/2006/relationships/hyperlink" Id="rId315" Target="https://gam.prontonlp.com/#/ref/$DOCID_T000003578475_$GROUPBY_PatternSentiment" TargetMode="External" /><Relationship Type="http://schemas.openxmlformats.org/officeDocument/2006/relationships/hyperlink" Id="rId292" Target="https://gam.prontonlp.com/#/ref/$DOCID_T000003665452" TargetMode="External" /><Relationship Type="http://schemas.openxmlformats.org/officeDocument/2006/relationships/hyperlink" Id="rId316" Target="https://gam.prontonlp.com/#/ref/$DOCID_T000003665452_$GROUPBY_PatternSentiment" TargetMode="External" /><Relationship Type="http://schemas.openxmlformats.org/officeDocument/2006/relationships/hyperlink" Id="rId300" Target="https://gam.prontonlp.com/#/ref/$DOCID_T000003711263" TargetMode="External" /><Relationship Type="http://schemas.openxmlformats.org/officeDocument/2006/relationships/hyperlink" Id="rId317" Target="https://gam.prontonlp.com/#/ref/$DOCID_T000003711263_$GROUPBY_PatternSentiment" TargetMode="External" /><Relationship Type="http://schemas.openxmlformats.org/officeDocument/2006/relationships/hyperlink" Id="rId303" Target="https://gam.prontonlp.com/#/ref/$DOCID_T000003779883" TargetMode="External" /><Relationship Type="http://schemas.openxmlformats.org/officeDocument/2006/relationships/hyperlink" Id="rId325" Target="https://gam.prontonlp.com/#/ref/$DOCID_T000003779883_$GROUPBY_Aspects_$KEY_CurrentState" TargetMode="External" /><Relationship Type="http://schemas.openxmlformats.org/officeDocument/2006/relationships/hyperlink" Id="rId324" Target="https://gam.prontonlp.com/#/ref/$DOCID_T000003779883_$GROUPBY_EventTypes_$KEY_CustomerRetention" TargetMode="External" /><Relationship Type="http://schemas.openxmlformats.org/officeDocument/2006/relationships/hyperlink" Id="rId323" Target="https://gam.prontonlp.com/#/ref/$DOCID_T000003779883_$GROUPBY_EventTypes_$KEY_FinancialChallenge" TargetMode="External" /><Relationship Type="http://schemas.openxmlformats.org/officeDocument/2006/relationships/hyperlink" Id="rId322" Target="https://gam.prontonlp.com/#/ref/$DOCID_T000003779883_$GROUPBY_EventTypes_$KEY_OperationalChallenge" TargetMode="External" /><Relationship Type="http://schemas.openxmlformats.org/officeDocument/2006/relationships/hyperlink" Id="rId318" Target="https://gam.prontonlp.com/#/ref/$DOCID_T000003779883_$GROUPBY_PatternSentiment" TargetMode="External" /><Relationship Type="http://schemas.openxmlformats.org/officeDocument/2006/relationships/hyperlink" Id="rId44" Target="https://gam.prontonlp.com/#/ref/$DOCID_upcoming-doc-704377650" TargetMode="External" /><Relationship Type="http://schemas.openxmlformats.org/officeDocument/2006/relationships/hyperlink" Id="rId391" Target="https://gam.prontonlp.com/#/ref/$SENTID_NONSEC000181144328-1308" TargetMode="External" /><Relationship Type="http://schemas.openxmlformats.org/officeDocument/2006/relationships/hyperlink" Id="rId382" Target="https://gam.prontonlp.com/#/ref/$SENTID_NONSEC000243246805-379" TargetMode="External" /><Relationship Type="http://schemas.openxmlformats.org/officeDocument/2006/relationships/hyperlink" Id="rId145" Target="https://gam.prontonlp.com/#/ref/$SENTID_NONSEC000256750115-92" TargetMode="External" /><Relationship Type="http://schemas.openxmlformats.org/officeDocument/2006/relationships/hyperlink" Id="rId148" Target="https://gam.prontonlp.com/#/ref/$SENTID_NONSEC000256804358-305" TargetMode="External" /><Relationship Type="http://schemas.openxmlformats.org/officeDocument/2006/relationships/hyperlink" Id="rId144" Target="https://gam.prontonlp.com/#/ref/$SENTID_NONSEC000256804358-308" TargetMode="External" /><Relationship Type="http://schemas.openxmlformats.org/officeDocument/2006/relationships/hyperlink" Id="rId179" Target="https://gam.prontonlp.com/#/ref/$SENTID_NONSEC000256804358-310" TargetMode="External" /><Relationship Type="http://schemas.openxmlformats.org/officeDocument/2006/relationships/hyperlink" Id="rId390" Target="https://gam.prontonlp.com/#/ref/$SENTID_NONSEC000256804358-318" TargetMode="External" /><Relationship Type="http://schemas.openxmlformats.org/officeDocument/2006/relationships/hyperlink" Id="rId142" Target="https://gam.prontonlp.com/#/ref/$SENTID_NONSEC000256804358-321" TargetMode="External" /><Relationship Type="http://schemas.openxmlformats.org/officeDocument/2006/relationships/hyperlink" Id="rId143" Target="https://gam.prontonlp.com/#/ref/$SENTID_NONSEC000256804358-326" TargetMode="External" /><Relationship Type="http://schemas.openxmlformats.org/officeDocument/2006/relationships/hyperlink" Id="rId386" Target="https://gam.prontonlp.com/#/ref/$SENTID_NONSEC000257202319-4947" TargetMode="External" /><Relationship Type="http://schemas.openxmlformats.org/officeDocument/2006/relationships/hyperlink" Id="rId374" Target="https://gam.prontonlp.com/#/ref/$SENTID_NONSEC000257375768-325" TargetMode="External" /><Relationship Type="http://schemas.openxmlformats.org/officeDocument/2006/relationships/hyperlink" Id="rId174" Target="https://gam.prontonlp.com/#/ref/$SENTID_NONSEC000264476510-93" TargetMode="External" /><Relationship Type="http://schemas.openxmlformats.org/officeDocument/2006/relationships/hyperlink" Id="rId373" Target="https://gam.prontonlp.com/#/ref/$SENTID_SEC000177519257-675" TargetMode="External" /><Relationship Type="http://schemas.openxmlformats.org/officeDocument/2006/relationships/hyperlink" Id="rId211" Target="https://gam.prontonlp.com/#/ref/$SENTID_SEC000177872792-28" TargetMode="External" /><Relationship Type="http://schemas.openxmlformats.org/officeDocument/2006/relationships/hyperlink" Id="rId223" Target="https://gam.prontonlp.com/#/ref/$SENTID_SEC000177872792-38" TargetMode="External" /><Relationship Type="http://schemas.openxmlformats.org/officeDocument/2006/relationships/hyperlink" Id="rId227" Target="https://gam.prontonlp.com/#/ref/$SENTID_SEC000177872792-43" TargetMode="External" /><Relationship Type="http://schemas.openxmlformats.org/officeDocument/2006/relationships/hyperlink" Id="rId409" Target="https://gam.prontonlp.com/#/ref/$SENTID_SEC000177952319-1160" TargetMode="External" /><Relationship Type="http://schemas.openxmlformats.org/officeDocument/2006/relationships/hyperlink" Id="rId83" Target="https://gam.prontonlp.com/#/ref/$SENTID_SEC000177952319-1284" TargetMode="External" /><Relationship Type="http://schemas.openxmlformats.org/officeDocument/2006/relationships/hyperlink" Id="rId458" Target="https://gam.prontonlp.com/#/ref/$SENTID_SEC000177952319-1453" TargetMode="External" /><Relationship Type="http://schemas.openxmlformats.org/officeDocument/2006/relationships/hyperlink" Id="rId88" Target="https://gam.prontonlp.com/#/ref/$SENTID_SEC000177952319-1671" TargetMode="External" /><Relationship Type="http://schemas.openxmlformats.org/officeDocument/2006/relationships/hyperlink" Id="rId405" Target="https://gam.prontonlp.com/#/ref/$SENTID_SEC000177952319-1710" TargetMode="External" /><Relationship Type="http://schemas.openxmlformats.org/officeDocument/2006/relationships/hyperlink" Id="rId85" Target="https://gam.prontonlp.com/#/ref/$SENTID_SEC000177952319-1724" TargetMode="External" /><Relationship Type="http://schemas.openxmlformats.org/officeDocument/2006/relationships/hyperlink" Id="rId433" Target="https://gam.prontonlp.com/#/ref/$SENTID_SEC000178637463-0" TargetMode="External" /><Relationship Type="http://schemas.openxmlformats.org/officeDocument/2006/relationships/hyperlink" Id="rId434" Target="https://gam.prontonlp.com/#/ref/$SENTID_SEC000178637463-1" TargetMode="External" /><Relationship Type="http://schemas.openxmlformats.org/officeDocument/2006/relationships/hyperlink" Id="rId435" Target="https://gam.prontonlp.com/#/ref/$SENTID_SEC000180700685-0" TargetMode="External" /><Relationship Type="http://schemas.openxmlformats.org/officeDocument/2006/relationships/hyperlink" Id="rId436" Target="https://gam.prontonlp.com/#/ref/$SENTID_SEC000180700685-1" TargetMode="External" /><Relationship Type="http://schemas.openxmlformats.org/officeDocument/2006/relationships/hyperlink" Id="rId419" Target="https://gam.prontonlp.com/#/ref/$SENTID_SEC000186080531-0" TargetMode="External" /><Relationship Type="http://schemas.openxmlformats.org/officeDocument/2006/relationships/hyperlink" Id="rId416" Target="https://gam.prontonlp.com/#/ref/$SENTID_SEC000193145117-0" TargetMode="External" /><Relationship Type="http://schemas.openxmlformats.org/officeDocument/2006/relationships/hyperlink" Id="rId417" Target="https://gam.prontonlp.com/#/ref/$SENTID_SEC000193145117-3" TargetMode="External" /><Relationship Type="http://schemas.openxmlformats.org/officeDocument/2006/relationships/hyperlink" Id="rId198" Target="https://gam.prontonlp.com/#/ref/$SENTID_SEC000200362169-24" TargetMode="External" /><Relationship Type="http://schemas.openxmlformats.org/officeDocument/2006/relationships/hyperlink" Id="rId212" Target="https://gam.prontonlp.com/#/ref/$SENTID_SEC000200362169-27" TargetMode="External" /><Relationship Type="http://schemas.openxmlformats.org/officeDocument/2006/relationships/hyperlink" Id="rId224" Target="https://gam.prontonlp.com/#/ref/$SENTID_SEC000200362169-28" TargetMode="External" /><Relationship Type="http://schemas.openxmlformats.org/officeDocument/2006/relationships/hyperlink" Id="rId228" Target="https://gam.prontonlp.com/#/ref/$SENTID_SEC000200362169-29" TargetMode="External" /><Relationship Type="http://schemas.openxmlformats.org/officeDocument/2006/relationships/hyperlink" Id="rId282" Target="https://gam.prontonlp.com/#/ref/$SENTID_SEC000200362169-32" TargetMode="External" /><Relationship Type="http://schemas.openxmlformats.org/officeDocument/2006/relationships/hyperlink" Id="rId437" Target="https://gam.prontonlp.com/#/ref/$SENTID_SEC000200940081-0" TargetMode="External" /><Relationship Type="http://schemas.openxmlformats.org/officeDocument/2006/relationships/hyperlink" Id="rId438" Target="https://gam.prontonlp.com/#/ref/$SENTID_SEC000200940081-1" TargetMode="External" /><Relationship Type="http://schemas.openxmlformats.org/officeDocument/2006/relationships/hyperlink" Id="rId443" Target="https://gam.prontonlp.com/#/ref/$SENTID_SEC000200940081-3" TargetMode="External" /><Relationship Type="http://schemas.openxmlformats.org/officeDocument/2006/relationships/hyperlink" Id="rId441" Target="https://gam.prontonlp.com/#/ref/$SENTID_SEC000203357895-0" TargetMode="External" /><Relationship Type="http://schemas.openxmlformats.org/officeDocument/2006/relationships/hyperlink" Id="rId420" Target="https://gam.prontonlp.com/#/ref/$SENTID_SEC000213983483-0" TargetMode="External" /><Relationship Type="http://schemas.openxmlformats.org/officeDocument/2006/relationships/hyperlink" Id="rId396" Target="https://gam.prontonlp.com/#/ref/$SENTID_SEC000215408244-0" TargetMode="External" /><Relationship Type="http://schemas.openxmlformats.org/officeDocument/2006/relationships/hyperlink" Id="rId397" Target="https://gam.prontonlp.com/#/ref/$SENTID_SEC000215408244-21" TargetMode="External" /><Relationship Type="http://schemas.openxmlformats.org/officeDocument/2006/relationships/hyperlink" Id="rId388" Target="https://gam.prontonlp.com/#/ref/$SENTID_SEC000215408244-4" TargetMode="External" /><Relationship Type="http://schemas.openxmlformats.org/officeDocument/2006/relationships/hyperlink" Id="rId275" Target="https://gam.prontonlp.com/#/ref/$SENTID_SEC000218768452-25" TargetMode="External" /><Relationship Type="http://schemas.openxmlformats.org/officeDocument/2006/relationships/hyperlink" Id="rId199" Target="https://gam.prontonlp.com/#/ref/$SENTID_SEC000218768452-27" TargetMode="External" /><Relationship Type="http://schemas.openxmlformats.org/officeDocument/2006/relationships/hyperlink" Id="rId267" Target="https://gam.prontonlp.com/#/ref/$SENTID_SEC000218768452-28" TargetMode="External" /><Relationship Type="http://schemas.openxmlformats.org/officeDocument/2006/relationships/hyperlink" Id="rId55" Target="https://gam.prontonlp.com/#/ref/$SENTID_SEC000218768452-32" TargetMode="External" /><Relationship Type="http://schemas.openxmlformats.org/officeDocument/2006/relationships/hyperlink" Id="rId225" Target="https://gam.prontonlp.com/#/ref/$SENTID_SEC000218768452-34" TargetMode="External" /><Relationship Type="http://schemas.openxmlformats.org/officeDocument/2006/relationships/hyperlink" Id="rId229" Target="https://gam.prontonlp.com/#/ref/$SENTID_SEC000218768452-35" TargetMode="External" /><Relationship Type="http://schemas.openxmlformats.org/officeDocument/2006/relationships/hyperlink" Id="rId231" Target="https://gam.prontonlp.com/#/ref/$SENTID_SEC000218768452-37" TargetMode="External" /><Relationship Type="http://schemas.openxmlformats.org/officeDocument/2006/relationships/hyperlink" Id="rId233" Target="https://gam.prontonlp.com/#/ref/$SENTID_SEC000218768452-38" TargetMode="External" /><Relationship Type="http://schemas.openxmlformats.org/officeDocument/2006/relationships/hyperlink" Id="rId139" Target="https://gam.prontonlp.com/#/ref/$SENTID_SEC000218768452-41" TargetMode="External" /><Relationship Type="http://schemas.openxmlformats.org/officeDocument/2006/relationships/hyperlink" Id="rId402" Target="https://gam.prontonlp.com/#/ref/$SENTID_SEC000218853463-1415" TargetMode="External" /><Relationship Type="http://schemas.openxmlformats.org/officeDocument/2006/relationships/hyperlink" Id="rId96" Target="https://gam.prontonlp.com/#/ref/$SENTID_SEC000220937380-0" TargetMode="External" /><Relationship Type="http://schemas.openxmlformats.org/officeDocument/2006/relationships/hyperlink" Id="rId495" Target="https://gam.prontonlp.com/#/ref/$SENTID_SEC000225346257-0" TargetMode="External" /><Relationship Type="http://schemas.openxmlformats.org/officeDocument/2006/relationships/hyperlink" Id="rId439" Target="https://gam.prontonlp.com/#/ref/$SENTID_SEC000225830033-0" TargetMode="External" /><Relationship Type="http://schemas.openxmlformats.org/officeDocument/2006/relationships/hyperlink" Id="rId440" Target="https://gam.prontonlp.com/#/ref/$SENTID_SEC000225830033-1" TargetMode="External" /><Relationship Type="http://schemas.openxmlformats.org/officeDocument/2006/relationships/hyperlink" Id="rId442" Target="https://gam.prontonlp.com/#/ref/$SENTID_SEC000225962227-1" TargetMode="External" /><Relationship Type="http://schemas.openxmlformats.org/officeDocument/2006/relationships/hyperlink" Id="rId496" Target="https://gam.prontonlp.com/#/ref/$SENTID_SEC000228616434-0" TargetMode="External" /><Relationship Type="http://schemas.openxmlformats.org/officeDocument/2006/relationships/hyperlink" Id="rId98" Target="https://gam.prontonlp.com/#/ref/$SENTID_SEC000228616434-1" TargetMode="External" /><Relationship Type="http://schemas.openxmlformats.org/officeDocument/2006/relationships/hyperlink" Id="rId394" Target="https://gam.prontonlp.com/#/ref/$SENTID_SEC000232383623-311" TargetMode="External" /><Relationship Type="http://schemas.openxmlformats.org/officeDocument/2006/relationships/hyperlink" Id="rId276" Target="https://gam.prontonlp.com/#/ref/$SENTID_SEC000237406755-27" TargetMode="External" /><Relationship Type="http://schemas.openxmlformats.org/officeDocument/2006/relationships/hyperlink" Id="rId200" Target="https://gam.prontonlp.com/#/ref/$SENTID_SEC000237406755-35" TargetMode="External" /><Relationship Type="http://schemas.openxmlformats.org/officeDocument/2006/relationships/hyperlink" Id="rId268" Target="https://gam.prontonlp.com/#/ref/$SENTID_SEC000237406755-36" TargetMode="External" /><Relationship Type="http://schemas.openxmlformats.org/officeDocument/2006/relationships/hyperlink" Id="rId56" Target="https://gam.prontonlp.com/#/ref/$SENTID_SEC000237406755-44" TargetMode="External" /><Relationship Type="http://schemas.openxmlformats.org/officeDocument/2006/relationships/hyperlink" Id="rId226" Target="https://gam.prontonlp.com/#/ref/$SENTID_SEC000237406755-49" TargetMode="External" /><Relationship Type="http://schemas.openxmlformats.org/officeDocument/2006/relationships/hyperlink" Id="rId230" Target="https://gam.prontonlp.com/#/ref/$SENTID_SEC000237406755-50" TargetMode="External" /><Relationship Type="http://schemas.openxmlformats.org/officeDocument/2006/relationships/hyperlink" Id="rId232" Target="https://gam.prontonlp.com/#/ref/$SENTID_SEC000237406755-51" TargetMode="External" /><Relationship Type="http://schemas.openxmlformats.org/officeDocument/2006/relationships/hyperlink" Id="rId234" Target="https://gam.prontonlp.com/#/ref/$SENTID_SEC000237406755-53" TargetMode="External" /><Relationship Type="http://schemas.openxmlformats.org/officeDocument/2006/relationships/hyperlink" Id="rId112" Target="https://gam.prontonlp.com/#/ref/$SENTID_SEC000237408246-1145" TargetMode="External" /><Relationship Type="http://schemas.openxmlformats.org/officeDocument/2006/relationships/hyperlink" Id="rId265" Target="https://gam.prontonlp.com/#/ref/$SENTID_SEC000237408246-1525" TargetMode="External" /><Relationship Type="http://schemas.openxmlformats.org/officeDocument/2006/relationships/hyperlink" Id="rId413" Target="https://gam.prontonlp.com/#/ref/$SENTID_SEC000237408246-1547" TargetMode="External" /><Relationship Type="http://schemas.openxmlformats.org/officeDocument/2006/relationships/hyperlink" Id="rId352" Target="https://gam.prontonlp.com/#/ref/$SENTID_SEC000237408246-1862" TargetMode="External" /><Relationship Type="http://schemas.openxmlformats.org/officeDocument/2006/relationships/hyperlink" Id="rId482" Target="https://gam.prontonlp.com/#/ref/$SENTID_SEC000237408246-1956" TargetMode="External" /><Relationship Type="http://schemas.openxmlformats.org/officeDocument/2006/relationships/hyperlink" Id="rId399" Target="https://gam.prontonlp.com/#/ref/$SENTID_SEC000239328925-1" TargetMode="External" /><Relationship Type="http://schemas.openxmlformats.org/officeDocument/2006/relationships/hyperlink" Id="rId400" Target="https://gam.prontonlp.com/#/ref/$SENTID_SEC000239328925-2" TargetMode="External" /><Relationship Type="http://schemas.openxmlformats.org/officeDocument/2006/relationships/hyperlink" Id="rId429" Target="https://gam.prontonlp.com/#/ref/$SENTID_SEC000239328925-4" TargetMode="External" /><Relationship Type="http://schemas.openxmlformats.org/officeDocument/2006/relationships/hyperlink" Id="rId430" Target="https://gam.prontonlp.com/#/ref/$SENTID_SEC000239328925-5" TargetMode="External" /><Relationship Type="http://schemas.openxmlformats.org/officeDocument/2006/relationships/hyperlink" Id="rId421" Target="https://gam.prontonlp.com/#/ref/$SENTID_SEC000242143978-0" TargetMode="External" /><Relationship Type="http://schemas.openxmlformats.org/officeDocument/2006/relationships/hyperlink" Id="rId497" Target="https://gam.prontonlp.com/#/ref/$SENTID_SEC000242375946-0" TargetMode="External" /><Relationship Type="http://schemas.openxmlformats.org/officeDocument/2006/relationships/hyperlink" Id="rId422" Target="https://gam.prontonlp.com/#/ref/$SENTID_SEC000250216310-0" TargetMode="External" /><Relationship Type="http://schemas.openxmlformats.org/officeDocument/2006/relationships/hyperlink" Id="rId24" Target="https://gam.prontonlp.com/#/ref/$SENTID_SEC000253203320-0" TargetMode="External" /><Relationship Type="http://schemas.openxmlformats.org/officeDocument/2006/relationships/hyperlink" Id="rId103" Target="https://gam.prontonlp.com/#/ref/$SENTID_SEC000253203320-10" TargetMode="External" /><Relationship Type="http://schemas.openxmlformats.org/officeDocument/2006/relationships/hyperlink" Id="rId25" Target="https://gam.prontonlp.com/#/ref/$SENTID_SEC000253203320-2" TargetMode="External" /><Relationship Type="http://schemas.openxmlformats.org/officeDocument/2006/relationships/hyperlink" Id="rId431" Target="https://gam.prontonlp.com/#/ref/$SENTID_SEC000255152730-0" TargetMode="External" /><Relationship Type="http://schemas.openxmlformats.org/officeDocument/2006/relationships/hyperlink" Id="rId432" Target="https://gam.prontonlp.com/#/ref/$SENTID_SEC000255152730-1" TargetMode="External" /><Relationship Type="http://schemas.openxmlformats.org/officeDocument/2006/relationships/hyperlink" Id="rId379" Target="https://gam.prontonlp.com/#/ref/$SENTID_SEC000255458473-2045" TargetMode="External" /><Relationship Type="http://schemas.openxmlformats.org/officeDocument/2006/relationships/hyperlink" Id="rId381" Target="https://gam.prontonlp.com/#/ref/$SENTID_SEC000255598146-2063" TargetMode="External" /><Relationship Type="http://schemas.openxmlformats.org/officeDocument/2006/relationships/hyperlink" Id="rId380" Target="https://gam.prontonlp.com/#/ref/$SENTID_SEC000255598146-2247" TargetMode="External" /><Relationship Type="http://schemas.openxmlformats.org/officeDocument/2006/relationships/hyperlink" Id="rId277" Target="https://gam.prontonlp.com/#/ref/$SENTID_SEC000255972090-27" TargetMode="External" /><Relationship Type="http://schemas.openxmlformats.org/officeDocument/2006/relationships/hyperlink" Id="rId77" Target="https://gam.prontonlp.com/#/ref/$SENTID_SEC000255972090-39" TargetMode="External" /><Relationship Type="http://schemas.openxmlformats.org/officeDocument/2006/relationships/hyperlink" Id="rId218" Target="https://gam.prontonlp.com/#/ref/$SENTID_SEC000255972090-42" TargetMode="External" /><Relationship Type="http://schemas.openxmlformats.org/officeDocument/2006/relationships/hyperlink" Id="rId57" Target="https://gam.prontonlp.com/#/ref/$SENTID_SEC000255972090-45" TargetMode="External" /><Relationship Type="http://schemas.openxmlformats.org/officeDocument/2006/relationships/hyperlink" Id="rId73" Target="https://gam.prontonlp.com/#/ref/$SENTID_SEC000255972090-50" TargetMode="External" /><Relationship Type="http://schemas.openxmlformats.org/officeDocument/2006/relationships/hyperlink" Id="rId283" Target="https://gam.prontonlp.com/#/ref/$SENTID_SEC000255972090-51" TargetMode="External" /><Relationship Type="http://schemas.openxmlformats.org/officeDocument/2006/relationships/hyperlink" Id="rId74" Target="https://gam.prontonlp.com/#/ref/$SENTID_SEC000255972090-54" TargetMode="External" /><Relationship Type="http://schemas.openxmlformats.org/officeDocument/2006/relationships/hyperlink" Id="rId75" Target="https://gam.prontonlp.com/#/ref/$SENTID_SEC000255972090-55" TargetMode="External" /><Relationship Type="http://schemas.openxmlformats.org/officeDocument/2006/relationships/hyperlink" Id="rId76" Target="https://gam.prontonlp.com/#/ref/$SENTID_SEC000255972090-56" TargetMode="External" /><Relationship Type="http://schemas.openxmlformats.org/officeDocument/2006/relationships/hyperlink" Id="rId183" Target="https://gam.prontonlp.com/#/ref/$SENTID_SEC000255973354-1007" TargetMode="External" /><Relationship Type="http://schemas.openxmlformats.org/officeDocument/2006/relationships/hyperlink" Id="rId180" Target="https://gam.prontonlp.com/#/ref/$SENTID_SEC000255973354-1064" TargetMode="External" /><Relationship Type="http://schemas.openxmlformats.org/officeDocument/2006/relationships/hyperlink" Id="rId487" Target="https://gam.prontonlp.com/#/ref/$SENTID_SEC000255973354-1174" TargetMode="External" /><Relationship Type="http://schemas.openxmlformats.org/officeDocument/2006/relationships/hyperlink" Id="rId504" Target="https://gam.prontonlp.com/#/ref/$SENTID_SEC000255973354-1181" TargetMode="External" /><Relationship Type="http://schemas.openxmlformats.org/officeDocument/2006/relationships/hyperlink" Id="rId22" Target="https://gam.prontonlp.com/#/ref/$SENTID_SEC000255973354-1187" TargetMode="External" /><Relationship Type="http://schemas.openxmlformats.org/officeDocument/2006/relationships/hyperlink" Id="rId393" Target="https://gam.prontonlp.com/#/ref/$SENTID_SEC000255973354-1188" TargetMode="External" /><Relationship Type="http://schemas.openxmlformats.org/officeDocument/2006/relationships/hyperlink" Id="rId111" Target="https://gam.prontonlp.com/#/ref/$SENTID_SEC000255973354-1295" TargetMode="External" /><Relationship Type="http://schemas.openxmlformats.org/officeDocument/2006/relationships/hyperlink" Id="rId21" Target="https://gam.prontonlp.com/#/ref/$SENTID_SEC000255973354-1311" TargetMode="External" /><Relationship Type="http://schemas.openxmlformats.org/officeDocument/2006/relationships/hyperlink" Id="rId499" Target="https://gam.prontonlp.com/#/ref/$SENTID_SEC000255973354-1339" TargetMode="External" /><Relationship Type="http://schemas.openxmlformats.org/officeDocument/2006/relationships/hyperlink" Id="rId492" Target="https://gam.prontonlp.com/#/ref/$SENTID_SEC000255973354-1340" TargetMode="External" /><Relationship Type="http://schemas.openxmlformats.org/officeDocument/2006/relationships/hyperlink" Id="rId137" Target="https://gam.prontonlp.com/#/ref/$SENTID_SEC000255973354-1342" TargetMode="External" /><Relationship Type="http://schemas.openxmlformats.org/officeDocument/2006/relationships/hyperlink" Id="rId271" Target="https://gam.prontonlp.com/#/ref/$SENTID_SEC000255973354-1360" TargetMode="External" /><Relationship Type="http://schemas.openxmlformats.org/officeDocument/2006/relationships/hyperlink" Id="rId280" Target="https://gam.prontonlp.com/#/ref/$SENTID_SEC000255973354-1386" TargetMode="External" /><Relationship Type="http://schemas.openxmlformats.org/officeDocument/2006/relationships/hyperlink" Id="rId269" Target="https://gam.prontonlp.com/#/ref/$SENTID_SEC000255973354-1389" TargetMode="External" /><Relationship Type="http://schemas.openxmlformats.org/officeDocument/2006/relationships/hyperlink" Id="rId423" Target="https://gam.prontonlp.com/#/ref/$SENTID_SEC000255973354-1403" TargetMode="External" /><Relationship Type="http://schemas.openxmlformats.org/officeDocument/2006/relationships/hyperlink" Id="rId161" Target="https://gam.prontonlp.com/#/ref/$SENTID_SEC000255973354-1413" TargetMode="External" /><Relationship Type="http://schemas.openxmlformats.org/officeDocument/2006/relationships/hyperlink" Id="rId461" Target="https://gam.prontonlp.com/#/ref/$SENTID_SEC000255973354-1487" TargetMode="External" /><Relationship Type="http://schemas.openxmlformats.org/officeDocument/2006/relationships/hyperlink" Id="rId154" Target="https://gam.prontonlp.com/#/ref/$SENTID_SEC000255973354-1507" TargetMode="External" /><Relationship Type="http://schemas.openxmlformats.org/officeDocument/2006/relationships/hyperlink" Id="rId351" Target="https://gam.prontonlp.com/#/ref/$SENTID_SEC000255973354-1514" TargetMode="External" /><Relationship Type="http://schemas.openxmlformats.org/officeDocument/2006/relationships/hyperlink" Id="rId127" Target="https://gam.prontonlp.com/#/ref/$SENTID_SEC000255973354-1624" TargetMode="External" /><Relationship Type="http://schemas.openxmlformats.org/officeDocument/2006/relationships/hyperlink" Id="rId490" Target="https://gam.prontonlp.com/#/ref/$SENTID_SEC000255973354-1680" TargetMode="External" /><Relationship Type="http://schemas.openxmlformats.org/officeDocument/2006/relationships/hyperlink" Id="rId406" Target="https://gam.prontonlp.com/#/ref/$SENTID_SEC000255973354-1707" TargetMode="External" /><Relationship Type="http://schemas.openxmlformats.org/officeDocument/2006/relationships/hyperlink" Id="rId68" Target="https://gam.prontonlp.com/#/ref/$SENTID_SEC000255973354-1745" TargetMode="External" /><Relationship Type="http://schemas.openxmlformats.org/officeDocument/2006/relationships/hyperlink" Id="rId132" Target="https://gam.prontonlp.com/#/ref/$SENTID_SEC000255973354-1754" TargetMode="External" /><Relationship Type="http://schemas.openxmlformats.org/officeDocument/2006/relationships/hyperlink" Id="rId71" Target="https://gam.prontonlp.com/#/ref/$SENTID_SEC000255973354-1755" TargetMode="External" /><Relationship Type="http://schemas.openxmlformats.org/officeDocument/2006/relationships/hyperlink" Id="rId70" Target="https://gam.prontonlp.com/#/ref/$SENTID_SEC000255973354-1761" TargetMode="External" /><Relationship Type="http://schemas.openxmlformats.org/officeDocument/2006/relationships/hyperlink" Id="rId78" Target="https://gam.prontonlp.com/#/ref/$SENTID_SEC000255973354-1858" TargetMode="External" /><Relationship Type="http://schemas.openxmlformats.org/officeDocument/2006/relationships/hyperlink" Id="rId263" Target="https://gam.prontonlp.com/#/ref/$SENTID_SEC000255973354-1859" TargetMode="External" /><Relationship Type="http://schemas.openxmlformats.org/officeDocument/2006/relationships/hyperlink" Id="rId235" Target="https://gam.prontonlp.com/#/ref/$SENTID_SEC000255973354-1868" TargetMode="External" /><Relationship Type="http://schemas.openxmlformats.org/officeDocument/2006/relationships/hyperlink" Id="rId464" Target="https://gam.prontonlp.com/#/ref/$SENTID_SEC000255973354-1884" TargetMode="External" /><Relationship Type="http://schemas.openxmlformats.org/officeDocument/2006/relationships/hyperlink" Id="rId346" Target="https://gam.prontonlp.com/#/ref/$SENTID_SEC000255973354-1886" TargetMode="External" /><Relationship Type="http://schemas.openxmlformats.org/officeDocument/2006/relationships/hyperlink" Id="rId65" Target="https://gam.prontonlp.com/#/ref/$SENTID_SEC000255973354-1901" TargetMode="External" /><Relationship Type="http://schemas.openxmlformats.org/officeDocument/2006/relationships/hyperlink" Id="rId486" Target="https://gam.prontonlp.com/#/ref/$SENTID_SEC000255973354-1905" TargetMode="External" /><Relationship Type="http://schemas.openxmlformats.org/officeDocument/2006/relationships/hyperlink" Id="rId191" Target="https://gam.prontonlp.com/#/ref/$SENTID_SEC000255973354-1931" TargetMode="External" /><Relationship Type="http://schemas.openxmlformats.org/officeDocument/2006/relationships/hyperlink" Id="rId153" Target="https://gam.prontonlp.com/#/ref/$SENTID_SEC000255973354-1939" TargetMode="External" /><Relationship Type="http://schemas.openxmlformats.org/officeDocument/2006/relationships/hyperlink" Id="rId398" Target="https://gam.prontonlp.com/#/ref/$SENTID_SEC000255973354-1950" TargetMode="External" /><Relationship Type="http://schemas.openxmlformats.org/officeDocument/2006/relationships/hyperlink" Id="rId410" Target="https://gam.prontonlp.com/#/ref/$SENTID_SEC000255973354-1980" TargetMode="External" /><Relationship Type="http://schemas.openxmlformats.org/officeDocument/2006/relationships/hyperlink" Id="rId494" Target="https://gam.prontonlp.com/#/ref/$SENTID_SEC000255973354-1991" TargetMode="External" /><Relationship Type="http://schemas.openxmlformats.org/officeDocument/2006/relationships/hyperlink" Id="rId451" Target="https://gam.prontonlp.com/#/ref/$SENTID_SEC000255973354-2008" TargetMode="External" /><Relationship Type="http://schemas.openxmlformats.org/officeDocument/2006/relationships/hyperlink" Id="rId178" Target="https://gam.prontonlp.com/#/ref/$SENTID_SEC000255973354-2009" TargetMode="External" /><Relationship Type="http://schemas.openxmlformats.org/officeDocument/2006/relationships/hyperlink" Id="rId95" Target="https://gam.prontonlp.com/#/ref/$SENTID_SEC000255973354-2035" TargetMode="External" /><Relationship Type="http://schemas.openxmlformats.org/officeDocument/2006/relationships/hyperlink" Id="rId389" Target="https://gam.prontonlp.com/#/ref/$SENTID_SEC000255973354-2038" TargetMode="External" /><Relationship Type="http://schemas.openxmlformats.org/officeDocument/2006/relationships/hyperlink" Id="rId485" Target="https://gam.prontonlp.com/#/ref/$SENTID_SEC000255973354-2040" TargetMode="External" /><Relationship Type="http://schemas.openxmlformats.org/officeDocument/2006/relationships/hyperlink" Id="rId194" Target="https://gam.prontonlp.com/#/ref/$SENTID_SEC000255973354-2050" TargetMode="External" /><Relationship Type="http://schemas.openxmlformats.org/officeDocument/2006/relationships/hyperlink" Id="rId401" Target="https://gam.prontonlp.com/#/ref/$SENTID_SEC000255973354-2052" TargetMode="External" /><Relationship Type="http://schemas.openxmlformats.org/officeDocument/2006/relationships/hyperlink" Id="rId456" Target="https://gam.prontonlp.com/#/ref/$SENTID_SEC000255973354-2061" TargetMode="External" /><Relationship Type="http://schemas.openxmlformats.org/officeDocument/2006/relationships/hyperlink" Id="rId491" Target="https://gam.prontonlp.com/#/ref/$SENTID_SEC000255973354-2064" TargetMode="External" /><Relationship Type="http://schemas.openxmlformats.org/officeDocument/2006/relationships/hyperlink" Id="rId412" Target="https://gam.prontonlp.com/#/ref/$SENTID_SEC000255973354-2080" TargetMode="External" /><Relationship Type="http://schemas.openxmlformats.org/officeDocument/2006/relationships/hyperlink" Id="rId104" Target="https://gam.prontonlp.com/#/ref/$SENTID_SEC000255973354-225" TargetMode="External" /><Relationship Type="http://schemas.openxmlformats.org/officeDocument/2006/relationships/hyperlink" Id="rId130" Target="https://gam.prontonlp.com/#/ref/$SENTID_SEC000255973354-331" TargetMode="External" /><Relationship Type="http://schemas.openxmlformats.org/officeDocument/2006/relationships/hyperlink" Id="rId192" Target="https://gam.prontonlp.com/#/ref/$SENTID_SEC000255973354-368" TargetMode="External" /><Relationship Type="http://schemas.openxmlformats.org/officeDocument/2006/relationships/hyperlink" Id="rId453" Target="https://gam.prontonlp.com/#/ref/$SENTID_SEC000255973354-616" TargetMode="External" /><Relationship Type="http://schemas.openxmlformats.org/officeDocument/2006/relationships/hyperlink" Id="rId50" Target="https://gam.prontonlp.com/#/ref/$SENTID_SEC000255973354-619" TargetMode="External" /><Relationship Type="http://schemas.openxmlformats.org/officeDocument/2006/relationships/hyperlink" Id="rId141" Target="https://gam.prontonlp.com/#/ref/$SENTID_SEC000255973354-695" TargetMode="External" /><Relationship Type="http://schemas.openxmlformats.org/officeDocument/2006/relationships/hyperlink" Id="rId190" Target="https://gam.prontonlp.com/#/ref/$SENTID_SEC000255973354-696" TargetMode="External" /><Relationship Type="http://schemas.openxmlformats.org/officeDocument/2006/relationships/hyperlink" Id="rId189" Target="https://gam.prontonlp.com/#/ref/$SENTID_SEC000255973354-74" TargetMode="External" /><Relationship Type="http://schemas.openxmlformats.org/officeDocument/2006/relationships/hyperlink" Id="rId157" Target="https://gam.prontonlp.com/#/ref/$SENTID_SEC000255973354-824" TargetMode="External" /><Relationship Type="http://schemas.openxmlformats.org/officeDocument/2006/relationships/hyperlink" Id="rId159" Target="https://gam.prontonlp.com/#/ref/$SENTID_SEC000255973354-843" TargetMode="External" /><Relationship Type="http://schemas.openxmlformats.org/officeDocument/2006/relationships/hyperlink" Id="rId166" Target="https://gam.prontonlp.com/#/ref/$SENTID_SEC000255973354-861" TargetMode="External" /><Relationship Type="http://schemas.openxmlformats.org/officeDocument/2006/relationships/hyperlink" Id="rId470" Target="https://gam.prontonlp.com/#/ref/$SENTID_SEC000255973354-862" TargetMode="External" /><Relationship Type="http://schemas.openxmlformats.org/officeDocument/2006/relationships/hyperlink" Id="rId160" Target="https://gam.prontonlp.com/#/ref/$SENTID_SEC000255973354-869" TargetMode="External" /><Relationship Type="http://schemas.openxmlformats.org/officeDocument/2006/relationships/hyperlink" Id="rId113" Target="https://gam.prontonlp.com/#/ref/$SENTID_SEC000255973354-88" TargetMode="External" /><Relationship Type="http://schemas.openxmlformats.org/officeDocument/2006/relationships/hyperlink" Id="rId128" Target="https://gam.prontonlp.com/#/ref/$SENTID_SEC000255973354-915" TargetMode="External" /><Relationship Type="http://schemas.openxmlformats.org/officeDocument/2006/relationships/hyperlink" Id="rId384" Target="https://gam.prontonlp.com/#/ref/$SENTID_SEC000258587508-1966" TargetMode="External" /><Relationship Type="http://schemas.openxmlformats.org/officeDocument/2006/relationships/hyperlink" Id="rId385" Target="https://gam.prontonlp.com/#/ref/$SENTID_SEC000258587508-1971" TargetMode="External" /><Relationship Type="http://schemas.openxmlformats.org/officeDocument/2006/relationships/hyperlink" Id="rId100" Target="https://gam.prontonlp.com/#/ref/$SENTID_SEC000259645823-296" TargetMode="External" /><Relationship Type="http://schemas.openxmlformats.org/officeDocument/2006/relationships/hyperlink" Id="rId414" Target="https://gam.prontonlp.com/#/ref/$SENTID_SEC000259645823-300" TargetMode="External" /><Relationship Type="http://schemas.openxmlformats.org/officeDocument/2006/relationships/hyperlink" Id="rId415" Target="https://gam.prontonlp.com/#/ref/$SENTID_SEC000259645823-303" TargetMode="External" /><Relationship Type="http://schemas.openxmlformats.org/officeDocument/2006/relationships/hyperlink" Id="rId152" Target="https://gam.prontonlp.com/#/ref/$SENTID_SEC000259645823-366" TargetMode="External" /><Relationship Type="http://schemas.openxmlformats.org/officeDocument/2006/relationships/hyperlink" Id="rId463" Target="https://gam.prontonlp.com/#/ref/$SENTID_SEC000259645823-373" TargetMode="External" /><Relationship Type="http://schemas.openxmlformats.org/officeDocument/2006/relationships/hyperlink" Id="rId135" Target="https://gam.prontonlp.com/#/ref/$SENTID_SEC000259645823-526" TargetMode="External" /><Relationship Type="http://schemas.openxmlformats.org/officeDocument/2006/relationships/hyperlink" Id="rId134" Target="https://gam.prontonlp.com/#/ref/$SENTID_SEC000259645823-530" TargetMode="External" /><Relationship Type="http://schemas.openxmlformats.org/officeDocument/2006/relationships/hyperlink" Id="rId108" Target="https://gam.prontonlp.com/#/ref/$SENTID_SEC000261784634-0" TargetMode="External" /><Relationship Type="http://schemas.openxmlformats.org/officeDocument/2006/relationships/hyperlink" Id="rId362" Target="https://gam.prontonlp.com/#/ref/$SENTID_SEC000261784634-7" TargetMode="External" /><Relationship Type="http://schemas.openxmlformats.org/officeDocument/2006/relationships/hyperlink" Id="rId37" Target="https://gam.prontonlp.com/#/ref/$SENTID_SEC000261784634-8" TargetMode="External" /><Relationship Type="http://schemas.openxmlformats.org/officeDocument/2006/relationships/hyperlink" Id="rId445" Target="https://gam.prontonlp.com/#/ref/$SENTID_SEC000261896065-1" TargetMode="External" /><Relationship Type="http://schemas.openxmlformats.org/officeDocument/2006/relationships/hyperlink" Id="rId446" Target="https://gam.prontonlp.com/#/ref/$SENTID_SEC000261896065-8" TargetMode="External" /><Relationship Type="http://schemas.openxmlformats.org/officeDocument/2006/relationships/hyperlink" Id="rId146" Target="https://gam.prontonlp.com/#/ref/$SENTID_SEC000263635795-1089" TargetMode="External" /><Relationship Type="http://schemas.openxmlformats.org/officeDocument/2006/relationships/hyperlink" Id="rId377" Target="https://gam.prontonlp.com/#/ref/$SENTID_SEC000263635795-84" TargetMode="External" /><Relationship Type="http://schemas.openxmlformats.org/officeDocument/2006/relationships/hyperlink" Id="rId26" Target="https://gam.prontonlp.com/#/ref/$SENTID_SEC000264557825-29" TargetMode="External" /><Relationship Type="http://schemas.openxmlformats.org/officeDocument/2006/relationships/hyperlink" Id="rId359" Target="https://gam.prontonlp.com/#/ref/$SENTID_SEC000264559057-129" TargetMode="External" /><Relationship Type="http://schemas.openxmlformats.org/officeDocument/2006/relationships/hyperlink" Id="rId341" Target="https://gam.prontonlp.com/#/ref/$SENTID_SEC000264559057-130" TargetMode="External" /><Relationship Type="http://schemas.openxmlformats.org/officeDocument/2006/relationships/hyperlink" Id="rId126" Target="https://gam.prontonlp.com/#/ref/$SENTID_SEC000264559057-138" TargetMode="External" /><Relationship Type="http://schemas.openxmlformats.org/officeDocument/2006/relationships/hyperlink" Id="rId48" Target="https://gam.prontonlp.com/#/ref/$SENTID_SEC000264559057-140" TargetMode="External" /><Relationship Type="http://schemas.openxmlformats.org/officeDocument/2006/relationships/hyperlink" Id="rId342" Target="https://gam.prontonlp.com/#/ref/$SENTID_SEC000264559057-142" TargetMode="External" /><Relationship Type="http://schemas.openxmlformats.org/officeDocument/2006/relationships/hyperlink" Id="rId42" Target="https://gam.prontonlp.com/#/ref/$SENTID_SEC000264559057-16" TargetMode="External" /><Relationship Type="http://schemas.openxmlformats.org/officeDocument/2006/relationships/hyperlink" Id="rId51" Target="https://gam.prontonlp.com/#/ref/$SENTID_SEC000264559057-165" TargetMode="External" /><Relationship Type="http://schemas.openxmlformats.org/officeDocument/2006/relationships/hyperlink" Id="rId350" Target="https://gam.prontonlp.com/#/ref/$SENTID_SEC000264559057-166" TargetMode="External" /><Relationship Type="http://schemas.openxmlformats.org/officeDocument/2006/relationships/hyperlink" Id="rId43" Target="https://gam.prontonlp.com/#/ref/$SENTID_SEC000264559057-17" TargetMode="External" /><Relationship Type="http://schemas.openxmlformats.org/officeDocument/2006/relationships/hyperlink" Id="rId345" Target="https://gam.prontonlp.com/#/ref/$SENTID_SEC000264559057-173" TargetMode="External" /><Relationship Type="http://schemas.openxmlformats.org/officeDocument/2006/relationships/hyperlink" Id="rId356" Target="https://gam.prontonlp.com/#/ref/$SENTID_SEC000264559057-194" TargetMode="External" /><Relationship Type="http://schemas.openxmlformats.org/officeDocument/2006/relationships/hyperlink" Id="rId72" Target="https://gam.prontonlp.com/#/ref/$SENTID_SEC000264559057-28" TargetMode="External" /><Relationship Type="http://schemas.openxmlformats.org/officeDocument/2006/relationships/hyperlink" Id="rId418" Target="https://gam.prontonlp.com/#/ref/$SENTID_SEC000264559057-294" TargetMode="External" /><Relationship Type="http://schemas.openxmlformats.org/officeDocument/2006/relationships/hyperlink" Id="rId217" Target="https://gam.prontonlp.com/#/ref/$SENTID_SEC000264559057-339" TargetMode="External" /><Relationship Type="http://schemas.openxmlformats.org/officeDocument/2006/relationships/hyperlink" Id="rId182" Target="https://gam.prontonlp.com/#/ref/$SENTID_SEC000264559057-345" TargetMode="External" /><Relationship Type="http://schemas.openxmlformats.org/officeDocument/2006/relationships/hyperlink" Id="rId47" Target="https://gam.prontonlp.com/#/ref/$SENTID_SEC000264559057-369" TargetMode="External" /><Relationship Type="http://schemas.openxmlformats.org/officeDocument/2006/relationships/hyperlink" Id="rId349" Target="https://gam.prontonlp.com/#/ref/$SENTID_SEC000264559057-371" TargetMode="External" /><Relationship Type="http://schemas.openxmlformats.org/officeDocument/2006/relationships/hyperlink" Id="rId357" Target="https://gam.prontonlp.com/#/ref/$SENTID_SEC000264559057-377" TargetMode="External" /><Relationship Type="http://schemas.openxmlformats.org/officeDocument/2006/relationships/hyperlink" Id="rId498" Target="https://gam.prontonlp.com/#/ref/$SENTID_SEC000264559057-407" TargetMode="External" /><Relationship Type="http://schemas.openxmlformats.org/officeDocument/2006/relationships/hyperlink" Id="rId448" Target="https://gam.prontonlp.com/#/ref/$SENTID_SEC000264559057-408" TargetMode="External" /><Relationship Type="http://schemas.openxmlformats.org/officeDocument/2006/relationships/hyperlink" Id="rId105" Target="https://gam.prontonlp.com/#/ref/$SENTID_SEC000264559057-415" TargetMode="External" /><Relationship Type="http://schemas.openxmlformats.org/officeDocument/2006/relationships/hyperlink" Id="rId447" Target="https://gam.prontonlp.com/#/ref/$SENTID_SEC000264559057-423" TargetMode="External" /><Relationship Type="http://schemas.openxmlformats.org/officeDocument/2006/relationships/hyperlink" Id="rId181" Target="https://gam.prontonlp.com/#/ref/$SENTID_SEC000264559057-440" TargetMode="External" /><Relationship Type="http://schemas.openxmlformats.org/officeDocument/2006/relationships/hyperlink" Id="rId46" Target="https://gam.prontonlp.com/#/ref/$SENTID_SEC000264559057-452" TargetMode="External" /><Relationship Type="http://schemas.openxmlformats.org/officeDocument/2006/relationships/hyperlink" Id="rId484" Target="https://gam.prontonlp.com/#/ref/$SENTID_SEC000264559057-463" TargetMode="External" /><Relationship Type="http://schemas.openxmlformats.org/officeDocument/2006/relationships/hyperlink" Id="rId471" Target="https://gam.prontonlp.com/#/ref/$SENTID_SEC000264559057-465" TargetMode="External" /><Relationship Type="http://schemas.openxmlformats.org/officeDocument/2006/relationships/hyperlink" Id="rId109" Target="https://gam.prontonlp.com/#/ref/$SENTID_SEC000264559057-470" TargetMode="External" /><Relationship Type="http://schemas.openxmlformats.org/officeDocument/2006/relationships/hyperlink" Id="rId121" Target="https://gam.prontonlp.com/#/ref/$SENTID_SEC000264559057-59" TargetMode="External" /><Relationship Type="http://schemas.openxmlformats.org/officeDocument/2006/relationships/hyperlink" Id="rId40" Target="https://gam.prontonlp.com/#/ref/$SENTID_SEC000264559057-60" TargetMode="External" /><Relationship Type="http://schemas.openxmlformats.org/officeDocument/2006/relationships/hyperlink" Id="rId452" Target="https://gam.prontonlp.com/#/ref/$SENTID_T000002283898-114" TargetMode="External" /><Relationship Type="http://schemas.openxmlformats.org/officeDocument/2006/relationships/hyperlink" Id="rId84" Target="https://gam.prontonlp.com/#/ref/$SENTID_T000002374084-174" TargetMode="External" /><Relationship Type="http://schemas.openxmlformats.org/officeDocument/2006/relationships/hyperlink" Id="rId86" Target="https://gam.prontonlp.com/#/ref/$SENTID_T000002437086-117" TargetMode="External" /><Relationship Type="http://schemas.openxmlformats.org/officeDocument/2006/relationships/hyperlink" Id="rId274" Target="https://gam.prontonlp.com/#/ref/$SENTID_T000002514904-108" TargetMode="External" /><Relationship Type="http://schemas.openxmlformats.org/officeDocument/2006/relationships/hyperlink" Id="rId87" Target="https://gam.prontonlp.com/#/ref/$SENTID_T000002514904-128" TargetMode="External" /><Relationship Type="http://schemas.openxmlformats.org/officeDocument/2006/relationships/hyperlink" Id="rId281" Target="https://gam.prontonlp.com/#/ref/$SENTID_T000002514904-63" TargetMode="External" /><Relationship Type="http://schemas.openxmlformats.org/officeDocument/2006/relationships/hyperlink" Id="rId90" Target="https://gam.prontonlp.com/#/ref/$SENTID_T000002563967-103" TargetMode="External" /><Relationship Type="http://schemas.openxmlformats.org/officeDocument/2006/relationships/hyperlink" Id="rId89" Target="https://gam.prontonlp.com/#/ref/$SENTID_T000002563967-92" TargetMode="External" /><Relationship Type="http://schemas.openxmlformats.org/officeDocument/2006/relationships/hyperlink" Id="rId91" Target="https://gam.prontonlp.com/#/ref/$SENTID_T000002626640-46" TargetMode="External" /><Relationship Type="http://schemas.openxmlformats.org/officeDocument/2006/relationships/hyperlink" Id="rId92" Target="https://gam.prontonlp.com/#/ref/$SENTID_T000002682334-156" TargetMode="External" /><Relationship Type="http://schemas.openxmlformats.org/officeDocument/2006/relationships/hyperlink" Id="rId93" Target="https://gam.prontonlp.com/#/ref/$SENTID_T000002682334-80" TargetMode="External" /><Relationship Type="http://schemas.openxmlformats.org/officeDocument/2006/relationships/hyperlink" Id="rId408" Target="https://gam.prontonlp.com/#/ref/$SENTID_T000002800142-72" TargetMode="External" /><Relationship Type="http://schemas.openxmlformats.org/officeDocument/2006/relationships/hyperlink" Id="rId94" Target="https://gam.prontonlp.com/#/ref/$SENTID_T000003041770-30" TargetMode="External" /><Relationship Type="http://schemas.openxmlformats.org/officeDocument/2006/relationships/hyperlink" Id="rId123" Target="https://gam.prontonlp.com/#/ref/$SENTID_T000003215027-248" TargetMode="External" /><Relationship Type="http://schemas.openxmlformats.org/officeDocument/2006/relationships/hyperlink" Id="rId170" Target="https://gam.prontonlp.com/#/ref/$SENTID_T000003215027-261" TargetMode="External" /><Relationship Type="http://schemas.openxmlformats.org/officeDocument/2006/relationships/hyperlink" Id="rId97" Target="https://gam.prontonlp.com/#/ref/$SENTID_T000003215027-36" TargetMode="External" /><Relationship Type="http://schemas.openxmlformats.org/officeDocument/2006/relationships/hyperlink" Id="rId140" Target="https://gam.prontonlp.com/#/ref/$SENTID_T000003307391-98" TargetMode="External" /><Relationship Type="http://schemas.openxmlformats.org/officeDocument/2006/relationships/hyperlink" Id="rId67" Target="https://gam.prontonlp.com/#/ref/$SENTID_T000003370588-16" TargetMode="External" /><Relationship Type="http://schemas.openxmlformats.org/officeDocument/2006/relationships/hyperlink" Id="rId99" Target="https://gam.prontonlp.com/#/ref/$SENTID_T000003441812-23" TargetMode="External" /><Relationship Type="http://schemas.openxmlformats.org/officeDocument/2006/relationships/hyperlink" Id="rId347" Target="https://gam.prontonlp.com/#/ref/$SENTID_T000003578475-120" TargetMode="External" /><Relationship Type="http://schemas.openxmlformats.org/officeDocument/2006/relationships/hyperlink" Id="rId33" Target="https://gam.prontonlp.com/#/ref/$SENTID_T000003578475-122" TargetMode="External" /><Relationship Type="http://schemas.openxmlformats.org/officeDocument/2006/relationships/hyperlink" Id="rId290" Target="https://gam.prontonlp.com/#/ref/$SENTID_T000003578475-126" TargetMode="External" /><Relationship Type="http://schemas.openxmlformats.org/officeDocument/2006/relationships/hyperlink" Id="rId125" Target="https://gam.prontonlp.com/#/ref/$SENTID_T000003578475-148" TargetMode="External" /><Relationship Type="http://schemas.openxmlformats.org/officeDocument/2006/relationships/hyperlink" Id="rId289" Target="https://gam.prontonlp.com/#/ref/$SENTID_T000003578475-22" TargetMode="External" /><Relationship Type="http://schemas.openxmlformats.org/officeDocument/2006/relationships/hyperlink" Id="rId291" Target="https://gam.prontonlp.com/#/ref/$SENTID_T000003578475-271" TargetMode="External" /><Relationship Type="http://schemas.openxmlformats.org/officeDocument/2006/relationships/hyperlink" Id="rId239" Target="https://gam.prontonlp.com/#/ref/$SENTID_T000003578475-72" TargetMode="External" /><Relationship Type="http://schemas.openxmlformats.org/officeDocument/2006/relationships/hyperlink" Id="rId243" Target="https://gam.prontonlp.com/#/ref/$SENTID_T000003578475-81" TargetMode="External" /><Relationship Type="http://schemas.openxmlformats.org/officeDocument/2006/relationships/hyperlink" Id="rId31" Target="https://gam.prontonlp.com/#/ref/$SENTID_T000003578475-86" TargetMode="External" /><Relationship Type="http://schemas.openxmlformats.org/officeDocument/2006/relationships/hyperlink" Id="rId249" Target="https://gam.prontonlp.com/#/ref/$SENTID_T000003578475-92" TargetMode="External" /><Relationship Type="http://schemas.openxmlformats.org/officeDocument/2006/relationships/hyperlink" Id="rId136" Target="https://gam.prontonlp.com/#/ref/$SENTID_T000003578475-94" TargetMode="External" /><Relationship Type="http://schemas.openxmlformats.org/officeDocument/2006/relationships/hyperlink" Id="rId101" Target="https://gam.prontonlp.com/#/ref/$SENTID_T000003578475-97" TargetMode="External" /><Relationship Type="http://schemas.openxmlformats.org/officeDocument/2006/relationships/hyperlink" Id="rId102" Target="https://gam.prontonlp.com/#/ref/$SENTID_T000003578475-98" TargetMode="External" /><Relationship Type="http://schemas.openxmlformats.org/officeDocument/2006/relationships/hyperlink" Id="rId175" Target="https://gam.prontonlp.com/#/ref/$SENTID_T000003585246-78" TargetMode="External" /><Relationship Type="http://schemas.openxmlformats.org/officeDocument/2006/relationships/hyperlink" Id="rId176" Target="https://gam.prontonlp.com/#/ref/$SENTID_T000003646016-298" TargetMode="External" /><Relationship Type="http://schemas.openxmlformats.org/officeDocument/2006/relationships/hyperlink" Id="rId454" Target="https://gam.prontonlp.com/#/ref/$SENTID_T000003665452-118" TargetMode="External" /><Relationship Type="http://schemas.openxmlformats.org/officeDocument/2006/relationships/hyperlink" Id="rId407" Target="https://gam.prontonlp.com/#/ref/$SENTID_T000003665452-121" TargetMode="External" /><Relationship Type="http://schemas.openxmlformats.org/officeDocument/2006/relationships/hyperlink" Id="rId240" Target="https://gam.prontonlp.com/#/ref/$SENTID_T000003665452-131" TargetMode="External" /><Relationship Type="http://schemas.openxmlformats.org/officeDocument/2006/relationships/hyperlink" Id="rId284" Target="https://gam.prontonlp.com/#/ref/$SENTID_T000003665452-139" TargetMode="External" /><Relationship Type="http://schemas.openxmlformats.org/officeDocument/2006/relationships/hyperlink" Id="rId285" Target="https://gam.prontonlp.com/#/ref/$SENTID_T000003665452-140" TargetMode="External" /><Relationship Type="http://schemas.openxmlformats.org/officeDocument/2006/relationships/hyperlink" Id="rId69" Target="https://gam.prontonlp.com/#/ref/$SENTID_T000003665452-145" TargetMode="External" /><Relationship Type="http://schemas.openxmlformats.org/officeDocument/2006/relationships/hyperlink" Id="rId244" Target="https://gam.prontonlp.com/#/ref/$SENTID_T000003665452-147" TargetMode="External" /><Relationship Type="http://schemas.openxmlformats.org/officeDocument/2006/relationships/hyperlink" Id="rId247" Target="https://gam.prontonlp.com/#/ref/$SENTID_T000003665452-151" TargetMode="External" /><Relationship Type="http://schemas.openxmlformats.org/officeDocument/2006/relationships/hyperlink" Id="rId250" Target="https://gam.prontonlp.com/#/ref/$SENTID_T000003665452-155" TargetMode="External" /><Relationship Type="http://schemas.openxmlformats.org/officeDocument/2006/relationships/hyperlink" Id="rId253" Target="https://gam.prontonlp.com/#/ref/$SENTID_T000003665452-161" TargetMode="External" /><Relationship Type="http://schemas.openxmlformats.org/officeDocument/2006/relationships/hyperlink" Id="rId256" Target="https://gam.prontonlp.com/#/ref/$SENTID_T000003665452-183" TargetMode="External" /><Relationship Type="http://schemas.openxmlformats.org/officeDocument/2006/relationships/hyperlink" Id="rId489" Target="https://gam.prontonlp.com/#/ref/$SENTID_T000003665452-188" TargetMode="External" /><Relationship Type="http://schemas.openxmlformats.org/officeDocument/2006/relationships/hyperlink" Id="rId299" Target="https://gam.prontonlp.com/#/ref/$SENTID_T000003665452-197" TargetMode="External" /><Relationship Type="http://schemas.openxmlformats.org/officeDocument/2006/relationships/hyperlink" Id="rId296" Target="https://gam.prontonlp.com/#/ref/$SENTID_T000003665452-199" TargetMode="External" /><Relationship Type="http://schemas.openxmlformats.org/officeDocument/2006/relationships/hyperlink" Id="rId297" Target="https://gam.prontonlp.com/#/ref/$SENTID_T000003665452-200" TargetMode="External" /><Relationship Type="http://schemas.openxmlformats.org/officeDocument/2006/relationships/hyperlink" Id="rId298" Target="https://gam.prontonlp.com/#/ref/$SENTID_T000003665452-202" TargetMode="External" /><Relationship Type="http://schemas.openxmlformats.org/officeDocument/2006/relationships/hyperlink" Id="rId293" Target="https://gam.prontonlp.com/#/ref/$SENTID_T000003665452-26" TargetMode="External" /><Relationship Type="http://schemas.openxmlformats.org/officeDocument/2006/relationships/hyperlink" Id="rId294" Target="https://gam.prontonlp.com/#/ref/$SENTID_T000003665452-35" TargetMode="External" /><Relationship Type="http://schemas.openxmlformats.org/officeDocument/2006/relationships/hyperlink" Id="rId193" Target="https://gam.prontonlp.com/#/ref/$SENTID_T000003665452-36" TargetMode="External" /><Relationship Type="http://schemas.openxmlformats.org/officeDocument/2006/relationships/hyperlink" Id="rId295" Target="https://gam.prontonlp.com/#/ref/$SENTID_T000003665452-53" TargetMode="External" /><Relationship Type="http://schemas.openxmlformats.org/officeDocument/2006/relationships/hyperlink" Id="rId131" Target="https://gam.prontonlp.com/#/ref/$SENTID_T000003665452-94" TargetMode="External" /><Relationship Type="http://schemas.openxmlformats.org/officeDocument/2006/relationships/hyperlink" Id="rId264" Target="https://gam.prontonlp.com/#/ref/$SENTID_T000003665452-98" TargetMode="External" /><Relationship Type="http://schemas.openxmlformats.org/officeDocument/2006/relationships/hyperlink" Id="rId245" Target="https://gam.prontonlp.com/#/ref/$SENTID_T000003711263-100" TargetMode="External" /><Relationship Type="http://schemas.openxmlformats.org/officeDocument/2006/relationships/hyperlink" Id="rId270" Target="https://gam.prontonlp.com/#/ref/$SENTID_T000003711263-102" TargetMode="External" /><Relationship Type="http://schemas.openxmlformats.org/officeDocument/2006/relationships/hyperlink" Id="rId248" Target="https://gam.prontonlp.com/#/ref/$SENTID_T000003711263-106" TargetMode="External" /><Relationship Type="http://schemas.openxmlformats.org/officeDocument/2006/relationships/hyperlink" Id="rId251" Target="https://gam.prontonlp.com/#/ref/$SENTID_T000003711263-111" TargetMode="External" /><Relationship Type="http://schemas.openxmlformats.org/officeDocument/2006/relationships/hyperlink" Id="rId254" Target="https://gam.prontonlp.com/#/ref/$SENTID_T000003711263-115" TargetMode="External" /><Relationship Type="http://schemas.openxmlformats.org/officeDocument/2006/relationships/hyperlink" Id="rId106" Target="https://gam.prontonlp.com/#/ref/$SENTID_T000003711263-132" TargetMode="External" /><Relationship Type="http://schemas.openxmlformats.org/officeDocument/2006/relationships/hyperlink" Id="rId257" Target="https://gam.prontonlp.com/#/ref/$SENTID_T000003711263-134" TargetMode="External" /><Relationship Type="http://schemas.openxmlformats.org/officeDocument/2006/relationships/hyperlink" Id="rId500" Target="https://gam.prontonlp.com/#/ref/$SENTID_T000003711263-140" TargetMode="External" /><Relationship Type="http://schemas.openxmlformats.org/officeDocument/2006/relationships/hyperlink" Id="rId107" Target="https://gam.prontonlp.com/#/ref/$SENTID_T000003711263-145" TargetMode="External" /><Relationship Type="http://schemas.openxmlformats.org/officeDocument/2006/relationships/hyperlink" Id="rId302" Target="https://gam.prontonlp.com/#/ref/$SENTID_T000003711263-147" TargetMode="External" /><Relationship Type="http://schemas.openxmlformats.org/officeDocument/2006/relationships/hyperlink" Id="rId117" Target="https://gam.prontonlp.com/#/ref/$SENTID_T000003711263-166" TargetMode="External" /><Relationship Type="http://schemas.openxmlformats.org/officeDocument/2006/relationships/hyperlink" Id="rId301" Target="https://gam.prontonlp.com/#/ref/$SENTID_T000003711263-186" TargetMode="External" /><Relationship Type="http://schemas.openxmlformats.org/officeDocument/2006/relationships/hyperlink" Id="rId411" Target="https://gam.prontonlp.com/#/ref/$SENTID_T000003711263-239" TargetMode="External" /><Relationship Type="http://schemas.openxmlformats.org/officeDocument/2006/relationships/hyperlink" Id="rId505" Target="https://gam.prontonlp.com/#/ref/$SENTID_T000003711263-28" TargetMode="External" /><Relationship Type="http://schemas.openxmlformats.org/officeDocument/2006/relationships/hyperlink" Id="rId158" Target="https://gam.prontonlp.com/#/ref/$SENTID_T000003711263-302" TargetMode="External" /><Relationship Type="http://schemas.openxmlformats.org/officeDocument/2006/relationships/hyperlink" Id="rId114" Target="https://gam.prontonlp.com/#/ref/$SENTID_T000003711263-31" TargetMode="External" /><Relationship Type="http://schemas.openxmlformats.org/officeDocument/2006/relationships/hyperlink" Id="rId162" Target="https://gam.prontonlp.com/#/ref/$SENTID_T000003711263-344" TargetMode="External" /><Relationship Type="http://schemas.openxmlformats.org/officeDocument/2006/relationships/hyperlink" Id="rId149" Target="https://gam.prontonlp.com/#/ref/$SENTID_T000003711263-355" TargetMode="External" /><Relationship Type="http://schemas.openxmlformats.org/officeDocument/2006/relationships/hyperlink" Id="rId169" Target="https://gam.prontonlp.com/#/ref/$SENTID_T000003711263-356" TargetMode="External" /><Relationship Type="http://schemas.openxmlformats.org/officeDocument/2006/relationships/hyperlink" Id="rId171" Target="https://gam.prontonlp.com/#/ref/$SENTID_T000003711263-36" TargetMode="External" /><Relationship Type="http://schemas.openxmlformats.org/officeDocument/2006/relationships/hyperlink" Id="rId241" Target="https://gam.prontonlp.com/#/ref/$SENTID_T000003711263-90" TargetMode="External" /><Relationship Type="http://schemas.openxmlformats.org/officeDocument/2006/relationships/hyperlink" Id="rId278" Target="https://gam.prontonlp.com/#/ref/$SENTID_T000003711263-92" TargetMode="External" /><Relationship Type="http://schemas.openxmlformats.org/officeDocument/2006/relationships/hyperlink" Id="rId279" Target="https://gam.prontonlp.com/#/ref/$SENTID_T000003711263-93" TargetMode="External" /><Relationship Type="http://schemas.openxmlformats.org/officeDocument/2006/relationships/hyperlink" Id="rId506" Target="https://gam.prontonlp.com/#/ref/$SENTID_T000003779883-116" TargetMode="External" /><Relationship Type="http://schemas.openxmlformats.org/officeDocument/2006/relationships/hyperlink" Id="rId133" Target="https://gam.prontonlp.com/#/ref/$SENTID_T000003779883-129" TargetMode="External" /><Relationship Type="http://schemas.openxmlformats.org/officeDocument/2006/relationships/hyperlink" Id="rId39" Target="https://gam.prontonlp.com/#/ref/$SENTID_T000003779883-150" TargetMode="External" /><Relationship Type="http://schemas.openxmlformats.org/officeDocument/2006/relationships/hyperlink" Id="rId242" Target="https://gam.prontonlp.com/#/ref/$SENTID_T000003779883-158" TargetMode="External" /><Relationship Type="http://schemas.openxmlformats.org/officeDocument/2006/relationships/hyperlink" Id="rId331" Target="https://gam.prontonlp.com/#/ref/$SENTID_T000003779883-159" TargetMode="External" /><Relationship Type="http://schemas.openxmlformats.org/officeDocument/2006/relationships/hyperlink" Id="rId120" Target="https://gam.prontonlp.com/#/ref/$SENTID_T000003779883-160" TargetMode="External" /><Relationship Type="http://schemas.openxmlformats.org/officeDocument/2006/relationships/hyperlink" Id="rId246" Target="https://gam.prontonlp.com/#/ref/$SENTID_T000003779883-165" TargetMode="External" /><Relationship Type="http://schemas.openxmlformats.org/officeDocument/2006/relationships/hyperlink" Id="rId124" Target="https://gam.prontonlp.com/#/ref/$SENTID_T000003779883-167" TargetMode="External" /><Relationship Type="http://schemas.openxmlformats.org/officeDocument/2006/relationships/hyperlink" Id="rId32" Target="https://gam.prontonlp.com/#/ref/$SENTID_T000003779883-169" TargetMode="External" /><Relationship Type="http://schemas.openxmlformats.org/officeDocument/2006/relationships/hyperlink" Id="rId272" Target="https://gam.prontonlp.com/#/ref/$SENTID_T000003779883-170" TargetMode="External" /><Relationship Type="http://schemas.openxmlformats.org/officeDocument/2006/relationships/hyperlink" Id="rId252" Target="https://gam.prontonlp.com/#/ref/$SENTID_T000003779883-175" TargetMode="External" /><Relationship Type="http://schemas.openxmlformats.org/officeDocument/2006/relationships/hyperlink" Id="rId332" Target="https://gam.prontonlp.com/#/ref/$SENTID_T000003779883-176" TargetMode="External" /><Relationship Type="http://schemas.openxmlformats.org/officeDocument/2006/relationships/hyperlink" Id="rId255" Target="https://gam.prontonlp.com/#/ref/$SENTID_T000003779883-179" TargetMode="External" /><Relationship Type="http://schemas.openxmlformats.org/officeDocument/2006/relationships/hyperlink" Id="rId41" Target="https://gam.prontonlp.com/#/ref/$SENTID_T000003779883-180" TargetMode="External" /><Relationship Type="http://schemas.openxmlformats.org/officeDocument/2006/relationships/hyperlink" Id="rId333" Target="https://gam.prontonlp.com/#/ref/$SENTID_T000003779883-183" TargetMode="External" /><Relationship Type="http://schemas.openxmlformats.org/officeDocument/2006/relationships/hyperlink" Id="rId334" Target="https://gam.prontonlp.com/#/ref/$SENTID_T000003779883-187" TargetMode="External" /><Relationship Type="http://schemas.openxmlformats.org/officeDocument/2006/relationships/hyperlink" Id="rId329" Target="https://gam.prontonlp.com/#/ref/$SENTID_T000003779883-199" TargetMode="External" /><Relationship Type="http://schemas.openxmlformats.org/officeDocument/2006/relationships/hyperlink" Id="rId330" Target="https://gam.prontonlp.com/#/ref/$SENTID_T000003779883-200" TargetMode="External" /><Relationship Type="http://schemas.openxmlformats.org/officeDocument/2006/relationships/hyperlink" Id="rId34" Target="https://gam.prontonlp.com/#/ref/$SENTID_T000003779883-201" TargetMode="External" /><Relationship Type="http://schemas.openxmlformats.org/officeDocument/2006/relationships/hyperlink" Id="rId467" Target="https://gam.prontonlp.com/#/ref/$SENTID_T000003779883-204" TargetMode="External" /><Relationship Type="http://schemas.openxmlformats.org/officeDocument/2006/relationships/hyperlink" Id="rId343" Target="https://gam.prontonlp.com/#/ref/$SENTID_T000003779883-206" TargetMode="External" /><Relationship Type="http://schemas.openxmlformats.org/officeDocument/2006/relationships/hyperlink" Id="rId335" Target="https://gam.prontonlp.com/#/ref/$SENTID_T000003779883-213" TargetMode="External" /><Relationship Type="http://schemas.openxmlformats.org/officeDocument/2006/relationships/hyperlink" Id="rId38" Target="https://gam.prontonlp.com/#/ref/$SENTID_T000003779883-220" TargetMode="External" /><Relationship Type="http://schemas.openxmlformats.org/officeDocument/2006/relationships/hyperlink" Id="rId45" Target="https://gam.prontonlp.com/#/ref/$SENTID_T000003779883-221" TargetMode="External" /><Relationship Type="http://schemas.openxmlformats.org/officeDocument/2006/relationships/hyperlink" Id="rId49" Target="https://gam.prontonlp.com/#/ref/$SENTID_T000003779883-223" TargetMode="External" /><Relationship Type="http://schemas.openxmlformats.org/officeDocument/2006/relationships/hyperlink" Id="rId167" Target="https://gam.prontonlp.com/#/ref/$SENTID_T000003779883-224" TargetMode="External" /><Relationship Type="http://schemas.openxmlformats.org/officeDocument/2006/relationships/hyperlink" Id="rId336" Target="https://gam.prontonlp.com/#/ref/$SENTID_T000003779883-247" TargetMode="External" /><Relationship Type="http://schemas.openxmlformats.org/officeDocument/2006/relationships/hyperlink" Id="rId304" Target="https://gam.prontonlp.com/#/ref/$SENTID_T000003779883-252" TargetMode="External" /><Relationship Type="http://schemas.openxmlformats.org/officeDocument/2006/relationships/hyperlink" Id="rId468" Target="https://gam.prontonlp.com/#/ref/$SENTID_T000003779883-261" TargetMode="External" /><Relationship Type="http://schemas.openxmlformats.org/officeDocument/2006/relationships/hyperlink" Id="rId466" Target="https://gam.prontonlp.com/#/ref/$SENTID_T000003779883-267" TargetMode="External" /><Relationship Type="http://schemas.openxmlformats.org/officeDocument/2006/relationships/hyperlink" Id="rId29" Target="https://gam.prontonlp.com/#/ref/$SENTID_T000003779883-268" TargetMode="External" /><Relationship Type="http://schemas.openxmlformats.org/officeDocument/2006/relationships/hyperlink" Id="rId28" Target="https://gam.prontonlp.com/#/ref/$SENTID_T000003779883-271" TargetMode="External" /><Relationship Type="http://schemas.openxmlformats.org/officeDocument/2006/relationships/hyperlink" Id="rId122" Target="https://gam.prontonlp.com/#/ref/$SENTID_T000003779883-329" TargetMode="External" /><Relationship Type="http://schemas.openxmlformats.org/officeDocument/2006/relationships/hyperlink" Id="rId27" Target="https://gam.prontonlp.com/#/ref/$SENTID_T000003779883-39" TargetMode="External" /><Relationship Type="http://schemas.openxmlformats.org/officeDocument/2006/relationships/hyperlink" Id="rId165" Target="https://gam.prontonlp.com/#/ref/$SENTID_T000003779883-390" TargetMode="External" /><Relationship Type="http://schemas.openxmlformats.org/officeDocument/2006/relationships/hyperlink" Id="rId172" Target="https://gam.prontonlp.com/#/ref/$SENTID_T000003779883-420" TargetMode="External" /><Relationship Type="http://schemas.openxmlformats.org/officeDocument/2006/relationships/hyperlink" Id="rId424" Target="https://gam.prontonlp.com/#/ref/$SENTID_T000003779883-424" TargetMode="External" /><Relationship Type="http://schemas.openxmlformats.org/officeDocument/2006/relationships/hyperlink" Id="rId30" Target="https://gam.prontonlp.com/#/ref/$SENTID_T000003779883-43" TargetMode="External" /><Relationship Type="http://schemas.openxmlformats.org/officeDocument/2006/relationships/hyperlink" Id="rId337" Target="https://gam.prontonlp.com/#/ref/$SENTID_T000003779883-432" TargetMode="External" /><Relationship Type="http://schemas.openxmlformats.org/officeDocument/2006/relationships/hyperlink" Id="rId163" Target="https://gam.prontonlp.com/#/ref/$SENTID_T000003779883-478" TargetMode="External" /><Relationship Type="http://schemas.openxmlformats.org/officeDocument/2006/relationships/hyperlink" Id="rId116" Target="https://gam.prontonlp.com/#/ref/$SENTID_T000003779883-54" TargetMode="External" /><Relationship Type="http://schemas.openxmlformats.org/officeDocument/2006/relationships/hyperlink" Id="rId173" Target="https://gam.prontonlp.com/#/ref/$SENTID_T000003779883-55" TargetMode="External" /><Relationship Type="http://schemas.openxmlformats.org/officeDocument/2006/relationships/hyperlink" Id="rId118" Target="https://gam.prontonlp.com/#/ref/$SENTID_T000003779883-58" TargetMode="External" /><Relationship Type="http://schemas.openxmlformats.org/officeDocument/2006/relationships/hyperlink" Id="rId115" Target="https://gam.prontonlp.com/#/ref/$SENTID_T000003779883-69" TargetMode="External" /><Relationship Type="http://schemas.openxmlformats.org/officeDocument/2006/relationships/hyperlink" Id="rId150" Target="https://gam.prontonlp.com/#/ref/$SENTID_T000003779883-80" TargetMode="External" /><Relationship Type="http://schemas.openxmlformats.org/officeDocument/2006/relationships/hyperlink" Id="rId164" Target="https://gam.prontonlp.com/#/ref/$SENTID_T000003779883-90" TargetMode="External" /><Relationship Type="http://schemas.openxmlformats.org/officeDocument/2006/relationships/hyperlink" Id="rId450" Target="https://gam.prontonlp.com/#/ref/$SENTID_T000003779883-99" TargetMode="External" /><Relationship Type="http://schemas.openxmlformats.org/officeDocument/2006/relationships/hyperlink" Id="rId387" Target="https://www.capitaliq.spglobal.com/apisv3/spg-webplatform-core/docviewer?mid=200874269&amp;uctSearch=2316.680000" TargetMode="External" /><Relationship Type="http://schemas.openxmlformats.org/officeDocument/2006/relationships/hyperlink" Id="rId213" Target="https://www.capitaliq.spglobal.com/apisv3/spg-webplatform-core/docviewer?mid=218853463&amp;uctSearch=-1198.000000" TargetMode="External" /><Relationship Type="http://schemas.openxmlformats.org/officeDocument/2006/relationships/hyperlink" Id="rId215" Target="https://www.capitaliq.spglobal.com/apisv3/spg-webplatform-core/docviewer?mid=218853463&amp;uctSearch=-1543.000000" TargetMode="External" /><Relationship Type="http://schemas.openxmlformats.org/officeDocument/2006/relationships/hyperlink" Id="rId206" Target="https://www.capitaliq.spglobal.com/apisv3/spg-webplatform-core/docviewer?mid=218853463&amp;uctSearch=-997.000000" TargetMode="External" /><Relationship Type="http://schemas.openxmlformats.org/officeDocument/2006/relationships/hyperlink" Id="rId196" Target="https://www.capitaliq.spglobal.com/apisv3/spg-webplatform-core/docviewer?mid=218853463&amp;uctSearch=18406.000000" TargetMode="External" /><Relationship Type="http://schemas.openxmlformats.org/officeDocument/2006/relationships/hyperlink" Id="rId201" Target="https://www.capitaliq.spglobal.com/apisv3/spg-webplatform-core/docviewer?mid=218853463&amp;uctSearch=3109.000000" TargetMode="External" /><Relationship Type="http://schemas.openxmlformats.org/officeDocument/2006/relationships/hyperlink" Id="rId214" Target="https://www.capitaliq.spglobal.com/apisv3/spg-webplatform-core/docviewer?mid=237408246&amp;uctSearch=-112.000000" TargetMode="External" /><Relationship Type="http://schemas.openxmlformats.org/officeDocument/2006/relationships/hyperlink" Id="rId216" Target="https://www.capitaliq.spglobal.com/apisv3/spg-webplatform-core/docviewer?mid=237408246&amp;uctSearch=-92.000000" TargetMode="External" /><Relationship Type="http://schemas.openxmlformats.org/officeDocument/2006/relationships/hyperlink" Id="rId207" Target="https://www.capitaliq.spglobal.com/apisv3/spg-webplatform-core/docviewer?mid=237408246&amp;uctSearch=119.000000" TargetMode="External" /><Relationship Type="http://schemas.openxmlformats.org/officeDocument/2006/relationships/hyperlink" Id="rId197" Target="https://www.capitaliq.spglobal.com/apisv3/spg-webplatform-core/docviewer?mid=237408246&amp;uctSearch=20583.000000" TargetMode="External" /><Relationship Type="http://schemas.openxmlformats.org/officeDocument/2006/relationships/hyperlink" Id="rId202" Target="https://www.capitaliq.spglobal.com/apisv3/spg-webplatform-core/docviewer?mid=237408246&amp;uctSearch=4710.000000" TargetMode="External" /><Relationship Type="http://schemas.openxmlformats.org/officeDocument/2006/relationships/hyperlink" Id="rId383" Target="https://www.capitaliq.spglobal.com/apisv3/spg-webplatform-core/docviewer?mid=238578856&amp;uctSearch=3564.000000" TargetMode="External" /><Relationship Type="http://schemas.openxmlformats.org/officeDocument/2006/relationships/hyperlink" Id="rId64" Target="https://www.capitaliq.spglobal.com/apisv3/spg-webplatform-core/docviewer?mid=255973354" TargetMode="External" /><Relationship Type="http://schemas.openxmlformats.org/officeDocument/2006/relationships/hyperlink" Id="rId361" Target="https://www.capitaliq.spglobal.com/apisv3/spg-webplatform-core/docviewer?mid=255973354&amp;uctSearch=-140.000000" TargetMode="External" /><Relationship Type="http://schemas.openxmlformats.org/officeDocument/2006/relationships/hyperlink" Id="rId459" Target="https://www.capitaliq.spglobal.com/apisv3/spg-webplatform-core/docviewer?mid=255973354&amp;uctSearch=-178.000000" TargetMode="External" /><Relationship Type="http://schemas.openxmlformats.org/officeDocument/2006/relationships/hyperlink" Id="rId460" Target="https://www.capitaliq.spglobal.com/apisv3/spg-webplatform-core/docviewer?mid=255973354&amp;uctSearch=-243.000000" TargetMode="External" /><Relationship Type="http://schemas.openxmlformats.org/officeDocument/2006/relationships/hyperlink" Id="rId360" Target="https://www.capitaliq.spglobal.com/apisv3/spg-webplatform-core/docviewer?mid=255973354&amp;uctSearch=-86.000000" TargetMode="External" /><Relationship Type="http://schemas.openxmlformats.org/officeDocument/2006/relationships/hyperlink" Id="rId205" Target="https://www.capitaliq.spglobal.com/apisv3/spg-webplatform-core/docviewer?mid=255973354&amp;uctSearch=10141.000000" TargetMode="External" /><Relationship Type="http://schemas.openxmlformats.org/officeDocument/2006/relationships/hyperlink" Id="rId210" Target="https://www.capitaliq.spglobal.com/apisv3/spg-webplatform-core/docviewer?mid=255973354&amp;uctSearch=1015.000000" TargetMode="External" /><Relationship Type="http://schemas.openxmlformats.org/officeDocument/2006/relationships/hyperlink" Id="rId61" Target="https://www.capitaliq.spglobal.com/apisv3/spg-webplatform-core/docviewer?mid=255973354&amp;uctSearch=1360.000000" TargetMode="External" /><Relationship Type="http://schemas.openxmlformats.org/officeDocument/2006/relationships/hyperlink" Id="rId62" Target="https://www.capitaliq.spglobal.com/apisv3/spg-webplatform-core/docviewer?mid=255973354&amp;uctSearch=154.000000" TargetMode="External" /><Relationship Type="http://schemas.openxmlformats.org/officeDocument/2006/relationships/hyperlink" Id="rId488" Target="https://www.capitaliq.spglobal.com/apisv3/spg-webplatform-core/docviewer?mid=255973354&amp;uctSearch=1773.000000" TargetMode="External" /><Relationship Type="http://schemas.openxmlformats.org/officeDocument/2006/relationships/hyperlink" Id="rId63" Target="https://www.capitaliq.spglobal.com/apisv3/spg-webplatform-core/docviewer?mid=255973354&amp;uctSearch=208.000000" TargetMode="External" /><Relationship Type="http://schemas.openxmlformats.org/officeDocument/2006/relationships/hyperlink" Id="rId52" Target="https://www.capitaliq.spglobal.com/apisv3/spg-webplatform-core/docviewer?mid=255973354&amp;uctSearch=24383.000000" TargetMode="External" /><Relationship Type="http://schemas.openxmlformats.org/officeDocument/2006/relationships/hyperlink" Id="rId53" Target="https://www.capitaliq.spglobal.com/apisv3/spg-webplatform-core/docviewer?mid=255973354&amp;uctSearch=30268.000000" TargetMode="External" /><Relationship Type="http://schemas.openxmlformats.org/officeDocument/2006/relationships/hyperlink" Id="rId54" Target="https://www.capitaliq.spglobal.com/apisv3/spg-webplatform-core/docviewer?mid=255973354&amp;uctSearch=34534.000000" TargetMode="External" /><Relationship Type="http://schemas.openxmlformats.org/officeDocument/2006/relationships/hyperlink" Id="rId59" Target="https://www.capitaliq.spglobal.com/apisv3/spg-webplatform-core/docviewer?mid=255973354&amp;uctSearch=388.000000" TargetMode="External" /><Relationship Type="http://schemas.openxmlformats.org/officeDocument/2006/relationships/hyperlink" Id="rId58" Target="https://www.capitaliq.spglobal.com/apisv3/spg-webplatform-core/docviewer?mid=255973354&amp;uctSearch=473.000000" TargetMode="External" /><Relationship Type="http://schemas.openxmlformats.org/officeDocument/2006/relationships/hyperlink" Id="rId60" Target="https://www.capitaliq.spglobal.com/apisv3/spg-webplatform-core/docviewer?mid=255973354&amp;uctSearch=498.000000" TargetMode="External" /><Relationship Type="http://schemas.openxmlformats.org/officeDocument/2006/relationships/hyperlink" Id="rId203" Target="https://www.capitaliq.spglobal.com/apisv3/spg-webplatform-core/docviewer?mid=255973354&amp;uctSearch=6190.000000" TargetMode="External" /><Relationship Type="http://schemas.openxmlformats.org/officeDocument/2006/relationships/hyperlink" Id="rId208" Target="https://www.capitaliq.spglobal.com/apisv3/spg-webplatform-core/docviewer?mid=255973354&amp;uctSearch=748.000000" TargetMode="External" /><Relationship Type="http://schemas.openxmlformats.org/officeDocument/2006/relationships/hyperlink" Id="rId209" Target="https://www.capitaliq.spglobal.com/apisv3/spg-webplatform-core/docviewer?mid=255973354&amp;uctSearch=821.000000" TargetMode="External" /><Relationship Type="http://schemas.openxmlformats.org/officeDocument/2006/relationships/hyperlink" Id="rId204" Target="https://www.capitaliq.spglobal.com/apisv3/spg-webplatform-core/docviewer?mid=255973354&amp;uctSearch=8715.000000" TargetMode="External" /><Relationship Type="http://schemas.openxmlformats.org/officeDocument/2006/relationships/hyperlink" Id="rId35" Target="https://www.capitaliq.spglobal.com/apisv3/spg-webplatform-core/docviewer?mid=259645823&amp;uctSearch=-242.000000" TargetMode="External" /><Relationship Type="http://schemas.openxmlformats.org/officeDocument/2006/relationships/hyperlink" Id="rId462" Target="https://www.capitaliq.spglobal.com/apisv3/spg-webplatform-core/docviewer?mid=259645823&amp;uctSearch=-391.000000" TargetMode="External" /><Relationship Type="http://schemas.openxmlformats.org/officeDocument/2006/relationships/hyperlink" Id="rId258" Target="https://www.capitaliq.spglobal.com/apisv3/spg-webplatform-core/docviewer?mid=259645823&amp;uctSearch=162.000000" TargetMode="External" /><Relationship Type="http://schemas.openxmlformats.org/officeDocument/2006/relationships/hyperlink" Id="rId338" Target="https://www.capitaliq.spglobal.com/apisv3/spg-webplatform-core/docviewer?mid=259645823&amp;uctSearch=406.000000" TargetMode="External" /><Relationship Type="http://schemas.openxmlformats.org/officeDocument/2006/relationships/hyperlink" Id="rId20" Target="https://www.capitaliq.spglobal.com/apisv3/spg-webplatform-core/docviewer?mid=264559057" TargetMode="External" /><Relationship Type="http://schemas.openxmlformats.org/officeDocument/2006/relationships/hyperlink" Id="rId36" Target="https://www.capitaliq.spglobal.com/apisv3/spg-webplatform-core/docviewer?mid=264559057&amp;uctSearch=-556.000000" TargetMode="External" /><Relationship Type="http://schemas.openxmlformats.org/officeDocument/2006/relationships/hyperlink" Id="rId340" Target="https://www.capitaliq.spglobal.com/apisv3/spg-webplatform-core/docviewer?mid=264559057&amp;uctSearch=1985.000000" TargetMode="External" /><Relationship Type="http://schemas.openxmlformats.org/officeDocument/2006/relationships/hyperlink" Id="rId354" Target="https://www.capitaliq.spglobal.com/apisv3/spg-webplatform-core/docviewer?mid=264559057&amp;uctSearch=2470.000000" TargetMode="External" /><Relationship Type="http://schemas.openxmlformats.org/officeDocument/2006/relationships/hyperlink" Id="rId353" Target="https://www.capitaliq.spglobal.com/apisv3/spg-webplatform-core/docviewer?mid=264559057&amp;uctSearch=560.000000" TargetMode="External" /><Relationship Type="http://schemas.openxmlformats.org/officeDocument/2006/relationships/hyperlink" Id="rId358" Target="https://www.capitaliq.spglobal.com/apisv3/spg-webplatform-core/docviewer?mid=264559057&amp;uctSearch=6110.000000" TargetMode="External" /><Relationship Type="http://schemas.openxmlformats.org/officeDocument/2006/relationships/hyperlink" Id="rId355" Target="https://www.capitaliq.spglobal.com/apisv3/spg-webplatform-core/docviewer?mid=264559057&amp;uctSearch=618.000000" TargetMode="External" /><Relationship Type="http://schemas.openxmlformats.org/officeDocument/2006/relationships/hyperlink" Id="rId339" Target="https://www.capitaliq.spglobal.com/apisv3/spg-webplatform-core/docviewer?mid=264559057&amp;uctSearch=876.000000" TargetMode="External" /><Relationship Type="http://schemas.openxmlformats.org/officeDocument/2006/relationships/hyperlink" Id="rId328" Target="https://www.capitaliq.spglobal.com/apisv3/spg-webplatform-core/docviewer?mid=264559057&amp;uctSearch=8856.000000" TargetMode="External" /><Relationship Type="http://schemas.openxmlformats.org/officeDocument/2006/relationships/hyperlink" Id="rId378" Target="https://www.capitaliq.spglobal.com/apisv3/spg-webplatform-core/docviewer?mid=2655782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Coupang, Inc. (NYSE: CPNG): A temporary glitch, priced as a permanent one</dc:title>
  <dc:creator/>
  <dc:language>en-GB</dc:language>
  <cp:keywords/>
  <dcterms:created xsi:type="dcterms:W3CDTF">2026-10-12T05:26:42Z</dcterms:created>
  <dcterms:modified xsi:type="dcterms:W3CDTF">2026-10-12T05:26:42Z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vt:lpwstr>
  </property>
  <property fmtid="{D5CDD505-2E9C-101B-9397-08002B2CF9AE}" pid="3" name="subtitle">
    <vt:lpwstr>Institutional equity research: operations, investment case, valuation, governance and forensic review</vt:lpwstr>
  </property>
</Properties>
</file>