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4"/>
        <w:jc w:val="left"/>
      </w:pPr>
      <w:r>
        <w:rPr>
          <w:rFonts w:ascii="Arial" w:cs="Arial" w:eastAsia="Arial" w:hAnsi="Arial"/>
          <w:sz w:val="19"/>
          <w:szCs w:val="19"/>
        </w:rPr>
        <w:t xml:space="preserve"> </w:t>
      </w:r>
    </w:p>
    <w:p>
      <w:pPr>
        <w:spacing w:after="100" w:before="0" w:line="264"/>
        <w:jc w:val="left"/>
      </w:pPr>
      <w:r>
        <w:rPr>
          <w:rFonts w:ascii="Arial" w:cs="Arial" w:eastAsia="Arial" w:hAnsi="Arial"/>
          <w:b/>
          <w:bCs/>
          <w:color w:val="2A78D6"/>
          <w:sz w:val="18"/>
          <w:szCs w:val="18"/>
        </w:rPr>
        <w:t xml:space="preserve">INSTITUTIONAL EQUITY RESEARCH  |  EVENT-DRIVEN / SPECIAL SITUATIONS</w:t>
      </w:r>
    </w:p>
    <w:p>
      <w:pPr>
        <w:spacing w:after="60" w:before="120" w:line="780"/>
        <w:jc w:val="left"/>
      </w:pPr>
      <w:r>
        <w:rPr>
          <w:rFonts w:ascii="Arial" w:cs="Arial" w:eastAsia="Arial" w:hAnsi="Arial"/>
          <w:b/>
          <w:bCs/>
          <w:color w:val="13213F"/>
          <w:sz w:val="64"/>
          <w:szCs w:val="64"/>
        </w:rPr>
        <w:t xml:space="preserve">Elis SA (ELIS FP)</w:t>
      </w:r>
    </w:p>
    <w:p>
      <w:pPr>
        <w:spacing w:after="300" w:before="0" w:line="300"/>
        <w:jc w:val="left"/>
      </w:pPr>
      <w:r>
        <w:rPr>
          <w:rFonts w:ascii="Arial" w:cs="Arial" w:eastAsia="Arial" w:hAnsi="Arial"/>
          <w:color w:val="52514E"/>
          <w:sz w:val="22"/>
          <w:szCs w:val="22"/>
        </w:rPr>
        <w:t xml:space="preserve">Euronext Paris: ELIS  ·  Textile, hygiene and facility services  ·  12 October 2026</w:t>
      </w:r>
    </w:p>
    <w:p>
      <w:pPr>
        <w:spacing w:after="360" w:before="0" w:line="340"/>
        <w:jc w:val="left"/>
      </w:pPr>
      <w:r>
        <w:rPr>
          <w:rFonts w:ascii="Arial" w:cs="Arial" w:eastAsia="Arial" w:hAnsi="Arial"/>
          <w:color w:val="13213F"/>
          <w:sz w:val="26"/>
          <w:szCs w:val="26"/>
        </w:rPr>
        <w:t xml:space="preserve">A capital-intensive compounder priced as a value trap: 11x headline earnings, 8% FCF yield and a ~20% Brazilian family holder, with the OCEANE soft call and Q3 revenue as near-term tests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6"/>
      </w:tblGrid>
      <w:tr>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BUY</w:t>
            </w:r>
          </w:p>
          <w:p>
            <w:pPr>
              <w:spacing w:after="0" w:line="220"/>
            </w:pPr>
            <w:r>
              <w:rPr>
                <w:rFonts w:ascii="Arial" w:cs="Arial" w:eastAsia="Arial" w:hAnsi="Arial"/>
                <w:color w:val="52514E"/>
                <w:sz w:val="14"/>
                <w:szCs w:val="14"/>
              </w:rPr>
              <w:t xml:space="preserve">Recommendation (event-driven, medium conviction)</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€26</w:t>
            </w:r>
          </w:p>
          <w:p>
            <w:pPr>
              <w:spacing w:after="0" w:line="220"/>
            </w:pPr>
            <w:r>
              <w:rPr>
                <w:rFonts w:ascii="Arial" w:cs="Arial" w:eastAsia="Arial" w:hAnsi="Arial"/>
                <w:color w:val="52514E"/>
                <w:sz w:val="14"/>
                <w:szCs w:val="14"/>
              </w:rPr>
              <w:t xml:space="preserve">12-month target price (+22%); probability-weighted €25</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€21.26</w:t>
            </w:r>
          </w:p>
          <w:p>
            <w:pPr>
              <w:spacing w:after="0" w:line="220"/>
            </w:pPr>
            <w:r>
              <w:rPr>
                <w:rFonts w:ascii="Arial" w:cs="Arial" w:eastAsia="Arial" w:hAnsi="Arial"/>
                <w:color w:val="52514E"/>
                <w:sz w:val="14"/>
                <w:szCs w:val="14"/>
              </w:rPr>
              <w:t xml:space="preserve">Reference price, close 9-Oct-2026</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€4.6bn</w:t>
            </w:r>
          </w:p>
          <w:p>
            <w:pPr>
              <w:spacing w:after="0" w:line="220"/>
            </w:pPr>
            <w:r>
              <w:rPr>
                <w:rFonts w:ascii="Arial" w:cs="Arial" w:eastAsia="Arial" w:hAnsi="Arial"/>
                <w:color w:val="52514E"/>
                <w:sz w:val="14"/>
                <w:szCs w:val="14"/>
              </w:rPr>
              <w:t xml:space="preserve">Market cap (215.9m shares); EV €9.0bn incl. leases</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6"/>
      </w:tblGrid>
      <w:tr>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5.2x</w:t>
            </w:r>
          </w:p>
          <w:p>
            <w:pPr>
              <w:spacing w:after="0" w:line="220"/>
            </w:pPr>
            <w:r>
              <w:rPr>
                <w:rFonts w:ascii="Arial" w:cs="Arial" w:eastAsia="Arial" w:hAnsi="Arial"/>
                <w:color w:val="52514E"/>
                <w:sz w:val="14"/>
                <w:szCs w:val="14"/>
              </w:rPr>
              <w:t xml:space="preserve">EV / LTM adjusted EBITDA [calc]</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11.3x</w:t>
            </w:r>
          </w:p>
          <w:p>
            <w:pPr>
              <w:spacing w:after="0" w:line="220"/>
            </w:pPr>
            <w:r>
              <w:rPr>
                <w:rFonts w:ascii="Arial" w:cs="Arial" w:eastAsia="Arial" w:hAnsi="Arial"/>
                <w:color w:val="52514E"/>
                <w:sz w:val="14"/>
                <w:szCs w:val="14"/>
              </w:rPr>
              <w:t xml:space="preserve">P/E on LTM headline diluted EPS [calc]</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2.09x</w:t>
            </w:r>
          </w:p>
          <w:p>
            <w:pPr>
              <w:spacing w:after="0" w:line="220"/>
            </w:pPr>
            <w:r>
              <w:rPr>
                <w:rFonts w:ascii="Arial" w:cs="Arial" w:eastAsia="Arial" w:hAnsi="Arial"/>
                <w:color w:val="52514E"/>
                <w:sz w:val="14"/>
                <w:szCs w:val="14"/>
              </w:rPr>
              <w:t xml:space="preserve">Leverage at 30-Jun-2026 (covenant 3.75x)</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−25%</w:t>
            </w:r>
          </w:p>
          <w:p>
            <w:pPr>
              <w:spacing w:after="0" w:line="220"/>
            </w:pPr>
            <w:r>
              <w:rPr>
                <w:rFonts w:ascii="Arial" w:cs="Arial" w:eastAsia="Arial" w:hAnsi="Arial"/>
                <w:color w:val="52514E"/>
                <w:sz w:val="14"/>
                <w:szCs w:val="14"/>
              </w:rPr>
              <w:t xml:space="preserve">From the 3-Jul-2026 high of €28.20</w:t>
            </w:r>
          </w:p>
        </w:tc>
      </w:tr>
    </w:tbl>
    <w:p>
      <w:pPr>
        <w:spacing w:after="120"/>
      </w:pPr>
    </w:p>
    <w:p>
      <w:pPr>
        <w:spacing w:after="600" w:before="0" w:line="264"/>
        <w:jc w:val="left"/>
      </w:pPr>
      <w:r>
        <w:rPr>
          <w:rFonts w:ascii="Arial" w:cs="Arial" w:eastAsia="Arial" w:hAnsi="Arial"/>
          <w:sz w:val="19"/>
          <w:szCs w:val="19"/>
        </w:rPr>
        <w:t xml:space="preserve"> </w:t>
      </w:r>
    </w:p>
    <w:p>
      <w:pPr>
        <w:spacing w:after="100" w:before="0" w:line="264"/>
        <w:jc w:val="left"/>
      </w:pPr>
      <w:r>
        <w:rPr>
          <w:rFonts w:ascii="Arial" w:cs="Arial" w:eastAsia="Arial" w:hAnsi="Arial"/>
          <w:color w:val="898781"/>
          <w:sz w:val="15"/>
          <w:szCs w:val="15"/>
        </w:rPr>
        <w:t xml:space="preserve">Data sources: S&amp;P Global (Capital IQ via the S&amp;P Deterministic Retrieval connector) and ProntoNLP (S&amp;P transcripts, Elis filings, prices, sentiment) only. No web sources. Figures are hyperlinked to their source documents where the connector returned a link; otherwise flagged "S&amp;P, link n/a". [calc] = analyst calculation; [e] = estimate; [u] = unverified. A separate data-provenance document lists every connector call and the raw data.</w:t>
      </w:r>
    </w:p>
    <w:p>
      <w:r>
        <w:br w:type="page"/>
      </w:r>
    </w:p>
    <w:p>
      <w:pPr>
        <w:sectPr>
          <w:pgSz w:w="11906" w:h="16838" w:orient="portrait"/>
          <w:pgMar w:top="1020" w:right="1020" w:bottom="1020" w:left="1020" w:header="708" w:footer="708" w:gutter="0"/>
          <w:pgNumType/>
          <w:docGrid w:linePitch="360"/>
        </w:sectPr>
      </w:pPr>
    </w:p>
    <w:p>
      <w:pPr>
        <w:keepNext/>
        <w:spacing w:after="60" w:before="120"/>
      </w:pPr>
      <w:r>
        <w:rPr>
          <w:rFonts w:ascii="Arial" w:cs="Arial" w:eastAsia="Arial" w:hAnsi="Arial"/>
          <w:b/>
          <w:bCs/>
          <w:color w:val="13213F"/>
          <w:sz w:val="18"/>
          <w:szCs w:val="18"/>
        </w:rPr>
        <w:t xml:space="preserve">Contents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9"/>
        <w:gridCol w:w="1097"/>
      </w:tblGrid>
      <w:tr>
        <w:trPr>
          <w:cantSplit/>
          <w:tblHeader/>
        </w:trPr>
        <w:tc>
          <w:tcPr>
            <w:tcW w:type="dxa" w:w="876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7"/>
                <w:szCs w:val="17"/>
              </w:rPr>
              <w:t xml:space="preserve">Section</w:t>
            </w:r>
          </w:p>
        </w:tc>
        <w:tc>
          <w:tcPr>
            <w:tcW w:type="dxa" w:w="109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7"/>
                <w:szCs w:val="17"/>
              </w:rPr>
              <w:t xml:space="preserve">Page</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Investment summary</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3</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 A layman's guide to Elis</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5</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2. What moved the stock: catalysts behind ±10% moves (last five years)</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6</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3. Business model, key drivers, customers, suppliers, competitors and contracts</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10</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4. Macro and micro factors: tailwinds and headwinds</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12</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5. Strength of the franchise and economic moats</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13</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6. Supply chain: from fibre to end user</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14</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7. Financial analysis: five years by segment and geography</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15</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8. Earnings calls, sentiment and the latest result</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18</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9. EPS estimates, FY2026E–FY2028E</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23</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10. Capital structure, debt, covenants and liquidity</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25</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11. Valuation: peers, history and regression</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27</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12. M&amp;A: the industry, Elis as a target, and Elis as an acquirer</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29</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13. Management assessment</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33</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14. Supervisory Board</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35</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15. Shareholders, activism and short interest</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37</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16. Strategic initiatives over the last ten years</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38</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17. Stakes held in other companies</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39</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18. Dividends, buybacks and treasury shares (last five years)</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40</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19. Adversarial analysis: bull case, bear case, pre-mortem and contrarian view</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41</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20. Scenario analysis</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43</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21. Fifteen questions for the CEO and the Chairman of the Supervisory Board</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44</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22. The short-seller's view and forensic accounting review</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45</w:t>
            </w:r>
          </w:p>
        </w:tc>
      </w:tr>
      <w:tr>
        <w:trPr>
          <w:cantSplit/>
        </w:trPr>
        <w:tc>
          <w:tcPr>
            <w:tcW w:type="dxa" w:w="87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23. Timeline of key events and catalyst calendar</w:t>
            </w:r>
          </w:p>
        </w:tc>
        <w:tc>
          <w:tcPr>
            <w:tcW w:type="dxa" w:w="109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47</w:t>
            </w:r>
          </w:p>
        </w:tc>
      </w:tr>
      <w:tr>
        <w:trPr>
          <w:cantSplit/>
        </w:trPr>
        <w:tc>
          <w:tcPr>
            <w:tcW w:type="dxa" w:w="87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7"/>
                <w:szCs w:val="17"/>
              </w:rPr>
              <w:t xml:space="preserve">Appendix: sources, methodology and data gaps</w:t>
            </w:r>
          </w:p>
        </w:tc>
        <w:tc>
          <w:tcPr>
            <w:tcW w:type="dxa" w:w="109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7"/>
                <w:szCs w:val="17"/>
              </w:rPr>
              <w:t xml:space="preserve">50</w:t>
            </w:r>
          </w:p>
        </w:tc>
      </w:tr>
    </w:tbl>
    <w:p>
      <w:pPr>
        <w:spacing w:after="100"/>
      </w:pPr>
    </w:p>
    <w:p>
      <w:r>
        <w:br w:type="page"/>
      </w:r>
    </w:p>
    <w:p>
      <w:pPr>
        <w:pStyle w:val="Heading1"/>
        <w:keepNext/>
        <w:keepLines/>
        <w:pBdr>
          <w:bottom w:val="single" w:color="13213F" w:sz="8" w:space="4"/>
        </w:pBdr>
        <w:spacing w:after="120" w:before="240"/>
      </w:pPr>
      <w:r>
        <w:rPr>
          <w:rFonts w:ascii="Arial" w:cs="Arial" w:eastAsia="Arial" w:hAnsi="Arial"/>
          <w:b/>
          <w:bCs/>
          <w:color w:val="13213F"/>
          <w:sz w:val="30"/>
          <w:szCs w:val="30"/>
        </w:rPr>
        <w:t xml:space="preserve">Investment summary</w:t>
      </w:r>
    </w:p>
    <w:p>
      <w:pPr>
        <w:spacing w:after="100" w:before="0" w:line="264"/>
        <w:jc w:val="left"/>
      </w:pPr>
      <w:r>
        <w:rPr>
          <w:rFonts w:ascii="Arial" w:cs="Arial" w:eastAsia="Arial" w:hAnsi="Arial"/>
          <w:sz w:val="19"/>
          <w:szCs w:val="19"/>
        </w:rPr>
        <w:t xml:space="preserve">Recommendation: BUY, 12-month target €26 (+22%); event-driven, medium conviction.</w:t>
      </w:r>
      <w:r>
        <w:rPr>
          <w:rFonts w:ascii="Arial" w:cs="Arial" w:eastAsia="Arial" w:hAnsi="Arial"/>
          <w:sz w:val="19"/>
          <w:szCs w:val="19"/>
        </w:rPr>
        <w:t xml:space="preserve"> Elis is Europe's leading textile-rental and hygiene-services company: €4.8bn of revenue, an adjusted EBITDA margin of 35.4% and ~87% of revenue from recurring product-as-a-service contracts. After a 25% fall from the July high the shares trade at 5.2x LTM adjusted EBITDA, 11.3x LTM headline EPS and an ~8% FCF yield on equity — the low end of their five-year range and a fraction of US peers (Cintas 26.6x S&amp;P EBITDA). The H1 2026 result disappointed on quality (flat margins, negative H1 free cash flow, Mexico tender loss, leverage 2.09x) but guidance was confirmed, and our base case puts FY2026E headline EPS only ~2% below the guided mid-point.</w:t>
      </w:r>
    </w:p>
    <w:p>
      <w:pPr>
        <w:pStyle w:val="Heading3"/>
        <w:keepNext/>
        <w:keepLines/>
        <w:spacing w:after="80" w:before="180"/>
      </w:pPr>
      <w:r>
        <w:rPr>
          <w:rFonts w:ascii="Arial" w:cs="Arial" w:eastAsia="Arial" w:hAnsi="Arial"/>
          <w:b/>
          <w:bCs/>
          <w:color w:val="2A78D6"/>
          <w:sz w:val="20"/>
          <w:szCs w:val="20"/>
        </w:rPr>
        <w:t xml:space="preserve">Why now — four things converge</w:t>
      </w:r>
    </w:p>
    <w:p>
      <w:pPr>
        <w:pStyle w:val="ListParagraph"/>
        <w:numPr>
          <w:ilvl w:val="0"/>
          <w:numId w:val="2"/>
        </w:numPr>
        <w:spacing w:after="60" w:line="252"/>
      </w:pPr>
      <w:r>
        <w:rPr>
          <w:rFonts w:ascii="Arial" w:cs="Arial" w:eastAsia="Arial" w:hAnsi="Arial"/>
          <w:b/>
          <w:bCs/>
          <w:sz w:val="19"/>
          <w:szCs w:val="19"/>
        </w:rPr>
        <w:t xml:space="preserve">De-rating already done.</w:t>
      </w:r>
      <w:r>
        <w:rPr>
          <w:rFonts w:ascii="Arial" w:cs="Arial" w:eastAsia="Arial" w:hAnsi="Arial"/>
          <w:sz w:val="19"/>
          <w:szCs w:val="19"/>
        </w:rPr>
        <w:t xml:space="preserve"> The stock is −24.6% from the 3-Jul-2026 high and −18.4% since results day; sentiment on the H1 call (</w:t>
      </w:r>
      <w:hyperlink w:history="1" r:id="rIdlvvinvy-cgoo--qj12nmv">
        <w:r>
          <w:rPr>
            <w:rFonts w:ascii="Arial" w:cs="Arial" w:eastAsia="Arial" w:hAnsi="Arial"/>
            <w:color w:val="1C5CAB"/>
            <w:sz w:val="19"/>
            <w:szCs w:val="19"/>
            <w:u w:val="single"/>
          </w:rPr>
          <w:t xml:space="preserve">0.52</w:t>
        </w:r>
      </w:hyperlink>
      <w:r>
        <w:rPr>
          <w:rFonts w:ascii="Arial" w:cs="Arial" w:eastAsia="Arial" w:hAnsi="Arial"/>
          <w:sz w:val="19"/>
          <w:szCs w:val="19"/>
        </w:rPr>
        <w:t xml:space="preserve">) is the lowest since 2020, yet the strategic-position aspect barely moved.</w:t>
      </w:r>
    </w:p>
    <w:p>
      <w:pPr>
        <w:pStyle w:val="ListParagraph"/>
        <w:numPr>
          <w:ilvl w:val="0"/>
          <w:numId w:val="2"/>
        </w:numPr>
        <w:spacing w:after="60" w:line="252"/>
      </w:pPr>
      <w:r>
        <w:rPr>
          <w:rFonts w:ascii="Arial" w:cs="Arial" w:eastAsia="Arial" w:hAnsi="Arial"/>
          <w:b/>
          <w:bCs/>
          <w:sz w:val="19"/>
          <w:szCs w:val="19"/>
        </w:rPr>
        <w:t xml:space="preserve">Capital returns at scale.</w:t>
      </w:r>
      <w:r>
        <w:rPr>
          <w:rFonts w:ascii="Arial" w:cs="Arial" w:eastAsia="Arial" w:hAnsi="Arial"/>
          <w:sz w:val="19"/>
          <w:szCs w:val="19"/>
        </w:rPr>
        <w:t xml:space="preserve"> €466.8m of shares (7.6% of capital) were bought back at €26.25 in H1 2026 </w:t>
      </w:r>
      <w:hyperlink w:history="1" r:id="rIdvfvsmh7idbzvtcbvq78tj">
        <w:r>
          <w:rPr>
            <w:rFonts w:ascii="Arial" w:cs="Arial" w:eastAsia="Arial" w:hAnsi="Arial"/>
            <w:color w:val="1C5CAB"/>
            <w:sz w:val="15"/>
            <w:szCs w:val="15"/>
          </w:rPr>
          <w:t xml:space="preserve">[#292]</w:t>
        </w:r>
      </w:hyperlink>
      <w:r>
        <w:rPr>
          <w:rFonts w:ascii="Arial" w:cs="Arial" w:eastAsia="Arial" w:hAnsi="Arial"/>
          <w:sz w:val="19"/>
          <w:szCs w:val="19"/>
        </w:rPr>
        <w:t xml:space="preserve">; the policy returns all cash beyond €50–150m of bolt-ons and 0.1x a year of deleveraging </w:t>
      </w:r>
      <w:hyperlink w:history="1" r:id="rIdcbst5xrcwpum4uikv_3h8">
        <w:r>
          <w:rPr>
            <w:rFonts w:ascii="Arial" w:cs="Arial" w:eastAsia="Arial" w:hAnsi="Arial"/>
            <w:color w:val="1C5CAB"/>
            <w:sz w:val="15"/>
            <w:szCs w:val="15"/>
          </w:rPr>
          <w:t xml:space="preserve">[#493]</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OCEANE 2029 soft call (from 13-Oct-2026).</w:t>
      </w:r>
      <w:r>
        <w:rPr>
          <w:rFonts w:ascii="Arial" w:cs="Arial" w:eastAsia="Arial" w:hAnsi="Arial"/>
          <w:sz w:val="19"/>
          <w:szCs w:val="19"/>
        </w:rPr>
        <w:t xml:space="preserve"> Conversion of the €380m convertible into treasury shares would cut net debt by ~€362m at no cash cost and take leverage towards ~1.65x </w:t>
      </w:r>
      <w:hyperlink w:history="1" r:id="rIdriunwb4jxowrazfsthzws">
        <w:r>
          <w:rPr>
            <w:rFonts w:ascii="Arial" w:cs="Arial" w:eastAsia="Arial" w:hAnsi="Arial"/>
            <w:color w:val="1C5CAB"/>
            <w:sz w:val="15"/>
            <w:szCs w:val="15"/>
          </w:rPr>
          <w:t xml:space="preserve">[#517]</w:t>
        </w:r>
      </w:hyperlink>
      <w:r>
        <w:rPr>
          <w:rFonts w:ascii="Arial" w:cs="Arial" w:eastAsia="Arial" w:hAnsi="Arial"/>
          <w:sz w:val="19"/>
          <w:szCs w:val="19"/>
        </w:rPr>
        <w:t xml:space="preserve">; the trigger (~€20.8 [calc]) is only ~2% below the price, so the convertible holder base is a natural buyer of weakness.</w:t>
      </w:r>
    </w:p>
    <w:p>
      <w:pPr>
        <w:pStyle w:val="ListParagraph"/>
        <w:numPr>
          <w:ilvl w:val="0"/>
          <w:numId w:val="2"/>
        </w:numPr>
        <w:spacing w:after="60" w:line="252"/>
      </w:pPr>
      <w:r>
        <w:rPr>
          <w:rFonts w:ascii="Arial" w:cs="Arial" w:eastAsia="Arial" w:hAnsi="Arial"/>
          <w:b/>
          <w:bCs/>
          <w:sz w:val="19"/>
          <w:szCs w:val="19"/>
        </w:rPr>
        <w:t xml:space="preserve">A ~20% strategic holder.</w:t>
      </w:r>
      <w:r>
        <w:rPr>
          <w:rFonts w:ascii="Arial" w:cs="Arial" w:eastAsia="Arial" w:hAnsi="Arial"/>
          <w:sz w:val="19"/>
          <w:szCs w:val="19"/>
        </w:rPr>
        <w:t xml:space="preserve"> The Moreira Salles family (BWSA/BWGI) bought CPP Investments' block at €25.00 in Feb-2026 and sits on the Supervisory Board with a 25% standstill </w:t>
      </w:r>
      <w:hyperlink w:history="1" r:id="rId2vj6fb0dmricv-o-crq-m">
        <w:r>
          <w:rPr>
            <w:rFonts w:ascii="Arial" w:cs="Arial" w:eastAsia="Arial" w:hAnsi="Arial"/>
            <w:color w:val="1C5CAB"/>
            <w:sz w:val="15"/>
            <w:szCs w:val="15"/>
          </w:rPr>
          <w:t xml:space="preserve">[#6728]</w:t>
        </w:r>
      </w:hyperlink>
      <w:r>
        <w:rPr>
          <w:rFonts w:ascii="Arial" w:cs="Arial" w:eastAsia="Arial" w:hAnsi="Arial"/>
          <w:sz w:val="19"/>
          <w:szCs w:val="19"/>
        </w:rPr>
        <w:t xml:space="preserve">; its entry price is 18% above today's.</w:t>
      </w:r>
    </w:p>
    <w:p>
      <w:pPr>
        <w:spacing w:after="60"/>
      </w:pPr>
    </w:p>
    <w:p>
      <w:pPr>
        <w:pStyle w:val="Heading3"/>
        <w:keepNext/>
        <w:keepLines/>
        <w:spacing w:after="80" w:before="180"/>
      </w:pPr>
      <w:r>
        <w:rPr>
          <w:rFonts w:ascii="Arial" w:cs="Arial" w:eastAsia="Arial" w:hAnsi="Arial"/>
          <w:b/>
          <w:bCs/>
          <w:color w:val="2A78D6"/>
          <w:sz w:val="20"/>
          <w:szCs w:val="20"/>
        </w:rPr>
        <w:t xml:space="preserve">What has to go right</w:t>
      </w:r>
    </w:p>
    <w:p>
      <w:pPr>
        <w:pStyle w:val="ListParagraph"/>
        <w:numPr>
          <w:ilvl w:val="0"/>
          <w:numId w:val="2"/>
        </w:numPr>
        <w:spacing w:after="60" w:line="252"/>
      </w:pPr>
      <w:r>
        <w:rPr>
          <w:rFonts w:ascii="Arial" w:cs="Arial" w:eastAsia="Arial" w:hAnsi="Arial"/>
          <w:sz w:val="19"/>
          <w:szCs w:val="19"/>
        </w:rPr>
        <w:t xml:space="preserve">Q3 2026 revenue (28-Oct) shows the H2 organic acceleration management promised from record signings, despite Mexico (~€14m 2026 headwind).</w:t>
      </w:r>
    </w:p>
    <w:p>
      <w:pPr>
        <w:pStyle w:val="ListParagraph"/>
        <w:numPr>
          <w:ilvl w:val="0"/>
          <w:numId w:val="2"/>
        </w:numPr>
        <w:spacing w:after="60" w:line="252"/>
      </w:pPr>
      <w:r>
        <w:rPr>
          <w:rFonts w:ascii="Arial" w:cs="Arial" w:eastAsia="Arial" w:hAnsi="Arial"/>
          <w:sz w:val="19"/>
          <w:szCs w:val="19"/>
        </w:rPr>
        <w:t xml:space="preserve">Energy and minimum-wage pass-through restores margin expansion in 2027 ("super nice price increase" from end-2026 indices </w:t>
      </w:r>
      <w:hyperlink w:history="1" r:id="rIdj0dnxi8cou5vj9zk-g03y">
        <w:r>
          <w:rPr>
            <w:rFonts w:ascii="Arial" w:cs="Arial" w:eastAsia="Arial" w:hAnsi="Arial"/>
            <w:color w:val="1C5CAB"/>
            <w:sz w:val="15"/>
            <w:szCs w:val="15"/>
          </w:rPr>
          <w:t xml:space="preserve">[#472]</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sz w:val="19"/>
          <w:szCs w:val="19"/>
        </w:rPr>
        <w:t xml:space="preserve">The OCEANE converts and FY2026 free cash flow grows mid-single-digit (H2 needs ~€390m+ after the −€30m H1).</w:t>
      </w:r>
    </w:p>
    <w:p>
      <w:pPr>
        <w:pStyle w:val="ListParagraph"/>
        <w:numPr>
          <w:ilvl w:val="0"/>
          <w:numId w:val="2"/>
        </w:numPr>
        <w:spacing w:after="60" w:line="252"/>
      </w:pPr>
      <w:r>
        <w:rPr>
          <w:rFonts w:ascii="Arial" w:cs="Arial" w:eastAsia="Arial" w:hAnsi="Arial"/>
          <w:sz w:val="19"/>
          <w:szCs w:val="19"/>
        </w:rPr>
        <w:t xml:space="preserve">Capital allocation stays disciplined: no large US deal (the 2024 talks cost 21% in four days).</w:t>
      </w:r>
    </w:p>
    <w:p>
      <w:pPr>
        <w:spacing w:after="60"/>
      </w:pPr>
    </w:p>
    <w:p>
      <w:pPr>
        <w:keepNext/>
        <w:spacing w:after="60" w:before="120"/>
      </w:pPr>
      <w:r>
        <w:rPr>
          <w:rFonts w:ascii="Arial" w:cs="Arial" w:eastAsia="Arial" w:hAnsi="Arial"/>
          <w:b/>
          <w:bCs/>
          <w:color w:val="13213F"/>
          <w:sz w:val="18"/>
          <w:szCs w:val="18"/>
        </w:rPr>
        <w:t xml:space="preserve">Key financials and estimates (EUR 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6"/>
        <w:gridCol w:w="1203"/>
        <w:gridCol w:w="1203"/>
        <w:gridCol w:w="1203"/>
        <w:gridCol w:w="1203"/>
        <w:gridCol w:w="1203"/>
        <w:gridCol w:w="1205"/>
      </w:tblGrid>
      <w:tr>
        <w:trPr>
          <w:cantSplit/>
          <w:tblHeader/>
        </w:trPr>
        <w:tc>
          <w:tcPr>
            <w:tcW w:type="dxa" w:w="264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p>
        </w:tc>
        <w:tc>
          <w:tcPr>
            <w:tcW w:type="dxa" w:w="120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FY2023</w:t>
            </w:r>
          </w:p>
        </w:tc>
        <w:tc>
          <w:tcPr>
            <w:tcW w:type="dxa" w:w="120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FY2024</w:t>
            </w:r>
          </w:p>
        </w:tc>
        <w:tc>
          <w:tcPr>
            <w:tcW w:type="dxa" w:w="120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FY2025</w:t>
            </w:r>
          </w:p>
        </w:tc>
        <w:tc>
          <w:tcPr>
            <w:tcW w:type="dxa" w:w="120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FY2026E</w:t>
            </w:r>
          </w:p>
        </w:tc>
        <w:tc>
          <w:tcPr>
            <w:tcW w:type="dxa" w:w="120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FY2027E</w:t>
            </w:r>
          </w:p>
        </w:tc>
        <w:tc>
          <w:tcPr>
            <w:tcW w:type="dxa" w:w="120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FY2028E</w:t>
            </w:r>
          </w:p>
        </w:tc>
      </w:tr>
      <w:tr>
        <w:trPr>
          <w:cantSplit/>
        </w:trPr>
        <w:tc>
          <w:tcPr>
            <w:tcW w:type="dxa" w:w="26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Revenue</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vxbtr1whb9r3j_kcqxnzk">
              <w:r>
                <w:rPr>
                  <w:rFonts w:ascii="Arial" w:cs="Arial" w:eastAsia="Arial" w:hAnsi="Arial"/>
                  <w:b w:val="false"/>
                  <w:bCs w:val="false"/>
                  <w:sz w:val="15"/>
                  <w:szCs w:val="15"/>
                  <w:u w:val="single"/>
                </w:rPr>
                <w:t xml:space="preserve">4,309.4</w:t>
              </w:r>
            </w:hyperlink>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98oospk3xuwwd1nfhhs09">
              <w:r>
                <w:rPr>
                  <w:rFonts w:ascii="Arial" w:cs="Arial" w:eastAsia="Arial" w:hAnsi="Arial"/>
                  <w:b w:val="false"/>
                  <w:bCs w:val="false"/>
                  <w:sz w:val="15"/>
                  <w:szCs w:val="15"/>
                  <w:u w:val="single"/>
                </w:rPr>
                <w:t xml:space="preserve">4,573.7</w:t>
              </w:r>
            </w:hyperlink>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9vcvuz7ao7akwikoijxem">
              <w:r>
                <w:rPr>
                  <w:rFonts w:ascii="Arial" w:cs="Arial" w:eastAsia="Arial" w:hAnsi="Arial"/>
                  <w:b w:val="false"/>
                  <w:bCs w:val="false"/>
                  <w:sz w:val="15"/>
                  <w:szCs w:val="15"/>
                  <w:u w:val="single"/>
                </w:rPr>
                <w:t xml:space="preserve">4,796.8</w:t>
              </w:r>
            </w:hyperlink>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5,002</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5,242</w:t>
            </w:r>
          </w:p>
        </w:tc>
        <w:tc>
          <w:tcPr>
            <w:tcW w:type="dxa" w:w="12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5,504</w:t>
            </w:r>
          </w:p>
        </w:tc>
      </w:tr>
      <w:tr>
        <w:trPr>
          <w:cantSplit/>
        </w:trPr>
        <w:tc>
          <w:tcPr>
            <w:tcW w:type="dxa" w:w="26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Organic growth</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11.8%</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5.2%</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3.8%</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~3.3%</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3.8%</w:t>
            </w:r>
          </w:p>
        </w:tc>
        <w:tc>
          <w:tcPr>
            <w:tcW w:type="dxa" w:w="12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4.0%</w:t>
            </w:r>
          </w:p>
        </w:tc>
      </w:tr>
      <w:tr>
        <w:trPr>
          <w:cantSplit/>
        </w:trPr>
        <w:tc>
          <w:tcPr>
            <w:tcW w:type="dxa" w:w="26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Adj. EBITDA (company)</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1,474.8</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1,609.8</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1,700.1</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1,773</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1,866</w:t>
            </w:r>
          </w:p>
        </w:tc>
        <w:tc>
          <w:tcPr>
            <w:tcW w:type="dxa" w:w="12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1,968</w:t>
            </w:r>
          </w:p>
        </w:tc>
      </w:tr>
      <w:tr>
        <w:trPr>
          <w:cantSplit/>
        </w:trPr>
        <w:tc>
          <w:tcPr>
            <w:tcW w:type="dxa" w:w="26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Adj. EBITDA margin</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34.2%</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35.2%</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35.4%</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35.4%</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35.6%</w:t>
            </w:r>
          </w:p>
        </w:tc>
        <w:tc>
          <w:tcPr>
            <w:tcW w:type="dxa" w:w="12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35.8%</w:t>
            </w:r>
          </w:p>
        </w:tc>
      </w:tr>
      <w:tr>
        <w:trPr>
          <w:cantSplit/>
        </w:trPr>
        <w:tc>
          <w:tcPr>
            <w:tcW w:type="dxa" w:w="26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Adj. EBIT (company)</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n/a</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733</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766.6</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798</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849</w:t>
            </w:r>
          </w:p>
        </w:tc>
        <w:tc>
          <w:tcPr>
            <w:tcW w:type="dxa" w:w="12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903</w:t>
            </w:r>
          </w:p>
        </w:tc>
      </w:tr>
      <w:tr>
        <w:trPr>
          <w:cantSplit/>
        </w:trPr>
        <w:tc>
          <w:tcPr>
            <w:tcW w:type="dxa" w:w="2646"/>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Headline diluted EPS (€)</w:t>
            </w:r>
          </w:p>
        </w:tc>
        <w:tc>
          <w:tcPr>
            <w:tcW w:type="dxa" w:w="1203"/>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n/a</w:t>
            </w:r>
          </w:p>
        </w:tc>
        <w:tc>
          <w:tcPr>
            <w:tcW w:type="dxa" w:w="1203"/>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1.76</w:t>
            </w:r>
          </w:p>
        </w:tc>
        <w:tc>
          <w:tcPr>
            <w:tcW w:type="dxa" w:w="1203"/>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1.85</w:t>
            </w:r>
          </w:p>
        </w:tc>
        <w:tc>
          <w:tcPr>
            <w:tcW w:type="dxa" w:w="1203"/>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1.96</w:t>
            </w:r>
          </w:p>
        </w:tc>
        <w:tc>
          <w:tcPr>
            <w:tcW w:type="dxa" w:w="1203"/>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2.14</w:t>
            </w:r>
          </w:p>
        </w:tc>
        <w:tc>
          <w:tcPr>
            <w:tcW w:type="dxa" w:w="1205"/>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2.34</w:t>
            </w:r>
          </w:p>
        </w:tc>
      </w:tr>
      <w:tr>
        <w:trPr>
          <w:cantSplit/>
        </w:trPr>
        <w:tc>
          <w:tcPr>
            <w:tcW w:type="dxa" w:w="26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IFRS diluted EPS (€)</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mzexsm-eidu_4_bysdnzu">
              <w:r>
                <w:rPr>
                  <w:rFonts w:ascii="Arial" w:cs="Arial" w:eastAsia="Arial" w:hAnsi="Arial"/>
                  <w:b w:val="false"/>
                  <w:bCs w:val="false"/>
                  <w:sz w:val="15"/>
                  <w:szCs w:val="15"/>
                  <w:u w:val="single"/>
                </w:rPr>
                <w:t xml:space="preserve">1.06</w:t>
              </w:r>
            </w:hyperlink>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iia0hz8nis4guhl5jug3w">
              <w:r>
                <w:rPr>
                  <w:rFonts w:ascii="Arial" w:cs="Arial" w:eastAsia="Arial" w:hAnsi="Arial"/>
                  <w:b w:val="false"/>
                  <w:bCs w:val="false"/>
                  <w:sz w:val="15"/>
                  <w:szCs w:val="15"/>
                  <w:u w:val="single"/>
                </w:rPr>
                <w:t xml:space="preserve">1.34</w:t>
              </w:r>
            </w:hyperlink>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j9uym87wojdpgp1rcyyvo">
              <w:r>
                <w:rPr>
                  <w:rFonts w:ascii="Arial" w:cs="Arial" w:eastAsia="Arial" w:hAnsi="Arial"/>
                  <w:b w:val="false"/>
                  <w:bCs w:val="false"/>
                  <w:sz w:val="15"/>
                  <w:szCs w:val="15"/>
                  <w:u w:val="single"/>
                </w:rPr>
                <w:t xml:space="preserve">1.46</w:t>
              </w:r>
            </w:hyperlink>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1.58</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1.77</w:t>
            </w:r>
          </w:p>
        </w:tc>
        <w:tc>
          <w:tcPr>
            <w:tcW w:type="dxa" w:w="12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1.97</w:t>
            </w:r>
          </w:p>
        </w:tc>
      </w:tr>
      <w:tr>
        <w:trPr>
          <w:cantSplit/>
        </w:trPr>
        <w:tc>
          <w:tcPr>
            <w:tcW w:type="dxa" w:w="26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DPS (€)</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k_smaa93xc9loqzn-pvzs">
              <w:r>
                <w:rPr>
                  <w:rFonts w:ascii="Arial" w:cs="Arial" w:eastAsia="Arial" w:hAnsi="Arial"/>
                  <w:b w:val="false"/>
                  <w:bCs w:val="false"/>
                  <w:sz w:val="15"/>
                  <w:szCs w:val="15"/>
                  <w:u w:val="single"/>
                </w:rPr>
                <w:t xml:space="preserve">0.43</w:t>
              </w:r>
            </w:hyperlink>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tkejztipqm3-rhxndikro">
              <w:r>
                <w:rPr>
                  <w:rFonts w:ascii="Arial" w:cs="Arial" w:eastAsia="Arial" w:hAnsi="Arial"/>
                  <w:b w:val="false"/>
                  <w:bCs w:val="false"/>
                  <w:sz w:val="15"/>
                  <w:szCs w:val="15"/>
                  <w:u w:val="single"/>
                </w:rPr>
                <w:t xml:space="preserve">0.45</w:t>
              </w:r>
            </w:hyperlink>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yut-vuaswoucoarnaesjo">
              <w:r>
                <w:rPr>
                  <w:rFonts w:ascii="Arial" w:cs="Arial" w:eastAsia="Arial" w:hAnsi="Arial"/>
                  <w:b w:val="false"/>
                  <w:bCs w:val="false"/>
                  <w:sz w:val="15"/>
                  <w:szCs w:val="15"/>
                  <w:u w:val="single"/>
                </w:rPr>
                <w:t xml:space="preserve">0.48</w:t>
              </w:r>
            </w:hyperlink>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0.51</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0.55</w:t>
            </w:r>
          </w:p>
        </w:tc>
        <w:tc>
          <w:tcPr>
            <w:tcW w:type="dxa" w:w="12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0.60</w:t>
            </w:r>
          </w:p>
        </w:tc>
      </w:tr>
      <w:tr>
        <w:trPr>
          <w:cantSplit/>
        </w:trPr>
        <w:tc>
          <w:tcPr>
            <w:tcW w:type="dxa" w:w="26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FCF after leases (company)</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n/a</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346.3</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358.6</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~375</w:t>
            </w:r>
          </w:p>
        </w:tc>
        <w:tc>
          <w:tcPr>
            <w:tcW w:type="dxa" w:w="12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~405</w:t>
            </w:r>
          </w:p>
        </w:tc>
        <w:tc>
          <w:tcPr>
            <w:tcW w:type="dxa" w:w="12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~440</w:t>
            </w:r>
          </w:p>
        </w:tc>
      </w:tr>
      <w:tr>
        <w:trPr>
          <w:cantSplit/>
        </w:trPr>
        <w:tc>
          <w:tcPr>
            <w:tcW w:type="dxa" w:w="26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P/E headline at €21.26</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11.5x</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10.8x</w:t>
            </w:r>
          </w:p>
        </w:tc>
        <w:tc>
          <w:tcPr>
            <w:tcW w:type="dxa" w:w="12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9.9x</w:t>
            </w:r>
          </w:p>
        </w:tc>
        <w:tc>
          <w:tcPr>
            <w:tcW w:type="dxa" w:w="12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9.1x</w:t>
            </w:r>
          </w:p>
        </w:tc>
      </w:tr>
    </w:tbl>
    <w:p>
      <w:pPr>
        <w:spacing w:after="140" w:before="40"/>
      </w:pPr>
      <w:r>
        <w:rPr>
          <w:rFonts w:ascii="Arial" w:cs="Arial" w:eastAsia="Arial" w:hAnsi="Arial"/>
          <w:color w:val="898781"/>
          <w:sz w:val="14"/>
          <w:szCs w:val="14"/>
        </w:rPr>
        <w:t xml:space="preserve">Actuals: Elis via S&amp;P Capital IQ (linked) and company releases via ProntoNLP (Sections 7–8); FY2024 adj. EBIT and headline EPS derived from reported growth rates [calc]. Estimates: analyst [e] (Section 9).</w:t>
      </w:r>
    </w:p>
    <w:p>
      <w:pPr>
        <w:pStyle w:val="Heading3"/>
        <w:keepNext/>
        <w:keepLines/>
        <w:spacing w:after="80" w:before="180"/>
      </w:pPr>
      <w:r>
        <w:rPr>
          <w:rFonts w:ascii="Arial" w:cs="Arial" w:eastAsia="Arial" w:hAnsi="Arial"/>
          <w:b/>
          <w:bCs/>
          <w:color w:val="2A78D6"/>
          <w:sz w:val="20"/>
          <w:szCs w:val="20"/>
        </w:rPr>
        <w:t xml:space="preserve">Valuation and risks in one paragraph</w:t>
      </w:r>
    </w:p>
    <w:p>
      <w:pPr>
        <w:spacing w:after="100" w:before="0" w:line="264"/>
        <w:jc w:val="left"/>
      </w:pPr>
      <w:r>
        <w:rPr>
          <w:rFonts w:ascii="Arial" w:cs="Arial" w:eastAsia="Arial" w:hAnsi="Arial"/>
          <w:sz w:val="19"/>
          <w:szCs w:val="19"/>
        </w:rPr>
        <w:t xml:space="preserve">Our €26 target blends 12.5x FY2027E headline EPS (€26.8), 5.5x FY2027E adjusted EBITDA (€27.2, post-OCEANE share count) and a 7% FCF yield (€23.4). Bear case €17 (25% probability: organic growth ~2.5%, margins −50bp, 9x P/E); bull case €33 (20%: 6% growth, 14.5x P/E); takeover value €30–38 at 6.5–7.5x EBITDA. The key risks are (1) a structural slowdown in organic growth below 3% as pricing normalises, (2) labour-cost inflation outrunning indexation, (3) a large leveraging acquisition, and (4) refinancing costs; the bear case is that Elis is a 7%-ROIC business whose cheapness is deserved (Sections 19 and 22).</w:t>
      </w:r>
    </w:p>
    <w:p>
      <w:pPr>
        <w:keepNext w:val="false"/>
        <w:spacing w:after="40"/>
        <w:jc w:val="center"/>
      </w:pPr>
      <w:r>
        <w:drawing>
          <wp:inline distT="0" distB="0" distL="0" distR="0">
            <wp:extent cx="5848350" cy="2943225"/>
            <wp:effectExtent t="0" r="0" b="0" l="0"/>
            <wp:docPr id="1" name="price_catalysts.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943225"/>
                    </a:xfrm>
                    <a:prstGeom prst="rect">
                      <a:avLst/>
                    </a:prstGeom>
                  </pic:spPr>
                </pic:pic>
              </a:graphicData>
            </a:graphic>
          </wp:inline>
        </w:drawing>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 A layman's guide to Elis</w:t>
      </w:r>
    </w:p>
    <w:p>
      <w:pPr>
        <w:spacing w:after="100" w:before="0" w:line="264"/>
        <w:jc w:val="left"/>
      </w:pPr>
      <w:r>
        <w:rPr>
          <w:rFonts w:ascii="Arial" w:cs="Arial" w:eastAsia="Arial" w:hAnsi="Arial"/>
          <w:sz w:val="19"/>
          <w:szCs w:val="19"/>
        </w:rPr>
        <w:t xml:space="preserve">What it does.</w:t>
      </w:r>
      <w:r>
        <w:rPr>
          <w:rFonts w:ascii="Arial" w:cs="Arial" w:eastAsia="Arial" w:hAnsi="Arial"/>
          <w:sz w:val="19"/>
          <w:szCs w:val="19"/>
        </w:rPr>
        <w:t xml:space="preserve"> Elis rents out and looks after the textiles and hygiene equipment that businesses need but do not want to own: hotel sheets and towels, hospital linen and scrubs, workers' uniforms and protective clothing, cleanroom suits for chip and drug factories, washroom dispensers, entrance mats, water fountains and pest control. A van delivers clean items, collects dirty ones and takes them back to one of 370+ industrial laundries, where they are washed, checked, repaired and sent out again. When an item wears out, Elis replaces it — and recycles most old linen.</w:t>
      </w:r>
    </w:p>
    <w:p>
      <w:pPr>
        <w:spacing w:after="100" w:before="0" w:line="264"/>
        <w:jc w:val="left"/>
      </w:pPr>
      <w:r>
        <w:rPr>
          <w:rFonts w:ascii="Arial" w:cs="Arial" w:eastAsia="Arial" w:hAnsi="Arial"/>
          <w:sz w:val="19"/>
          <w:szCs w:val="19"/>
        </w:rPr>
        <w:t xml:space="preserve">How it makes money.</w:t>
      </w:r>
      <w:r>
        <w:rPr>
          <w:rFonts w:ascii="Arial" w:cs="Arial" w:eastAsia="Arial" w:hAnsi="Arial"/>
          <w:sz w:val="19"/>
          <w:szCs w:val="19"/>
        </w:rPr>
        <w:t xml:space="preserve"> Customers sign multi-year contracts (typically four years) and pay a recurring fee per item, per wearer or per service visit. Elis buys the textiles up front (capex of ~18% of sales) and earns them back over their life. Profit comes from density: the more customers on each route and through each laundry, the lower the cost per item. That is why France, where Elis is biggest, earns a ~42% EBITDA margin versus ~31–34% elsewhere.</w:t>
      </w:r>
    </w:p>
    <w:p>
      <w:pPr>
        <w:keepNext/>
        <w:spacing w:after="60" w:before="120"/>
      </w:pPr>
      <w:r>
        <w:rPr>
          <w:rFonts w:ascii="Arial" w:cs="Arial" w:eastAsia="Arial" w:hAnsi="Arial"/>
          <w:b/>
          <w:bCs/>
          <w:color w:val="13213F"/>
          <w:sz w:val="18"/>
          <w:szCs w:val="18"/>
        </w:rPr>
        <w:t xml:space="preserve">How each division contributes (FY2025)</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4"/>
        <w:gridCol w:w="1350"/>
        <w:gridCol w:w="830"/>
        <w:gridCol w:w="1038"/>
        <w:gridCol w:w="1246"/>
        <w:gridCol w:w="3118"/>
      </w:tblGrid>
      <w:tr>
        <w:trPr>
          <w:cantSplit/>
          <w:tblHeader/>
        </w:trPr>
        <w:tc>
          <w:tcPr>
            <w:tcW w:type="dxa" w:w="228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Segment</w:t>
            </w:r>
          </w:p>
        </w:tc>
        <w:tc>
          <w:tcPr>
            <w:tcW w:type="dxa" w:w="135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Revenue (€m, approx.)</w:t>
            </w:r>
          </w:p>
        </w:tc>
        <w:tc>
          <w:tcPr>
            <w:tcW w:type="dxa" w:w="83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Share</w:t>
            </w:r>
          </w:p>
        </w:tc>
        <w:tc>
          <w:tcPr>
            <w:tcW w:type="dxa" w:w="103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Organic growth</w:t>
            </w:r>
          </w:p>
        </w:tc>
        <w:tc>
          <w:tcPr>
            <w:tcW w:type="dxa" w:w="124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Adj. EBITDA margin</w:t>
            </w:r>
          </w:p>
        </w:tc>
        <w:tc>
          <w:tcPr>
            <w:tcW w:type="dxa" w:w="311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Role</w:t>
            </w:r>
          </w:p>
        </w:tc>
      </w:tr>
      <w:tr>
        <w:trPr>
          <w:cantSplit/>
        </w:trPr>
        <w:tc>
          <w:tcPr>
            <w:tcW w:type="dxa" w:w="228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France</w:t>
            </w:r>
          </w:p>
        </w:tc>
        <w:tc>
          <w:tcPr>
            <w:tcW w:type="dxa" w:w="13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~1,401</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~29%</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+3.3%</w:t>
            </w:r>
          </w:p>
        </w:tc>
        <w:tc>
          <w:tcPr>
            <w:tcW w:type="dxa" w:w="12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41.9%</w:t>
            </w:r>
          </w:p>
        </w:tc>
        <w:tc>
          <w:tcPr>
            <w:tcW w:type="dxa" w:w="31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Cash engine; densest network</w:t>
            </w:r>
          </w:p>
        </w:tc>
      </w:tr>
      <w:tr>
        <w:trPr>
          <w:cantSplit/>
        </w:trPr>
        <w:tc>
          <w:tcPr>
            <w:tcW w:type="dxa" w:w="228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Central Europe (DE, CH, NL, BE, PL, CZ…)</w:t>
            </w:r>
          </w:p>
        </w:tc>
        <w:tc>
          <w:tcPr>
            <w:tcW w:type="dxa" w:w="13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~1,242</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~26%</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+3.0%</w:t>
            </w:r>
          </w:p>
        </w:tc>
        <w:tc>
          <w:tcPr>
            <w:tcW w:type="dxa" w:w="12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32.9%</w:t>
            </w:r>
          </w:p>
        </w:tc>
        <w:tc>
          <w:tcPr>
            <w:tcW w:type="dxa" w:w="31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Largest growth market; Germany turnaround</w:t>
            </w:r>
          </w:p>
        </w:tc>
      </w:tr>
      <w:tr>
        <w:trPr>
          <w:cantSplit/>
        </w:trPr>
        <w:tc>
          <w:tcPr>
            <w:tcW w:type="dxa" w:w="228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Scandinavia &amp; Eastern Europe</w:t>
            </w:r>
          </w:p>
        </w:tc>
        <w:tc>
          <w:tcPr>
            <w:tcW w:type="dxa" w:w="13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~640</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~13%</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w:t>
            </w:r>
          </w:p>
        </w:tc>
        <w:tc>
          <w:tcPr>
            <w:tcW w:type="dxa" w:w="12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35.5%</w:t>
            </w:r>
          </w:p>
        </w:tc>
        <w:tc>
          <w:tcPr>
            <w:tcW w:type="dxa" w:w="31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Mature, high-margin "cash cow"</w:t>
            </w:r>
          </w:p>
        </w:tc>
      </w:tr>
      <w:tr>
        <w:trPr>
          <w:cantSplit/>
        </w:trPr>
        <w:tc>
          <w:tcPr>
            <w:tcW w:type="dxa" w:w="228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UK &amp; Ireland</w:t>
            </w:r>
          </w:p>
        </w:tc>
        <w:tc>
          <w:tcPr>
            <w:tcW w:type="dxa" w:w="13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~580</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~12%</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+2.6%</w:t>
            </w:r>
          </w:p>
        </w:tc>
        <w:tc>
          <w:tcPr>
            <w:tcW w:type="dxa" w:w="12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32.4%</w:t>
            </w:r>
          </w:p>
        </w:tc>
        <w:tc>
          <w:tcPr>
            <w:tcW w:type="dxa" w:w="31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Competitive; margin up from 23% to &gt;32% since Berendsen</w:t>
            </w:r>
          </w:p>
        </w:tc>
      </w:tr>
      <w:tr>
        <w:trPr>
          <w:cantSplit/>
        </w:trPr>
        <w:tc>
          <w:tcPr>
            <w:tcW w:type="dxa" w:w="228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Latin America (BR, MX, CL, CO)</w:t>
            </w:r>
          </w:p>
        </w:tc>
        <w:tc>
          <w:tcPr>
            <w:tcW w:type="dxa" w:w="13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~458</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+8.2%</w:t>
            </w:r>
          </w:p>
        </w:tc>
        <w:tc>
          <w:tcPr>
            <w:tcW w:type="dxa" w:w="12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33.6%</w:t>
            </w:r>
          </w:p>
        </w:tc>
        <w:tc>
          <w:tcPr>
            <w:tcW w:type="dxa" w:w="31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Fastest growth; outsourcing conversion; FX and wage risk</w:t>
            </w:r>
          </w:p>
        </w:tc>
      </w:tr>
      <w:tr>
        <w:trPr>
          <w:cantSplit/>
        </w:trPr>
        <w:tc>
          <w:tcPr>
            <w:tcW w:type="dxa" w:w="228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Southern Europe (ES, PT, IT)</w:t>
            </w:r>
          </w:p>
        </w:tc>
        <w:tc>
          <w:tcPr>
            <w:tcW w:type="dxa" w:w="13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~451</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+6.7%</w:t>
            </w:r>
          </w:p>
        </w:tc>
        <w:tc>
          <w:tcPr>
            <w:tcW w:type="dxa" w:w="12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33.7%</w:t>
            </w:r>
          </w:p>
        </w:tc>
        <w:tc>
          <w:tcPr>
            <w:tcW w:type="dxa" w:w="31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Hospitality-led growth and bolt-ons</w:t>
            </w:r>
          </w:p>
        </w:tc>
      </w:tr>
      <w:tr>
        <w:trPr>
          <w:cantSplit/>
        </w:trPr>
        <w:tc>
          <w:tcPr>
            <w:tcW w:type="dxa" w:w="228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Other (manufacturing, Asia, holdings)</w:t>
            </w:r>
          </w:p>
        </w:tc>
        <w:tc>
          <w:tcPr>
            <w:tcW w:type="dxa" w:w="13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~25</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&lt;1%</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n/m</w:t>
            </w:r>
          </w:p>
        </w:tc>
        <w:tc>
          <w:tcPr>
            <w:tcW w:type="dxa" w:w="12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n/m</w:t>
            </w:r>
          </w:p>
        </w:tc>
        <w:tc>
          <w:tcPr>
            <w:tcW w:type="dxa" w:w="31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Le Jacquard Français, Kennedy, Malaysia</w:t>
            </w:r>
          </w:p>
        </w:tc>
      </w:tr>
      <w:tr>
        <w:trPr>
          <w:cantSplit/>
        </w:trPr>
        <w:tc>
          <w:tcPr>
            <w:tcW w:type="dxa" w:w="228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Group</w:t>
            </w:r>
          </w:p>
        </w:tc>
        <w:tc>
          <w:tcPr>
            <w:tcW w:type="dxa" w:w="13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4,796.8</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100%</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+3.8%</w:t>
            </w:r>
          </w:p>
        </w:tc>
        <w:tc>
          <w:tcPr>
            <w:tcW w:type="dxa" w:w="12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35.4%</w:t>
            </w:r>
          </w:p>
        </w:tc>
        <w:tc>
          <w:tcPr>
            <w:tcW w:type="dxa" w:w="31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p>
        </w:tc>
      </w:tr>
    </w:tbl>
    <w:p>
      <w:pPr>
        <w:spacing w:after="140" w:before="40"/>
      </w:pPr>
      <w:r>
        <w:rPr>
          <w:rFonts w:ascii="Arial" w:cs="Arial" w:eastAsia="Arial" w:hAnsi="Arial"/>
          <w:color w:val="898781"/>
          <w:sz w:val="14"/>
          <w:szCs w:val="14"/>
        </w:rPr>
        <w:t xml:space="preserve">Segment revenues are from the URD regional profiles </w:t>
      </w:r>
      <w:hyperlink w:history="1" r:id="rIdjeijpxts8ogqkzlnjvlkb">
        <w:r>
          <w:rPr>
            <w:rFonts w:ascii="Arial" w:cs="Arial" w:eastAsia="Arial" w:hAnsi="Arial"/>
            <w:color w:val="898781"/>
            <w:sz w:val="12"/>
            <w:szCs w:val="12"/>
          </w:rPr>
          <w:t xml:space="preserve">[#145]</w:t>
        </w:r>
      </w:hyperlink>
      <w:r>
        <w:rPr>
          <w:rFonts w:ascii="Arial" w:cs="Arial" w:eastAsia="Arial" w:hAnsi="Arial"/>
          <w:color w:val="898781"/>
          <w:sz w:val="14"/>
          <w:szCs w:val="14"/>
        </w:rPr>
        <w:t xml:space="preserve"> </w:t>
      </w:r>
      <w:hyperlink w:history="1" r:id="rIdp_9s8lyy3bq3asuohmmwy">
        <w:r>
          <w:rPr>
            <w:rFonts w:ascii="Arial" w:cs="Arial" w:eastAsia="Arial" w:hAnsi="Arial"/>
            <w:color w:val="898781"/>
            <w:sz w:val="12"/>
            <w:szCs w:val="12"/>
          </w:rPr>
          <w:t xml:space="preserve">[#147]</w:t>
        </w:r>
      </w:hyperlink>
      <w:r>
        <w:rPr>
          <w:rFonts w:ascii="Arial" w:cs="Arial" w:eastAsia="Arial" w:hAnsi="Arial"/>
          <w:color w:val="898781"/>
          <w:sz w:val="14"/>
          <w:szCs w:val="14"/>
        </w:rPr>
        <w:t xml:space="preserve"> </w:t>
      </w:r>
      <w:hyperlink w:history="1" r:id="rIdczbnr-q9xnyywfmc07e0b">
        <w:r>
          <w:rPr>
            <w:rFonts w:ascii="Arial" w:cs="Arial" w:eastAsia="Arial" w:hAnsi="Arial"/>
            <w:color w:val="898781"/>
            <w:sz w:val="12"/>
            <w:szCs w:val="12"/>
          </w:rPr>
          <w:t xml:space="preserve">[#143]</w:t>
        </w:r>
      </w:hyperlink>
      <w:r>
        <w:rPr>
          <w:rFonts w:ascii="Arial" w:cs="Arial" w:eastAsia="Arial" w:hAnsi="Arial"/>
          <w:color w:val="898781"/>
          <w:sz w:val="14"/>
          <w:szCs w:val="14"/>
        </w:rPr>
        <w:t xml:space="preserve"> </w:t>
      </w:r>
      <w:hyperlink w:history="1" r:id="rIdog1w541p6gm59hi5e-b8s">
        <w:r>
          <w:rPr>
            <w:rFonts w:ascii="Arial" w:cs="Arial" w:eastAsia="Arial" w:hAnsi="Arial"/>
            <w:color w:val="898781"/>
            <w:sz w:val="12"/>
            <w:szCs w:val="12"/>
          </w:rPr>
          <w:t xml:space="preserve">[#131]</w:t>
        </w:r>
      </w:hyperlink>
      <w:r>
        <w:rPr>
          <w:rFonts w:ascii="Arial" w:cs="Arial" w:eastAsia="Arial" w:hAnsi="Arial"/>
          <w:color w:val="898781"/>
          <w:sz w:val="14"/>
          <w:szCs w:val="14"/>
        </w:rPr>
        <w:t xml:space="preserve"> </w:t>
      </w:r>
      <w:hyperlink w:history="1" r:id="rIdcxlpb6abps-pl3utaz3ed">
        <w:r>
          <w:rPr>
            <w:rFonts w:ascii="Arial" w:cs="Arial" w:eastAsia="Arial" w:hAnsi="Arial"/>
            <w:color w:val="898781"/>
            <w:sz w:val="12"/>
            <w:szCs w:val="12"/>
          </w:rPr>
          <w:t xml:space="preserve">[#133]</w:t>
        </w:r>
      </w:hyperlink>
      <w:r>
        <w:rPr>
          <w:rFonts w:ascii="Arial" w:cs="Arial" w:eastAsia="Arial" w:hAnsi="Arial"/>
          <w:color w:val="898781"/>
          <w:sz w:val="14"/>
          <w:szCs w:val="14"/>
        </w:rPr>
        <w:t xml:space="preserve"> </w:t>
      </w:r>
      <w:hyperlink w:history="1" r:id="rIday1-vrfsz7lc5e77iqqy0">
        <w:r>
          <w:rPr>
            <w:rFonts w:ascii="Arial" w:cs="Arial" w:eastAsia="Arial" w:hAnsi="Arial"/>
            <w:color w:val="898781"/>
            <w:sz w:val="12"/>
            <w:szCs w:val="12"/>
          </w:rPr>
          <w:t xml:space="preserve">[#135]</w:t>
        </w:r>
      </w:hyperlink>
      <w:r>
        <w:rPr>
          <w:rFonts w:ascii="Arial" w:cs="Arial" w:eastAsia="Arial" w:hAnsi="Arial"/>
          <w:color w:val="898781"/>
          <w:sz w:val="14"/>
          <w:szCs w:val="14"/>
        </w:rPr>
        <w:t xml:space="preserve"> (labels other than UK &amp; Ireland inferred from layout) and growth/margins from the FY2025 annual report (Section 7). Segment EBIT and net income are not disclosed.</w:t>
      </w:r>
    </w:p>
    <w:p>
      <w:pPr>
        <w:spacing w:after="100" w:before="0" w:line="264"/>
        <w:jc w:val="left"/>
      </w:pPr>
      <w:r>
        <w:rPr>
          <w:rFonts w:ascii="Arial" w:cs="Arial" w:eastAsia="Arial" w:hAnsi="Arial"/>
          <w:sz w:val="19"/>
          <w:szCs w:val="19"/>
        </w:rPr>
        <w:t xml:space="preserve">By customer type:</w:t>
      </w:r>
      <w:r>
        <w:rPr>
          <w:rFonts w:ascii="Arial" w:cs="Arial" w:eastAsia="Arial" w:hAnsi="Arial"/>
          <w:sz w:val="19"/>
          <w:szCs w:val="19"/>
        </w:rPr>
        <w:t xml:space="preserve"> healthcare ~30% (hospitals, care homes), hospitality 27% (hotels, restaurants), industry ~26% (food, pharma, manufacturing) and trade &amp; services ~18% (shops, offices). </w:t>
      </w:r>
      <w:r>
        <w:rPr>
          <w:rFonts w:ascii="Arial" w:cs="Arial" w:eastAsia="Arial" w:hAnsi="Arial"/>
          <w:sz w:val="19"/>
          <w:szCs w:val="19"/>
        </w:rPr>
        <w:t xml:space="preserve">By product:</w:t>
      </w:r>
      <w:r>
        <w:rPr>
          <w:rFonts w:ascii="Arial" w:cs="Arial" w:eastAsia="Arial" w:hAnsi="Arial"/>
          <w:sz w:val="19"/>
          <w:szCs w:val="19"/>
        </w:rPr>
        <w:t xml:space="preserve"> flat linen ~45%, workwear ~36%, hygiene &amp; well-being ~17% (H1 2024 company split, see Section 7).</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none" w:color="FFFFFF" w:sz="0"/>
              <w:left w:val="single" w:color="13213F" w:sz="24"/>
              <w:bottom w:val="none" w:color="FFFFFF" w:sz="0"/>
              <w:right w:val="none" w:color="FFFFFF" w:sz="0"/>
            </w:tcBorders>
            <w:shd w:fill="EFF1F5" w:color="auto" w:val="clear"/>
            <w:tcMar>
              <w:top w:type="dxa" w:w="100"/>
              <w:left w:type="dxa" w:w="160"/>
              <w:bottom w:type="dxa" w:w="100"/>
              <w:right w:type="dxa" w:w="140"/>
            </w:tcMar>
          </w:tcPr>
          <w:p>
            <w:pPr>
              <w:spacing w:after="60"/>
            </w:pPr>
            <w:r>
              <w:rPr>
                <w:rFonts w:ascii="Arial" w:cs="Arial" w:eastAsia="Arial" w:hAnsi="Arial"/>
                <w:b/>
                <w:bCs/>
                <w:color w:val="13213F"/>
                <w:sz w:val="19"/>
                <w:szCs w:val="19"/>
              </w:rPr>
              <w:t xml:space="preserve">In one sentence</w:t>
            </w:r>
          </w:p>
          <w:p>
            <w:pPr>
              <w:spacing w:after="60" w:line="252"/>
            </w:pPr>
            <w:r>
              <w:rPr>
                <w:rFonts w:ascii="Arial" w:cs="Arial" w:eastAsia="Arial" w:hAnsi="Arial"/>
                <w:sz w:val="18"/>
                <w:szCs w:val="18"/>
              </w:rPr>
              <w:t xml:space="preserve">Elis is a "laundry-as-a-service" utility for European and Latin American businesses: dull, recurring and cash-generative, but capital-hungry and exposed to wage and energy costs that it can only pass on with a lag.</w:t>
            </w:r>
          </w:p>
        </w:tc>
      </w:tr>
    </w:tbl>
    <w:p>
      <w:pPr>
        <w:spacing w:after="10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2. What moved the stock: catalysts behind ±10% moves (last five years)</w:t>
      </w:r>
    </w:p>
    <w:p>
      <w:pPr>
        <w:spacing w:after="100" w:before="0" w:line="264"/>
        <w:jc w:val="left"/>
      </w:pPr>
      <w:r>
        <w:rPr>
          <w:rFonts w:ascii="Arial" w:cs="Arial" w:eastAsia="Arial" w:hAnsi="Arial"/>
          <w:sz w:val="19"/>
          <w:szCs w:val="19"/>
        </w:rPr>
        <w:t xml:space="preserve">Elis closed at </w:t>
      </w:r>
      <w:r>
        <w:rPr>
          <w:rFonts w:ascii="Arial" w:cs="Arial" w:eastAsia="Arial" w:hAnsi="Arial"/>
          <w:sz w:val="19"/>
          <w:szCs w:val="19"/>
        </w:rPr>
        <w:t xml:space="preserve">€21.26 on 9-Oct-2026</w:t>
      </w:r>
      <w:r>
        <w:rPr>
          <w:rFonts w:ascii="Arial" w:cs="Arial" w:eastAsia="Arial" w:hAnsi="Arial"/>
          <w:sz w:val="19"/>
          <w:szCs w:val="19"/>
        </w:rPr>
        <w:t xml:space="preserve">, -24.6% below its 52-week (and post-2019) closing high of €28.20 on 3-Jul-2026 and only 1.3% above the 52-week low of €20.98 (21-Sep-2026). Over five years the ProntoNLP series shows +42.0% (+7.3% a year) and over three years +33.1%, but the stock is −11.6% over one year [calc]. The five-year maximum drawdown was −37.6% (€15.89 on 13-Jan-2022 to €9.91 on 29-Sep-2022). Realised volatility is ~23.5% (1-year) and ~27.5% (5-year) [calc]. Note: the ProntoNLP price series is only partly dividend-adjusted; on closing prices quoted in Elis's filings the five-year change is about +32.5% (e.g. end-2021 €15.22 per the </w:t>
      </w:r>
      <w:hyperlink w:history="1" r:id="rId4-_qxgsq7tdc26ykyzs8k">
        <w:r>
          <w:rPr>
            <w:rFonts w:ascii="Arial" w:cs="Arial" w:eastAsia="Arial" w:hAnsi="Arial"/>
            <w:sz w:val="19"/>
            <w:szCs w:val="19"/>
            <w:u w:val="single"/>
          </w:rPr>
          <w:t xml:space="preserve">FY2021 annual report</w:t>
        </w:r>
      </w:hyperlink>
      <w:r>
        <w:rPr>
          <w:rFonts w:ascii="Arial" w:cs="Arial" w:eastAsia="Arial" w:hAnsi="Arial"/>
          <w:sz w:val="19"/>
          <w:szCs w:val="19"/>
        </w:rPr>
        <w:t xml:space="preserve"> vs €14.20 in the series) [calc].</w:t>
      </w:r>
    </w:p>
    <w:p>
      <w:pPr>
        <w:keepNext/>
        <w:spacing w:after="40"/>
        <w:jc w:val="center"/>
      </w:pPr>
      <w:r>
        <w:drawing>
          <wp:inline distT="0" distB="0" distL="0" distR="0">
            <wp:extent cx="6124575" cy="3076575"/>
            <wp:effectExtent t="0" r="0" b="0" l="0"/>
            <wp:docPr id="1" name="price_catalysts.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076575"/>
                    </a:xfrm>
                    <a:prstGeom prst="rect">
                      <a:avLst/>
                    </a:prstGeom>
                  </pic:spPr>
                </pic:pic>
              </a:graphicData>
            </a:graphic>
          </wp:inline>
        </w:drawing>
      </w:r>
    </w:p>
    <w:p>
      <w:pPr>
        <w:spacing w:after="140"/>
      </w:pPr>
      <w:r>
        <w:rPr>
          <w:rFonts w:ascii="Arial" w:cs="Arial" w:eastAsia="Arial" w:hAnsi="Arial"/>
          <w:color w:val="898781"/>
          <w:sz w:val="14"/>
          <w:szCs w:val="14"/>
        </w:rPr>
        <w:t xml:space="preserve">Numbered markers refer to the list below. Source: ProntoNLP getStockPrices (Elis, companyId 27989); event dating from Elis filings/transcripts via ProntoNLP; analyst annotation.</w:t>
      </w:r>
    </w:p>
    <w:p>
      <w:pPr>
        <w:keepNext/>
        <w:spacing w:after="60" w:before="120"/>
      </w:pPr>
      <w:r>
        <w:rPr>
          <w:rFonts w:ascii="Arial" w:cs="Arial" w:eastAsia="Arial" w:hAnsi="Arial"/>
          <w:b/>
          <w:bCs/>
          <w:color w:val="13213F"/>
          <w:sz w:val="18"/>
          <w:szCs w:val="18"/>
        </w:rPr>
        <w:t xml:space="preserve">Numbered catalysts on the chart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
        <w:gridCol w:w="1726"/>
        <w:gridCol w:w="7647"/>
      </w:tblGrid>
      <w:tr>
        <w:trPr>
          <w:cantSplit/>
          <w:tblHeader/>
        </w:trPr>
        <w:tc>
          <w:tcPr>
            <w:tcW w:type="dxa" w:w="49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center"/>
            </w:pPr>
            <w:r>
              <w:rPr>
                <w:rFonts w:ascii="Arial" w:cs="Arial" w:eastAsia="Arial" w:hAnsi="Arial"/>
                <w:b/>
                <w:bCs/>
                <w:color w:val="FFFFFF"/>
                <w:sz w:val="15"/>
                <w:szCs w:val="15"/>
              </w:rPr>
              <w:t xml:space="preserve">#</w:t>
            </w:r>
          </w:p>
        </w:tc>
        <w:tc>
          <w:tcPr>
            <w:tcW w:type="dxa" w:w="172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When</w:t>
            </w:r>
          </w:p>
        </w:tc>
        <w:tc>
          <w:tcPr>
            <w:tcW w:type="dxa" w:w="76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What happened</w:t>
            </w:r>
          </w:p>
        </w:tc>
      </w:tr>
      <w:tr>
        <w:trPr>
          <w:cantSplit/>
        </w:trPr>
        <w:tc>
          <w:tcPr>
            <w:tcW w:type="dxa" w:w="4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1</w:t>
            </w:r>
          </w:p>
        </w:tc>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MAR 2020</w:t>
            </w:r>
          </w:p>
        </w:tc>
        <w:tc>
          <w:tcPr>
            <w:tcW w:type="dxa" w:w="76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Covid crash: -58% peak-to-trough; FY2019 dividend withdrawn</w:t>
            </w:r>
          </w:p>
        </w:tc>
      </w:tr>
      <w:tr>
        <w:trPr>
          <w:cantSplit/>
        </w:trPr>
        <w:tc>
          <w:tcPr>
            <w:tcW w:type="dxa" w:w="4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2</w:t>
            </w:r>
          </w:p>
        </w:tc>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FEB-MAR 2022</w:t>
            </w:r>
          </w:p>
        </w:tc>
        <w:tc>
          <w:tcPr>
            <w:tcW w:type="dxa" w:w="76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Ukraine war / gas-price shock: -29% in four weeks</w:t>
            </w:r>
          </w:p>
        </w:tc>
      </w:tr>
      <w:tr>
        <w:trPr>
          <w:cantSplit/>
        </w:trPr>
        <w:tc>
          <w:tcPr>
            <w:tcW w:type="dxa" w:w="4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w:t>
            </w:r>
          </w:p>
        </w:tc>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SEP 2022</w:t>
            </w:r>
          </w:p>
        </w:tc>
        <w:tc>
          <w:tcPr>
            <w:tcW w:type="dxa" w:w="76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5-year low €9.91; OCEANE 2029 convertible issued (€380m, 2.25%)</w:t>
            </w:r>
          </w:p>
        </w:tc>
      </w:tr>
      <w:tr>
        <w:trPr>
          <w:cantSplit/>
        </w:trPr>
        <w:tc>
          <w:tcPr>
            <w:tcW w:type="dxa" w:w="4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4</w:t>
            </w:r>
          </w:p>
        </w:tc>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NOV 2023</w:t>
            </w:r>
          </w:p>
        </w:tc>
        <w:tc>
          <w:tcPr>
            <w:tcW w:type="dxa" w:w="76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S&amp;P upgrade to investment grade (BBB-)</w:t>
            </w:r>
          </w:p>
        </w:tc>
      </w:tr>
      <w:tr>
        <w:trPr>
          <w:cantSplit/>
        </w:trPr>
        <w:tc>
          <w:tcPr>
            <w:tcW w:type="dxa" w:w="4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5</w:t>
            </w:r>
          </w:p>
        </w:tc>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JUN 2024</w:t>
            </w:r>
          </w:p>
        </w:tc>
        <w:tc>
          <w:tcPr>
            <w:tcW w:type="dxa" w:w="76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French snap election: about -15%</w:t>
            </w:r>
          </w:p>
        </w:tc>
      </w:tr>
      <w:tr>
        <w:trPr>
          <w:cantSplit/>
        </w:trPr>
        <w:tc>
          <w:tcPr>
            <w:tcW w:type="dxa" w:w="4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6</w:t>
            </w:r>
          </w:p>
        </w:tc>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SEP-OCT 2024</w:t>
            </w:r>
          </w:p>
        </w:tc>
        <w:tc>
          <w:tcPr>
            <w:tcW w:type="dxa" w:w="76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Exploratory US M&amp;A talks (incl. Vestis): -21%, then +17% when terminated</w:t>
            </w:r>
          </w:p>
        </w:tc>
      </w:tr>
      <w:tr>
        <w:trPr>
          <w:cantSplit/>
        </w:trPr>
        <w:tc>
          <w:tcPr>
            <w:tcW w:type="dxa" w:w="4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7</w:t>
            </w:r>
          </w:p>
        </w:tc>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MAR 2025</w:t>
            </w:r>
          </w:p>
        </w:tc>
        <w:tc>
          <w:tcPr>
            <w:tcW w:type="dxa" w:w="76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New capital-allocation policy + €150m buyback: +9% on the day</w:t>
            </w:r>
          </w:p>
        </w:tc>
      </w:tr>
      <w:tr>
        <w:trPr>
          <w:cantSplit/>
        </w:trPr>
        <w:tc>
          <w:tcPr>
            <w:tcW w:type="dxa" w:w="4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8</w:t>
            </w:r>
          </w:p>
        </w:tc>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MAR 2026</w:t>
            </w:r>
          </w:p>
        </w:tc>
        <w:tc>
          <w:tcPr>
            <w:tcW w:type="dxa" w:w="76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Mid-East energy shock; €500m buyback (to Jul-26); Cintas-UniFirst deal</w:t>
            </w:r>
          </w:p>
        </w:tc>
      </w:tr>
      <w:tr>
        <w:trPr>
          <w:cantSplit/>
        </w:trPr>
        <w:tc>
          <w:tcPr>
            <w:tcW w:type="dxa" w:w="4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9</w:t>
            </w:r>
          </w:p>
        </w:tc>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JUL 2026</w:t>
            </w:r>
          </w:p>
        </w:tc>
        <w:tc>
          <w:tcPr>
            <w:tcW w:type="dxa" w:w="76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All-time high €28.20 (3-Jul) as buyback completes</w:t>
            </w:r>
          </w:p>
        </w:tc>
      </w:tr>
      <w:tr>
        <w:trPr>
          <w:cantSplit/>
        </w:trPr>
        <w:tc>
          <w:tcPr>
            <w:tcW w:type="dxa" w:w="4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10</w:t>
            </w:r>
          </w:p>
        </w:tc>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JUL-SEP 2026</w:t>
            </w:r>
          </w:p>
        </w:tc>
        <w:tc>
          <w:tcPr>
            <w:tcW w:type="dxa" w:w="76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H1-26: targets only confirmed, Mexico loss, FCF negative: -25% from high</w:t>
            </w:r>
          </w:p>
        </w:tc>
      </w:tr>
    </w:tbl>
    <w:p>
      <w:pPr>
        <w:spacing w:after="100"/>
      </w:pPr>
    </w:p>
    <w:p>
      <w:pPr>
        <w:pStyle w:val="Heading2"/>
        <w:keepNext/>
        <w:keepLines/>
        <w:spacing w:after="80" w:before="180"/>
      </w:pPr>
      <w:r>
        <w:rPr>
          <w:rFonts w:ascii="Arial" w:cs="Arial" w:eastAsia="Arial" w:hAnsi="Arial"/>
          <w:b/>
          <w:bCs/>
          <w:color w:val="13213F"/>
          <w:sz w:val="24"/>
          <w:szCs w:val="24"/>
        </w:rPr>
        <w:t xml:space="preserve">What the history tells us</w:t>
      </w:r>
    </w:p>
    <w:p>
      <w:pPr>
        <w:pStyle w:val="ListParagraph"/>
        <w:numPr>
          <w:ilvl w:val="0"/>
          <w:numId w:val="2"/>
        </w:numPr>
        <w:spacing w:after="60" w:line="252"/>
      </w:pPr>
      <w:r>
        <w:rPr>
          <w:rFonts w:ascii="Arial" w:cs="Arial" w:eastAsia="Arial" w:hAnsi="Arial"/>
          <w:b/>
          <w:bCs/>
          <w:sz w:val="19"/>
          <w:szCs w:val="19"/>
        </w:rPr>
        <w:t xml:space="preserve">Energy is the single biggest historical shock.</w:t>
      </w:r>
      <w:r>
        <w:rPr>
          <w:rFonts w:ascii="Arial" w:cs="Arial" w:eastAsia="Arial" w:hAnsi="Arial"/>
          <w:sz w:val="19"/>
          <w:szCs w:val="19"/>
        </w:rPr>
        <w:t xml:space="preserve"> The Ukraine war took the stock −29.0% in four weeks (10-Feb to 8-Mar-2022) and to the five-year low of €9.91 in Sep-2022. 2022 guidance was struck at €100/MWh gas against a historic maximum of ~€30 </w:t>
      </w:r>
      <w:hyperlink w:history="1" r:id="rIdpum2a_bjm8-yxfijnzcaq">
        <w:r>
          <w:rPr>
            <w:rFonts w:ascii="Arial" w:cs="Arial" w:eastAsia="Arial" w:hAnsi="Arial"/>
            <w:color w:val="1C5CAB"/>
            <w:sz w:val="15"/>
            <w:szCs w:val="15"/>
          </w:rPr>
          <w:t xml:space="preserve">[#3392]</w:t>
        </w:r>
      </w:hyperlink>
      <w:r>
        <w:rPr>
          <w:rFonts w:ascii="Arial" w:cs="Arial" w:eastAsia="Arial" w:hAnsi="Arial"/>
          <w:sz w:val="19"/>
          <w:szCs w:val="19"/>
        </w:rPr>
        <w:t xml:space="preserve">, and management later conceded it "were not hedging our energy purchases" at the time </w:t>
      </w:r>
      <w:hyperlink w:history="1" r:id="rId-xwbhjo3ocxn9vupkmhbv">
        <w:r>
          <w:rPr>
            <w:rFonts w:ascii="Arial" w:cs="Arial" w:eastAsia="Arial" w:hAnsi="Arial"/>
            <w:color w:val="1C5CAB"/>
            <w:sz w:val="15"/>
            <w:szCs w:val="15"/>
          </w:rPr>
          <w:t xml:space="preserve">[#424]</w:t>
        </w:r>
      </w:hyperlink>
      <w:r>
        <w:rPr>
          <w:rFonts w:ascii="Arial" w:cs="Arial" w:eastAsia="Arial" w:hAnsi="Arial"/>
          <w:sz w:val="19"/>
          <w:szCs w:val="19"/>
        </w:rPr>
        <w:t xml:space="preserve">. A layered hedging policy now covers 93%/94% of 2026 gas/electricity and 81%/87% of 2027 </w:t>
      </w:r>
      <w:hyperlink w:history="1" r:id="rIdho8bbt0wpru1gjnm1hx1u">
        <w:r>
          <w:rPr>
            <w:rFonts w:ascii="Arial" w:cs="Arial" w:eastAsia="Arial" w:hAnsi="Arial"/>
            <w:color w:val="1C5CAB"/>
            <w:sz w:val="15"/>
            <w:szCs w:val="15"/>
          </w:rPr>
          <w:t xml:space="preserve">[#76]</w:t>
        </w:r>
      </w:hyperlink>
      <w:r>
        <w:rPr>
          <w:rFonts w:ascii="Arial" w:cs="Arial" w:eastAsia="Arial" w:hAnsi="Arial"/>
          <w:sz w:val="19"/>
          <w:szCs w:val="19"/>
        </w:rPr>
        <w:t xml:space="preserve">, which is why the March-2026 Middle East spike cost "only" −13.5% in a month.</w:t>
      </w:r>
    </w:p>
    <w:p>
      <w:pPr>
        <w:pStyle w:val="ListParagraph"/>
        <w:numPr>
          <w:ilvl w:val="0"/>
          <w:numId w:val="2"/>
        </w:numPr>
        <w:spacing w:after="60" w:line="252"/>
      </w:pPr>
      <w:r>
        <w:rPr>
          <w:rFonts w:ascii="Arial" w:cs="Arial" w:eastAsia="Arial" w:hAnsi="Arial"/>
          <w:b/>
          <w:bCs/>
          <w:sz w:val="19"/>
          <w:szCs w:val="19"/>
        </w:rPr>
        <w:t xml:space="preserve">Large-scale M&amp;A is what the market fears most.</w:t>
      </w:r>
      <w:r>
        <w:rPr>
          <w:rFonts w:ascii="Arial" w:cs="Arial" w:eastAsia="Arial" w:hAnsi="Arial"/>
          <w:sz w:val="19"/>
          <w:szCs w:val="19"/>
        </w:rPr>
        <w:t xml:space="preserve"> On 6-Sep-2024 the stock fell −15.66% in a day and −21.1% in four sessions as US acquisition talks leaked; Elis later confirmed it "held exploratory conversations with two US market players… both discussions were terminated at the beginning of October" </w:t>
      </w:r>
      <w:hyperlink w:history="1" r:id="rId_doi1-l5lr8xqtyvln96y">
        <w:r>
          <w:rPr>
            <w:rFonts w:ascii="Arial" w:cs="Arial" w:eastAsia="Arial" w:hAnsi="Arial"/>
            <w:color w:val="1C5CAB"/>
            <w:sz w:val="15"/>
            <w:szCs w:val="15"/>
          </w:rPr>
          <w:t xml:space="preserve">[#1]</w:t>
        </w:r>
      </w:hyperlink>
      <w:r>
        <w:rPr>
          <w:rFonts w:ascii="Arial" w:cs="Arial" w:eastAsia="Arial" w:hAnsi="Arial"/>
          <w:sz w:val="19"/>
          <w:szCs w:val="19"/>
        </w:rPr>
        <w:t xml:space="preserve"> and the shares rallied +17.0% on the termination. At the </w:t>
      </w:r>
      <w:hyperlink w:history="1" r:id="rIdmu7cw_gditdh08pntggds">
        <w:r>
          <w:rPr>
            <w:rFonts w:ascii="Arial" w:cs="Arial" w:eastAsia="Arial" w:hAnsi="Arial"/>
            <w:color w:val="1C5CAB"/>
            <w:sz w:val="19"/>
            <w:szCs w:val="19"/>
            <w:u w:val="single"/>
          </w:rPr>
          <w:t xml:space="preserve">Capital Markets Day, 27-May-2025</w:t>
        </w:r>
      </w:hyperlink>
      <w:r>
        <w:rPr>
          <w:rFonts w:ascii="Arial" w:cs="Arial" w:eastAsia="Arial" w:hAnsi="Arial"/>
          <w:sz w:val="19"/>
          <w:szCs w:val="19"/>
        </w:rPr>
        <w:t xml:space="preserve"> the CEO said Elis had been "ready to evaluate the potential acquisition of major targets like Vestis" </w:t>
      </w:r>
      <w:hyperlink w:history="1" r:id="rIdglhqbrdwipawga0740qdr">
        <w:r>
          <w:rPr>
            <w:rFonts w:ascii="Arial" w:cs="Arial" w:eastAsia="Arial" w:hAnsi="Arial"/>
            <w:color w:val="1C5CAB"/>
            <w:sz w:val="15"/>
            <w:szCs w:val="15"/>
          </w:rPr>
          <w:t xml:space="preserve">[#3277]</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Capital returns re-rate the stock; revenue surprises do not.</w:t>
      </w:r>
      <w:r>
        <w:rPr>
          <w:rFonts w:ascii="Arial" w:cs="Arial" w:eastAsia="Arial" w:hAnsi="Arial"/>
          <w:sz w:val="19"/>
          <w:szCs w:val="19"/>
        </w:rPr>
        <w:t xml:space="preserve"> FY2024 results (6-Mar-2025) with a new capital-allocation policy and a €150m buyback produced a +9.05% day (+18.2% over the episode while peers fell 7.1%) </w:t>
      </w:r>
      <w:hyperlink w:history="1" r:id="rIdrwwvtmxt-tfgqksur9ti1">
        <w:r>
          <w:rPr>
            <w:rFonts w:ascii="Arial" w:cs="Arial" w:eastAsia="Arial" w:hAnsi="Arial"/>
            <w:color w:val="1C5CAB"/>
            <w:sz w:val="15"/>
            <w:szCs w:val="15"/>
          </w:rPr>
          <w:t xml:space="preserve">[#4]</w:t>
        </w:r>
      </w:hyperlink>
      <w:r>
        <w:rPr>
          <w:rFonts w:ascii="Arial" w:cs="Arial" w:eastAsia="Arial" w:hAnsi="Arial"/>
          <w:sz w:val="19"/>
          <w:szCs w:val="19"/>
        </w:rPr>
        <w:t xml:space="preserve"> </w:t>
      </w:r>
      <w:hyperlink w:history="1" r:id="rIdtjnzibwwfpimz1nm8ixhh">
        <w:r>
          <w:rPr>
            <w:rFonts w:ascii="Arial" w:cs="Arial" w:eastAsia="Arial" w:hAnsi="Arial"/>
            <w:color w:val="1C5CAB"/>
            <w:sz w:val="15"/>
            <w:szCs w:val="15"/>
          </w:rPr>
          <w:t xml:space="preserve">[#133]</w:t>
        </w:r>
      </w:hyperlink>
      <w:r>
        <w:rPr>
          <w:rFonts w:ascii="Arial" w:cs="Arial" w:eastAsia="Arial" w:hAnsi="Arial"/>
          <w:sz w:val="19"/>
          <w:szCs w:val="19"/>
        </w:rPr>
        <w:t xml:space="preserve">. Across 17 reported quarters the average revenue surprise was only +0.9% (11 beats, 6 misses) [calc].</w:t>
      </w:r>
    </w:p>
    <w:p>
      <w:pPr>
        <w:pStyle w:val="ListParagraph"/>
        <w:numPr>
          <w:ilvl w:val="0"/>
          <w:numId w:val="2"/>
        </w:numPr>
        <w:spacing w:after="60" w:line="252"/>
      </w:pPr>
      <w:r>
        <w:rPr>
          <w:rFonts w:ascii="Arial" w:cs="Arial" w:eastAsia="Arial" w:hAnsi="Arial"/>
          <w:b/>
          <w:bCs/>
          <w:sz w:val="19"/>
          <w:szCs w:val="19"/>
        </w:rPr>
        <w:t xml:space="preserve">France-specific political risk is priced episodically.</w:t>
      </w:r>
      <w:r>
        <w:rPr>
          <w:rFonts w:ascii="Arial" w:cs="Arial" w:eastAsia="Arial" w:hAnsi="Arial"/>
          <w:sz w:val="19"/>
          <w:szCs w:val="19"/>
        </w:rPr>
        <w:t xml:space="preserve"> The June-2024 dissolution of the National Assembly cost −13.5% in three weeks while peers rose 2.7%; management: "Our stock price lost around 15% since the dissolution of the French National Assembly" </w:t>
      </w:r>
      <w:hyperlink w:history="1" r:id="rIdtkyxq5kpf5-b60z8ypg1o">
        <w:r>
          <w:rPr>
            <w:rFonts w:ascii="Arial" w:cs="Arial" w:eastAsia="Arial" w:hAnsi="Arial"/>
            <w:color w:val="1C5CAB"/>
            <w:sz w:val="15"/>
            <w:szCs w:val="15"/>
          </w:rPr>
          <w:t xml:space="preserve">[#81]</w:t>
        </w:r>
      </w:hyperlink>
      <w:r>
        <w:rPr>
          <w:rFonts w:ascii="Arial" w:cs="Arial" w:eastAsia="Arial" w:hAnsi="Arial"/>
          <w:sz w:val="19"/>
          <w:szCs w:val="19"/>
        </w:rPr>
        <w:t xml:space="preserve">. France is ~30% of revenue </w:t>
      </w:r>
      <w:hyperlink w:history="1" r:id="rIdjj5s0f0v4iqamzx6mfe7r">
        <w:r>
          <w:rPr>
            <w:rFonts w:ascii="Arial" w:cs="Arial" w:eastAsia="Arial" w:hAnsi="Arial"/>
            <w:color w:val="1C5CAB"/>
            <w:sz w:val="15"/>
            <w:szCs w:val="15"/>
          </w:rPr>
          <w:t xml:space="preserve">[#155]</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The current drawdown (−24.6% from the July high) is the second-largest of the cycle.</w:t>
      </w:r>
      <w:r>
        <w:rPr>
          <w:rFonts w:ascii="Arial" w:cs="Arial" w:eastAsia="Arial" w:hAnsi="Arial"/>
          <w:sz w:val="19"/>
          <w:szCs w:val="19"/>
        </w:rPr>
        <w:t xml:space="preserve"> It combines (i) the end of the €500m buyback (completed 9-Jul) </w:t>
      </w:r>
      <w:hyperlink w:history="1" r:id="rId3jd0a9fs_mq0dx0qz66kn">
        <w:r>
          <w:rPr>
            <w:rFonts w:ascii="Arial" w:cs="Arial" w:eastAsia="Arial" w:hAnsi="Arial"/>
            <w:color w:val="1C5CAB"/>
            <w:sz w:val="15"/>
            <w:szCs w:val="15"/>
          </w:rPr>
          <w:t xml:space="preserve">[#17]</w:t>
        </w:r>
      </w:hyperlink>
      <w:r>
        <w:rPr>
          <w:rFonts w:ascii="Arial" w:cs="Arial" w:eastAsia="Arial" w:hAnsi="Arial"/>
          <w:sz w:val="19"/>
          <w:szCs w:val="19"/>
        </w:rPr>
        <w:t xml:space="preserve">, (ii) H1 2026 results on 29-Jul in which targets were only "confirmed" </w:t>
      </w:r>
      <w:hyperlink w:history="1" r:id="rIdve9o6blsv-j01yki7pfx8">
        <w:r>
          <w:rPr>
            <w:rFonts w:ascii="Arial" w:cs="Arial" w:eastAsia="Arial" w:hAnsi="Arial"/>
            <w:color w:val="1C5CAB"/>
            <w:sz w:val="15"/>
            <w:szCs w:val="15"/>
          </w:rPr>
          <w:t xml:space="preserve">[#342]</w:t>
        </w:r>
      </w:hyperlink>
      <w:r>
        <w:rPr>
          <w:rFonts w:ascii="Arial" w:cs="Arial" w:eastAsia="Arial" w:hAnsi="Arial"/>
          <w:sz w:val="19"/>
          <w:szCs w:val="19"/>
        </w:rPr>
        <w:t xml:space="preserve"> and Mexico lost tender volume </w:t>
      </w:r>
      <w:hyperlink w:history="1" r:id="rIdtfky_ctlsjed-e_psl0my">
        <w:r>
          <w:rPr>
            <w:rFonts w:ascii="Arial" w:cs="Arial" w:eastAsia="Arial" w:hAnsi="Arial"/>
            <w:color w:val="1C5CAB"/>
            <w:sz w:val="15"/>
            <w:szCs w:val="15"/>
          </w:rPr>
          <w:t xml:space="preserve">[#330]</w:t>
        </w:r>
      </w:hyperlink>
      <w:r>
        <w:rPr>
          <w:rFonts w:ascii="Arial" w:cs="Arial" w:eastAsia="Arial" w:hAnsi="Arial"/>
          <w:sz w:val="19"/>
          <w:szCs w:val="19"/>
        </w:rPr>
        <w:t xml:space="preserve"> (−5.68% next day, z-score −3.6), and (iii) a −14.4% slide from 26-Aug to 21-Sep-2026 that has no identified company-specific cause in permitted sources (partly sector: UniFirst −8.3%, Rentokil −8.9%) [calc].</w:t>
      </w:r>
    </w:p>
    <w:p>
      <w:pPr>
        <w:pStyle w:val="ListParagraph"/>
        <w:numPr>
          <w:ilvl w:val="0"/>
          <w:numId w:val="2"/>
        </w:numPr>
        <w:spacing w:after="60" w:line="252"/>
      </w:pPr>
      <w:r>
        <w:rPr>
          <w:rFonts w:ascii="Arial" w:cs="Arial" w:eastAsia="Arial" w:hAnsi="Arial"/>
          <w:b/>
          <w:bCs/>
          <w:sz w:val="19"/>
          <w:szCs w:val="19"/>
        </w:rPr>
        <w:t xml:space="preserve">Elis trades on European and company-specific news.</w:t>
      </w:r>
      <w:r>
        <w:rPr>
          <w:rFonts w:ascii="Arial" w:cs="Arial" w:eastAsia="Arial" w:hAnsi="Arial"/>
          <w:sz w:val="19"/>
          <w:szCs w:val="19"/>
        </w:rPr>
        <w:t xml:space="preserve"> Daily-return correlation with Cintas, UniFirst, Vestis, Rentokil and Sodexo is only 0.14–0.32 [calc]; Vestis's guidance cut (May-2024, −45%) and suspension (May-2025, −37.5%) left Elis essentially unchanged.</w:t>
      </w:r>
    </w:p>
    <w:p>
      <w:pPr>
        <w:spacing w:after="60"/>
      </w:pPr>
    </w:p>
    <w:p>
      <w:pPr>
        <w:pStyle w:val="Heading2"/>
        <w:keepNext/>
        <w:keepLines/>
        <w:spacing w:after="80" w:before="180"/>
      </w:pPr>
      <w:r>
        <w:rPr>
          <w:rFonts w:ascii="Arial" w:cs="Arial" w:eastAsia="Arial" w:hAnsi="Arial"/>
          <w:b/>
          <w:bCs/>
          <w:color w:val="13213F"/>
          <w:sz w:val="24"/>
          <w:szCs w:val="24"/>
        </w:rPr>
        <w:t xml:space="preserve">All episodes of ±10% within 1–20 trading days (Oct-2021 to Oct-2026)</w:t>
      </w:r>
    </w:p>
    <w:p>
      <w:pPr>
        <w:spacing w:after="100" w:before="0" w:line="264"/>
        <w:jc w:val="left"/>
      </w:pPr>
      <w:r>
        <w:rPr>
          <w:rFonts w:ascii="Arial" w:cs="Arial" w:eastAsia="Arial" w:hAnsi="Arial"/>
          <w:sz w:val="18"/>
          <w:szCs w:val="18"/>
        </w:rPr>
        <w:t xml:space="preserve">38 non-overlapping episodes were identified [calc]. "Peer median" is the median move of Cintas, UniFirst, Vestis, Rentokil and Sodexo over the same dates (ProntoNLP prices; Rentokil and Sodexo series are USD lines). 23 single-day or multi-day moves have no cause identifiable in S&amp;P/ProntoNLP; these are labelled as such rather than guessed.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8"/>
        <w:gridCol w:w="888"/>
        <w:gridCol w:w="622"/>
        <w:gridCol w:w="622"/>
        <w:gridCol w:w="1155"/>
        <w:gridCol w:w="5691"/>
      </w:tblGrid>
      <w:tr>
        <w:trPr>
          <w:cantSplit/>
          <w:tblHeader/>
        </w:trPr>
        <w:tc>
          <w:tcPr>
            <w:tcW w:type="dxa" w:w="88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Start</w:t>
            </w:r>
          </w:p>
        </w:tc>
        <w:tc>
          <w:tcPr>
            <w:tcW w:type="dxa" w:w="88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End</w:t>
            </w:r>
          </w:p>
        </w:tc>
        <w:tc>
          <w:tcPr>
            <w:tcW w:type="dxa" w:w="62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Move</w:t>
            </w:r>
          </w:p>
        </w:tc>
        <w:tc>
          <w:tcPr>
            <w:tcW w:type="dxa" w:w="62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Peers</w:t>
            </w:r>
          </w:p>
        </w:tc>
        <w:tc>
          <w:tcPr>
            <w:tcW w:type="dxa" w:w="115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Category</w:t>
            </w:r>
          </w:p>
        </w:tc>
        <w:tc>
          <w:tcPr>
            <w:tcW w:type="dxa" w:w="569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Cause (abridged) and source</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2021-11-05</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2021-11-30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-16.6%</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-6.0%</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Late-2021 Covid/Omicron risk to hospitality (peer median -6.0%) [calc]; Omicron impact confirmed only for early 2022; specific attribution partly [u]. </w:t>
            </w:r>
            <w:hyperlink w:history="1" r:id="rIdi31m5nkw5qcjax78qfjd-">
              <w:r>
                <w:rPr>
                  <w:rFonts w:ascii="Arial" w:cs="Arial" w:eastAsia="Arial" w:hAnsi="Arial"/>
                  <w:b w:val="false"/>
                  <w:bCs w:val="false"/>
                  <w:sz w:val="12"/>
                  <w:szCs w:val="12"/>
                </w:rPr>
                <w:t xml:space="preserve">[#29]</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2021-12-20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2022-01-13</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+22.4%</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rebound after Nov-2021 sell-off, stock-specific vs peers (-4.1%)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2022-02-10</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2022-03-08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-29.0%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-10.3%</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(energy)</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Ukraine war -&gt; gas price spike; Elis unhedged on energy at the time (management, 11-Mar-2026); peer median -10.3% [calc]. </w:t>
            </w:r>
            <w:hyperlink w:history="1" r:id="rIdtgtfe8ybixx86nz46jbcn">
              <w:r>
                <w:rPr>
                  <w:rFonts w:ascii="Arial" w:cs="Arial" w:eastAsia="Arial" w:hAnsi="Arial"/>
                  <w:b w:val="false"/>
                  <w:bCs w:val="false"/>
                  <w:sz w:val="12"/>
                  <w:szCs w:val="12"/>
                </w:rPr>
                <w:t xml:space="preserve">[#3392]</w:t>
              </w:r>
            </w:hyperlink>
            <w:r>
              <w:rPr>
                <w:rFonts w:ascii="Arial" w:cs="Arial" w:eastAsia="Arial" w:hAnsi="Arial"/>
                <w:b w:val="false"/>
                <w:bCs w:val="false"/>
                <w:sz w:val="13"/>
                <w:szCs w:val="13"/>
              </w:rPr>
              <w:t xml:space="preserve"> </w:t>
            </w:r>
            <w:hyperlink w:history="1" r:id="rId1lecumpkco-cbzoqge2nr">
              <w:r>
                <w:rPr>
                  <w:rFonts w:ascii="Arial" w:cs="Arial" w:eastAsia="Arial" w:hAnsi="Arial"/>
                  <w:b w:val="false"/>
                  <w:bCs w:val="false"/>
                  <w:sz w:val="12"/>
                  <w:szCs w:val="12"/>
                </w:rPr>
                <w:t xml:space="preserve">[#2927]</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2022-03-08</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2022-03-29</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+17.6%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+16.4%</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macro</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FY2021 results/2022 guidance with energy pass-through + market rebound (peer median +16.4%) [calc]. </w:t>
            </w:r>
            <w:hyperlink w:history="1" r:id="rIdfvnuaxmrqgo7o-94syjps">
              <w:r>
                <w:rPr>
                  <w:rFonts w:ascii="Arial" w:cs="Arial" w:eastAsia="Arial" w:hAnsi="Arial"/>
                  <w:b w:val="false"/>
                  <w:bCs w:val="false"/>
                  <w:sz w:val="12"/>
                  <w:szCs w:val="12"/>
                </w:rPr>
                <w:t xml:space="preserve">[#3392]</w:t>
              </w:r>
            </w:hyperlink>
            <w:r>
              <w:rPr>
                <w:rFonts w:ascii="Arial" w:cs="Arial" w:eastAsia="Arial" w:hAnsi="Arial"/>
                <w:b w:val="false"/>
                <w:bCs w:val="false"/>
                <w:sz w:val="13"/>
                <w:szCs w:val="13"/>
              </w:rPr>
              <w:t xml:space="preserve"> </w:t>
            </w:r>
            <w:hyperlink w:history="1" r:id="rId4paxune_7m5o40h5zg1qf">
              <w:r>
                <w:rPr>
                  <w:rFonts w:ascii="Arial" w:cs="Arial" w:eastAsia="Arial" w:hAnsi="Arial"/>
                  <w:b w:val="false"/>
                  <w:bCs w:val="false"/>
                  <w:sz w:val="12"/>
                  <w:szCs w:val="12"/>
                </w:rPr>
                <w:t xml:space="preserve">[#2927]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2022-03-29</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2022-04-06</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-11.1%</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-4.4%</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(includes 5-Apr-2022 -6.3%).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2022-04-06</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2022-05-05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+14.2%</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-3.2%</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Q1 2022 revenue document not in ProntoNLP list; stock-specific vs peers (-3.2%)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2022-05-09</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2022-05-30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+11.8%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+3.6%</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2022-05-30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2022-06-16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-16.5%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-10.2%</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sell-off (peer median -10.2%)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2022-06-30</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2022-07-27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+15.3%</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+10.5%</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earnings/guidance</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Broad rebound (peer median +10.5%) [calc] into H1 2022 results (27-Jul, guidance raised). </w:t>
            </w:r>
            <w:hyperlink w:history="1" r:id="rId2qgdlatn4ikrwzx0y-sz7">
              <w:r>
                <w:rPr>
                  <w:rFonts w:ascii="Arial" w:cs="Arial" w:eastAsia="Arial" w:hAnsi="Arial"/>
                  <w:b w:val="false"/>
                  <w:bCs w:val="false"/>
                  <w:sz w:val="12"/>
                  <w:szCs w:val="12"/>
                </w:rPr>
                <w:t xml:space="preserve">[#20]</w:t>
              </w:r>
            </w:hyperlink>
            <w:r>
              <w:rPr>
                <w:rFonts w:ascii="Arial" w:cs="Arial" w:eastAsia="Arial" w:hAnsi="Arial"/>
                <w:b w:val="false"/>
                <w:bCs w:val="false"/>
                <w:sz w:val="13"/>
                <w:szCs w:val="13"/>
              </w:rPr>
              <w:t xml:space="preserve"> </w:t>
            </w:r>
            <w:hyperlink w:history="1" r:id="rIdjfpjwhmj7b1a4_jn3-szk">
              <w:r>
                <w:rPr>
                  <w:rFonts w:ascii="Arial" w:cs="Arial" w:eastAsia="Arial" w:hAnsi="Arial"/>
                  <w:b w:val="false"/>
                  <w:bCs w:val="false"/>
                  <w:sz w:val="12"/>
                  <w:szCs w:val="12"/>
                </w:rPr>
                <w:t xml:space="preserve">[#302]</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2022-08-10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2022-09-06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-15.7%</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-8.5%</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(energy)</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European energy-price crisis (gas, French power prices); peer median -8.5% [calc]. </w:t>
            </w:r>
            <w:hyperlink w:history="1" r:id="rIdd2ygddzkt8pdszhapftll">
              <w:r>
                <w:rPr>
                  <w:rFonts w:ascii="Arial" w:cs="Arial" w:eastAsia="Arial" w:hAnsi="Arial"/>
                  <w:b w:val="false"/>
                  <w:bCs w:val="false"/>
                  <w:sz w:val="12"/>
                  <w:szCs w:val="12"/>
                </w:rPr>
                <w:t xml:space="preserve">[#455]</w:t>
              </w:r>
            </w:hyperlink>
            <w:r>
              <w:rPr>
                <w:rFonts w:ascii="Arial" w:cs="Arial" w:eastAsia="Arial" w:hAnsi="Arial"/>
                <w:b w:val="false"/>
                <w:bCs w:val="false"/>
                <w:sz w:val="13"/>
                <w:szCs w:val="13"/>
              </w:rPr>
              <w:t xml:space="preserve"> </w:t>
            </w:r>
            <w:hyperlink w:history="1" r:id="rId4_abydsjrxswj6wgqbnla">
              <w:r>
                <w:rPr>
                  <w:rFonts w:ascii="Arial" w:cs="Arial" w:eastAsia="Arial" w:hAnsi="Arial"/>
                  <w:b w:val="false"/>
                  <w:bCs w:val="false"/>
                  <w:sz w:val="12"/>
                  <w:szCs w:val="12"/>
                </w:rPr>
                <w:t xml:space="preserve">[#19]</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2022-09-12</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2022-09-29</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-19.7%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-9.0%</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(energy/rates)</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Energy crisis peak and broad de-rating (peer median -9.0%) [calc]; specific trigger not identified; 29-Sep-2022 = 5-year closing low EUR9.91 [calc]. </w:t>
            </w:r>
            <w:hyperlink w:history="1" r:id="rIdm3ped0x5ety1qyykofka1">
              <w:r>
                <w:rPr>
                  <w:rFonts w:ascii="Arial" w:cs="Arial" w:eastAsia="Arial" w:hAnsi="Arial"/>
                  <w:b w:val="false"/>
                  <w:bCs w:val="false"/>
                  <w:sz w:val="12"/>
                  <w:szCs w:val="12"/>
                </w:rPr>
                <w:t xml:space="preserve">[#455]</w:t>
              </w:r>
            </w:hyperlink>
            <w:r>
              <w:rPr>
                <w:rFonts w:ascii="Arial" w:cs="Arial" w:eastAsia="Arial" w:hAnsi="Arial"/>
                <w:b w:val="false"/>
                <w:bCs w:val="false"/>
                <w:sz w:val="13"/>
                <w:szCs w:val="13"/>
              </w:rPr>
              <w:t xml:space="preserve"> </w:t>
            </w:r>
            <w:hyperlink w:history="1" r:id="rIdb3jumclafb-by2enlepfw">
              <w:r>
                <w:rPr>
                  <w:rFonts w:ascii="Arial" w:cs="Arial" w:eastAsia="Arial" w:hAnsi="Arial"/>
                  <w:b w:val="false"/>
                  <w:bCs w:val="false"/>
                  <w:sz w:val="12"/>
                  <w:szCs w:val="12"/>
                </w:rPr>
                <w:t xml:space="preserve">[#19]</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2022-09-29</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2022-10-27</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+14.0%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+12.5%</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earnings/guidance</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Rebound (peer median +12.5%) [calc] + Q3 2022 update (26-Oct): FY organic growth guidance raised to &gt;+20%, energy costs falling. </w:t>
            </w:r>
            <w:hyperlink w:history="1" r:id="rId3idxsqkqskabpjnrkc7qd">
              <w:r>
                <w:rPr>
                  <w:rFonts w:ascii="Arial" w:cs="Arial" w:eastAsia="Arial" w:hAnsi="Arial"/>
                  <w:b w:val="false"/>
                  <w:bCs w:val="false"/>
                  <w:sz w:val="12"/>
                  <w:szCs w:val="12"/>
                </w:rPr>
                <w:t xml:space="preserve">[#25]</w:t>
              </w:r>
            </w:hyperlink>
            <w:r>
              <w:rPr>
                <w:rFonts w:ascii="Arial" w:cs="Arial" w:eastAsia="Arial" w:hAnsi="Arial"/>
                <w:b w:val="false"/>
                <w:bCs w:val="false"/>
                <w:sz w:val="13"/>
                <w:szCs w:val="13"/>
              </w:rPr>
              <w:t xml:space="preserve"> </w:t>
            </w:r>
            <w:hyperlink w:history="1" r:id="rIdoi2eoa6q7_gt9rfsvfm8a">
              <w:r>
                <w:rPr>
                  <w:rFonts w:ascii="Arial" w:cs="Arial" w:eastAsia="Arial" w:hAnsi="Arial"/>
                  <w:b w:val="false"/>
                  <w:bCs w:val="false"/>
                  <w:sz w:val="12"/>
                  <w:szCs w:val="12"/>
                </w:rPr>
                <w:t xml:space="preserve">[#211]</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2022-11-02</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2022-11-11</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+11.2%</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+7.5%</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rally (peer median +7.5%) [calc].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2022-11-16</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2022-12-13</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+3.7%</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stock-specific vs peers (+3.7%)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2022-12-20</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2023-01-18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+19.3%</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+1.8%</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stock-specific vs peers (+1.8%) [calc]; continued into FY2022 revenue release (30-Jan-2023).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2023-01-19</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2023-02-15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+10.2%</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FY2022 revenue (30-Jan-2023): 2023 organic growth of at least +10%, no slowdown seen; peers +1.0% [calc]. </w:t>
            </w:r>
            <w:hyperlink w:history="1" r:id="rId9fn-uu3sp2yjmt0zhaesj">
              <w:r>
                <w:rPr>
                  <w:rFonts w:ascii="Arial" w:cs="Arial" w:eastAsia="Arial" w:hAnsi="Arial"/>
                  <w:b w:val="false"/>
                  <w:bCs w:val="false"/>
                  <w:sz w:val="12"/>
                  <w:szCs w:val="12"/>
                </w:rPr>
                <w:t xml:space="preserve">[#23]</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2023-07-06</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2023-07-24</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+3.6%</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pre-H1 2023 results run-up (results 26-Jul raised guidance, after window); peers +3.6% [calc]. </w:t>
            </w:r>
            <w:hyperlink w:history="1" r:id="rId116s2v8jkyrxne18azd0q">
              <w:r>
                <w:rPr>
                  <w:rFonts w:ascii="Arial" w:cs="Arial" w:eastAsia="Arial" w:hAnsi="Arial"/>
                  <w:b w:val="false"/>
                  <w:bCs w:val="false"/>
                  <w:sz w:val="12"/>
                  <w:szCs w:val="12"/>
                </w:rPr>
                <w:t xml:space="preserve">[#366]</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2023-08-29</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2023-09-25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-4.3%</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NB: the 4-Sep-2023 special call was a climate/CSR roadmap call recapping raised 2023 margin guidance, not an M&amp;A call; peers -4.3% [calc]. </w:t>
            </w:r>
            <w:hyperlink w:history="1" r:id="rIdt2wumrsljehxjusemhinh">
              <w:r>
                <w:rPr>
                  <w:rFonts w:ascii="Arial" w:cs="Arial" w:eastAsia="Arial" w:hAnsi="Arial"/>
                  <w:b w:val="false"/>
                  <w:bCs w:val="false"/>
                  <w:sz w:val="12"/>
                  <w:szCs w:val="12"/>
                </w:rPr>
                <w:t xml:space="preserve">[#244]</w:t>
              </w:r>
            </w:hyperlink>
            <w:r>
              <w:rPr>
                <w:rFonts w:ascii="Arial" w:cs="Arial" w:eastAsia="Arial" w:hAnsi="Arial"/>
                <w:b w:val="false"/>
                <w:bCs w:val="false"/>
                <w:sz w:val="13"/>
                <w:szCs w:val="13"/>
              </w:rPr>
              <w:t xml:space="preserve"> </w:t>
            </w:r>
            <w:hyperlink w:history="1" r:id="rId_qvpzwcgx-4oubbn71_5j">
              <w:r>
                <w:rPr>
                  <w:rFonts w:ascii="Arial" w:cs="Arial" w:eastAsia="Arial" w:hAnsi="Arial"/>
                  <w:b w:val="false"/>
                  <w:bCs w:val="false"/>
                  <w:sz w:val="12"/>
                  <w:szCs w:val="12"/>
                </w:rPr>
                <w:t xml:space="preserve">[#428]</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2023-10-11</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2023-10-30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-10.3%</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-1.9%</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(partial)</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Q3 2023 revenue (25/26-Oct): 2023 outlook confirmed but no 2024 target (framed as decelerating price effect) [inference]; peers -1.9% [calc]. </w:t>
            </w:r>
            <w:hyperlink w:history="1" r:id="rIdocynfnkeebpeznvect0kl">
              <w:r>
                <w:rPr>
                  <w:rFonts w:ascii="Arial" w:cs="Arial" w:eastAsia="Arial" w:hAnsi="Arial"/>
                  <w:b w:val="false"/>
                  <w:bCs w:val="false"/>
                  <w:sz w:val="12"/>
                  <w:szCs w:val="12"/>
                </w:rPr>
                <w:t xml:space="preserve">[#293]</w:t>
              </w:r>
            </w:hyperlink>
            <w:r>
              <w:rPr>
                <w:rFonts w:ascii="Arial" w:cs="Arial" w:eastAsia="Arial" w:hAnsi="Arial"/>
                <w:b w:val="false"/>
                <w:bCs w:val="false"/>
                <w:sz w:val="13"/>
                <w:szCs w:val="13"/>
              </w:rPr>
              <w:t xml:space="preserve"> </w:t>
            </w:r>
            <w:hyperlink w:history="1" r:id="rIdfr9pxnubm9znmvjkprnzv">
              <w:r>
                <w:rPr>
                  <w:rFonts w:ascii="Arial" w:cs="Arial" w:eastAsia="Arial" w:hAnsi="Arial"/>
                  <w:b w:val="false"/>
                  <w:bCs w:val="false"/>
                  <w:sz w:val="12"/>
                  <w:szCs w:val="12"/>
                </w:rPr>
                <w:t xml:space="preserve">[#324]</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2023-10-30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2023-11-27</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+16.0%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+9.6%</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rally (peer median +9.6%)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2024-01-03</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2024-01-31</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+12.0%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+4.1%</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FY2023 revenue (30-Jan-2024): organic +11.8%; peers +4.1% [calc]. </w:t>
            </w:r>
            <w:hyperlink w:history="1" r:id="rIddkmcunn_28cei3hsddakp">
              <w:r>
                <w:rPr>
                  <w:rFonts w:ascii="Arial" w:cs="Arial" w:eastAsia="Arial" w:hAnsi="Arial"/>
                  <w:b w:val="false"/>
                  <w:bCs w:val="false"/>
                  <w:sz w:val="12"/>
                  <w:szCs w:val="12"/>
                </w:rPr>
                <w:t xml:space="preserve">[#18]</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2024-03-20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2024-04-03</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+10.4%</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follows FY2023 results (7-Mar-2024, 2024 outlook organic c.+5%); peers ~0% [calc]. </w:t>
            </w:r>
            <w:hyperlink w:history="1" r:id="rId7o5dlhsb-xciemotpjjbn">
              <w:r>
                <w:rPr>
                  <w:rFonts w:ascii="Arial" w:cs="Arial" w:eastAsia="Arial" w:hAnsi="Arial"/>
                  <w:b w:val="false"/>
                  <w:bCs w:val="false"/>
                  <w:sz w:val="12"/>
                  <w:szCs w:val="12"/>
                </w:rPr>
                <w:t xml:space="preserve">[#307]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2024-04-12</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2024-05-07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+11.7%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Q1 2024 revenue date not in ProntoNLP; Vestis guidance cut (2-May-2024, VSTS -45%) had no visible negative read-across (Elis 0.0% that day) [calc]. </w:t>
            </w:r>
            <w:hyperlink w:history="1" r:id="rIdreo7nirxcuscju2t-vo93">
              <w:r>
                <w:rPr>
                  <w:rFonts w:ascii="Arial" w:cs="Arial" w:eastAsia="Arial" w:hAnsi="Arial"/>
                  <w:b w:val="false"/>
                  <w:bCs w:val="false"/>
                  <w:sz w:val="12"/>
                  <w:szCs w:val="12"/>
                </w:rPr>
                <w:t xml:space="preserve">[#191]</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2024-06-06</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2024-06-28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-13.5%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+2.6%</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(French politics)</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French snap election/dissolution of the National Assembly; peers +2.7% -&gt; France-specific [calc]. </w:t>
            </w:r>
            <w:hyperlink w:history="1" r:id="rIdnzqltwqcjiwyght_mhqyh">
              <w:r>
                <w:rPr>
                  <w:rFonts w:ascii="Arial" w:cs="Arial" w:eastAsia="Arial" w:hAnsi="Arial"/>
                  <w:b w:val="false"/>
                  <w:bCs w:val="false"/>
                  <w:sz w:val="12"/>
                  <w:szCs w:val="12"/>
                </w:rPr>
                <w:t xml:space="preserve">[#81]</w:t>
              </w:r>
            </w:hyperlink>
            <w:r>
              <w:rPr>
                <w:rFonts w:ascii="Arial" w:cs="Arial" w:eastAsia="Arial" w:hAnsi="Arial"/>
                <w:b w:val="false"/>
                <w:bCs w:val="false"/>
                <w:sz w:val="13"/>
                <w:szCs w:val="13"/>
              </w:rPr>
              <w:t xml:space="preserve"> </w:t>
            </w:r>
            <w:hyperlink w:history="1" r:id="rIdh5etdswo-phcmbfgd7m2l">
              <w:r>
                <w:rPr>
                  <w:rFonts w:ascii="Arial" w:cs="Arial" w:eastAsia="Arial" w:hAnsi="Arial"/>
                  <w:b w:val="false"/>
                  <w:bCs w:val="false"/>
                  <w:sz w:val="12"/>
                  <w:szCs w:val="12"/>
                </w:rPr>
                <w:t xml:space="preserve">[#155]</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2024-08-08</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2024-09-05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+12.9%</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+5.2%</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rebound after early-Aug-2024 sell-off; peers +5.2% [calc].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2024-09-05</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2024-09-10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-21.1%</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+0.2%</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US acquisition talks (incl. Vestis) feared as large/leveraging deal; peers +0.2% [calc]. </w:t>
            </w:r>
            <w:hyperlink w:history="1" r:id="rIdrpnvgoa7ufex9gkjtswfk">
              <w:r>
                <w:rPr>
                  <w:rFonts w:ascii="Arial" w:cs="Arial" w:eastAsia="Arial" w:hAnsi="Arial"/>
                  <w:b w:val="false"/>
                  <w:bCs w:val="false"/>
                  <w:sz w:val="12"/>
                  <w:szCs w:val="12"/>
                </w:rPr>
                <w:t xml:space="preserve">[#1]</w:t>
              </w:r>
            </w:hyperlink>
            <w:r>
              <w:rPr>
                <w:rFonts w:ascii="Arial" w:cs="Arial" w:eastAsia="Arial" w:hAnsi="Arial"/>
                <w:b w:val="false"/>
                <w:bCs w:val="false"/>
                <w:sz w:val="13"/>
                <w:szCs w:val="13"/>
              </w:rPr>
              <w:t xml:space="preserve"> </w:t>
            </w:r>
            <w:hyperlink w:history="1" r:id="rIdjtavczbrx7ojr3fnt_4po">
              <w:r>
                <w:rPr>
                  <w:rFonts w:ascii="Arial" w:cs="Arial" w:eastAsia="Arial" w:hAnsi="Arial"/>
                  <w:b w:val="false"/>
                  <w:bCs w:val="false"/>
                  <w:sz w:val="12"/>
                  <w:szCs w:val="12"/>
                </w:rPr>
                <w:t xml:space="preserve">[#3277]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2024-10-02</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2024-10-18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+17.0%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+2.7%</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US talks terminated at the beginning of October 2024; peers +2.7% [calc]. </w:t>
            </w:r>
            <w:hyperlink w:history="1" r:id="rIdk8cxllw65apbtsvbr1ja2">
              <w:r>
                <w:rPr>
                  <w:rFonts w:ascii="Arial" w:cs="Arial" w:eastAsia="Arial" w:hAnsi="Arial"/>
                  <w:b w:val="false"/>
                  <w:bCs w:val="false"/>
                  <w:sz w:val="12"/>
                  <w:szCs w:val="12"/>
                </w:rPr>
                <w:t xml:space="preserve">[#1]</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2024-10-30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2024-11-08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+10.4%</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Q3 2024 revenue (29-Oct): FY2024 objectives confirmed, US talks formally disclosed as terminated; peers +5.1% [calc]. </w:t>
            </w:r>
            <w:hyperlink w:history="1" r:id="rIdmxuog5cbt5joyheazits7">
              <w:r>
                <w:rPr>
                  <w:rFonts w:ascii="Arial" w:cs="Arial" w:eastAsia="Arial" w:hAnsi="Arial"/>
                  <w:b w:val="false"/>
                  <w:bCs w:val="false"/>
                  <w:sz w:val="12"/>
                  <w:szCs w:val="12"/>
                </w:rPr>
                <w:t xml:space="preserve">[#1]</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2024-11-08</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2024-12-05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-14.8%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-1.7%</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stock-specific (peers -1.7%) [calc]; Q3 release flagged disappointing hospitality (France/UK); French budget concerns raised by analysts at FY2024 results; [u] French government crisis. </w:t>
            </w:r>
            <w:hyperlink w:history="1" r:id="rId2a5ogzm7r2eub8uz2grt9">
              <w:r>
                <w:rPr>
                  <w:rFonts w:ascii="Arial" w:cs="Arial" w:eastAsia="Arial" w:hAnsi="Arial"/>
                  <w:b w:val="false"/>
                  <w:bCs w:val="false"/>
                  <w:sz w:val="12"/>
                  <w:szCs w:val="12"/>
                </w:rPr>
                <w:t xml:space="preserve">[#407]</w:t>
              </w:r>
            </w:hyperlink>
            <w:r>
              <w:rPr>
                <w:rFonts w:ascii="Arial" w:cs="Arial" w:eastAsia="Arial" w:hAnsi="Arial"/>
                <w:b w:val="false"/>
                <w:bCs w:val="false"/>
                <w:sz w:val="13"/>
                <w:szCs w:val="13"/>
              </w:rPr>
              <w:t xml:space="preserve"> </w:t>
            </w:r>
            <w:hyperlink w:history="1" r:id="rIdcckaur75myzpawwv5bbde">
              <w:r>
                <w:rPr>
                  <w:rFonts w:ascii="Arial" w:cs="Arial" w:eastAsia="Arial" w:hAnsi="Arial"/>
                  <w:b w:val="false"/>
                  <w:bCs w:val="false"/>
                  <w:sz w:val="12"/>
                  <w:szCs w:val="12"/>
                </w:rPr>
                <w:t xml:space="preserve">[#1]</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2025-02-19</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2025-03-18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+18.2%</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-7.1%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capital markets</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FY2024 results, new capital allocation policy and EUR150m buyback; peers -7.1% -&gt; stock-specific [calc]. </w:t>
            </w:r>
            <w:hyperlink w:history="1" r:id="rIdedr1jqpvnsfpndqnoi1c8">
              <w:r>
                <w:rPr>
                  <w:rFonts w:ascii="Arial" w:cs="Arial" w:eastAsia="Arial" w:hAnsi="Arial"/>
                  <w:b w:val="false"/>
                  <w:bCs w:val="false"/>
                  <w:sz w:val="12"/>
                  <w:szCs w:val="12"/>
                </w:rPr>
                <w:t xml:space="preserve">[#4]</w:t>
              </w:r>
            </w:hyperlink>
            <w:r>
              <w:rPr>
                <w:rFonts w:ascii="Arial" w:cs="Arial" w:eastAsia="Arial" w:hAnsi="Arial"/>
                <w:b w:val="false"/>
                <w:bCs w:val="false"/>
                <w:sz w:val="13"/>
                <w:szCs w:val="13"/>
              </w:rPr>
              <w:t xml:space="preserve"> </w:t>
            </w:r>
            <w:hyperlink w:history="1" r:id="rId6yb4bpckjtnrbjtwws-cg">
              <w:r>
                <w:rPr>
                  <w:rFonts w:ascii="Arial" w:cs="Arial" w:eastAsia="Arial" w:hAnsi="Arial"/>
                  <w:b w:val="false"/>
                  <w:bCs w:val="false"/>
                  <w:sz w:val="12"/>
                  <w:szCs w:val="12"/>
                </w:rPr>
                <w:t xml:space="preserve">[#377]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2025-03-18</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2025-04-07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-20.2%</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(US tariffs)</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Global tariff sell-off (peer median -20.2%) [calc]; Elis less hit than peers. </w:t>
            </w:r>
            <w:hyperlink w:history="1" r:id="rIdotwzohcc7pt7nop4j-po2">
              <w:r>
                <w:rPr>
                  <w:rFonts w:ascii="Arial" w:cs="Arial" w:eastAsia="Arial" w:hAnsi="Arial"/>
                  <w:b w:val="false"/>
                  <w:bCs w:val="false"/>
                  <w:sz w:val="12"/>
                  <w:szCs w:val="12"/>
                </w:rPr>
                <w:t xml:space="preserve">[#6]</w:t>
              </w:r>
            </w:hyperlink>
            <w:r>
              <w:rPr>
                <w:rFonts w:ascii="Arial" w:cs="Arial" w:eastAsia="Arial" w:hAnsi="Arial"/>
                <w:b w:val="false"/>
                <w:bCs w:val="false"/>
                <w:sz w:val="13"/>
                <w:szCs w:val="13"/>
              </w:rPr>
              <w:t xml:space="preserve"> </w:t>
            </w:r>
            <w:hyperlink w:history="1" r:id="rIdduc-3v5tpqwlshsw1ljgq">
              <w:r>
                <w:rPr>
                  <w:rFonts w:ascii="Arial" w:cs="Arial" w:eastAsia="Arial" w:hAnsi="Arial"/>
                  <w:b w:val="false"/>
                  <w:bCs w:val="false"/>
                  <w:sz w:val="12"/>
                  <w:szCs w:val="12"/>
                </w:rPr>
                <w:t xml:space="preserve">[#2993]</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2025-04-07</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2025-05-02</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+21.1%</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+11.0%</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earnings/guidance</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Rebound (peer median +11.0%) [calc] + Q1 2025 revenue: objectives confirmed, no direct tariff impact. </w:t>
            </w:r>
            <w:hyperlink w:history="1" r:id="rIdxakmetwur6v9is7xrofh0">
              <w:r>
                <w:rPr>
                  <w:rFonts w:ascii="Arial" w:cs="Arial" w:eastAsia="Arial" w:hAnsi="Arial"/>
                  <w:b w:val="false"/>
                  <w:bCs w:val="false"/>
                  <w:sz w:val="12"/>
                  <w:szCs w:val="12"/>
                </w:rPr>
                <w:t xml:space="preserve">[#6]</w:t>
              </w:r>
            </w:hyperlink>
            <w:r>
              <w:rPr>
                <w:rFonts w:ascii="Arial" w:cs="Arial" w:eastAsia="Arial" w:hAnsi="Arial"/>
                <w:b w:val="false"/>
                <w:bCs w:val="false"/>
                <w:sz w:val="13"/>
                <w:szCs w:val="13"/>
              </w:rPr>
              <w:t xml:space="preserve"> </w:t>
            </w:r>
            <w:hyperlink w:history="1" r:id="rIdavjwzljwdaz1gki671ioi">
              <w:r>
                <w:rPr>
                  <w:rFonts w:ascii="Arial" w:cs="Arial" w:eastAsia="Arial" w:hAnsi="Arial"/>
                  <w:b w:val="false"/>
                  <w:bCs w:val="false"/>
                  <w:sz w:val="12"/>
                  <w:szCs w:val="12"/>
                </w:rPr>
                <w:t xml:space="preserve">[#2993]</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2025-08-15</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2025-09-02</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-10.3%</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-2.9%</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peers -2.9% [calc]; [u] French political instability (Aug-Sep 2025).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2026-01-21</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2026-02-20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+15.9%</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capital markets</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rally (peer median +15.1%) [calc] + execution of the up-to-EUR500m 2026 buyback (from 6-Jan-2026). </w:t>
            </w:r>
            <w:hyperlink w:history="1" r:id="rIdkixlw3teea-hs7ui3_d1_">
              <w:r>
                <w:rPr>
                  <w:rFonts w:ascii="Arial" w:cs="Arial" w:eastAsia="Arial" w:hAnsi="Arial"/>
                  <w:b w:val="false"/>
                  <w:bCs w:val="false"/>
                  <w:sz w:val="12"/>
                  <w:szCs w:val="12"/>
                </w:rPr>
                <w:t xml:space="preserve">[#693]</w:t>
              </w:r>
            </w:hyperlink>
            <w:r>
              <w:rPr>
                <w:rFonts w:ascii="Arial" w:cs="Arial" w:eastAsia="Arial" w:hAnsi="Arial"/>
                <w:b w:val="false"/>
                <w:bCs w:val="false"/>
                <w:sz w:val="13"/>
                <w:szCs w:val="13"/>
              </w:rPr>
              <w:t xml:space="preserve"> </w:t>
            </w:r>
            <w:hyperlink w:history="1" r:id="rIdqf_aslzrpqutyvwjlujce">
              <w:r>
                <w:rPr>
                  <w:rFonts w:ascii="Arial" w:cs="Arial" w:eastAsia="Arial" w:hAnsi="Arial"/>
                  <w:b w:val="false"/>
                  <w:bCs w:val="false"/>
                  <w:sz w:val="12"/>
                  <w:szCs w:val="12"/>
                </w:rPr>
                <w:t xml:space="preserve">[#695]</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2026-02-20</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2026-03-20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-13.5%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-9.2%</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(geopolitics/energy)</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Middle East conflict -&gt; energy price spike (peer median -9.2%) [calc]; FY2025 results 11-Mar (dividend EUR0.48, buyback up to EUR500m) and Cintas-UniFirst deal did not reverse the trend. </w:t>
            </w:r>
            <w:hyperlink w:history="1" r:id="rIdce2gvdmcrchjfhslf77gi">
              <w:r>
                <w:rPr>
                  <w:rFonts w:ascii="Arial" w:cs="Arial" w:eastAsia="Arial" w:hAnsi="Arial"/>
                  <w:b w:val="false"/>
                  <w:bCs w:val="false"/>
                  <w:sz w:val="12"/>
                  <w:szCs w:val="12"/>
                </w:rPr>
                <w:t xml:space="preserve">[#424]</w:t>
              </w:r>
            </w:hyperlink>
            <w:r>
              <w:rPr>
                <w:rFonts w:ascii="Arial" w:cs="Arial" w:eastAsia="Arial" w:hAnsi="Arial"/>
                <w:b w:val="false"/>
                <w:bCs w:val="false"/>
                <w:sz w:val="13"/>
                <w:szCs w:val="13"/>
              </w:rPr>
              <w:t xml:space="preserve"> </w:t>
            </w:r>
            <w:hyperlink w:history="1" r:id="rIdje7vsndqcjtic3abyhql1">
              <w:r>
                <w:rPr>
                  <w:rFonts w:ascii="Arial" w:cs="Arial" w:eastAsia="Arial" w:hAnsi="Arial"/>
                  <w:b w:val="false"/>
                  <w:bCs w:val="false"/>
                  <w:sz w:val="12"/>
                  <w:szCs w:val="12"/>
                </w:rPr>
                <w:t xml:space="preserve">[#453]</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2026-03-20</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2026-04-17</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+14.0%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+5.5%</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rebound (peer median +5.5%)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2026-07-03</w:t>
            </w:r>
          </w:p>
        </w:tc>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2026-07-30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-12.8%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+7.3%</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capital markets</w:t>
            </w:r>
          </w:p>
        </w:tc>
        <w:tc>
          <w:tcPr>
            <w:tcW w:type="dxa" w:w="56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results (guidance only confirmed, Mexico volume loss) after the EUR500m buyback ended mid-July (end of buyback support = [inference]); peer median +7.3% -&gt; stock-specific [calc], although Rentokil (ADR -19.1% in window) also disappointed on 30-Jul. </w:t>
            </w:r>
            <w:hyperlink w:history="1" r:id="rIdk79yjkw5-mibvbg6_w5ho">
              <w:r>
                <w:rPr>
                  <w:rFonts w:ascii="Arial" w:cs="Arial" w:eastAsia="Arial" w:hAnsi="Arial"/>
                  <w:b w:val="false"/>
                  <w:bCs w:val="false"/>
                  <w:sz w:val="12"/>
                  <w:szCs w:val="12"/>
                </w:rPr>
                <w:t xml:space="preserve">[#330]</w:t>
              </w:r>
            </w:hyperlink>
            <w:r>
              <w:rPr>
                <w:rFonts w:ascii="Arial" w:cs="Arial" w:eastAsia="Arial" w:hAnsi="Arial"/>
                <w:b w:val="false"/>
                <w:bCs w:val="false"/>
                <w:sz w:val="13"/>
                <w:szCs w:val="13"/>
              </w:rPr>
              <w:t xml:space="preserve"> </w:t>
            </w:r>
            <w:hyperlink w:history="1" r:id="rIdt_bbkhrrrtjiw4ciysjub">
              <w:r>
                <w:rPr>
                  <w:rFonts w:ascii="Arial" w:cs="Arial" w:eastAsia="Arial" w:hAnsi="Arial"/>
                  <w:b w:val="false"/>
                  <w:bCs w:val="false"/>
                  <w:sz w:val="12"/>
                  <w:szCs w:val="12"/>
                </w:rPr>
                <w:t xml:space="preserve">[#342]</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2026-08-26</w:t>
            </w:r>
          </w:p>
        </w:tc>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2026-09-21</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-14.4%</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-4.3%</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56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partly sector (UNF -8.3%, RTO -8.9%, CTAS -4.3%) [calc]; includes unexplained 21-Sep -6.4% day; possible OCEANE soft-call/arbitrage overhang = [inference]. </w:t>
            </w:r>
          </w:p>
        </w:tc>
      </w:tr>
    </w:tbl>
    <w:p>
      <w:pPr>
        <w:spacing w:after="140" w:before="40"/>
      </w:pPr>
      <w:r>
        <w:rPr>
          <w:rFonts w:ascii="Arial" w:cs="Arial" w:eastAsia="Arial" w:hAnsi="Arial"/>
          <w:color w:val="898781"/>
          <w:sz w:val="14"/>
          <w:szCs w:val="14"/>
        </w:rPr>
        <w:t xml:space="preserve">Source: ProntoNLP getStockPrices (Elis and peers) and ProntoNLP document search; moves and peer medians are analyst calculations (model/D_compute.py).</w:t>
      </w:r>
    </w:p>
    <w:p>
      <w:pPr>
        <w:pStyle w:val="Heading3"/>
        <w:keepNext/>
        <w:keepLines/>
        <w:spacing w:after="80" w:before="180"/>
      </w:pPr>
      <w:r>
        <w:rPr>
          <w:rFonts w:ascii="Arial" w:cs="Arial" w:eastAsia="Arial" w:hAnsi="Arial"/>
          <w:b/>
          <w:bCs/>
          <w:color w:val="2A78D6"/>
          <w:sz w:val="20"/>
          <w:szCs w:val="20"/>
        </w:rPr>
        <w:t xml:space="preserve">Single-day moves of ±5% or more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8"/>
        <w:gridCol w:w="622"/>
        <w:gridCol w:w="622"/>
        <w:gridCol w:w="1155"/>
        <w:gridCol w:w="6579"/>
      </w:tblGrid>
      <w:tr>
        <w:trPr>
          <w:cantSplit/>
          <w:tblHeader/>
        </w:trPr>
        <w:tc>
          <w:tcPr>
            <w:tcW w:type="dxa" w:w="88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Date</w:t>
            </w:r>
          </w:p>
        </w:tc>
        <w:tc>
          <w:tcPr>
            <w:tcW w:type="dxa" w:w="62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Move</w:t>
            </w:r>
          </w:p>
        </w:tc>
        <w:tc>
          <w:tcPr>
            <w:tcW w:type="dxa" w:w="62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Peers</w:t>
            </w:r>
          </w:p>
        </w:tc>
        <w:tc>
          <w:tcPr>
            <w:tcW w:type="dxa" w:w="115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Category</w:t>
            </w:r>
          </w:p>
        </w:tc>
        <w:tc>
          <w:tcPr>
            <w:tcW w:type="dxa" w:w="657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Cause (abridged) and source</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2021-11-25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-7.20%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-3.5%</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Broad sell-off: peer median -3.5%, Sodexo USD line -5.8% [calc]. ProntoNLP only confirms Omicron hit hospitality in early 2022; linking this day to the Omicron variant news is [u]. </w:t>
            </w:r>
            <w:hyperlink w:history="1" r:id="rIdfxipp2zrzcpj0gdqlpwec">
              <w:r>
                <w:rPr>
                  <w:rFonts w:ascii="Arial" w:cs="Arial" w:eastAsia="Arial" w:hAnsi="Arial"/>
                  <w:b w:val="false"/>
                  <w:bCs w:val="false"/>
                  <w:sz w:val="12"/>
                  <w:szCs w:val="12"/>
                </w:rPr>
                <w:t xml:space="preserve">[#29]</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2022-02-25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-5.36%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Russia-Ukraine war onset -&gt; European gas/energy price shock for an energy-intensive laundry operator (US peers flat, Sodexo -3.1%) [calc]; war-start date [u]. </w:t>
            </w:r>
            <w:hyperlink w:history="1" r:id="rIdxbhnvtkejfgnxfkr2vxgy">
              <w:r>
                <w:rPr>
                  <w:rFonts w:ascii="Arial" w:cs="Arial" w:eastAsia="Arial" w:hAnsi="Arial"/>
                  <w:b w:val="false"/>
                  <w:bCs w:val="false"/>
                  <w:sz w:val="12"/>
                  <w:szCs w:val="12"/>
                </w:rPr>
                <w:t xml:space="preserve">[#3392]</w:t>
              </w:r>
            </w:hyperlink>
            <w:r>
              <w:rPr>
                <w:rFonts w:ascii="Arial" w:cs="Arial" w:eastAsia="Arial" w:hAnsi="Arial"/>
                <w:b w:val="false"/>
                <w:bCs w:val="false"/>
                <w:sz w:val="13"/>
                <w:szCs w:val="13"/>
              </w:rPr>
              <w:t xml:space="preserve"> </w:t>
            </w:r>
            <w:hyperlink w:history="1" r:id="rIddf5fjwkj-q16ozvcvw7io">
              <w:r>
                <w:rPr>
                  <w:rFonts w:ascii="Arial" w:cs="Arial" w:eastAsia="Arial" w:hAnsi="Arial"/>
                  <w:b w:val="false"/>
                  <w:bCs w:val="false"/>
                  <w:sz w:val="12"/>
                  <w:szCs w:val="12"/>
                </w:rPr>
                <w:t xml:space="preserve">[#2927]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2022-02-28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-7.15%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-0.9%</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Continuation of Ukraine-war energy shock (Sodexo -5.5%, US peers ~flat) [calc]. </w:t>
            </w:r>
            <w:hyperlink w:history="1" r:id="rIds0qfhtg_9dk_jun3zjqwy">
              <w:r>
                <w:rPr>
                  <w:rFonts w:ascii="Arial" w:cs="Arial" w:eastAsia="Arial" w:hAnsi="Arial"/>
                  <w:b w:val="false"/>
                  <w:bCs w:val="false"/>
                  <w:sz w:val="12"/>
                  <w:szCs w:val="12"/>
                </w:rPr>
                <w:t xml:space="preserve">[#3392]</w:t>
              </w:r>
            </w:hyperlink>
            <w:r>
              <w:rPr>
                <w:rFonts w:ascii="Arial" w:cs="Arial" w:eastAsia="Arial" w:hAnsi="Arial"/>
                <w:b w:val="false"/>
                <w:bCs w:val="false"/>
                <w:sz w:val="13"/>
                <w:szCs w:val="13"/>
              </w:rPr>
              <w:t xml:space="preserve"> </w:t>
            </w:r>
            <w:hyperlink w:history="1" r:id="rIdj7drsb2wjz3_874qu0dek">
              <w:r>
                <w:rPr>
                  <w:rFonts w:ascii="Arial" w:cs="Arial" w:eastAsia="Arial" w:hAnsi="Arial"/>
                  <w:b w:val="false"/>
                  <w:bCs w:val="false"/>
                  <w:sz w:val="12"/>
                  <w:szCs w:val="12"/>
                </w:rPr>
                <w:t xml:space="preserve">[#2927]</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2022-03-08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+8.53%</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+4.0%</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macro</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FY2021 results (call 9-Mar-2022): 2022 EBITDA margin ~33.5% at EUR100/MWh gas plus explicit price pass-through mechanism; same-day broad rebound (peer median +4.05%) [calc]. </w:t>
            </w:r>
            <w:hyperlink w:history="1" r:id="rId-a83uszomhb3bb1cnfhak">
              <w:r>
                <w:rPr>
                  <w:rFonts w:ascii="Arial" w:cs="Arial" w:eastAsia="Arial" w:hAnsi="Arial"/>
                  <w:b w:val="false"/>
                  <w:bCs w:val="false"/>
                  <w:sz w:val="12"/>
                  <w:szCs w:val="12"/>
                </w:rPr>
                <w:t xml:space="preserve">[#3392]</w:t>
              </w:r>
            </w:hyperlink>
            <w:r>
              <w:rPr>
                <w:rFonts w:ascii="Arial" w:cs="Arial" w:eastAsia="Arial" w:hAnsi="Arial"/>
                <w:b w:val="false"/>
                <w:bCs w:val="false"/>
                <w:sz w:val="13"/>
                <w:szCs w:val="13"/>
              </w:rPr>
              <w:t xml:space="preserve"> </w:t>
            </w:r>
            <w:hyperlink w:history="1" r:id="rIdwqytchhwbxgbaea__w0gm">
              <w:r>
                <w:rPr>
                  <w:rFonts w:ascii="Arial" w:cs="Arial" w:eastAsia="Arial" w:hAnsi="Arial"/>
                  <w:b w:val="false"/>
                  <w:bCs w:val="false"/>
                  <w:sz w:val="12"/>
                  <w:szCs w:val="12"/>
                </w:rPr>
                <w:t xml:space="preserve">[#2927]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2022-03-15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+5.09%</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+2.5%</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rally (peer median +2.5%) [calc].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2022-04-04</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-6.30%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-0.0%</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stock-specific vs US peers (~0%), Sodexo -2.2%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2022-06-10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-6.77%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-4.0%</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sell-off (peer median -4.0%) [calc].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2022-06-28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-5.73%</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-0.2%</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stock-specific (US peers ~flat, Sodexo -2.0%)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2022-09-14</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-5.06%</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Energy-crisis backdrop (power/gas prices) per management commentary; specific trigger for the day not identified; peer median -1.5% [calc]. </w:t>
            </w:r>
            <w:hyperlink w:history="1" r:id="rIdby9368bgzz509zgho9amv">
              <w:r>
                <w:rPr>
                  <w:rFonts w:ascii="Arial" w:cs="Arial" w:eastAsia="Arial" w:hAnsi="Arial"/>
                  <w:b w:val="false"/>
                  <w:bCs w:val="false"/>
                  <w:sz w:val="12"/>
                  <w:szCs w:val="12"/>
                </w:rPr>
                <w:t xml:space="preserve">[#455]</w:t>
              </w:r>
            </w:hyperlink>
            <w:r>
              <w:rPr>
                <w:rFonts w:ascii="Arial" w:cs="Arial" w:eastAsia="Arial" w:hAnsi="Arial"/>
                <w:b w:val="false"/>
                <w:bCs w:val="false"/>
                <w:sz w:val="13"/>
                <w:szCs w:val="13"/>
              </w:rPr>
              <w:t xml:space="preserve"> </w:t>
            </w:r>
            <w:hyperlink w:history="1" r:id="rIdfj6v6ujabodigw58kd0f9">
              <w:r>
                <w:rPr>
                  <w:rFonts w:ascii="Arial" w:cs="Arial" w:eastAsia="Arial" w:hAnsi="Arial"/>
                  <w:b w:val="false"/>
                  <w:bCs w:val="false"/>
                  <w:sz w:val="12"/>
                  <w:szCs w:val="12"/>
                </w:rPr>
                <w:t xml:space="preserve">[#19]</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2022-10-03</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+5.50%</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+4.4%</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rally (peer median +4.4%) [calc].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2024-06-13</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-5.99%</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-2.0%</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(French politics)</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French snap-election shock after dissolution of the National Assembly; management attributed ~15% share-price fall to it; Sodexo -2.3%, Rentokil -3.7% [calc]. </w:t>
            </w:r>
            <w:hyperlink w:history="1" r:id="rIdxbteqtbav-igkvho0l3hd">
              <w:r>
                <w:rPr>
                  <w:rFonts w:ascii="Arial" w:cs="Arial" w:eastAsia="Arial" w:hAnsi="Arial"/>
                  <w:b w:val="false"/>
                  <w:bCs w:val="false"/>
                  <w:sz w:val="12"/>
                  <w:szCs w:val="12"/>
                </w:rPr>
                <w:t xml:space="preserve">[#81]</w:t>
              </w:r>
            </w:hyperlink>
            <w:r>
              <w:rPr>
                <w:rFonts w:ascii="Arial" w:cs="Arial" w:eastAsia="Arial" w:hAnsi="Arial"/>
                <w:b w:val="false"/>
                <w:bCs w:val="false"/>
                <w:sz w:val="13"/>
                <w:szCs w:val="13"/>
              </w:rPr>
              <w:t xml:space="preserve"> </w:t>
            </w:r>
            <w:hyperlink w:history="1" r:id="rIdprozzykzuqundkgqfwa1b">
              <w:r>
                <w:rPr>
                  <w:rFonts w:ascii="Arial" w:cs="Arial" w:eastAsia="Arial" w:hAnsi="Arial"/>
                  <w:b w:val="false"/>
                  <w:bCs w:val="false"/>
                  <w:sz w:val="12"/>
                  <w:szCs w:val="12"/>
                </w:rPr>
                <w:t xml:space="preserve">[#155]</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2024-09-05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-15.66%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-2.1%</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Market learned of Elis' exploratory talks with US players (incl. Vestis per CEO at CMD); Vestis +11.7% in the 5-Sep US session, Elis -15.7% next morning (open -9%) [calc]. Exact news item not available (News corpus not l… </w:t>
            </w:r>
            <w:hyperlink w:history="1" r:id="rIdw43dlrj_ytmildc7hfkkd">
              <w:r>
                <w:rPr>
                  <w:rFonts w:ascii="Arial" w:cs="Arial" w:eastAsia="Arial" w:hAnsi="Arial"/>
                  <w:b w:val="false"/>
                  <w:bCs w:val="false"/>
                  <w:sz w:val="12"/>
                  <w:szCs w:val="12"/>
                </w:rPr>
                <w:t xml:space="preserve">[#1]</w:t>
              </w:r>
            </w:hyperlink>
            <w:r>
              <w:rPr>
                <w:rFonts w:ascii="Arial" w:cs="Arial" w:eastAsia="Arial" w:hAnsi="Arial"/>
                <w:b w:val="false"/>
                <w:bCs w:val="false"/>
                <w:sz w:val="13"/>
                <w:szCs w:val="13"/>
              </w:rPr>
              <w:t xml:space="preserve"> </w:t>
            </w:r>
            <w:hyperlink w:history="1" r:id="rIdmbc4dhmjnulxzv5e3dajf">
              <w:r>
                <w:rPr>
                  <w:rFonts w:ascii="Arial" w:cs="Arial" w:eastAsia="Arial" w:hAnsi="Arial"/>
                  <w:b w:val="false"/>
                  <w:bCs w:val="false"/>
                  <w:sz w:val="12"/>
                  <w:szCs w:val="12"/>
                </w:rPr>
                <w:t xml:space="preserve">[#3277]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2024-10-03</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+10.00%</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+0.2%</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Termination of US talks at the beginning of October (financial discipline); intraday high +15% [calc]. </w:t>
            </w:r>
            <w:hyperlink w:history="1" r:id="rIdur0ky5ttzv0rflbnkqy7k">
              <w:r>
                <w:rPr>
                  <w:rFonts w:ascii="Arial" w:cs="Arial" w:eastAsia="Arial" w:hAnsi="Arial"/>
                  <w:b w:val="false"/>
                  <w:bCs w:val="false"/>
                  <w:sz w:val="12"/>
                  <w:szCs w:val="12"/>
                </w:rPr>
                <w:t xml:space="preserve">[#1]</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2025-03-05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+9.05%</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-0.6%</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capital markets</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FY2024 results + new capital allocation policy: EUR150m buyback starting 6-Mar-2025, dividend EUR0.45 (+5%), 2025 outlook; peers -0.6% [calc]. </w:t>
            </w:r>
            <w:hyperlink w:history="1" r:id="rIdjoatazlr30tsifvzv9t1i">
              <w:r>
                <w:rPr>
                  <w:rFonts w:ascii="Arial" w:cs="Arial" w:eastAsia="Arial" w:hAnsi="Arial"/>
                  <w:b w:val="false"/>
                  <w:bCs w:val="false"/>
                  <w:sz w:val="12"/>
                  <w:szCs w:val="12"/>
                </w:rPr>
                <w:t xml:space="preserve">[#4]</w:t>
              </w:r>
            </w:hyperlink>
            <w:r>
              <w:rPr>
                <w:rFonts w:ascii="Arial" w:cs="Arial" w:eastAsia="Arial" w:hAnsi="Arial"/>
                <w:b w:val="false"/>
                <w:bCs w:val="false"/>
                <w:sz w:val="13"/>
                <w:szCs w:val="13"/>
              </w:rPr>
              <w:t xml:space="preserve"> </w:t>
            </w:r>
            <w:hyperlink w:history="1" r:id="rIdb1b9fwtdfkxyzlhwfr1yo">
              <w:r>
                <w:rPr>
                  <w:rFonts w:ascii="Arial" w:cs="Arial" w:eastAsia="Arial" w:hAnsi="Arial"/>
                  <w:b w:val="false"/>
                  <w:bCs w:val="false"/>
                  <w:sz w:val="12"/>
                  <w:szCs w:val="12"/>
                </w:rPr>
                <w:t xml:space="preserve">[#377]</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2025-04-07</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+6.35%</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-0.2%</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Rebound after the US-tariff sell-off (US peers +5% to +10% in the following session) [calc]; Elis later said no direct US-tariff impact; tariff timeline [u]. </w:t>
            </w:r>
            <w:hyperlink w:history="1" r:id="rIdooq3pba12wx6fzfids5f2">
              <w:r>
                <w:rPr>
                  <w:rFonts w:ascii="Arial" w:cs="Arial" w:eastAsia="Arial" w:hAnsi="Arial"/>
                  <w:b w:val="false"/>
                  <w:bCs w:val="false"/>
                  <w:sz w:val="12"/>
                  <w:szCs w:val="12"/>
                </w:rPr>
                <w:t xml:space="preserve">[#6]</w:t>
              </w:r>
            </w:hyperlink>
            <w:r>
              <w:rPr>
                <w:rFonts w:ascii="Arial" w:cs="Arial" w:eastAsia="Arial" w:hAnsi="Arial"/>
                <w:b w:val="false"/>
                <w:bCs w:val="false"/>
                <w:sz w:val="13"/>
                <w:szCs w:val="13"/>
              </w:rPr>
              <w:t xml:space="preserve"> </w:t>
            </w:r>
            <w:hyperlink w:history="1" r:id="rId7z_8oxj9m8r09uiv2p75o">
              <w:r>
                <w:rPr>
                  <w:rFonts w:ascii="Arial" w:cs="Arial" w:eastAsia="Arial" w:hAnsi="Arial"/>
                  <w:b w:val="false"/>
                  <w:bCs w:val="false"/>
                  <w:sz w:val="12"/>
                  <w:szCs w:val="12"/>
                </w:rPr>
                <w:t xml:space="preserve">[#2993]</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2025-08-22</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-5.56%</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-2.0%</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broad decline (peers -1.6% to -4.2%) [calc]; [u] coincided with French government confidence-vote announcement. </w:t>
            </w:r>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2026-03-02</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-5.84%</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-1.8%</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(geopolitics/energy)</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Outbreak of Middle East (US/Israel/Iran) conflict -&gt; energy price spike; Rentokil -5.2%, Vestis -3.1% [calc]; management stressed energy hedging on 11-Mar-2026. </w:t>
            </w:r>
            <w:hyperlink w:history="1" r:id="rIdg-a-rv8vp2uibedvc7rbe">
              <w:r>
                <w:rPr>
                  <w:rFonts w:ascii="Arial" w:cs="Arial" w:eastAsia="Arial" w:hAnsi="Arial"/>
                  <w:b w:val="false"/>
                  <w:bCs w:val="false"/>
                  <w:sz w:val="12"/>
                  <w:szCs w:val="12"/>
                </w:rPr>
                <w:t xml:space="preserve">[#424]</w:t>
              </w:r>
            </w:hyperlink>
            <w:r>
              <w:rPr>
                <w:rFonts w:ascii="Arial" w:cs="Arial" w:eastAsia="Arial" w:hAnsi="Arial"/>
                <w:b w:val="false"/>
                <w:bCs w:val="false"/>
                <w:sz w:val="13"/>
                <w:szCs w:val="13"/>
              </w:rPr>
              <w:t xml:space="preserve"> </w:t>
            </w:r>
            <w:hyperlink w:history="1" r:id="rIdbdjmqp-ldcutj6no8zhv3">
              <w:r>
                <w:rPr>
                  <w:rFonts w:ascii="Arial" w:cs="Arial" w:eastAsia="Arial" w:hAnsi="Arial"/>
                  <w:b w:val="false"/>
                  <w:bCs w:val="false"/>
                  <w:sz w:val="12"/>
                  <w:szCs w:val="12"/>
                </w:rPr>
                <w:t xml:space="preserve">[#453]</w:t>
              </w:r>
            </w:hyperlink>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2026-07-29</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-5.68%</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-2.5%</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earnings/guidance; sector (partial)</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results (29-Jul after close): objectives only confirmed; Mexico volume loss; negative H1 FCF; EUR500m buyback already completed mid-July; peer median -2.5% [calc]. Same morning Rentokil's H1 2026 results (ADR -17… </w:t>
            </w:r>
            <w:hyperlink w:history="1" r:id="rId4az1ycjfdknpjcr4-k2ww">
              <w:r>
                <w:rPr>
                  <w:rFonts w:ascii="Arial" w:cs="Arial" w:eastAsia="Arial" w:hAnsi="Arial"/>
                  <w:b w:val="false"/>
                  <w:bCs w:val="false"/>
                  <w:sz w:val="12"/>
                  <w:szCs w:val="12"/>
                </w:rPr>
                <w:t xml:space="preserve">[#330]</w:t>
              </w:r>
            </w:hyperlink>
            <w:r>
              <w:rPr>
                <w:rFonts w:ascii="Arial" w:cs="Arial" w:eastAsia="Arial" w:hAnsi="Arial"/>
                <w:b w:val="false"/>
                <w:bCs w:val="false"/>
                <w:sz w:val="13"/>
                <w:szCs w:val="13"/>
              </w:rPr>
              <w:t xml:space="preserve"> </w:t>
            </w:r>
            <w:hyperlink w:history="1" r:id="rIdzaodwbfqu7ob941c3ejtk">
              <w:r>
                <w:rPr>
                  <w:rFonts w:ascii="Arial" w:cs="Arial" w:eastAsia="Arial" w:hAnsi="Arial"/>
                  <w:b w:val="false"/>
                  <w:bCs w:val="false"/>
                  <w:sz w:val="12"/>
                  <w:szCs w:val="12"/>
                </w:rPr>
                <w:t xml:space="preserve">[#342]</w:t>
              </w:r>
            </w:hyperlink>
          </w:p>
        </w:tc>
      </w:tr>
      <w:tr>
        <w:trPr>
          <w:cantSplit/>
        </w:trPr>
        <w:tc>
          <w:tcPr>
            <w:tcW w:type="dxa" w:w="88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2026-09-18</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-6.42%</w:t>
            </w:r>
          </w:p>
        </w:tc>
        <w:tc>
          <w:tcPr>
            <w:tcW w:type="dxa" w:w="6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+0.1%</w:t>
            </w:r>
          </w:p>
        </w:tc>
        <w:tc>
          <w:tcPr>
            <w:tcW w:type="dxa" w:w="115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65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cause not identified in permitted sources; stock-specific (peers flat); close at session low EUR20.98 then +5.6% next day [calc] - pattern suggests technical/closing-auction effect [inference]; no Elis document after 30-… </w:t>
            </w:r>
          </w:p>
        </w:tc>
      </w:tr>
      <w:tr>
        <w:trPr>
          <w:cantSplit/>
        </w:trPr>
        <w:tc>
          <w:tcPr>
            <w:tcW w:type="dxa" w:w="88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2026-09-21</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+5.62%</w:t>
            </w:r>
          </w:p>
        </w:tc>
        <w:tc>
          <w:tcPr>
            <w:tcW w:type="dxa" w:w="6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+0.5%</w:t>
            </w:r>
          </w:p>
        </w:tc>
        <w:tc>
          <w:tcPr>
            <w:tcW w:type="dxa" w:w="115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identified</w:t>
            </w:r>
          </w:p>
        </w:tc>
        <w:tc>
          <w:tcPr>
            <w:tcW w:type="dxa" w:w="65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Reversal of the 21-Sep drop; cause not identified in permitted sources. </w:t>
            </w:r>
          </w:p>
        </w:tc>
      </w:tr>
    </w:tbl>
    <w:p>
      <w:pPr>
        <w:spacing w:after="140" w:before="40"/>
      </w:pPr>
      <w:r>
        <w:rPr>
          <w:rFonts w:ascii="Arial" w:cs="Arial" w:eastAsia="Arial" w:hAnsi="Arial"/>
          <w:color w:val="898781"/>
          <w:sz w:val="14"/>
          <w:szCs w:val="14"/>
        </w:rPr>
        <w:t xml:space="preserve">Source: as above. Moves are close-to-close [calc].</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3. Business model, key drivers, customers, suppliers, competitors and contracts</w:t>
      </w:r>
    </w:p>
    <w:p>
      <w:pPr>
        <w:pStyle w:val="Heading2"/>
        <w:keepNext/>
        <w:keepLines/>
        <w:spacing w:after="80" w:before="180"/>
      </w:pPr>
      <w:r>
        <w:rPr>
          <w:rFonts w:ascii="Arial" w:cs="Arial" w:eastAsia="Arial" w:hAnsi="Arial"/>
          <w:b/>
          <w:bCs/>
          <w:color w:val="13213F"/>
          <w:sz w:val="24"/>
          <w:szCs w:val="24"/>
        </w:rPr>
        <w:t xml:space="preserve">3.1 The model in simple terms</w:t>
      </w:r>
    </w:p>
    <w:p>
      <w:pPr>
        <w:spacing w:after="100" w:before="0" w:line="264"/>
        <w:jc w:val="left"/>
      </w:pPr>
      <w:r>
        <w:rPr>
          <w:rFonts w:ascii="Arial" w:cs="Arial" w:eastAsia="Arial" w:hAnsi="Arial"/>
          <w:sz w:val="19"/>
          <w:szCs w:val="19"/>
        </w:rPr>
        <w:t xml:space="preserve">Elis runs a </w:t>
      </w:r>
      <w:r>
        <w:rPr>
          <w:rFonts w:ascii="Arial" w:cs="Arial" w:eastAsia="Arial" w:hAnsi="Arial"/>
          <w:sz w:val="19"/>
          <w:szCs w:val="19"/>
        </w:rPr>
        <w:t xml:space="preserve">product-as-a-service</w:t>
      </w:r>
      <w:r>
        <w:rPr>
          <w:rFonts w:ascii="Arial" w:cs="Arial" w:eastAsia="Arial" w:hAnsi="Arial"/>
          <w:sz w:val="19"/>
          <w:szCs w:val="19"/>
        </w:rPr>
        <w:t xml:space="preserve"> model: it owns the flat linen, workwear, mats and hygiene appliances, and charges customers a recurring fee to supply, collect, wash or maintain, repair and redeliver them on fixed routes. "Almost 87% of the Group's revenue relies on these principles of the product-as-a-service business model" </w:t>
      </w:r>
      <w:hyperlink w:history="1" r:id="rIdtbybqg_vkangtecrzvzdg">
        <w:r>
          <w:rPr>
            <w:rFonts w:ascii="Arial" w:cs="Arial" w:eastAsia="Arial" w:hAnsi="Arial"/>
            <w:sz w:val="15"/>
            <w:szCs w:val="15"/>
          </w:rPr>
          <w:t xml:space="preserve">[#2625]</w:t>
        </w:r>
      </w:hyperlink>
      <w:r>
        <w:rPr>
          <w:rFonts w:ascii="Arial" w:cs="Arial" w:eastAsia="Arial" w:hAnsi="Arial"/>
          <w:sz w:val="19"/>
          <w:szCs w:val="19"/>
        </w:rPr>
        <w:t xml:space="preserve">; the other ~13% is pest control, industrial wiping and medical-waste management </w:t>
      </w:r>
      <w:hyperlink w:history="1" r:id="rIdvfqfwjc31q0cxkmty_iom">
        <w:r>
          <w:rPr>
            <w:rFonts w:ascii="Arial" w:cs="Arial" w:eastAsia="Arial" w:hAnsi="Arial"/>
            <w:sz w:val="15"/>
            <w:szCs w:val="15"/>
          </w:rPr>
          <w:t xml:space="preserve">[#2431]</w:t>
        </w:r>
      </w:hyperlink>
      <w:r>
        <w:rPr>
          <w:rFonts w:ascii="Arial" w:cs="Arial" w:eastAsia="Arial" w:hAnsi="Arial"/>
          <w:sz w:val="19"/>
          <w:szCs w:val="19"/>
        </w:rPr>
        <w:t xml:space="preserve">. Because Elis can substitute the textiles at will, rental &amp; maintenance agreements are accounted for as service contracts, not leases </w:t>
      </w:r>
      <w:hyperlink w:history="1" r:id="rId3rmrpygvy6lsnwycq7ubg">
        <w:r>
          <w:rPr>
            <w:rFonts w:ascii="Arial" w:cs="Arial" w:eastAsia="Arial" w:hAnsi="Arial"/>
            <w:sz w:val="15"/>
            <w:szCs w:val="15"/>
          </w:rPr>
          <w:t xml:space="preserve">[#5620]</w:t>
        </w:r>
      </w:hyperlink>
      <w:r>
        <w:rPr>
          <w:rFonts w:ascii="Arial" w:cs="Arial" w:eastAsia="Arial" w:hAnsi="Arial"/>
          <w:sz w:val="19"/>
          <w:szCs w:val="19"/>
        </w:rPr>
        <w:t xml:space="preserve">; subscriptions are invoiced in advance </w:t>
      </w:r>
      <w:hyperlink w:history="1" r:id="rIdgzo8vycsdjutcvuimkdqz">
        <w:r>
          <w:rPr>
            <w:rFonts w:ascii="Arial" w:cs="Arial" w:eastAsia="Arial" w:hAnsi="Arial"/>
            <w:sz w:val="15"/>
            <w:szCs w:val="15"/>
          </w:rPr>
          <w:t xml:space="preserve">[#5757]</w:t>
        </w:r>
      </w:hyperlink>
      <w:r>
        <w:rPr>
          <w:rFonts w:ascii="Arial" w:cs="Arial" w:eastAsia="Arial" w:hAnsi="Arial"/>
          <w:sz w:val="19"/>
          <w:szCs w:val="19"/>
        </w:rPr>
        <w:t xml:space="preserve">.</w:t>
      </w:r>
    </w:p>
    <w:p>
      <w:pPr>
        <w:spacing w:after="100" w:before="0" w:line="264"/>
        <w:jc w:val="left"/>
      </w:pPr>
      <w:r>
        <w:rPr>
          <w:rFonts w:ascii="Arial" w:cs="Arial" w:eastAsia="Arial" w:hAnsi="Arial"/>
          <w:sz w:val="19"/>
          <w:szCs w:val="19"/>
        </w:rPr>
        <w:t xml:space="preserve">The economics are those of a </w:t>
      </w:r>
      <w:r>
        <w:rPr>
          <w:rFonts w:ascii="Arial" w:cs="Arial" w:eastAsia="Arial" w:hAnsi="Arial"/>
          <w:sz w:val="19"/>
          <w:szCs w:val="19"/>
        </w:rPr>
        <w:t xml:space="preserve">dense, route-based industrial network</w:t>
      </w:r>
      <w:r>
        <w:rPr>
          <w:rFonts w:ascii="Arial" w:cs="Arial" w:eastAsia="Arial" w:hAnsi="Arial"/>
          <w:sz w:val="19"/>
          <w:szCs w:val="19"/>
        </w:rPr>
        <w:t xml:space="preserve">: more than 373 laundries </w:t>
      </w:r>
      <w:hyperlink w:history="1" r:id="rIdj3kcvcy2yu5k4k3mlntgz">
        <w:r>
          <w:rPr>
            <w:rFonts w:ascii="Arial" w:cs="Arial" w:eastAsia="Arial" w:hAnsi="Arial"/>
            <w:sz w:val="15"/>
            <w:szCs w:val="15"/>
          </w:rPr>
          <w:t xml:space="preserve">[#2031]</w:t>
        </w:r>
      </w:hyperlink>
      <w:r>
        <w:rPr>
          <w:rFonts w:ascii="Arial" w:cs="Arial" w:eastAsia="Arial" w:hAnsi="Arial"/>
          <w:sz w:val="19"/>
          <w:szCs w:val="19"/>
        </w:rPr>
        <w:t xml:space="preserve"> located 30–100 km from customers </w:t>
      </w:r>
      <w:hyperlink w:history="1" r:id="rIdxd9wdb2_ih2aiphthnmb4">
        <w:r>
          <w:rPr>
            <w:rFonts w:ascii="Arial" w:cs="Arial" w:eastAsia="Arial" w:hAnsi="Arial"/>
            <w:sz w:val="15"/>
            <w:szCs w:val="15"/>
          </w:rPr>
          <w:t xml:space="preserve">[#3179]</w:t>
        </w:r>
      </w:hyperlink>
      <w:r>
        <w:rPr>
          <w:rFonts w:ascii="Arial" w:cs="Arial" w:eastAsia="Arial" w:hAnsi="Arial"/>
          <w:sz w:val="19"/>
          <w:szCs w:val="19"/>
        </w:rPr>
        <w:t xml:space="preserve">, more than 6,000 routes a day covering 5 million km a week </w:t>
      </w:r>
      <w:hyperlink w:history="1" r:id="rIdtct4agxl-mpjiat1nmtzu">
        <w:r>
          <w:rPr>
            <w:rFonts w:ascii="Arial" w:cs="Arial" w:eastAsia="Arial" w:hAnsi="Arial"/>
            <w:sz w:val="15"/>
            <w:szCs w:val="15"/>
          </w:rPr>
          <w:t xml:space="preserve">[#286]</w:t>
        </w:r>
      </w:hyperlink>
      <w:r>
        <w:rPr>
          <w:rFonts w:ascii="Arial" w:cs="Arial" w:eastAsia="Arial" w:hAnsi="Arial"/>
          <w:sz w:val="19"/>
          <w:szCs w:val="19"/>
        </w:rPr>
        <w:t xml:space="preserve"> and a fleet of more than 11,800 vehicles </w:t>
      </w:r>
      <w:hyperlink w:history="1" r:id="rIdn2lxs1swa3ova84foegeb">
        <w:r>
          <w:rPr>
            <w:rFonts w:ascii="Arial" w:cs="Arial" w:eastAsia="Arial" w:hAnsi="Arial"/>
            <w:sz w:val="15"/>
            <w:szCs w:val="15"/>
          </w:rPr>
          <w:t xml:space="preserve">[#3097]</w:t>
        </w:r>
      </w:hyperlink>
      <w:r>
        <w:rPr>
          <w:rFonts w:ascii="Arial" w:cs="Arial" w:eastAsia="Arial" w:hAnsi="Arial"/>
          <w:sz w:val="19"/>
          <w:szCs w:val="19"/>
        </w:rPr>
        <w:t xml:space="preserve">. Trucks run full in both directions (clean out, soiled back) </w:t>
      </w:r>
      <w:hyperlink w:history="1" r:id="rIdwcud2sowi_cyoncfxz9aa">
        <w:r>
          <w:rPr>
            <w:rFonts w:ascii="Arial" w:cs="Arial" w:eastAsia="Arial" w:hAnsi="Arial"/>
            <w:sz w:val="15"/>
            <w:szCs w:val="15"/>
          </w:rPr>
          <w:t xml:space="preserve">[#3180]</w:t>
        </w:r>
      </w:hyperlink>
      <w:r>
        <w:rPr>
          <w:rFonts w:ascii="Arial" w:cs="Arial" w:eastAsia="Arial" w:hAnsi="Arial"/>
          <w:sz w:val="19"/>
          <w:szCs w:val="19"/>
        </w:rPr>
        <w:t xml:space="preserve">. Capex is heavy (linen is capitalised and depreciated): </w:t>
      </w:r>
      <w:hyperlink w:history="1" r:id="rIdgpas6wny2alm8cci9kfqt">
        <w:r>
          <w:rPr>
            <w:rFonts w:ascii="Arial" w:cs="Arial" w:eastAsia="Arial" w:hAnsi="Arial"/>
            <w:sz w:val="19"/>
            <w:szCs w:val="19"/>
            <w:u w:val="single"/>
          </w:rPr>
          <w:t xml:space="preserve">€864.0m</w:t>
        </w:r>
      </w:hyperlink>
      <w:r>
        <w:rPr>
          <w:rFonts w:ascii="Arial" w:cs="Arial" w:eastAsia="Arial" w:hAnsi="Arial"/>
          <w:sz w:val="19"/>
          <w:szCs w:val="19"/>
        </w:rPr>
        <w:t xml:space="preserve"> in FY2025, 18.0% of revenue [calc], two-thirds of which maintains linen in circulation and flexes down automatically when activity falls </w:t>
      </w:r>
      <w:hyperlink w:history="1" r:id="rId5a8d88e-t2q2hu-9fmlgm">
        <w:r>
          <w:rPr>
            <w:rFonts w:ascii="Arial" w:cs="Arial" w:eastAsia="Arial" w:hAnsi="Arial"/>
            <w:sz w:val="15"/>
            <w:szCs w:val="15"/>
          </w:rPr>
          <w:t xml:space="preserve">[#1866]</w:t>
        </w:r>
      </w:hyperlink>
      <w:r>
        <w:rPr>
          <w:rFonts w:ascii="Arial" w:cs="Arial" w:eastAsia="Arial" w:hAnsi="Arial"/>
          <w:sz w:val="19"/>
          <w:szCs w:val="19"/>
        </w:rPr>
        <w:t xml:space="preserve">.</w:t>
      </w:r>
    </w:p>
    <w:p>
      <w:pPr>
        <w:pStyle w:val="Heading2"/>
        <w:keepNext/>
        <w:keepLines/>
        <w:spacing w:after="80" w:before="180"/>
      </w:pPr>
      <w:r>
        <w:rPr>
          <w:rFonts w:ascii="Arial" w:cs="Arial" w:eastAsia="Arial" w:hAnsi="Arial"/>
          <w:b/>
          <w:bCs/>
          <w:color w:val="13213F"/>
          <w:sz w:val="24"/>
          <w:szCs w:val="24"/>
        </w:rPr>
        <w:t xml:space="preserve">3.2 Key drivers of the business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4818"/>
        <w:gridCol w:w="3442"/>
      </w:tblGrid>
      <w:tr>
        <w:trPr>
          <w:cantSplit/>
          <w:tblHeader/>
        </w:trPr>
        <w:tc>
          <w:tcPr>
            <w:tcW w:type="dxa" w:w="160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Driver</w:t>
            </w:r>
          </w:p>
        </w:tc>
        <w:tc>
          <w:tcPr>
            <w:tcW w:type="dxa" w:w="481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How it works at Elis</w:t>
            </w:r>
          </w:p>
        </w:tc>
        <w:tc>
          <w:tcPr>
            <w:tcW w:type="dxa" w:w="344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Evidence</w:t>
            </w:r>
          </w:p>
        </w:tc>
      </w:tr>
      <w:tr>
        <w:trPr>
          <w:cantSplit/>
        </w:trPr>
        <w:tc>
          <w:tcPr>
            <w:tcW w:type="dxa" w:w="16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Volume</w:t>
            </w:r>
          </w:p>
        </w:tc>
        <w:tc>
          <w:tcPr>
            <w:tcW w:type="dxa" w:w="48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New contracts, outsourcing conversion (hospitals, care homes, LatAm on-premise laundries), customer activity (hotel occupancy, industrial headcount), less ~6% annual customer losses</w:t>
            </w:r>
          </w:p>
        </w:tc>
        <w:tc>
          <w:tcPr>
            <w:tcW w:type="dxa" w:w="34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94% average retention </w:t>
            </w:r>
            <w:hyperlink w:history="1" r:id="rIdybh5ygvscz-fys_n5i8a2">
              <w:r>
                <w:rPr>
                  <w:rFonts w:ascii="Arial" w:cs="Arial" w:eastAsia="Arial" w:hAnsi="Arial"/>
                  <w:b w:val="false"/>
                  <w:bCs w:val="false"/>
                  <w:sz w:val="12"/>
                  <w:szCs w:val="12"/>
                </w:rPr>
                <w:t xml:space="preserve">[#829]</w:t>
              </w:r>
            </w:hyperlink>
            <w:r>
              <w:rPr>
                <w:rFonts w:ascii="Arial" w:cs="Arial" w:eastAsia="Arial" w:hAnsi="Arial"/>
                <w:b w:val="false"/>
                <w:bCs w:val="false"/>
                <w:sz w:val="15"/>
                <w:szCs w:val="15"/>
              </w:rPr>
              <w:t xml:space="preserve">; Mexico: 64% of TAM still on-premise </w:t>
            </w:r>
            <w:hyperlink w:history="1" r:id="rId3dxhdyck7rzkdtfp7__80">
              <w:r>
                <w:rPr>
                  <w:rFonts w:ascii="Arial" w:cs="Arial" w:eastAsia="Arial" w:hAnsi="Arial"/>
                  <w:b w:val="false"/>
                  <w:bCs w:val="false"/>
                  <w:sz w:val="12"/>
                  <w:szCs w:val="12"/>
                </w:rPr>
                <w:t xml:space="preserve">[#2848]</w:t>
              </w:r>
            </w:hyperlink>
          </w:p>
        </w:tc>
      </w:tr>
      <w:tr>
        <w:trPr>
          <w:cantSplit/>
        </w:trPr>
        <w:tc>
          <w:tcPr>
            <w:tcW w:type="dxa" w:w="16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Price</w:t>
            </w:r>
          </w:p>
        </w:tc>
        <w:tc>
          <w:tcPr>
            <w:tcW w:type="dxa" w:w="48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~50/50 automatic indexation vs negotiated pricing; indices track the last 12 months, so pass-through lags cost inflation</w:t>
            </w:r>
          </w:p>
        </w:tc>
        <w:tc>
          <w:tcPr>
            <w:tcW w:type="dxa" w:w="34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tus9jzegm4iid3pu3gex7">
              <w:r>
                <w:rPr>
                  <w:rFonts w:ascii="Arial" w:cs="Arial" w:eastAsia="Arial" w:hAnsi="Arial"/>
                  <w:b w:val="false"/>
                  <w:bCs w:val="false"/>
                  <w:sz w:val="12"/>
                  <w:szCs w:val="12"/>
                </w:rPr>
                <w:t xml:space="preserve">[#565]</w:t>
              </w:r>
            </w:hyperlink>
            <w:r>
              <w:rPr>
                <w:rFonts w:ascii="Arial" w:cs="Arial" w:eastAsia="Arial" w:hAnsi="Arial"/>
                <w:b w:val="false"/>
                <w:bCs w:val="false"/>
                <w:sz w:val="15"/>
                <w:szCs w:val="15"/>
              </w:rPr>
              <w:t xml:space="preserve"> </w:t>
            </w:r>
            <w:hyperlink w:history="1" r:id="rId6ywyylqa2aqmcwrlet_k0">
              <w:r>
                <w:rPr>
                  <w:rFonts w:ascii="Arial" w:cs="Arial" w:eastAsia="Arial" w:hAnsi="Arial"/>
                  <w:b w:val="false"/>
                  <w:bCs w:val="false"/>
                  <w:sz w:val="12"/>
                  <w:szCs w:val="12"/>
                </w:rPr>
                <w:t xml:space="preserve">[#379]</w:t>
              </w:r>
            </w:hyperlink>
            <w:r>
              <w:rPr>
                <w:rFonts w:ascii="Arial" w:cs="Arial" w:eastAsia="Arial" w:hAnsi="Arial"/>
                <w:b w:val="false"/>
                <w:bCs w:val="false"/>
                <w:sz w:val="15"/>
                <w:szCs w:val="15"/>
              </w:rPr>
              <w:t xml:space="preserve">; pricing ~8 pts of 2022 organic growth (21%) </w:t>
            </w:r>
            <w:hyperlink w:history="1" r:id="rIdgs49fqockgv-cyso23no2">
              <w:r>
                <w:rPr>
                  <w:rFonts w:ascii="Arial" w:cs="Arial" w:eastAsia="Arial" w:hAnsi="Arial"/>
                  <w:b w:val="false"/>
                  <w:bCs w:val="false"/>
                  <w:sz w:val="12"/>
                  <w:szCs w:val="12"/>
                </w:rPr>
                <w:t xml:space="preserve">[#178]</w:t>
              </w:r>
            </w:hyperlink>
          </w:p>
        </w:tc>
      </w:tr>
      <w:tr>
        <w:trPr>
          <w:cantSplit/>
        </w:trPr>
        <w:tc>
          <w:tcPr>
            <w:tcW w:type="dxa" w:w="16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Mix</w:t>
            </w:r>
          </w:p>
        </w:tc>
        <w:tc>
          <w:tcPr>
            <w:tcW w:type="dxa" w:w="48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Rental &amp; maintenance earns ~30% more than washing customer-owned linen (LatAm); cleanroom and pest control are "high-growth and high-margin"</w:t>
            </w:r>
          </w:p>
        </w:tc>
        <w:tc>
          <w:tcPr>
            <w:tcW w:type="dxa" w:w="34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w5dhymy9odrdf664szbdh">
              <w:r>
                <w:rPr>
                  <w:rFonts w:ascii="Arial" w:cs="Arial" w:eastAsia="Arial" w:hAnsi="Arial"/>
                  <w:b w:val="false"/>
                  <w:bCs w:val="false"/>
                  <w:sz w:val="12"/>
                  <w:szCs w:val="12"/>
                </w:rPr>
                <w:t xml:space="preserve">[#1539]</w:t>
              </w:r>
            </w:hyperlink>
            <w:r>
              <w:rPr>
                <w:rFonts w:ascii="Arial" w:cs="Arial" w:eastAsia="Arial" w:hAnsi="Arial"/>
                <w:b w:val="false"/>
                <w:bCs w:val="false"/>
                <w:sz w:val="15"/>
                <w:szCs w:val="15"/>
              </w:rPr>
              <w:t xml:space="preserve"> </w:t>
            </w:r>
            <w:hyperlink w:history="1" r:id="rId-xomxy8toj_purb5klala">
              <w:r>
                <w:rPr>
                  <w:rFonts w:ascii="Arial" w:cs="Arial" w:eastAsia="Arial" w:hAnsi="Arial"/>
                  <w:b w:val="false"/>
                  <w:bCs w:val="false"/>
                  <w:sz w:val="12"/>
                  <w:szCs w:val="12"/>
                </w:rPr>
                <w:t xml:space="preserve">[#128]</w:t>
              </w:r>
            </w:hyperlink>
          </w:p>
        </w:tc>
      </w:tr>
      <w:tr>
        <w:trPr>
          <w:cantSplit/>
        </w:trPr>
        <w:tc>
          <w:tcPr>
            <w:tcW w:type="dxa" w:w="16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Costs</w:t>
            </w:r>
          </w:p>
        </w:tc>
        <w:tc>
          <w:tcPr>
            <w:tcW w:type="dxa" w:w="48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Labour ~60% of costs; energy 6–7% of revenue (layered hedging); textiles priced annually</w:t>
            </w:r>
          </w:p>
        </w:tc>
        <w:tc>
          <w:tcPr>
            <w:tcW w:type="dxa" w:w="34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they1n2b_hc0lbcvs5vel">
              <w:r>
                <w:rPr>
                  <w:rFonts w:ascii="Arial" w:cs="Arial" w:eastAsia="Arial" w:hAnsi="Arial"/>
                  <w:b w:val="false"/>
                  <w:bCs w:val="false"/>
                  <w:sz w:val="12"/>
                  <w:szCs w:val="12"/>
                </w:rPr>
                <w:t xml:space="preserve">[#3309]</w:t>
              </w:r>
            </w:hyperlink>
            <w:r>
              <w:rPr>
                <w:rFonts w:ascii="Arial" w:cs="Arial" w:eastAsia="Arial" w:hAnsi="Arial"/>
                <w:b w:val="false"/>
                <w:bCs w:val="false"/>
                <w:sz w:val="15"/>
                <w:szCs w:val="15"/>
              </w:rPr>
              <w:t xml:space="preserve"> </w:t>
            </w:r>
            <w:hyperlink w:history="1" r:id="rId7k2v-o4qvk76tfzeyq0re">
              <w:r>
                <w:rPr>
                  <w:rFonts w:ascii="Arial" w:cs="Arial" w:eastAsia="Arial" w:hAnsi="Arial"/>
                  <w:b w:val="false"/>
                  <w:bCs w:val="false"/>
                  <w:sz w:val="12"/>
                  <w:szCs w:val="12"/>
                </w:rPr>
                <w:t xml:space="preserve">[#614]</w:t>
              </w:r>
            </w:hyperlink>
            <w:r>
              <w:rPr>
                <w:rFonts w:ascii="Arial" w:cs="Arial" w:eastAsia="Arial" w:hAnsi="Arial"/>
                <w:b w:val="false"/>
                <w:bCs w:val="false"/>
                <w:sz w:val="15"/>
                <w:szCs w:val="15"/>
              </w:rPr>
              <w:t xml:space="preserve"> </w:t>
            </w:r>
            <w:hyperlink w:history="1" r:id="rIdbfrwwxt91zyapw06wapfn">
              <w:r>
                <w:rPr>
                  <w:rFonts w:ascii="Arial" w:cs="Arial" w:eastAsia="Arial" w:hAnsi="Arial"/>
                  <w:b w:val="false"/>
                  <w:bCs w:val="false"/>
                  <w:sz w:val="12"/>
                  <w:szCs w:val="12"/>
                </w:rPr>
                <w:t xml:space="preserve">[#1975]</w:t>
              </w:r>
            </w:hyperlink>
          </w:p>
        </w:tc>
      </w:tr>
      <w:tr>
        <w:trPr>
          <w:cantSplit/>
        </w:trPr>
        <w:tc>
          <w:tcPr>
            <w:tcW w:type="dxa" w:w="16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Capex cycle</w:t>
            </w:r>
          </w:p>
        </w:tc>
        <w:tc>
          <w:tcPr>
            <w:tcW w:type="dxa" w:w="48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Linen capex tracks activity; big-plant projects ≈20% of investment on a 5-year roadmap; ~25% of capex for growth</w:t>
            </w:r>
          </w:p>
        </w:tc>
        <w:tc>
          <w:tcPr>
            <w:tcW w:type="dxa" w:w="34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veg60exdmjzk3xspkgnd5">
              <w:r>
                <w:rPr>
                  <w:rFonts w:ascii="Arial" w:cs="Arial" w:eastAsia="Arial" w:hAnsi="Arial"/>
                  <w:b w:val="false"/>
                  <w:bCs w:val="false"/>
                  <w:sz w:val="12"/>
                  <w:szCs w:val="12"/>
                </w:rPr>
                <w:t xml:space="preserve">[#353]</w:t>
              </w:r>
            </w:hyperlink>
            <w:r>
              <w:rPr>
                <w:rFonts w:ascii="Arial" w:cs="Arial" w:eastAsia="Arial" w:hAnsi="Arial"/>
                <w:b w:val="false"/>
                <w:bCs w:val="false"/>
                <w:sz w:val="15"/>
                <w:szCs w:val="15"/>
              </w:rPr>
              <w:t xml:space="preserve"> </w:t>
            </w:r>
            <w:hyperlink w:history="1" r:id="rIdauqkntz6qldktpp5t_lv_">
              <w:r>
                <w:rPr>
                  <w:rFonts w:ascii="Arial" w:cs="Arial" w:eastAsia="Arial" w:hAnsi="Arial"/>
                  <w:b w:val="false"/>
                  <w:bCs w:val="false"/>
                  <w:sz w:val="12"/>
                  <w:szCs w:val="12"/>
                </w:rPr>
                <w:t xml:space="preserve">[#363]</w:t>
              </w:r>
            </w:hyperlink>
          </w:p>
        </w:tc>
      </w:tr>
      <w:tr>
        <w:trPr>
          <w:cantSplit/>
        </w:trPr>
        <w:tc>
          <w:tcPr>
            <w:tcW w:type="dxa" w:w="16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M&amp;A</w:t>
            </w:r>
          </w:p>
        </w:tc>
        <w:tc>
          <w:tcPr>
            <w:tcW w:type="dxa" w:w="48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Bolt-ons of €50–150m a year at ~1.2–1.3x revenue; Elis is often the only natural buyer for family-owned laundries</w:t>
            </w:r>
          </w:p>
        </w:tc>
        <w:tc>
          <w:tcPr>
            <w:tcW w:type="dxa" w:w="34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huziiru67mk5mwj6z3jvv">
              <w:r>
                <w:rPr>
                  <w:rFonts w:ascii="Arial" w:cs="Arial" w:eastAsia="Arial" w:hAnsi="Arial"/>
                  <w:b w:val="false"/>
                  <w:bCs w:val="false"/>
                  <w:sz w:val="12"/>
                  <w:szCs w:val="12"/>
                </w:rPr>
                <w:t xml:space="preserve">[#2163]</w:t>
              </w:r>
            </w:hyperlink>
            <w:r>
              <w:rPr>
                <w:rFonts w:ascii="Arial" w:cs="Arial" w:eastAsia="Arial" w:hAnsi="Arial"/>
                <w:b w:val="false"/>
                <w:bCs w:val="false"/>
                <w:sz w:val="15"/>
                <w:szCs w:val="15"/>
              </w:rPr>
              <w:t xml:space="preserve"> </w:t>
            </w:r>
            <w:hyperlink w:history="1" r:id="rIdzkwui0jz4uweogo3sugo8">
              <w:r>
                <w:rPr>
                  <w:rFonts w:ascii="Arial" w:cs="Arial" w:eastAsia="Arial" w:hAnsi="Arial"/>
                  <w:b w:val="false"/>
                  <w:bCs w:val="false"/>
                  <w:sz w:val="12"/>
                  <w:szCs w:val="12"/>
                </w:rPr>
                <w:t xml:space="preserve">[#3349]</w:t>
              </w:r>
            </w:hyperlink>
          </w:p>
        </w:tc>
      </w:tr>
      <w:tr>
        <w:trPr>
          <w:cantSplit/>
        </w:trPr>
        <w:tc>
          <w:tcPr>
            <w:tcW w:type="dxa" w:w="16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Regulation</w:t>
            </w:r>
          </w:p>
        </w:tc>
        <w:tc>
          <w:tcPr>
            <w:tcW w:type="dxa" w:w="48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Hygiene standards and outsourcing trends support demand; permits (water, discharge) and public-procurement rules shape supply and pricing</w:t>
            </w:r>
          </w:p>
        </w:tc>
        <w:tc>
          <w:tcPr>
            <w:tcW w:type="dxa" w:w="34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cmleopqkutft1urqz7ndp">
              <w:r>
                <w:rPr>
                  <w:rFonts w:ascii="Arial" w:cs="Arial" w:eastAsia="Arial" w:hAnsi="Arial"/>
                  <w:b w:val="false"/>
                  <w:bCs w:val="false"/>
                  <w:sz w:val="12"/>
                  <w:szCs w:val="12"/>
                </w:rPr>
                <w:t xml:space="preserve">[#56]</w:t>
              </w:r>
            </w:hyperlink>
            <w:r>
              <w:rPr>
                <w:rFonts w:ascii="Arial" w:cs="Arial" w:eastAsia="Arial" w:hAnsi="Arial"/>
                <w:b w:val="false"/>
                <w:bCs w:val="false"/>
                <w:sz w:val="15"/>
                <w:szCs w:val="15"/>
              </w:rPr>
              <w:t xml:space="preserve"> </w:t>
            </w:r>
            <w:hyperlink w:history="1" r:id="rIdv0r8w2fm0k6ot4-jsuykm">
              <w:r>
                <w:rPr>
                  <w:rFonts w:ascii="Arial" w:cs="Arial" w:eastAsia="Arial" w:hAnsi="Arial"/>
                  <w:b w:val="false"/>
                  <w:bCs w:val="false"/>
                  <w:sz w:val="12"/>
                  <w:szCs w:val="12"/>
                </w:rPr>
                <w:t xml:space="preserve">[#4792]</w:t>
              </w:r>
            </w:hyperlink>
            <w:r>
              <w:rPr>
                <w:rFonts w:ascii="Arial" w:cs="Arial" w:eastAsia="Arial" w:hAnsi="Arial"/>
                <w:b w:val="false"/>
                <w:bCs w:val="false"/>
                <w:sz w:val="15"/>
                <w:szCs w:val="15"/>
              </w:rPr>
              <w:t xml:space="preserve"> </w:t>
            </w:r>
            <w:hyperlink w:history="1" r:id="rIdm2hbqmxdmj3ui7nb_i3m6">
              <w:r>
                <w:rPr>
                  <w:rFonts w:ascii="Arial" w:cs="Arial" w:eastAsia="Arial" w:hAnsi="Arial"/>
                  <w:b w:val="false"/>
                  <w:bCs w:val="false"/>
                  <w:sz w:val="12"/>
                  <w:szCs w:val="12"/>
                </w:rPr>
                <w:t xml:space="preserve">[#847]</w:t>
              </w:r>
            </w:hyperlink>
          </w:p>
        </w:tc>
      </w:tr>
      <w:tr>
        <w:trPr>
          <w:cantSplit/>
        </w:trPr>
        <w:tc>
          <w:tcPr>
            <w:tcW w:type="dxa" w:w="16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FX</w:t>
            </w:r>
          </w:p>
        </w:tc>
        <w:tc>
          <w:tcPr>
            <w:tcW w:type="dxa" w:w="48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37.6% of revenue in non-euro currencies (GBP 10.2%, Scandinavian 11.7%, LatAm 9.5%); translation only</w:t>
            </w:r>
          </w:p>
        </w:tc>
        <w:tc>
          <w:tcPr>
            <w:tcW w:type="dxa" w:w="34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p_mrhkoerfcn-em7ymuye">
              <w:r>
                <w:rPr>
                  <w:rFonts w:ascii="Arial" w:cs="Arial" w:eastAsia="Arial" w:hAnsi="Arial"/>
                  <w:b w:val="false"/>
                  <w:bCs w:val="false"/>
                  <w:sz w:val="12"/>
                  <w:szCs w:val="12"/>
                </w:rPr>
                <w:t xml:space="preserve">[#2090]</w:t>
              </w:r>
            </w:hyperlink>
          </w:p>
        </w:tc>
      </w:tr>
    </w:tbl>
    <w:p>
      <w:pPr>
        <w:spacing w:after="140" w:before="40"/>
      </w:pPr>
      <w:r>
        <w:rPr>
          <w:rFonts w:ascii="Arial" w:cs="Arial" w:eastAsia="Arial" w:hAnsi="Arial"/>
          <w:color w:val="898781"/>
          <w:sz w:val="14"/>
          <w:szCs w:val="14"/>
        </w:rPr>
        <w:t xml:space="preserve">Source: Elis FY2025 URD, CMD 2025 and earnings calls via ProntoNLP (links in table).</w:t>
      </w:r>
    </w:p>
    <w:p>
      <w:pPr>
        <w:pStyle w:val="Heading2"/>
        <w:keepNext/>
        <w:keepLines/>
        <w:spacing w:after="80" w:before="180"/>
      </w:pPr>
      <w:r>
        <w:rPr>
          <w:rFonts w:ascii="Arial" w:cs="Arial" w:eastAsia="Arial" w:hAnsi="Arial"/>
          <w:b/>
          <w:bCs/>
          <w:color w:val="13213F"/>
          <w:sz w:val="24"/>
          <w:szCs w:val="24"/>
        </w:rPr>
        <w:t xml:space="preserve">3.3 Products and services</w:t>
      </w:r>
    </w:p>
    <w:p>
      <w:pPr>
        <w:spacing w:after="100" w:before="0" w:line="264"/>
        <w:jc w:val="left"/>
      </w:pPr>
      <w:r>
        <w:rPr>
          <w:rFonts w:ascii="Arial" w:cs="Arial" w:eastAsia="Arial" w:hAnsi="Arial"/>
          <w:sz w:val="19"/>
          <w:szCs w:val="19"/>
        </w:rPr>
        <w:t xml:space="preserve">Elis sells three solution families — </w:t>
      </w:r>
      <w:r>
        <w:rPr>
          <w:rFonts w:ascii="Arial" w:cs="Arial" w:eastAsia="Arial" w:hAnsi="Arial"/>
          <w:sz w:val="19"/>
          <w:szCs w:val="19"/>
        </w:rPr>
        <w:t xml:space="preserve">flat linen</w:t>
      </w:r>
      <w:r>
        <w:rPr>
          <w:rFonts w:ascii="Arial" w:cs="Arial" w:eastAsia="Arial" w:hAnsi="Arial"/>
          <w:sz w:val="19"/>
          <w:szCs w:val="19"/>
        </w:rPr>
        <w:t xml:space="preserve"> (bed and table linen, towels, patient linen), </w:t>
      </w:r>
      <w:r>
        <w:rPr>
          <w:rFonts w:ascii="Arial" w:cs="Arial" w:eastAsia="Arial" w:hAnsi="Arial"/>
          <w:sz w:val="19"/>
          <w:szCs w:val="19"/>
        </w:rPr>
        <w:t xml:space="preserve">workwear</w:t>
      </w:r>
      <w:r>
        <w:rPr>
          <w:rFonts w:ascii="Arial" w:cs="Arial" w:eastAsia="Arial" w:hAnsi="Arial"/>
          <w:sz w:val="19"/>
          <w:szCs w:val="19"/>
        </w:rPr>
        <w:t xml:space="preserve"> (uniforms, PPE, cleanroom garments) and </w:t>
      </w:r>
      <w:r>
        <w:rPr>
          <w:rFonts w:ascii="Arial" w:cs="Arial" w:eastAsia="Arial" w:hAnsi="Arial"/>
          <w:sz w:val="19"/>
          <w:szCs w:val="19"/>
        </w:rPr>
        <w:t xml:space="preserve">hygiene &amp; well-being</w:t>
      </w:r>
      <w:r>
        <w:rPr>
          <w:rFonts w:ascii="Arial" w:cs="Arial" w:eastAsia="Arial" w:hAnsi="Arial"/>
          <w:sz w:val="19"/>
          <w:szCs w:val="19"/>
        </w:rPr>
        <w:t xml:space="preserve"> (washroom dispensers and consumables, scent, mats, water fountains and coffee machines, pest control, medical waste) — into four markets: Hospitality, Healthcare, Industry, and Trade &amp; Services </w:t>
      </w:r>
      <w:hyperlink w:history="1" r:id="rIdph9wk-qognqw1xeghp7bf">
        <w:r>
          <w:rPr>
            <w:rFonts w:ascii="Arial" w:cs="Arial" w:eastAsia="Arial" w:hAnsi="Arial"/>
            <w:sz w:val="15"/>
            <w:szCs w:val="15"/>
          </w:rPr>
          <w:t xml:space="preserve">[#555]</w:t>
        </w:r>
      </w:hyperlink>
      <w:r>
        <w:rPr>
          <w:rFonts w:ascii="Arial" w:cs="Arial" w:eastAsia="Arial" w:hAnsi="Arial"/>
          <w:sz w:val="19"/>
          <w:szCs w:val="19"/>
        </w:rPr>
        <w:t xml:space="preserve"> </w:t>
      </w:r>
      <w:hyperlink w:history="1" r:id="rIda1vdkge1cnhtqxhnvycf4">
        <w:r>
          <w:rPr>
            <w:rFonts w:ascii="Arial" w:cs="Arial" w:eastAsia="Arial" w:hAnsi="Arial"/>
            <w:sz w:val="15"/>
            <w:szCs w:val="15"/>
          </w:rPr>
          <w:t xml:space="preserve">[#58]</w:t>
        </w:r>
      </w:hyperlink>
      <w:r>
        <w:rPr>
          <w:rFonts w:ascii="Arial" w:cs="Arial" w:eastAsia="Arial" w:hAnsi="Arial"/>
          <w:sz w:val="19"/>
          <w:szCs w:val="19"/>
        </w:rPr>
        <w:t xml:space="preserve">. The split of revenue by solution exists only in a URD table that is not machine-indexed and is therefore not available in permitted sources </w:t>
      </w:r>
      <w:hyperlink w:history="1" r:id="rIdsvtqufk4vijjledw2id5g">
        <w:r>
          <w:rPr>
            <w:rFonts w:ascii="Arial" w:cs="Arial" w:eastAsia="Arial" w:hAnsi="Arial"/>
            <w:sz w:val="15"/>
            <w:szCs w:val="15"/>
          </w:rPr>
          <w:t xml:space="preserve">[#557]</w:t>
        </w:r>
      </w:hyperlink>
      <w:r>
        <w:rPr>
          <w:rFonts w:ascii="Arial" w:cs="Arial" w:eastAsia="Arial" w:hAnsi="Arial"/>
          <w:sz w:val="19"/>
          <w:szCs w:val="19"/>
        </w:rPr>
        <w:t xml:space="preserve">. Disclosed specialty lines: </w:t>
      </w:r>
      <w:r>
        <w:rPr>
          <w:rFonts w:ascii="Arial" w:cs="Arial" w:eastAsia="Arial" w:hAnsi="Arial"/>
          <w:sz w:val="19"/>
          <w:szCs w:val="19"/>
        </w:rPr>
        <w:t xml:space="preserve">cleanroom</w:t>
      </w:r>
      <w:r>
        <w:rPr>
          <w:rFonts w:ascii="Arial" w:cs="Arial" w:eastAsia="Arial" w:hAnsi="Arial"/>
          <w:sz w:val="19"/>
          <w:szCs w:val="19"/>
        </w:rPr>
        <w:t xml:space="preserve"> €275m in FY2025 (+8.5%) </w:t>
      </w:r>
      <w:hyperlink w:history="1" r:id="rIdhpgc7dxflzhneuaidamla">
        <w:r>
          <w:rPr>
            <w:rFonts w:ascii="Arial" w:cs="Arial" w:eastAsia="Arial" w:hAnsi="Arial"/>
            <w:sz w:val="15"/>
            <w:szCs w:val="15"/>
          </w:rPr>
          <w:t xml:space="preserve">[#129]</w:t>
        </w:r>
      </w:hyperlink>
      <w:r>
        <w:rPr>
          <w:rFonts w:ascii="Arial" w:cs="Arial" w:eastAsia="Arial" w:hAnsi="Arial"/>
          <w:sz w:val="19"/>
          <w:szCs w:val="19"/>
        </w:rPr>
        <w:t xml:space="preserve"> and €145m in H1 2026 (+6%) </w:t>
      </w:r>
      <w:hyperlink w:history="1" r:id="rIdeajbhj0lnytvmim_whxmd">
        <w:r>
          <w:rPr>
            <w:rFonts w:ascii="Arial" w:cs="Arial" w:eastAsia="Arial" w:hAnsi="Arial"/>
            <w:sz w:val="15"/>
            <w:szCs w:val="15"/>
          </w:rPr>
          <w:t xml:space="preserve">[#84]</w:t>
        </w:r>
      </w:hyperlink>
      <w:r>
        <w:rPr>
          <w:rFonts w:ascii="Arial" w:cs="Arial" w:eastAsia="Arial" w:hAnsi="Arial"/>
          <w:sz w:val="19"/>
          <w:szCs w:val="19"/>
        </w:rPr>
        <w:t xml:space="preserve">; </w:t>
      </w:r>
      <w:r>
        <w:rPr>
          <w:rFonts w:ascii="Arial" w:cs="Arial" w:eastAsia="Arial" w:hAnsi="Arial"/>
          <w:sz w:val="19"/>
          <w:szCs w:val="19"/>
        </w:rPr>
        <w:t xml:space="preserve">pest control</w:t>
      </w:r>
      <w:r>
        <w:rPr>
          <w:rFonts w:ascii="Arial" w:cs="Arial" w:eastAsia="Arial" w:hAnsi="Arial"/>
          <w:sz w:val="19"/>
          <w:szCs w:val="19"/>
        </w:rPr>
        <w:t xml:space="preserve"> ~€80m (+9%) </w:t>
      </w:r>
      <w:hyperlink w:history="1" r:id="rIdisynhfelu3pin52aysz1e">
        <w:r>
          <w:rPr>
            <w:rFonts w:ascii="Arial" w:cs="Arial" w:eastAsia="Arial" w:hAnsi="Arial"/>
            <w:sz w:val="15"/>
            <w:szCs w:val="15"/>
          </w:rPr>
          <w:t xml:space="preserve">[#133]</w:t>
        </w:r>
      </w:hyperlink>
      <w:r>
        <w:rPr>
          <w:rFonts w:ascii="Arial" w:cs="Arial" w:eastAsia="Arial" w:hAnsi="Arial"/>
          <w:sz w:val="19"/>
          <w:szCs w:val="19"/>
        </w:rPr>
        <w:t xml:space="preserve"> and €45m in H1 2026 </w:t>
      </w:r>
      <w:hyperlink w:history="1" r:id="rIdbcujhehnwza46rwyjjxnx">
        <w:r>
          <w:rPr>
            <w:rFonts w:ascii="Arial" w:cs="Arial" w:eastAsia="Arial" w:hAnsi="Arial"/>
            <w:sz w:val="15"/>
            <w:szCs w:val="15"/>
          </w:rPr>
          <w:t xml:space="preserve">[#88]</w:t>
        </w:r>
      </w:hyperlink>
      <w:r>
        <w:rPr>
          <w:rFonts w:ascii="Arial" w:cs="Arial" w:eastAsia="Arial" w:hAnsi="Arial"/>
          <w:sz w:val="19"/>
          <w:szCs w:val="19"/>
        </w:rPr>
        <w:t xml:space="preserve"> — together ≈7.4% of revenue [calc].</w:t>
      </w:r>
    </w:p>
    <w:p>
      <w:pPr>
        <w:pStyle w:val="Heading2"/>
        <w:keepNext/>
        <w:keepLines/>
        <w:spacing w:after="80" w:before="180"/>
      </w:pPr>
      <w:r>
        <w:rPr>
          <w:rFonts w:ascii="Arial" w:cs="Arial" w:eastAsia="Arial" w:hAnsi="Arial"/>
          <w:b/>
          <w:bCs/>
          <w:color w:val="13213F"/>
          <w:sz w:val="24"/>
          <w:szCs w:val="24"/>
        </w:rPr>
        <w:t xml:space="preserve">3.4 Customers, end-markets and geographies</w:t>
      </w:r>
    </w:p>
    <w:p>
      <w:pPr>
        <w:pStyle w:val="ListParagraph"/>
        <w:numPr>
          <w:ilvl w:val="0"/>
          <w:numId w:val="2"/>
        </w:numPr>
        <w:spacing w:after="60" w:line="252"/>
      </w:pPr>
      <w:r>
        <w:rPr>
          <w:rFonts w:ascii="Arial" w:cs="Arial" w:eastAsia="Arial" w:hAnsi="Arial"/>
          <w:b/>
          <w:bCs/>
          <w:sz w:val="19"/>
          <w:szCs w:val="19"/>
        </w:rPr>
        <w:t xml:space="preserve">End-markets (FY2025):</w:t>
      </w:r>
      <w:r>
        <w:rPr>
          <w:rFonts w:ascii="Arial" w:cs="Arial" w:eastAsia="Arial" w:hAnsi="Arial"/>
          <w:sz w:val="19"/>
          <w:szCs w:val="19"/>
        </w:rPr>
        <w:t xml:space="preserve"> Healthcare ~30% </w:t>
      </w:r>
      <w:hyperlink w:history="1" r:id="rIda4pvpevdfamvbaib_8z2_">
        <w:r>
          <w:rPr>
            <w:rFonts w:ascii="Arial" w:cs="Arial" w:eastAsia="Arial" w:hAnsi="Arial"/>
            <w:color w:val="1C5CAB"/>
            <w:sz w:val="15"/>
            <w:szCs w:val="15"/>
          </w:rPr>
          <w:t xml:space="preserve">[#4887]</w:t>
        </w:r>
      </w:hyperlink>
      <w:r>
        <w:rPr>
          <w:rFonts w:ascii="Arial" w:cs="Arial" w:eastAsia="Arial" w:hAnsi="Arial"/>
          <w:sz w:val="19"/>
          <w:szCs w:val="19"/>
        </w:rPr>
        <w:t xml:space="preserve">, Hospitality 27% </w:t>
      </w:r>
      <w:hyperlink w:history="1" r:id="rId_615nepe1j-xsogyk6fnz">
        <w:r>
          <w:rPr>
            <w:rFonts w:ascii="Arial" w:cs="Arial" w:eastAsia="Arial" w:hAnsi="Arial"/>
            <w:color w:val="1C5CAB"/>
            <w:sz w:val="15"/>
            <w:szCs w:val="15"/>
          </w:rPr>
          <w:t xml:space="preserve">[#1863]</w:t>
        </w:r>
      </w:hyperlink>
      <w:r>
        <w:rPr>
          <w:rFonts w:ascii="Arial" w:cs="Arial" w:eastAsia="Arial" w:hAnsi="Arial"/>
          <w:sz w:val="19"/>
          <w:szCs w:val="19"/>
        </w:rPr>
        <w:t xml:space="preserve">, Industry ~26% and Trade &amp; Services ~18% [calc, revenue-weighted regional profiles].</w:t>
      </w:r>
    </w:p>
    <w:p>
      <w:pPr>
        <w:pStyle w:val="ListParagraph"/>
        <w:numPr>
          <w:ilvl w:val="0"/>
          <w:numId w:val="2"/>
        </w:numPr>
        <w:spacing w:after="60" w:line="252"/>
      </w:pPr>
      <w:r>
        <w:rPr>
          <w:rFonts w:ascii="Arial" w:cs="Arial" w:eastAsia="Arial" w:hAnsi="Arial"/>
          <w:b/>
          <w:bCs/>
          <w:sz w:val="19"/>
          <w:szCs w:val="19"/>
        </w:rPr>
        <w:t xml:space="preserve">Customer base:</w:t>
      </w:r>
      <w:r>
        <w:rPr>
          <w:rFonts w:ascii="Arial" w:cs="Arial" w:eastAsia="Arial" w:hAnsi="Arial"/>
          <w:sz w:val="19"/>
          <w:szCs w:val="19"/>
        </w:rPr>
        <w:t xml:space="preserve"> "hundreds of thousands of customers of all sizes" </w:t>
      </w:r>
      <w:hyperlink w:history="1" r:id="rId3djj6y7t1_gcaek94_tin">
        <w:r>
          <w:rPr>
            <w:rFonts w:ascii="Arial" w:cs="Arial" w:eastAsia="Arial" w:hAnsi="Arial"/>
            <w:color w:val="1C5CAB"/>
            <w:sz w:val="15"/>
            <w:szCs w:val="15"/>
          </w:rPr>
          <w:t xml:space="preserve">[#5547]</w:t>
        </w:r>
      </w:hyperlink>
      <w:r>
        <w:rPr>
          <w:rFonts w:ascii="Arial" w:cs="Arial" w:eastAsia="Arial" w:hAnsi="Arial"/>
          <w:sz w:val="19"/>
          <w:szCs w:val="19"/>
        </w:rPr>
        <w:t xml:space="preserve"> — ~150,000 in France alone, from €30 a month to €3m a month </w:t>
      </w:r>
      <w:hyperlink w:history="1" r:id="rIdoytyph0nhkhk2h0looemf">
        <w:r>
          <w:rPr>
            <w:rFonts w:ascii="Arial" w:cs="Arial" w:eastAsia="Arial" w:hAnsi="Arial"/>
            <w:color w:val="1C5CAB"/>
            <w:sz w:val="15"/>
            <w:szCs w:val="15"/>
          </w:rPr>
          <w:t xml:space="preserve">[#1074]</w:t>
        </w:r>
      </w:hyperlink>
      <w:r>
        <w:rPr>
          <w:rFonts w:ascii="Arial" w:cs="Arial" w:eastAsia="Arial" w:hAnsi="Arial"/>
          <w:sz w:val="19"/>
          <w:szCs w:val="19"/>
        </w:rPr>
        <w:t xml:space="preserve"> </w:t>
      </w:r>
      <w:hyperlink w:history="1" r:id="rIdim-azpwsuuizaofsq-yov">
        <w:r>
          <w:rPr>
            <w:rFonts w:ascii="Arial" w:cs="Arial" w:eastAsia="Arial" w:hAnsi="Arial"/>
            <w:color w:val="1C5CAB"/>
            <w:sz w:val="15"/>
            <w:szCs w:val="15"/>
          </w:rPr>
          <w:t xml:space="preserve">[#1084]</w:t>
        </w:r>
      </w:hyperlink>
      <w:r>
        <w:rPr>
          <w:rFonts w:ascii="Arial" w:cs="Arial" w:eastAsia="Arial" w:hAnsi="Arial"/>
          <w:sz w:val="19"/>
          <w:szCs w:val="19"/>
        </w:rPr>
        <w:t xml:space="preserve">; ~7,000 (mostly large) in Brazil </w:t>
      </w:r>
      <w:hyperlink w:history="1" r:id="rIdqssx5xgj5ix1vkhpcnud4">
        <w:r>
          <w:rPr>
            <w:rFonts w:ascii="Arial" w:cs="Arial" w:eastAsia="Arial" w:hAnsi="Arial"/>
            <w:color w:val="1C5CAB"/>
            <w:sz w:val="15"/>
            <w:szCs w:val="15"/>
          </w:rPr>
          <w:t xml:space="preserve">[#2487]</w:t>
        </w:r>
      </w:hyperlink>
      <w:r>
        <w:rPr>
          <w:rFonts w:ascii="Arial" w:cs="Arial" w:eastAsia="Arial" w:hAnsi="Arial"/>
          <w:sz w:val="19"/>
          <w:szCs w:val="19"/>
        </w:rPr>
        <w:t xml:space="preserve">; ~2,000 in Mexico </w:t>
      </w:r>
      <w:hyperlink w:history="1" r:id="rIddsn6lz6wksqhb4h_jjwmi">
        <w:r>
          <w:rPr>
            <w:rFonts w:ascii="Arial" w:cs="Arial" w:eastAsia="Arial" w:hAnsi="Arial"/>
            <w:color w:val="1C5CAB"/>
            <w:sz w:val="15"/>
            <w:szCs w:val="15"/>
          </w:rPr>
          <w:t xml:space="preserve">[#2824]</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Concentration is negligible:</w:t>
      </w:r>
      <w:r>
        <w:rPr>
          <w:rFonts w:ascii="Arial" w:cs="Arial" w:eastAsia="Arial" w:hAnsi="Arial"/>
          <w:sz w:val="19"/>
          <w:szCs w:val="19"/>
        </w:rPr>
        <w:t xml:space="preserve"> top-10 clients are below 10% of revenue and the largest contract below 1% </w:t>
      </w:r>
      <w:hyperlink w:history="1" r:id="rId3ru2btgj-5zfjkoues39e">
        <w:r>
          <w:rPr>
            <w:rFonts w:ascii="Arial" w:cs="Arial" w:eastAsia="Arial" w:hAnsi="Arial"/>
            <w:color w:val="1C5CAB"/>
            <w:sz w:val="15"/>
            <w:szCs w:val="15"/>
          </w:rPr>
          <w:t xml:space="preserve">[#1954]</w:t>
        </w:r>
      </w:hyperlink>
      <w:r>
        <w:rPr>
          <w:rFonts w:ascii="Arial" w:cs="Arial" w:eastAsia="Arial" w:hAnsi="Arial"/>
          <w:sz w:val="19"/>
          <w:szCs w:val="19"/>
        </w:rPr>
        <w:t xml:space="preserve"> </w:t>
      </w:r>
      <w:hyperlink w:history="1" r:id="rIdmga1cavllqugmb_t4f2mw">
        <w:r>
          <w:rPr>
            <w:rFonts w:ascii="Arial" w:cs="Arial" w:eastAsia="Arial" w:hAnsi="Arial"/>
            <w:color w:val="1C5CAB"/>
            <w:sz w:val="15"/>
            <w:szCs w:val="15"/>
          </w:rPr>
          <w:t xml:space="preserve">[#1955]</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Named customers in permitted sources:</w:t>
      </w:r>
      <w:r>
        <w:rPr>
          <w:rFonts w:ascii="Arial" w:cs="Arial" w:eastAsia="Arial" w:hAnsi="Arial"/>
          <w:sz w:val="19"/>
          <w:szCs w:val="19"/>
        </w:rPr>
        <w:t xml:space="preserve"> Sodexo (large German catering accounts, where Elis's share is "close to 20%") </w:t>
      </w:r>
      <w:hyperlink w:history="1" r:id="rIdhsfp1zc8h4spuyfiayiyv">
        <w:r>
          <w:rPr>
            <w:rFonts w:ascii="Arial" w:cs="Arial" w:eastAsia="Arial" w:hAnsi="Arial"/>
            <w:color w:val="1C5CAB"/>
            <w:sz w:val="15"/>
            <w:szCs w:val="15"/>
          </w:rPr>
          <w:t xml:space="preserve">[#1342]</w:t>
        </w:r>
      </w:hyperlink>
      <w:r>
        <w:rPr>
          <w:rFonts w:ascii="Arial" w:cs="Arial" w:eastAsia="Arial" w:hAnsi="Arial"/>
          <w:sz w:val="19"/>
          <w:szCs w:val="19"/>
        </w:rPr>
        <w:t xml:space="preserve">; "a leading German private Healthcare group" (~€20m of revenue in 2027) </w:t>
      </w:r>
      <w:hyperlink w:history="1" r:id="rId_aad65rpwpb_y6mwesvya">
        <w:r>
          <w:rPr>
            <w:rFonts w:ascii="Arial" w:cs="Arial" w:eastAsia="Arial" w:hAnsi="Arial"/>
            <w:color w:val="1C5CAB"/>
            <w:sz w:val="15"/>
            <w:szCs w:val="15"/>
          </w:rPr>
          <w:t xml:space="preserve">[#108]</w:t>
        </w:r>
      </w:hyperlink>
      <w:r>
        <w:rPr>
          <w:rFonts w:ascii="Arial" w:cs="Arial" w:eastAsia="Arial" w:hAnsi="Arial"/>
          <w:sz w:val="19"/>
          <w:szCs w:val="19"/>
        </w:rPr>
        <w:t xml:space="preserve">; public hospitals in France, the UK and Brazil </w:t>
      </w:r>
      <w:hyperlink w:history="1" r:id="rIdnu6jywdx8t-uzkzpqyvsq">
        <w:r>
          <w:rPr>
            <w:rFonts w:ascii="Arial" w:cs="Arial" w:eastAsia="Arial" w:hAnsi="Arial"/>
            <w:color w:val="1C5CAB"/>
            <w:sz w:val="15"/>
            <w:szCs w:val="15"/>
          </w:rPr>
          <w:t xml:space="preserve">[#160]</w:t>
        </w:r>
      </w:hyperlink>
      <w:r>
        <w:rPr>
          <w:rFonts w:ascii="Arial" w:cs="Arial" w:eastAsia="Arial" w:hAnsi="Arial"/>
          <w:sz w:val="19"/>
          <w:szCs w:val="19"/>
        </w:rPr>
        <w:t xml:space="preserve">; the Mexican federal health system (tender) </w:t>
      </w:r>
      <w:hyperlink w:history="1" r:id="rId-hezosejtbi6nvj5s98lv">
        <w:r>
          <w:rPr>
            <w:rFonts w:ascii="Arial" w:cs="Arial" w:eastAsia="Arial" w:hAnsi="Arial"/>
            <w:color w:val="1C5CAB"/>
            <w:sz w:val="15"/>
            <w:szCs w:val="15"/>
          </w:rPr>
          <w:t xml:space="preserve">[#137]</w:t>
        </w:r>
      </w:hyperlink>
      <w:r>
        <w:rPr>
          <w:rFonts w:ascii="Arial" w:cs="Arial" w:eastAsia="Arial" w:hAnsi="Arial"/>
          <w:sz w:val="19"/>
          <w:szCs w:val="19"/>
        </w:rPr>
        <w:t xml:space="preserve">; semiconductor multinationals (cleanroom) </w:t>
      </w:r>
      <w:hyperlink w:history="1" r:id="rIdpliffu6nwie83zmpwq5mj">
        <w:r>
          <w:rPr>
            <w:rFonts w:ascii="Arial" w:cs="Arial" w:eastAsia="Arial" w:hAnsi="Arial"/>
            <w:color w:val="1C5CAB"/>
            <w:sz w:val="15"/>
            <w:szCs w:val="15"/>
          </w:rPr>
          <w:t xml:space="preserve">[#2952]</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Geographies:</w:t>
      </w:r>
      <w:r>
        <w:rPr>
          <w:rFonts w:ascii="Arial" w:cs="Arial" w:eastAsia="Arial" w:hAnsi="Arial"/>
          <w:sz w:val="19"/>
          <w:szCs w:val="19"/>
        </w:rPr>
        <w:t xml:space="preserve"> 31 countries, 70% of revenue outside France </w:t>
      </w:r>
      <w:hyperlink w:history="1" r:id="rIdgedt1yyluiztk2dzecjwu">
        <w:r>
          <w:rPr>
            <w:rFonts w:ascii="Arial" w:cs="Arial" w:eastAsia="Arial" w:hAnsi="Arial"/>
            <w:color w:val="1C5CAB"/>
            <w:sz w:val="15"/>
            <w:szCs w:val="15"/>
          </w:rPr>
          <w:t xml:space="preserve">[#1995]</w:t>
        </w:r>
      </w:hyperlink>
      <w:r>
        <w:rPr>
          <w:rFonts w:ascii="Arial" w:cs="Arial" w:eastAsia="Arial" w:hAnsi="Arial"/>
          <w:sz w:val="19"/>
          <w:szCs w:val="19"/>
        </w:rPr>
        <w:t xml:space="preserve">: France, Central Europe (Germany, Switzerland, Netherlands, Belgium, Poland, Czech Republic…), Scandinavia &amp; Eastern Europe, UK &amp; Ireland, Latin America (Brazil, Mexico, Chile, Colombia), Southern Europe (Spain, Portugal, Italy) and a first foothold in Asia (Malaysia, 2024). Segment economics are in Section 7.</w:t>
      </w:r>
    </w:p>
    <w:p>
      <w:pPr>
        <w:spacing w:after="60"/>
      </w:pPr>
    </w:p>
    <w:p>
      <w:pPr>
        <w:pStyle w:val="Heading2"/>
        <w:keepNext/>
        <w:keepLines/>
        <w:spacing w:after="80" w:before="180"/>
      </w:pPr>
      <w:r>
        <w:rPr>
          <w:rFonts w:ascii="Arial" w:cs="Arial" w:eastAsia="Arial" w:hAnsi="Arial"/>
          <w:b/>
          <w:bCs/>
          <w:color w:val="13213F"/>
          <w:sz w:val="24"/>
          <w:szCs w:val="24"/>
        </w:rPr>
        <w:t xml:space="preserve">3.5 Suppliers</w:t>
      </w:r>
    </w:p>
    <w:p>
      <w:pPr>
        <w:spacing w:after="100" w:before="0" w:line="264"/>
        <w:jc w:val="left"/>
      </w:pPr>
      <w:r>
        <w:rPr>
          <w:rFonts w:ascii="Arial" w:cs="Arial" w:eastAsia="Arial" w:hAnsi="Arial"/>
          <w:sz w:val="19"/>
          <w:szCs w:val="19"/>
        </w:rPr>
        <w:t xml:space="preserve">Purchasing is centralised (direct: textiles and hygiene products; indirect; industrial) </w:t>
      </w:r>
      <w:hyperlink w:history="1" r:id="rIdfwtklo6qpkqo9nmvrcmao">
        <w:r>
          <w:rPr>
            <w:rFonts w:ascii="Arial" w:cs="Arial" w:eastAsia="Arial" w:hAnsi="Arial"/>
            <w:sz w:val="15"/>
            <w:szCs w:val="15"/>
          </w:rPr>
          <w:t xml:space="preserve">[#4022]</w:t>
        </w:r>
      </w:hyperlink>
      <w:r>
        <w:rPr>
          <w:rFonts w:ascii="Arial" w:cs="Arial" w:eastAsia="Arial" w:hAnsi="Arial"/>
          <w:sz w:val="19"/>
          <w:szCs w:val="19"/>
        </w:rPr>
        <w:t xml:space="preserve">. The top-100 suppliers account for more than 78% of direct purchases </w:t>
      </w:r>
      <w:hyperlink w:history="1" r:id="rIdgyjnljxiyk6k4xtzqw3lh">
        <w:r>
          <w:rPr>
            <w:rFonts w:ascii="Arial" w:cs="Arial" w:eastAsia="Arial" w:hAnsi="Arial"/>
            <w:sz w:val="15"/>
            <w:szCs w:val="15"/>
          </w:rPr>
          <w:t xml:space="preserve">[#4080]</w:t>
        </w:r>
      </w:hyperlink>
      <w:r>
        <w:rPr>
          <w:rFonts w:ascii="Arial" w:cs="Arial" w:eastAsia="Arial" w:hAnsi="Arial"/>
          <w:sz w:val="19"/>
          <w:szCs w:val="19"/>
        </w:rPr>
        <w:t xml:space="preserve"> and the 15 largest textile suppliers for more than 25% of direct spend </w:t>
      </w:r>
      <w:hyperlink w:history="1" r:id="rIdmlacbli30jvpgaqdf32uw">
        <w:r>
          <w:rPr>
            <w:rFonts w:ascii="Arial" w:cs="Arial" w:eastAsia="Arial" w:hAnsi="Arial"/>
            <w:sz w:val="15"/>
            <w:szCs w:val="15"/>
          </w:rPr>
          <w:t xml:space="preserve">[#2946]</w:t>
        </w:r>
      </w:hyperlink>
      <w:r>
        <w:rPr>
          <w:rFonts w:ascii="Arial" w:cs="Arial" w:eastAsia="Arial" w:hAnsi="Arial"/>
          <w:sz w:val="19"/>
          <w:szCs w:val="19"/>
        </w:rPr>
        <w:t xml:space="preserve">. Textiles are sourced 37% from Europe, 36% from Asia, ~14% from Africa and 7.5% from Latin America </w:t>
      </w:r>
      <w:hyperlink w:history="1" r:id="rIddcymfgh7sio-takqdgg6r">
        <w:r>
          <w:rPr>
            <w:rFonts w:ascii="Arial" w:cs="Arial" w:eastAsia="Arial" w:hAnsi="Arial"/>
            <w:sz w:val="15"/>
            <w:szCs w:val="15"/>
          </w:rPr>
          <w:t xml:space="preserve">[#4026]</w:t>
        </w:r>
      </w:hyperlink>
      <w:r>
        <w:rPr>
          <w:rFonts w:ascii="Arial" w:cs="Arial" w:eastAsia="Arial" w:hAnsi="Arial"/>
          <w:sz w:val="19"/>
          <w:szCs w:val="19"/>
        </w:rPr>
        <w:t xml:space="preserve">, with prices fixed for one year against binding volume estimates </w:t>
      </w:r>
      <w:hyperlink w:history="1" r:id="rIdfz_ruyswzomjyxlyuycuq">
        <w:r>
          <w:rPr>
            <w:rFonts w:ascii="Arial" w:cs="Arial" w:eastAsia="Arial" w:hAnsi="Arial"/>
            <w:sz w:val="15"/>
            <w:szCs w:val="15"/>
          </w:rPr>
          <w:t xml:space="preserve">[#1975]</w:t>
        </w:r>
      </w:hyperlink>
      <w:r>
        <w:rPr>
          <w:rFonts w:ascii="Arial" w:cs="Arial" w:eastAsia="Arial" w:hAnsi="Arial"/>
          <w:sz w:val="19"/>
          <w:szCs w:val="19"/>
        </w:rPr>
        <w:t xml:space="preserve">. Elis describes some suppliers as "captive" — "the partnership with Malongo for coffee or the suppliers of industrial laundry or traceability equipment" </w:t>
      </w:r>
      <w:hyperlink w:history="1" r:id="rIdxmhbdo0qyvpguxpoftjjz">
        <w:r>
          <w:rPr>
            <w:rFonts w:ascii="Arial" w:cs="Arial" w:eastAsia="Arial" w:hAnsi="Arial"/>
            <w:sz w:val="15"/>
            <w:szCs w:val="15"/>
          </w:rPr>
          <w:t xml:space="preserve">[#1976]</w:t>
        </w:r>
      </w:hyperlink>
      <w:r>
        <w:rPr>
          <w:rFonts w:ascii="Arial" w:cs="Arial" w:eastAsia="Arial" w:hAnsi="Arial"/>
          <w:sz w:val="19"/>
          <w:szCs w:val="19"/>
        </w:rPr>
        <w:t xml:space="preserve">. It also manufactures in-house: a workwear plant in Estonia (650,000 items a year), garment plants in Brazil, Mexico, Colombia and Malaysia, Le Jacquard Français (table linen, France) and Kennedy Hygiene (appliances, UK) </w:t>
      </w:r>
      <w:hyperlink w:history="1" r:id="rIdtkzcnljue18xmgg_cdxdv">
        <w:r>
          <w:rPr>
            <w:rFonts w:ascii="Arial" w:cs="Arial" w:eastAsia="Arial" w:hAnsi="Arial"/>
            <w:sz w:val="15"/>
            <w:szCs w:val="15"/>
          </w:rPr>
          <w:t xml:space="preserve">[#4027]</w:t>
        </w:r>
      </w:hyperlink>
      <w:r>
        <w:rPr>
          <w:rFonts w:ascii="Arial" w:cs="Arial" w:eastAsia="Arial" w:hAnsi="Arial"/>
          <w:sz w:val="19"/>
          <w:szCs w:val="19"/>
        </w:rPr>
        <w:t xml:space="preserve"> </w:t>
      </w:r>
      <w:hyperlink w:history="1" r:id="rIdna8svmuiwo6vhowhdjn8h">
        <w:r>
          <w:rPr>
            <w:rFonts w:ascii="Arial" w:cs="Arial" w:eastAsia="Arial" w:hAnsi="Arial"/>
            <w:sz w:val="15"/>
            <w:szCs w:val="15"/>
          </w:rPr>
          <w:t xml:space="preserve">[#5348]</w:t>
        </w:r>
      </w:hyperlink>
      <w:r>
        <w:rPr>
          <w:rFonts w:ascii="Arial" w:cs="Arial" w:eastAsia="Arial" w:hAnsi="Arial"/>
          <w:sz w:val="19"/>
          <w:szCs w:val="19"/>
        </w:rPr>
        <w:t xml:space="preserve">. </w:t>
      </w:r>
      <w:r>
        <w:rPr>
          <w:rFonts w:ascii="Arial" w:cs="Arial" w:eastAsia="Arial" w:hAnsi="Arial"/>
          <w:sz w:val="19"/>
          <w:szCs w:val="19"/>
        </w:rPr>
        <w:t xml:space="preserve">Names of textile mills, laundry-equipment makers, chemical, energy, RFID and vehicle suppliers are not disclosed in S&amp;P/ProntoNLP sources.</w:t>
      </w:r>
    </w:p>
    <w:p>
      <w:pPr>
        <w:pStyle w:val="Heading2"/>
        <w:keepNext/>
        <w:keepLines/>
        <w:spacing w:after="80" w:before="180"/>
      </w:pPr>
      <w:r>
        <w:rPr>
          <w:rFonts w:ascii="Arial" w:cs="Arial" w:eastAsia="Arial" w:hAnsi="Arial"/>
          <w:b/>
          <w:bCs/>
          <w:color w:val="13213F"/>
          <w:sz w:val="24"/>
          <w:szCs w:val="24"/>
        </w:rPr>
        <w:t xml:space="preserve">3.6 Competitors</w:t>
      </w:r>
    </w:p>
    <w:p>
      <w:pPr>
        <w:spacing w:after="100" w:before="0" w:line="264"/>
        <w:jc w:val="left"/>
      </w:pPr>
      <w:r>
        <w:rPr>
          <w:rFonts w:ascii="Arial" w:cs="Arial" w:eastAsia="Arial" w:hAnsi="Arial"/>
          <w:sz w:val="19"/>
          <w:szCs w:val="19"/>
        </w:rPr>
        <w:t xml:space="preserve">Outside North America, markets are fragmented: Elis competes with "small, agile local players", in-house hospital laundries and direct-purchase alternatives (paper-product suppliers, workwear manufacturers, mat sellers) </w:t>
      </w:r>
      <w:hyperlink w:history="1" r:id="rId4ljp7l-fctq_atvljrvqy">
        <w:r>
          <w:rPr>
            <w:rFonts w:ascii="Arial" w:cs="Arial" w:eastAsia="Arial" w:hAnsi="Arial"/>
            <w:sz w:val="15"/>
            <w:szCs w:val="15"/>
          </w:rPr>
          <w:t xml:space="preserve">[#1902]</w:t>
        </w:r>
      </w:hyperlink>
      <w:r>
        <w:rPr>
          <w:rFonts w:ascii="Arial" w:cs="Arial" w:eastAsia="Arial" w:hAnsi="Arial"/>
          <w:sz w:val="19"/>
          <w:szCs w:val="19"/>
        </w:rPr>
        <w:t xml:space="preserve">. Management names Johnson Service Group and two other players in the UK, where competition caps margins </w:t>
      </w:r>
      <w:hyperlink w:history="1" r:id="rIdaqpxt-xrewaeiwnwqhuwi">
        <w:r>
          <w:rPr>
            <w:rFonts w:ascii="Arial" w:cs="Arial" w:eastAsia="Arial" w:hAnsi="Arial"/>
            <w:sz w:val="15"/>
            <w:szCs w:val="15"/>
          </w:rPr>
          <w:t xml:space="preserve">[#749]</w:t>
        </w:r>
      </w:hyperlink>
      <w:r>
        <w:rPr>
          <w:rFonts w:ascii="Arial" w:cs="Arial" w:eastAsia="Arial" w:hAnsi="Arial"/>
          <w:sz w:val="19"/>
          <w:szCs w:val="19"/>
        </w:rPr>
        <w:t xml:space="preserve">; in Brazil Elis is ~5x the size of the #2 </w:t>
      </w:r>
      <w:hyperlink w:history="1" r:id="rIdh4c1dhhyof0j6gxfgjupf">
        <w:r>
          <w:rPr>
            <w:rFonts w:ascii="Arial" w:cs="Arial" w:eastAsia="Arial" w:hAnsi="Arial"/>
            <w:sz w:val="15"/>
            <w:szCs w:val="15"/>
          </w:rPr>
          <w:t xml:space="preserve">[#2488]</w:t>
        </w:r>
      </w:hyperlink>
      <w:r>
        <w:rPr>
          <w:rFonts w:ascii="Arial" w:cs="Arial" w:eastAsia="Arial" w:hAnsi="Arial"/>
          <w:sz w:val="19"/>
          <w:szCs w:val="19"/>
        </w:rPr>
        <w:t xml:space="preserve">. North America is dominated by Cintas, Vestis and UniFirst ("more or less 2/3" of uniform rental) </w:t>
      </w:r>
      <w:hyperlink w:history="1" r:id="rIdgxpest0oywz-vis73a-jo">
        <w:r>
          <w:rPr>
            <w:rFonts w:ascii="Arial" w:cs="Arial" w:eastAsia="Arial" w:hAnsi="Arial"/>
            <w:sz w:val="15"/>
            <w:szCs w:val="15"/>
          </w:rPr>
          <w:t xml:space="preserve">[#3092]</w:t>
        </w:r>
      </w:hyperlink>
      <w:r>
        <w:rPr>
          <w:rFonts w:ascii="Arial" w:cs="Arial" w:eastAsia="Arial" w:hAnsi="Arial"/>
          <w:sz w:val="19"/>
          <w:szCs w:val="19"/>
        </w:rPr>
        <w:t xml:space="preserve"> and is effectively closed to Elis after Cintas's move on UniFirst </w:t>
      </w:r>
      <w:hyperlink w:history="1" r:id="rIdfk8waloipklyb-zwlry6e">
        <w:r>
          <w:rPr>
            <w:rFonts w:ascii="Arial" w:cs="Arial" w:eastAsia="Arial" w:hAnsi="Arial"/>
            <w:sz w:val="15"/>
            <w:szCs w:val="15"/>
          </w:rPr>
          <w:t xml:space="preserve">[#3103]</w:t>
        </w:r>
      </w:hyperlink>
      <w:r>
        <w:rPr>
          <w:rFonts w:ascii="Arial" w:cs="Arial" w:eastAsia="Arial" w:hAnsi="Arial"/>
          <w:sz w:val="19"/>
          <w:szCs w:val="19"/>
        </w:rPr>
        <w:t xml:space="preserve">. ProntoNLP's peer model rates </w:t>
      </w:r>
      <w:hyperlink w:history="1" r:id="rIdkzuliegp3v7ehxr-bmjii">
        <w:r>
          <w:rPr>
            <w:rFonts w:ascii="Arial" w:cs="Arial" w:eastAsia="Arial" w:hAnsi="Arial"/>
            <w:sz w:val="19"/>
            <w:szCs w:val="19"/>
            <w:u w:val="single"/>
          </w:rPr>
          <w:t xml:space="preserve">Rentokil Initial plc</w:t>
        </w:r>
      </w:hyperlink>
      <w:r>
        <w:rPr>
          <w:rFonts w:ascii="Arial" w:cs="Arial" w:eastAsia="Arial" w:hAnsi="Arial"/>
          <w:sz w:val="19"/>
          <w:szCs w:val="19"/>
        </w:rPr>
        <w:t xml:space="preserve">, </w:t>
      </w:r>
      <w:hyperlink w:history="1" r:id="rIdwe8jqxmppkqi4tejcxa3z">
        <w:r>
          <w:rPr>
            <w:rFonts w:ascii="Arial" w:cs="Arial" w:eastAsia="Arial" w:hAnsi="Arial"/>
            <w:sz w:val="19"/>
            <w:szCs w:val="19"/>
            <w:u w:val="single"/>
          </w:rPr>
          <w:t xml:space="preserve">Cintas Corporation</w:t>
        </w:r>
      </w:hyperlink>
      <w:r>
        <w:rPr>
          <w:rFonts w:ascii="Arial" w:cs="Arial" w:eastAsia="Arial" w:hAnsi="Arial"/>
          <w:sz w:val="19"/>
          <w:szCs w:val="19"/>
        </w:rPr>
        <w:t xml:space="preserve">, </w:t>
      </w:r>
      <w:hyperlink w:history="1" r:id="rIdgkbifknhybm8nnocl508m">
        <w:r>
          <w:rPr>
            <w:rFonts w:ascii="Arial" w:cs="Arial" w:eastAsia="Arial" w:hAnsi="Arial"/>
            <w:sz w:val="19"/>
            <w:szCs w:val="19"/>
            <w:u w:val="single"/>
          </w:rPr>
          <w:t xml:space="preserve">UniFirst Corporation</w:t>
        </w:r>
      </w:hyperlink>
      <w:r>
        <w:rPr>
          <w:rFonts w:ascii="Arial" w:cs="Arial" w:eastAsia="Arial" w:hAnsi="Arial"/>
          <w:sz w:val="19"/>
          <w:szCs w:val="19"/>
        </w:rPr>
        <w:t xml:space="preserve"> and </w:t>
      </w:r>
      <w:hyperlink w:history="1" r:id="rIddomr9fhuiceue6srktv9f">
        <w:r>
          <w:rPr>
            <w:rFonts w:ascii="Arial" w:cs="Arial" w:eastAsia="Arial" w:hAnsi="Arial"/>
            <w:sz w:val="19"/>
            <w:szCs w:val="19"/>
            <w:u w:val="single"/>
          </w:rPr>
          <w:t xml:space="preserve">Johnson Service Group PLC</w:t>
        </w:r>
      </w:hyperlink>
      <w:r>
        <w:rPr>
          <w:rFonts w:ascii="Arial" w:cs="Arial" w:eastAsia="Arial" w:hAnsi="Arial"/>
          <w:sz w:val="19"/>
          <w:szCs w:val="19"/>
        </w:rPr>
        <w:t xml:space="preserve"> as strong competitors. Large private European rivals (e.g. Lindström, CWS, Alsco, Mewa) are not mentioned in any retrieved source; they are listed in Section 11 for completeness and flagged [u].</w:t>
      </w:r>
    </w:p>
    <w:p>
      <w:pPr>
        <w:pStyle w:val="Heading2"/>
        <w:keepNext/>
        <w:keepLines/>
        <w:spacing w:after="80" w:before="180"/>
      </w:pPr>
      <w:r>
        <w:rPr>
          <w:rFonts w:ascii="Arial" w:cs="Arial" w:eastAsia="Arial" w:hAnsi="Arial"/>
          <w:b/>
          <w:bCs/>
          <w:color w:val="13213F"/>
          <w:sz w:val="24"/>
          <w:szCs w:val="24"/>
        </w:rPr>
        <w:t xml:space="preserve">3.7 Contracts and payment terms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5"/>
        <w:gridCol w:w="5736"/>
        <w:gridCol w:w="2295"/>
      </w:tblGrid>
      <w:tr>
        <w:trPr>
          <w:cantSplit/>
          <w:tblHeader/>
        </w:trPr>
        <w:tc>
          <w:tcPr>
            <w:tcW w:type="dxa" w:w="183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Term</w:t>
            </w:r>
          </w:p>
        </w:tc>
        <w:tc>
          <w:tcPr>
            <w:tcW w:type="dxa" w:w="573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Disclosure</w:t>
            </w:r>
          </w:p>
        </w:tc>
        <w:tc>
          <w:tcPr>
            <w:tcW w:type="dxa" w:w="229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Source</w:t>
            </w:r>
          </w:p>
        </w:tc>
      </w:tr>
      <w:tr>
        <w:trPr>
          <w:cantSplit/>
        </w:trPr>
        <w:tc>
          <w:tcPr>
            <w:tcW w:type="dxa" w:w="183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Duration</w:t>
            </w:r>
          </w:p>
        </w:tc>
        <w:tc>
          <w:tcPr>
            <w:tcW w:type="dxa" w:w="57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Usually an initial four-year term; automatic renewal is common</w:t>
            </w:r>
          </w:p>
        </w:tc>
        <w:tc>
          <w:tcPr>
            <w:tcW w:type="dxa" w:w="2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cy3nr1ehcxnuxbtfrixxp">
              <w:r>
                <w:rPr>
                  <w:rFonts w:ascii="Arial" w:cs="Arial" w:eastAsia="Arial" w:hAnsi="Arial"/>
                  <w:b w:val="false"/>
                  <w:bCs w:val="false"/>
                  <w:sz w:val="12"/>
                  <w:szCs w:val="12"/>
                </w:rPr>
                <w:t xml:space="preserve">[#1946]</w:t>
              </w:r>
            </w:hyperlink>
          </w:p>
        </w:tc>
      </w:tr>
      <w:tr>
        <w:trPr>
          <w:cantSplit/>
        </w:trPr>
        <w:tc>
          <w:tcPr>
            <w:tcW w:type="dxa" w:w="183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Early exit</w:t>
            </w:r>
          </w:p>
        </w:tc>
        <w:tc>
          <w:tcPr>
            <w:tcW w:type="dxa" w:w="57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Customer pays a fee that "usually equals almost the entire residual value of the contract"</w:t>
            </w:r>
          </w:p>
        </w:tc>
        <w:tc>
          <w:tcPr>
            <w:tcW w:type="dxa" w:w="2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ec4ch5glkqmzwb7hn9th">
              <w:r>
                <w:rPr>
                  <w:rFonts w:ascii="Arial" w:cs="Arial" w:eastAsia="Arial" w:hAnsi="Arial"/>
                  <w:b w:val="false"/>
                  <w:bCs w:val="false"/>
                  <w:sz w:val="12"/>
                  <w:szCs w:val="12"/>
                </w:rPr>
                <w:t xml:space="preserve">[#1946]</w:t>
              </w:r>
            </w:hyperlink>
          </w:p>
        </w:tc>
      </w:tr>
      <w:tr>
        <w:trPr>
          <w:cantSplit/>
        </w:trPr>
        <w:tc>
          <w:tcPr>
            <w:tcW w:type="dxa" w:w="183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Retention</w:t>
            </w:r>
          </w:p>
        </w:tc>
        <w:tc>
          <w:tcPr>
            <w:tcW w:type="dxa" w:w="57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~94% on average; ~6% of customers lost a year including business failures; lost customers "never reinsource"</w:t>
            </w:r>
          </w:p>
        </w:tc>
        <w:tc>
          <w:tcPr>
            <w:tcW w:type="dxa" w:w="2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3gzygjwvi-egdalnu_0_a">
              <w:r>
                <w:rPr>
                  <w:rFonts w:ascii="Arial" w:cs="Arial" w:eastAsia="Arial" w:hAnsi="Arial"/>
                  <w:b w:val="false"/>
                  <w:bCs w:val="false"/>
                  <w:sz w:val="12"/>
                  <w:szCs w:val="12"/>
                </w:rPr>
                <w:t xml:space="preserve">[#829]</w:t>
              </w:r>
            </w:hyperlink>
            <w:r>
              <w:rPr>
                <w:rFonts w:ascii="Arial" w:cs="Arial" w:eastAsia="Arial" w:hAnsi="Arial"/>
                <w:b w:val="false"/>
                <w:bCs w:val="false"/>
                <w:sz w:val="15"/>
                <w:szCs w:val="15"/>
              </w:rPr>
              <w:t xml:space="preserve"> </w:t>
            </w:r>
            <w:hyperlink w:history="1" r:id="rId10ncnfndd0qaw_f--ycc4">
              <w:r>
                <w:rPr>
                  <w:rFonts w:ascii="Arial" w:cs="Arial" w:eastAsia="Arial" w:hAnsi="Arial"/>
                  <w:b w:val="false"/>
                  <w:bCs w:val="false"/>
                  <w:sz w:val="12"/>
                  <w:szCs w:val="12"/>
                </w:rPr>
                <w:t xml:space="preserve">[#401]</w:t>
              </w:r>
            </w:hyperlink>
          </w:p>
        </w:tc>
      </w:tr>
      <w:tr>
        <w:trPr>
          <w:cantSplit/>
        </w:trPr>
        <w:tc>
          <w:tcPr>
            <w:tcW w:type="dxa" w:w="183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Pricing</w:t>
            </w:r>
          </w:p>
        </w:tc>
        <w:tc>
          <w:tcPr>
            <w:tcW w:type="dxa" w:w="57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~50% of revenue on automatic index formulas, ~50% negotiated; major customers re-priced mainly at the start of the year</w:t>
            </w:r>
          </w:p>
        </w:tc>
        <w:tc>
          <w:tcPr>
            <w:tcW w:type="dxa" w:w="2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xht0yuenxatxsc3f9pwee">
              <w:r>
                <w:rPr>
                  <w:rFonts w:ascii="Arial" w:cs="Arial" w:eastAsia="Arial" w:hAnsi="Arial"/>
                  <w:b w:val="false"/>
                  <w:bCs w:val="false"/>
                  <w:sz w:val="12"/>
                  <w:szCs w:val="12"/>
                </w:rPr>
                <w:t xml:space="preserve">[#565]</w:t>
              </w:r>
            </w:hyperlink>
            <w:r>
              <w:rPr>
                <w:rFonts w:ascii="Arial" w:cs="Arial" w:eastAsia="Arial" w:hAnsi="Arial"/>
                <w:b w:val="false"/>
                <w:bCs w:val="false"/>
                <w:sz w:val="15"/>
                <w:szCs w:val="15"/>
              </w:rPr>
              <w:t xml:space="preserve"> </w:t>
            </w:r>
            <w:hyperlink w:history="1" r:id="rIdreeea_i7uwjjwh_0rw9lg">
              <w:r>
                <w:rPr>
                  <w:rFonts w:ascii="Arial" w:cs="Arial" w:eastAsia="Arial" w:hAnsi="Arial"/>
                  <w:b w:val="false"/>
                  <w:bCs w:val="false"/>
                  <w:sz w:val="12"/>
                  <w:szCs w:val="12"/>
                </w:rPr>
                <w:t xml:space="preserve">[#576]</w:t>
              </w:r>
            </w:hyperlink>
          </w:p>
        </w:tc>
      </w:tr>
      <w:tr>
        <w:trPr>
          <w:cantSplit/>
        </w:trPr>
        <w:tc>
          <w:tcPr>
            <w:tcW w:type="dxa" w:w="183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Public healthcare</w:t>
            </w:r>
          </w:p>
        </w:tc>
        <w:tc>
          <w:tcPr>
            <w:tcW w:type="dxa" w:w="57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Tenders; some German hospital tenders are price-only; Mexico moved to multi-lot awards</w:t>
            </w:r>
          </w:p>
        </w:tc>
        <w:tc>
          <w:tcPr>
            <w:tcW w:type="dxa" w:w="2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jf8ne2-smrj1luc86watn">
              <w:r>
                <w:rPr>
                  <w:rFonts w:ascii="Arial" w:cs="Arial" w:eastAsia="Arial" w:hAnsi="Arial"/>
                  <w:b w:val="false"/>
                  <w:bCs w:val="false"/>
                  <w:sz w:val="12"/>
                  <w:szCs w:val="12"/>
                </w:rPr>
                <w:t xml:space="preserve">[#847]</w:t>
              </w:r>
            </w:hyperlink>
            <w:r>
              <w:rPr>
                <w:rFonts w:ascii="Arial" w:cs="Arial" w:eastAsia="Arial" w:hAnsi="Arial"/>
                <w:b w:val="false"/>
                <w:bCs w:val="false"/>
                <w:sz w:val="15"/>
                <w:szCs w:val="15"/>
              </w:rPr>
              <w:t xml:space="preserve"> </w:t>
            </w:r>
            <w:hyperlink w:history="1" r:id="rIdmqoys9lh9wxmjfybp15nb">
              <w:r>
                <w:rPr>
                  <w:rFonts w:ascii="Arial" w:cs="Arial" w:eastAsia="Arial" w:hAnsi="Arial"/>
                  <w:b w:val="false"/>
                  <w:bCs w:val="false"/>
                  <w:sz w:val="12"/>
                  <w:szCs w:val="12"/>
                </w:rPr>
                <w:t xml:space="preserve">[#137]</w:t>
              </w:r>
            </w:hyperlink>
          </w:p>
        </w:tc>
      </w:tr>
      <w:tr>
        <w:trPr>
          <w:cantSplit/>
        </w:trPr>
        <w:tc>
          <w:tcPr>
            <w:tcW w:type="dxa" w:w="183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Billing / collection</w:t>
            </w:r>
          </w:p>
        </w:tc>
        <w:tc>
          <w:tcPr>
            <w:tcW w:type="dxa" w:w="57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Subscriptions invoiced in advance; parent-company terms "15th of the following month"; group DSO 66–68 days at year-ends FY2023–25 [calc]; H1-2026 DSO 57 days (company definition)</w:t>
            </w:r>
          </w:p>
        </w:tc>
        <w:tc>
          <w:tcPr>
            <w:tcW w:type="dxa" w:w="2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omltfi2ojpmxpr46d51d5">
              <w:r>
                <w:rPr>
                  <w:rFonts w:ascii="Arial" w:cs="Arial" w:eastAsia="Arial" w:hAnsi="Arial"/>
                  <w:b w:val="false"/>
                  <w:bCs w:val="false"/>
                  <w:sz w:val="12"/>
                  <w:szCs w:val="12"/>
                </w:rPr>
                <w:t xml:space="preserve">[#5757]</w:t>
              </w:r>
            </w:hyperlink>
            <w:r>
              <w:rPr>
                <w:rFonts w:ascii="Arial" w:cs="Arial" w:eastAsia="Arial" w:hAnsi="Arial"/>
                <w:b w:val="false"/>
                <w:bCs w:val="false"/>
                <w:sz w:val="15"/>
                <w:szCs w:val="15"/>
              </w:rPr>
              <w:t xml:space="preserve"> </w:t>
            </w:r>
            <w:hyperlink w:history="1" r:id="rId5ee6djf1qejkpaxs5cczu">
              <w:r>
                <w:rPr>
                  <w:rFonts w:ascii="Arial" w:cs="Arial" w:eastAsia="Arial" w:hAnsi="Arial"/>
                  <w:b w:val="false"/>
                  <w:bCs w:val="false"/>
                  <w:sz w:val="12"/>
                  <w:szCs w:val="12"/>
                </w:rPr>
                <w:t xml:space="preserve">[#5490]</w:t>
              </w:r>
            </w:hyperlink>
            <w:r>
              <w:rPr>
                <w:rFonts w:ascii="Arial" w:cs="Arial" w:eastAsia="Arial" w:hAnsi="Arial"/>
                <w:b w:val="false"/>
                <w:bCs w:val="false"/>
                <w:sz w:val="15"/>
                <w:szCs w:val="15"/>
              </w:rPr>
              <w:t xml:space="preserve"> </w:t>
            </w:r>
            <w:hyperlink w:history="1" r:id="rIdeokhctgwnpn76jpp09mpy">
              <w:r>
                <w:rPr>
                  <w:rFonts w:ascii="Arial" w:cs="Arial" w:eastAsia="Arial" w:hAnsi="Arial"/>
                  <w:b w:val="false"/>
                  <w:bCs w:val="false"/>
                  <w:sz w:val="12"/>
                  <w:szCs w:val="12"/>
                </w:rPr>
                <w:t xml:space="preserve">[#93]</w:t>
              </w:r>
            </w:hyperlink>
          </w:p>
        </w:tc>
      </w:tr>
      <w:tr>
        <w:trPr>
          <w:cantSplit/>
        </w:trPr>
        <w:tc>
          <w:tcPr>
            <w:tcW w:type="dxa" w:w="183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Supplier terms</w:t>
            </w:r>
          </w:p>
        </w:tc>
        <w:tc>
          <w:tcPr>
            <w:tcW w:type="dxa" w:w="57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60 days, including a supplier-finance programme</w:t>
            </w:r>
          </w:p>
        </w:tc>
        <w:tc>
          <w:tcPr>
            <w:tcW w:type="dxa" w:w="2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xklt16wsxbeqmsfmblrqi">
              <w:r>
                <w:rPr>
                  <w:rFonts w:ascii="Arial" w:cs="Arial" w:eastAsia="Arial" w:hAnsi="Arial"/>
                  <w:b w:val="false"/>
                  <w:bCs w:val="false"/>
                  <w:sz w:val="12"/>
                  <w:szCs w:val="12"/>
                </w:rPr>
                <w:t xml:space="preserve">[#5784]</w:t>
              </w:r>
            </w:hyperlink>
          </w:p>
        </w:tc>
      </w:tr>
      <w:tr>
        <w:trPr>
          <w:cantSplit/>
        </w:trPr>
        <w:tc>
          <w:tcPr>
            <w:tcW w:type="dxa" w:w="183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Receivables finance</w:t>
            </w:r>
          </w:p>
        </w:tc>
        <w:tc>
          <w:tcPr>
            <w:tcW w:type="dxa" w:w="57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€294.1m of receivables sold under a securitisation (on balance sheet); French programme up to €200m</w:t>
            </w:r>
          </w:p>
        </w:tc>
        <w:tc>
          <w:tcPr>
            <w:tcW w:type="dxa" w:w="2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zfyv9j_o9twnz9tpqqg4">
              <w:r>
                <w:rPr>
                  <w:rFonts w:ascii="Arial" w:cs="Arial" w:eastAsia="Arial" w:hAnsi="Arial"/>
                  <w:b w:val="false"/>
                  <w:bCs w:val="false"/>
                  <w:sz w:val="12"/>
                  <w:szCs w:val="12"/>
                </w:rPr>
                <w:t xml:space="preserve">[#6113]</w:t>
              </w:r>
            </w:hyperlink>
            <w:r>
              <w:rPr>
                <w:rFonts w:ascii="Arial" w:cs="Arial" w:eastAsia="Arial" w:hAnsi="Arial"/>
                <w:b w:val="false"/>
                <w:bCs w:val="false"/>
                <w:sz w:val="15"/>
                <w:szCs w:val="15"/>
              </w:rPr>
              <w:t xml:space="preserve"> </w:t>
            </w:r>
            <w:hyperlink w:history="1" r:id="rIdndrfiwyxy_3k-irlix5wo">
              <w:r>
                <w:rPr>
                  <w:rFonts w:ascii="Arial" w:cs="Arial" w:eastAsia="Arial" w:hAnsi="Arial"/>
                  <w:b w:val="false"/>
                  <w:bCs w:val="false"/>
                  <w:sz w:val="12"/>
                  <w:szCs w:val="12"/>
                </w:rPr>
                <w:t xml:space="preserve">[#6108]</w:t>
              </w:r>
            </w:hyperlink>
          </w:p>
        </w:tc>
      </w:tr>
      <w:tr>
        <w:trPr>
          <w:cantSplit/>
        </w:trPr>
        <w:tc>
          <w:tcPr>
            <w:tcW w:type="dxa" w:w="183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Minimum volumes</w:t>
            </w:r>
          </w:p>
        </w:tc>
        <w:tc>
          <w:tcPr>
            <w:tcW w:type="dxa" w:w="57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Not disclosed in permitted sources</w:t>
            </w:r>
          </w:p>
        </w:tc>
        <w:tc>
          <w:tcPr>
            <w:tcW w:type="dxa" w:w="2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w:t>
            </w:r>
          </w:p>
        </w:tc>
      </w:tr>
    </w:tbl>
    <w:p>
      <w:pPr>
        <w:spacing w:after="140" w:before="40"/>
      </w:pPr>
      <w:r>
        <w:rPr>
          <w:rFonts w:ascii="Arial" w:cs="Arial" w:eastAsia="Arial" w:hAnsi="Arial"/>
          <w:color w:val="898781"/>
          <w:sz w:val="14"/>
          <w:szCs w:val="14"/>
        </w:rPr>
        <w:t xml:space="preserve">Source: Elis FY2025 URD and transcripts via ProntoNLP; DSO = year-end receivables / revenue × 365 from S&amp;P Capital IQ [calc].</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4. Macro and micro factors: tailwinds and headwinds</w:t>
      </w:r>
    </w:p>
    <w:p>
      <w:pPr>
        <w:spacing w:after="100" w:before="0" w:line="264"/>
        <w:jc w:val="left"/>
      </w:pPr>
      <w:r>
        <w:rPr>
          <w:rFonts w:ascii="Arial" w:cs="Arial" w:eastAsia="Arial" w:hAnsi="Arial"/>
          <w:sz w:val="19"/>
          <w:szCs w:val="19"/>
        </w:rPr>
        <w:t xml:space="preserve">Elis is a labour-intensive, energy-intensive service with indexed, sticky revenue. Its earnings sensitivity is therefore less about demand cycles (2020 showed revenue −14.5% yet a +20bp EBITDA margin and +€43m of FCF </w:t>
      </w:r>
      <w:hyperlink w:history="1" r:id="rIdxgvtcxucna7armqdb_4lc">
        <w:r>
          <w:rPr>
            <w:rFonts w:ascii="Arial" w:cs="Arial" w:eastAsia="Arial" w:hAnsi="Arial"/>
            <w:sz w:val="15"/>
            <w:szCs w:val="15"/>
          </w:rPr>
          <w:t xml:space="preserve">[#1866]</w:t>
        </w:r>
      </w:hyperlink>
      <w:r>
        <w:rPr>
          <w:rFonts w:ascii="Arial" w:cs="Arial" w:eastAsia="Arial" w:hAnsi="Arial"/>
          <w:sz w:val="19"/>
          <w:szCs w:val="19"/>
        </w:rPr>
        <w:t xml:space="preserve">) and more about the </w:t>
      </w:r>
      <w:r>
        <w:rPr>
          <w:rFonts w:ascii="Arial" w:cs="Arial" w:eastAsia="Arial" w:hAnsi="Arial"/>
          <w:sz w:val="19"/>
          <w:szCs w:val="19"/>
        </w:rPr>
        <w:t xml:space="preserve">speed of cost pass-through</w:t>
      </w:r>
      <w:r>
        <w:rPr>
          <w:rFonts w:ascii="Arial" w:cs="Arial" w:eastAsia="Arial" w:hAnsi="Arial"/>
          <w:sz w:val="19"/>
          <w:szCs w:val="19"/>
        </w:rPr>
        <w:t xml:space="preserve">.</w:t>
      </w:r>
    </w:p>
    <w:p>
      <w:pPr>
        <w:keepNext/>
        <w:spacing w:after="60" w:before="120"/>
      </w:pPr>
      <w:r>
        <w:rPr>
          <w:rFonts w:ascii="Arial" w:cs="Arial" w:eastAsia="Arial" w:hAnsi="Arial"/>
          <w:b/>
          <w:bCs/>
          <w:color w:val="13213F"/>
          <w:sz w:val="18"/>
          <w:szCs w:val="18"/>
        </w:rPr>
        <w:t xml:space="preserve">Key factors and quantified sensitivities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4604"/>
        <w:gridCol w:w="3728"/>
      </w:tblGrid>
      <w:tr>
        <w:trPr>
          <w:cantSplit/>
          <w:tblHeader/>
        </w:trPr>
        <w:tc>
          <w:tcPr>
            <w:tcW w:type="dxa" w:w="153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Factor</w:t>
            </w:r>
          </w:p>
        </w:tc>
        <w:tc>
          <w:tcPr>
            <w:tcW w:type="dxa" w:w="460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Mechanism at Elis</w:t>
            </w:r>
          </w:p>
        </w:tc>
        <w:tc>
          <w:tcPr>
            <w:tcW w:type="dxa" w:w="372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Sensitivity / data point [calc unless sourced]</w:t>
            </w:r>
          </w:p>
        </w:tc>
      </w:tr>
      <w:tr>
        <w:trPr>
          <w:cantSplit/>
        </w:trPr>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Wages (micro + macro)</w:t>
            </w:r>
          </w:p>
        </w:tc>
        <w:tc>
          <w:tcPr>
            <w:tcW w:type="dxa" w:w="46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"60% of our costs … related to labor"; European labour scarcity supports structural price increases </w:t>
            </w:r>
            <w:hyperlink w:history="1" r:id="rIdqemp6mwgbld7ve8d-ogh5">
              <w:r>
                <w:rPr>
                  <w:rFonts w:ascii="Arial" w:cs="Arial" w:eastAsia="Arial" w:hAnsi="Arial"/>
                  <w:b w:val="false"/>
                  <w:bCs w:val="false"/>
                  <w:sz w:val="12"/>
                  <w:szCs w:val="12"/>
                </w:rPr>
                <w:t xml:space="preserve">[#3309]</w:t>
              </w:r>
            </w:hyperlink>
            <w:r>
              <w:rPr>
                <w:rFonts w:ascii="Arial" w:cs="Arial" w:eastAsia="Arial" w:hAnsi="Arial"/>
                <w:b w:val="false"/>
                <w:bCs w:val="false"/>
                <w:sz w:val="15"/>
                <w:szCs w:val="15"/>
              </w:rPr>
              <w:t xml:space="preserve">. 2026 group wage inflation ~4% </w:t>
            </w:r>
            <w:hyperlink w:history="1" r:id="rId2ygsb60ymlpjpancdv0km">
              <w:r>
                <w:rPr>
                  <w:rFonts w:ascii="Arial" w:cs="Arial" w:eastAsia="Arial" w:hAnsi="Arial"/>
                  <w:b w:val="false"/>
                  <w:bCs w:val="false"/>
                  <w:sz w:val="12"/>
                  <w:szCs w:val="12"/>
                </w:rPr>
                <w:t xml:space="preserve">[#703]</w:t>
              </w:r>
            </w:hyperlink>
            <w:r>
              <w:rPr>
                <w:rFonts w:ascii="Arial" w:cs="Arial" w:eastAsia="Arial" w:hAnsi="Arial"/>
                <w:b w:val="false"/>
                <w:bCs w:val="false"/>
                <w:sz w:val="15"/>
                <w:szCs w:val="15"/>
              </w:rPr>
              <w:t xml:space="preserve">; minimum wages +23% Colombia, +13% Mexico </w:t>
            </w:r>
            <w:hyperlink w:history="1" r:id="rIdxce6japsodqz_yzyyoorx">
              <w:r>
                <w:rPr>
                  <w:rFonts w:ascii="Arial" w:cs="Arial" w:eastAsia="Arial" w:hAnsi="Arial"/>
                  <w:b w:val="false"/>
                  <w:bCs w:val="false"/>
                  <w:sz w:val="12"/>
                  <w:szCs w:val="12"/>
                </w:rPr>
                <w:t xml:space="preserve">[#147]</w:t>
              </w:r>
            </w:hyperlink>
          </w:p>
        </w:tc>
        <w:tc>
          <w:tcPr>
            <w:tcW w:type="dxa" w:w="3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 wages ≈ €20m cost (~1.2% of adj. EBITDA); +4% needs ~1.7% price to neutralise</w:t>
            </w:r>
          </w:p>
        </w:tc>
      </w:tr>
      <w:tr>
        <w:trPr>
          <w:cantSplit/>
        </w:trPr>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Energy</w:t>
            </w:r>
          </w:p>
        </w:tc>
        <w:tc>
          <w:tcPr>
            <w:tcW w:type="dxa" w:w="46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6–7% of revenue </w:t>
            </w:r>
            <w:hyperlink w:history="1" r:id="rIdhiqw7hkvwa5fdht5ksdpz">
              <w:r>
                <w:rPr>
                  <w:rFonts w:ascii="Arial" w:cs="Arial" w:eastAsia="Arial" w:hAnsi="Arial"/>
                  <w:b w:val="false"/>
                  <w:bCs w:val="false"/>
                  <w:sz w:val="12"/>
                  <w:szCs w:val="12"/>
                </w:rPr>
                <w:t xml:space="preserve">[#614]</w:t>
              </w:r>
            </w:hyperlink>
            <w:r>
              <w:rPr>
                <w:rFonts w:ascii="Arial" w:cs="Arial" w:eastAsia="Arial" w:hAnsi="Arial"/>
                <w:b w:val="false"/>
                <w:bCs w:val="false"/>
                <w:sz w:val="15"/>
                <w:szCs w:val="15"/>
              </w:rPr>
              <w:t xml:space="preserve">; 2026 bill guided ~€190m </w:t>
            </w:r>
            <w:hyperlink w:history="1" r:id="rIdsgclxvlvsfj4cppe_9z6t">
              <w:r>
                <w:rPr>
                  <w:rFonts w:ascii="Arial" w:cs="Arial" w:eastAsia="Arial" w:hAnsi="Arial"/>
                  <w:b w:val="false"/>
                  <w:bCs w:val="false"/>
                  <w:sz w:val="12"/>
                  <w:szCs w:val="12"/>
                </w:rPr>
                <w:t xml:space="preserve">[#446]</w:t>
              </w:r>
            </w:hyperlink>
            <w:r>
              <w:rPr>
                <w:rFonts w:ascii="Arial" w:cs="Arial" w:eastAsia="Arial" w:hAnsi="Arial"/>
                <w:b w:val="false"/>
                <w:bCs w:val="false"/>
                <w:sz w:val="15"/>
                <w:szCs w:val="15"/>
              </w:rPr>
              <w:t xml:space="preserve">; hedges 93%/94% (2026), 81%/87% (2027), 61%/53% (2028) gas/electricity </w:t>
            </w:r>
            <w:hyperlink w:history="1" r:id="rIdsisqfhlzbt8_n5jtfdti1">
              <w:r>
                <w:rPr>
                  <w:rFonts w:ascii="Arial" w:cs="Arial" w:eastAsia="Arial" w:hAnsi="Arial"/>
                  <w:b w:val="false"/>
                  <w:bCs w:val="false"/>
                  <w:sz w:val="12"/>
                  <w:szCs w:val="12"/>
                </w:rPr>
                <w:t xml:space="preserve">[#76]</w:t>
              </w:r>
            </w:hyperlink>
          </w:p>
        </w:tc>
        <w:tc>
          <w:tcPr>
            <w:tcW w:type="dxa" w:w="3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Middle East shock: €20–25m extra cost in 2026, ~€10m offset </w:t>
            </w:r>
            <w:hyperlink w:history="1" r:id="rIdnnxn3azq_lkawhgw9mb5n">
              <w:r>
                <w:rPr>
                  <w:rFonts w:ascii="Arial" w:cs="Arial" w:eastAsia="Arial" w:hAnsi="Arial"/>
                  <w:b w:val="false"/>
                  <w:bCs w:val="false"/>
                  <w:sz w:val="12"/>
                  <w:szCs w:val="12"/>
                </w:rPr>
                <w:t xml:space="preserve">[#466]</w:t>
              </w:r>
            </w:hyperlink>
            <w:r>
              <w:rPr>
                <w:rFonts w:ascii="Arial" w:cs="Arial" w:eastAsia="Arial" w:hAnsi="Arial"/>
                <w:b w:val="false"/>
                <w:bCs w:val="false"/>
                <w:sz w:val="15"/>
                <w:szCs w:val="15"/>
              </w:rPr>
              <w:t xml:space="preserve">; +50% spot on unhedged 2027 volumes ≈ €12–18m</w:t>
            </w:r>
          </w:p>
        </w:tc>
      </w:tr>
      <w:tr>
        <w:trPr>
          <w:cantSplit/>
        </w:trPr>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Inflation pass-through</w:t>
            </w:r>
          </w:p>
        </w:tc>
        <w:tc>
          <w:tcPr>
            <w:tcW w:type="dxa" w:w="46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Indices reflect the last 12 months, so cost spikes hit margins first and are recovered with a lag </w:t>
            </w:r>
            <w:hyperlink w:history="1" r:id="rIdymq0qfvljuaegh9xj9ezb">
              <w:r>
                <w:rPr>
                  <w:rFonts w:ascii="Arial" w:cs="Arial" w:eastAsia="Arial" w:hAnsi="Arial"/>
                  <w:b w:val="false"/>
                  <w:bCs w:val="false"/>
                  <w:sz w:val="12"/>
                  <w:szCs w:val="12"/>
                </w:rPr>
                <w:t xml:space="preserve">[#379]</w:t>
              </w:r>
            </w:hyperlink>
            <w:r>
              <w:rPr>
                <w:rFonts w:ascii="Arial" w:cs="Arial" w:eastAsia="Arial" w:hAnsi="Arial"/>
                <w:b w:val="false"/>
                <w:bCs w:val="false"/>
                <w:sz w:val="15"/>
                <w:szCs w:val="15"/>
              </w:rPr>
              <w:t xml:space="preserve">; "super nice price increase in '27" flagged from end-2026 index talks </w:t>
            </w:r>
            <w:hyperlink w:history="1" r:id="rIdmmqodifbtgkgjmxlycn2l">
              <w:r>
                <w:rPr>
                  <w:rFonts w:ascii="Arial" w:cs="Arial" w:eastAsia="Arial" w:hAnsi="Arial"/>
                  <w:b w:val="false"/>
                  <w:bCs w:val="false"/>
                  <w:sz w:val="12"/>
                  <w:szCs w:val="12"/>
                </w:rPr>
                <w:t xml:space="preserve">[#472]</w:t>
              </w:r>
            </w:hyperlink>
          </w:p>
        </w:tc>
        <w:tc>
          <w:tcPr>
            <w:tcW w:type="dxa" w:w="3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 pt of price ≈ +€48m revenue/EBITDA (~+64bp margin)</w:t>
            </w:r>
          </w:p>
        </w:tc>
      </w:tr>
      <w:tr>
        <w:trPr>
          <w:cantSplit/>
        </w:trPr>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Interest rates</w:t>
            </w:r>
          </w:p>
        </w:tc>
        <w:tc>
          <w:tcPr>
            <w:tcW w:type="dxa" w:w="46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Refinancing at higher coupons (EMTN 2024, 2025, Mar-2026 €600m at 3.875%) lifts financial expense </w:t>
            </w:r>
            <w:hyperlink w:history="1" r:id="rId0ghtsco8axbviyhrmtcg_">
              <w:r>
                <w:rPr>
                  <w:rFonts w:ascii="Arial" w:cs="Arial" w:eastAsia="Arial" w:hAnsi="Arial"/>
                  <w:b w:val="false"/>
                  <w:bCs w:val="false"/>
                  <w:sz w:val="12"/>
                  <w:szCs w:val="12"/>
                </w:rPr>
                <w:t xml:space="preserve">[#5373]</w:t>
              </w:r>
            </w:hyperlink>
            <w:r>
              <w:rPr>
                <w:rFonts w:ascii="Arial" w:cs="Arial" w:eastAsia="Arial" w:hAnsi="Arial"/>
                <w:b w:val="false"/>
                <w:bCs w:val="false"/>
                <w:sz w:val="15"/>
                <w:szCs w:val="15"/>
              </w:rPr>
              <w:t xml:space="preserve"> </w:t>
            </w:r>
            <w:hyperlink w:history="1" r:id="rIdmnk6abtudzhcfqw1ru_hh">
              <w:r>
                <w:rPr>
                  <w:rFonts w:ascii="Arial" w:cs="Arial" w:eastAsia="Arial" w:hAnsi="Arial"/>
                  <w:b w:val="false"/>
                  <w:bCs w:val="false"/>
                  <w:sz w:val="12"/>
                  <w:szCs w:val="12"/>
                </w:rPr>
                <w:t xml:space="preserve">[#267]</w:t>
              </w:r>
            </w:hyperlink>
          </w:p>
        </w:tc>
        <w:tc>
          <w:tcPr>
            <w:tcW w:type="dxa" w:w="3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Each +100bp on ~€1bn of refinancing ≈ €10m pre-tax (~1.5% of headline EPS)</w:t>
            </w:r>
          </w:p>
        </w:tc>
      </w:tr>
      <w:tr>
        <w:trPr>
          <w:cantSplit/>
        </w:trPr>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FX (translation)</w:t>
            </w:r>
          </w:p>
        </w:tc>
        <w:tc>
          <w:tcPr>
            <w:tcW w:type="dxa" w:w="46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62.4% EUR, 10.2% GBP, 11.7% Scandinavian, 9.5% LatAm </w:t>
            </w:r>
            <w:hyperlink w:history="1" r:id="rIdgq0d8sdk_y87xdkalmg79">
              <w:r>
                <w:rPr>
                  <w:rFonts w:ascii="Arial" w:cs="Arial" w:eastAsia="Arial" w:hAnsi="Arial"/>
                  <w:b w:val="false"/>
                  <w:bCs w:val="false"/>
                  <w:sz w:val="12"/>
                  <w:szCs w:val="12"/>
                </w:rPr>
                <w:t xml:space="preserve">[#2090]</w:t>
              </w:r>
            </w:hyperlink>
            <w:r>
              <w:rPr>
                <w:rFonts w:ascii="Arial" w:cs="Arial" w:eastAsia="Arial" w:hAnsi="Arial"/>
                <w:b w:val="false"/>
                <w:bCs w:val="false"/>
                <w:sz w:val="15"/>
                <w:szCs w:val="15"/>
              </w:rPr>
              <w:t xml:space="preserve">; LatAm FX −8.0% in 2025 </w:t>
            </w:r>
            <w:hyperlink w:history="1" r:id="rIdhrdv7dcqkx6jbilniidk3">
              <w:r>
                <w:rPr>
                  <w:rFonts w:ascii="Arial" w:cs="Arial" w:eastAsia="Arial" w:hAnsi="Arial"/>
                  <w:b w:val="false"/>
                  <w:bCs w:val="false"/>
                  <w:sz w:val="12"/>
                  <w:szCs w:val="12"/>
                </w:rPr>
                <w:t xml:space="preserve">[#5344]</w:t>
              </w:r>
            </w:hyperlink>
          </w:p>
        </w:tc>
        <w:tc>
          <w:tcPr>
            <w:tcW w:type="dxa" w:w="3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10% fall in all non-euro currencies ≈ −3.8% of revenue</w:t>
            </w:r>
          </w:p>
        </w:tc>
      </w:tr>
      <w:tr>
        <w:trPr>
          <w:cantSplit/>
        </w:trPr>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Tourism / hospitality</w:t>
            </w:r>
          </w:p>
        </w:tc>
        <w:tc>
          <w:tcPr>
            <w:tcW w:type="dxa" w:w="46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27% of revenue; 2025 softer Q2–Q3 </w:t>
            </w:r>
            <w:hyperlink w:history="1" r:id="rIdqmid7gwnfpijdyrxcbb6l">
              <w:r>
                <w:rPr>
                  <w:rFonts w:ascii="Arial" w:cs="Arial" w:eastAsia="Arial" w:hAnsi="Arial"/>
                  <w:b w:val="false"/>
                  <w:bCs w:val="false"/>
                  <w:sz w:val="12"/>
                  <w:szCs w:val="12"/>
                </w:rPr>
                <w:t xml:space="preserve">[#164]</w:t>
              </w:r>
            </w:hyperlink>
            <w:r>
              <w:rPr>
                <w:rFonts w:ascii="Arial" w:cs="Arial" w:eastAsia="Arial" w:hAnsi="Arial"/>
                <w:b w:val="false"/>
                <w:bCs w:val="false"/>
                <w:sz w:val="15"/>
                <w:szCs w:val="15"/>
              </w:rPr>
              <w:t xml:space="preserve">; Q1-2026 Paris occupancy dip </w:t>
            </w:r>
            <w:hyperlink w:history="1" r:id="rIdieq4kd54qhejkyrap7qeb">
              <w:r>
                <w:rPr>
                  <w:rFonts w:ascii="Arial" w:cs="Arial" w:eastAsia="Arial" w:hAnsi="Arial"/>
                  <w:b w:val="false"/>
                  <w:bCs w:val="false"/>
                  <w:sz w:val="12"/>
                  <w:szCs w:val="12"/>
                </w:rPr>
                <w:t xml:space="preserve">[#94]</w:t>
              </w:r>
            </w:hyperlink>
          </w:p>
        </w:tc>
        <w:tc>
          <w:tcPr>
            <w:tcW w:type="dxa" w:w="3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−10% hospitality volume ≈ −2.7% group revenue</w:t>
            </w:r>
          </w:p>
        </w:tc>
      </w:tr>
      <w:tr>
        <w:trPr>
          <w:cantSplit/>
        </w:trPr>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Healthcare budgets</w:t>
            </w:r>
          </w:p>
        </w:tc>
        <w:tc>
          <w:tcPr>
            <w:tcW w:type="dxa" w:w="46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German "significant budgetary constraints" </w:t>
            </w:r>
            <w:hyperlink w:history="1" r:id="rId2kywzwln5xx0mmdpisum_">
              <w:r>
                <w:rPr>
                  <w:rFonts w:ascii="Arial" w:cs="Arial" w:eastAsia="Arial" w:hAnsi="Arial"/>
                  <w:b w:val="false"/>
                  <w:bCs w:val="false"/>
                  <w:sz w:val="12"/>
                  <w:szCs w:val="12"/>
                </w:rPr>
                <w:t xml:space="preserve">[#5331]</w:t>
              </w:r>
            </w:hyperlink>
            <w:r>
              <w:rPr>
                <w:rFonts w:ascii="Arial" w:cs="Arial" w:eastAsia="Arial" w:hAnsi="Arial"/>
                <w:b w:val="false"/>
                <w:bCs w:val="false"/>
                <w:sz w:val="15"/>
                <w:szCs w:val="15"/>
              </w:rPr>
              <w:t xml:space="preserve">; Mexico federal tender re-set </w:t>
            </w:r>
            <w:hyperlink w:history="1" r:id="rIdydyjwwby-hh6wj1tzuvku">
              <w:r>
                <w:rPr>
                  <w:rFonts w:ascii="Arial" w:cs="Arial" w:eastAsia="Arial" w:hAnsi="Arial"/>
                  <w:b w:val="false"/>
                  <w:bCs w:val="false"/>
                  <w:sz w:val="12"/>
                  <w:szCs w:val="12"/>
                </w:rPr>
                <w:t xml:space="preserve">[#136]</w:t>
              </w:r>
            </w:hyperlink>
            <w:r>
              <w:rPr>
                <w:rFonts w:ascii="Arial" w:cs="Arial" w:eastAsia="Arial" w:hAnsi="Arial"/>
                <w:b w:val="false"/>
                <w:bCs w:val="false"/>
                <w:sz w:val="15"/>
                <w:szCs w:val="15"/>
              </w:rPr>
              <w:t xml:space="preserve">; nursing-home outsourcing rising </w:t>
            </w:r>
            <w:hyperlink w:history="1" r:id="rId_njeyeh4swie8gtdhfbfu">
              <w:r>
                <w:rPr>
                  <w:rFonts w:ascii="Arial" w:cs="Arial" w:eastAsia="Arial" w:hAnsi="Arial"/>
                  <w:b w:val="false"/>
                  <w:bCs w:val="false"/>
                  <w:sz w:val="12"/>
                  <w:szCs w:val="12"/>
                </w:rPr>
                <w:t xml:space="preserve">[#105]</w:t>
              </w:r>
            </w:hyperlink>
          </w:p>
        </w:tc>
        <w:tc>
          <w:tcPr>
            <w:tcW w:type="dxa" w:w="3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Mexico ≈ −€14m revenue in FY2026 </w:t>
            </w:r>
            <w:hyperlink w:history="1" r:id="rId0-1gv2-9u4g7tjjmn4nui">
              <w:r>
                <w:rPr>
                  <w:rFonts w:ascii="Arial" w:cs="Arial" w:eastAsia="Arial" w:hAnsi="Arial"/>
                  <w:b w:val="false"/>
                  <w:bCs w:val="false"/>
                  <w:sz w:val="12"/>
                  <w:szCs w:val="12"/>
                </w:rPr>
                <w:t xml:space="preserve">[#367]</w:t>
              </w:r>
            </w:hyperlink>
          </w:p>
        </w:tc>
      </w:tr>
      <w:tr>
        <w:trPr>
          <w:cantSplit/>
        </w:trPr>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Industrial activity</w:t>
            </w:r>
          </w:p>
        </w:tc>
        <w:tc>
          <w:tcPr>
            <w:tcW w:type="dxa" w:w="46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"activity levels among our clients were somewhat subdued" (H1 2025) </w:t>
            </w:r>
            <w:hyperlink w:history="1" r:id="rIdgvc1d_tbdt6rqxpb5bq8m">
              <w:r>
                <w:rPr>
                  <w:rFonts w:ascii="Arial" w:cs="Arial" w:eastAsia="Arial" w:hAnsi="Arial"/>
                  <w:b w:val="false"/>
                  <w:bCs w:val="false"/>
                  <w:sz w:val="12"/>
                  <w:szCs w:val="12"/>
                </w:rPr>
                <w:t xml:space="preserve">[#69]</w:t>
              </w:r>
            </w:hyperlink>
            <w:r>
              <w:rPr>
                <w:rFonts w:ascii="Arial" w:cs="Arial" w:eastAsia="Arial" w:hAnsi="Arial"/>
                <w:b w:val="false"/>
                <w:bCs w:val="false"/>
                <w:sz w:val="15"/>
                <w:szCs w:val="15"/>
              </w:rPr>
              <w:t xml:space="preserve">; insolvencies flagged in H1 2026 </w:t>
            </w:r>
            <w:hyperlink w:history="1" r:id="rId9mi2ht4tfdexjxdxscrl3">
              <w:r>
                <w:rPr>
                  <w:rFonts w:ascii="Arial" w:cs="Arial" w:eastAsia="Arial" w:hAnsi="Arial"/>
                  <w:b w:val="false"/>
                  <w:bCs w:val="false"/>
                  <w:sz w:val="12"/>
                  <w:szCs w:val="12"/>
                </w:rPr>
                <w:t xml:space="preserve">[#59]</w:t>
              </w:r>
            </w:hyperlink>
          </w:p>
        </w:tc>
        <w:tc>
          <w:tcPr>
            <w:tcW w:type="dxa" w:w="3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Workwear wearer counts follow employment</w:t>
            </w:r>
          </w:p>
        </w:tc>
      </w:tr>
      <w:tr>
        <w:trPr>
          <w:cantSplit/>
        </w:trPr>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Outsourcing</w:t>
            </w:r>
          </w:p>
        </w:tc>
        <w:tc>
          <w:tcPr>
            <w:tcW w:type="dxa" w:w="46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Regulation, quality and focus on core business favour outsourcing </w:t>
            </w:r>
            <w:hyperlink w:history="1" r:id="rIdpgnqzec3iiacmifutsuke">
              <w:r>
                <w:rPr>
                  <w:rFonts w:ascii="Arial" w:cs="Arial" w:eastAsia="Arial" w:hAnsi="Arial"/>
                  <w:b w:val="false"/>
                  <w:bCs w:val="false"/>
                  <w:sz w:val="12"/>
                  <w:szCs w:val="12"/>
                </w:rPr>
                <w:t xml:space="preserve">[#649]</w:t>
              </w:r>
            </w:hyperlink>
            <w:r>
              <w:rPr>
                <w:rFonts w:ascii="Arial" w:cs="Arial" w:eastAsia="Arial" w:hAnsi="Arial"/>
                <w:b w:val="false"/>
                <w:bCs w:val="false"/>
                <w:sz w:val="15"/>
                <w:szCs w:val="15"/>
              </w:rPr>
              <w:t xml:space="preserve">; workwear outsourcing accelerating </w:t>
            </w:r>
            <w:hyperlink w:history="1" r:id="rIdl9eczb6cfm3kmeinkng9i">
              <w:r>
                <w:rPr>
                  <w:rFonts w:ascii="Arial" w:cs="Arial" w:eastAsia="Arial" w:hAnsi="Arial"/>
                  <w:b w:val="false"/>
                  <w:bCs w:val="false"/>
                  <w:sz w:val="12"/>
                  <w:szCs w:val="12"/>
                </w:rPr>
                <w:t xml:space="preserve">[#50]</w:t>
              </w:r>
            </w:hyperlink>
          </w:p>
        </w:tc>
        <w:tc>
          <w:tcPr>
            <w:tcW w:type="dxa" w:w="3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Mexico: 64% of €1.5bn TAM still on-premise </w:t>
            </w:r>
            <w:hyperlink w:history="1" r:id="rId763hasy7_s_2eknc4omky">
              <w:r>
                <w:rPr>
                  <w:rFonts w:ascii="Arial" w:cs="Arial" w:eastAsia="Arial" w:hAnsi="Arial"/>
                  <w:b w:val="false"/>
                  <w:bCs w:val="false"/>
                  <w:sz w:val="12"/>
                  <w:szCs w:val="12"/>
                </w:rPr>
                <w:t xml:space="preserve">[#2848]</w:t>
              </w:r>
            </w:hyperlink>
          </w:p>
        </w:tc>
      </w:tr>
      <w:tr>
        <w:trPr>
          <w:cantSplit/>
        </w:trPr>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Regulation &amp; CSR</w:t>
            </w:r>
          </w:p>
        </w:tc>
        <w:tc>
          <w:tcPr>
            <w:tcW w:type="dxa" w:w="46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Environmental permits (water, discharge) </w:t>
            </w:r>
            <w:hyperlink w:history="1" r:id="rIdl0zzyoyvsa2zz9egzmjxa">
              <w:r>
                <w:rPr>
                  <w:rFonts w:ascii="Arial" w:cs="Arial" w:eastAsia="Arial" w:hAnsi="Arial"/>
                  <w:b w:val="false"/>
                  <w:bCs w:val="false"/>
                  <w:sz w:val="12"/>
                  <w:szCs w:val="12"/>
                </w:rPr>
                <w:t xml:space="preserve">[#4792]</w:t>
              </w:r>
            </w:hyperlink>
            <w:r>
              <w:rPr>
                <w:rFonts w:ascii="Arial" w:cs="Arial" w:eastAsia="Arial" w:hAnsi="Arial"/>
                <w:b w:val="false"/>
                <w:bCs w:val="false"/>
                <w:sz w:val="15"/>
                <w:szCs w:val="15"/>
              </w:rPr>
              <w:t xml:space="preserve">; SBTi targets (Scope 1&amp;2 −47.5% 2019–2030) </w:t>
            </w:r>
            <w:hyperlink w:history="1" r:id="rIdy8gsl9eraw6a_fjuoo0ot">
              <w:r>
                <w:rPr>
                  <w:rFonts w:ascii="Arial" w:cs="Arial" w:eastAsia="Arial" w:hAnsi="Arial"/>
                  <w:b w:val="false"/>
                  <w:bCs w:val="false"/>
                  <w:sz w:val="12"/>
                  <w:szCs w:val="12"/>
                </w:rPr>
                <w:t xml:space="preserve">[#1866]</w:t>
              </w:r>
            </w:hyperlink>
            <w:r>
              <w:rPr>
                <w:rFonts w:ascii="Arial" w:cs="Arial" w:eastAsia="Arial" w:hAnsi="Arial"/>
                <w:b w:val="false"/>
                <w:bCs w:val="false"/>
                <w:sz w:val="15"/>
                <w:szCs w:val="15"/>
              </w:rPr>
              <w:t xml:space="preserve">; textile-EPR rules not addressed in sources</w:t>
            </w:r>
          </w:p>
        </w:tc>
        <w:tc>
          <w:tcPr>
            <w:tcW w:type="dxa" w:w="3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Reuse model is a selling point (rented workwear: CO2 −35%, water −60% vs purchase)</w:t>
            </w:r>
          </w:p>
        </w:tc>
      </w:tr>
      <w:tr>
        <w:trPr>
          <w:cantSplit/>
        </w:trPr>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Political</w:t>
            </w:r>
          </w:p>
        </w:tc>
        <w:tc>
          <w:tcPr>
            <w:tcW w:type="dxa" w:w="46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France ~30% of revenue; June-2024 dissolution cost ~15% of market value </w:t>
            </w:r>
            <w:hyperlink w:history="1" r:id="rIdcr7yvmn_-j73nz-l3bdf6">
              <w:r>
                <w:rPr>
                  <w:rFonts w:ascii="Arial" w:cs="Arial" w:eastAsia="Arial" w:hAnsi="Arial"/>
                  <w:b w:val="false"/>
                  <w:bCs w:val="false"/>
                  <w:sz w:val="12"/>
                  <w:szCs w:val="12"/>
                </w:rPr>
                <w:t xml:space="preserve">[#81]</w:t>
              </w:r>
            </w:hyperlink>
            <w:r>
              <w:rPr>
                <w:rFonts w:ascii="Arial" w:cs="Arial" w:eastAsia="Arial" w:hAnsi="Arial"/>
                <w:b w:val="false"/>
                <w:bCs w:val="false"/>
                <w:sz w:val="15"/>
                <w:szCs w:val="15"/>
              </w:rPr>
              <w:t xml:space="preserve">; 2027 presidential election flagged by analysts </w:t>
            </w:r>
            <w:hyperlink w:history="1" r:id="rId-zfnxfnf9qek886h4etkg">
              <w:r>
                <w:rPr>
                  <w:rFonts w:ascii="Arial" w:cs="Arial" w:eastAsia="Arial" w:hAnsi="Arial"/>
                  <w:b w:val="false"/>
                  <w:bCs w:val="false"/>
                  <w:sz w:val="12"/>
                  <w:szCs w:val="12"/>
                </w:rPr>
                <w:t xml:space="preserve">[#457]</w:t>
              </w:r>
            </w:hyperlink>
          </w:p>
        </w:tc>
        <w:tc>
          <w:tcPr>
            <w:tcW w:type="dxa" w:w="3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Episodic de-rating risk</w:t>
            </w:r>
          </w:p>
        </w:tc>
      </w:tr>
    </w:tbl>
    <w:p>
      <w:pPr>
        <w:spacing w:after="140" w:before="40"/>
      </w:pPr>
      <w:r>
        <w:rPr>
          <w:rFonts w:ascii="Arial" w:cs="Arial" w:eastAsia="Arial" w:hAnsi="Arial"/>
          <w:color w:val="898781"/>
          <w:sz w:val="14"/>
          <w:szCs w:val="14"/>
        </w:rPr>
        <w:t xml:space="preserve">Sensitivities are static, before mitigation, on the FY2025 base (revenue €4,796.8m, adj. EBITDA €1,700m) [calc]; personnel cost base annualised from H1 2025 (€1,022.3m) </w:t>
      </w:r>
      <w:hyperlink w:history="1" r:id="rIdnvosbtilgso0sf9fitzus">
        <w:r>
          <w:rPr>
            <w:rFonts w:ascii="Arial" w:cs="Arial" w:eastAsia="Arial" w:hAnsi="Arial"/>
            <w:color w:val="898781"/>
            <w:sz w:val="12"/>
            <w:szCs w:val="12"/>
          </w:rPr>
          <w:t xml:space="preserve">[#310]</w:t>
        </w:r>
      </w:hyperlink>
      <w:r>
        <w:rPr>
          <w:rFonts w:ascii="Arial" w:cs="Arial" w:eastAsia="Arial" w:hAnsi="Arial"/>
          <w:color w:val="898781"/>
          <w:sz w:val="14"/>
          <w:szCs w:val="14"/>
        </w:rPr>
        <w:t xml:space="preserve">.</w:t>
      </w:r>
    </w:p>
    <w:p>
      <w:pPr>
        <w:pStyle w:val="Heading2"/>
        <w:keepNext/>
        <w:keepLines/>
        <w:spacing w:after="80" w:before="180"/>
      </w:pPr>
      <w:r>
        <w:rPr>
          <w:rFonts w:ascii="Arial" w:cs="Arial" w:eastAsia="Arial" w:hAnsi="Arial"/>
          <w:b/>
          <w:bCs/>
          <w:color w:val="13213F"/>
          <w:sz w:val="24"/>
          <w:szCs w:val="24"/>
        </w:rPr>
        <w:t xml:space="preserve">Summary: tailwinds vs headwinds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3"/>
        <w:gridCol w:w="4933"/>
      </w:tblGrid>
      <w:tr>
        <w:trPr>
          <w:cantSplit/>
          <w:tblHeader/>
        </w:trPr>
        <w:tc>
          <w:tcPr>
            <w:tcW w:type="dxa" w:w="493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6"/>
                <w:szCs w:val="16"/>
              </w:rPr>
              <w:t xml:space="preserve">Tailwinds</w:t>
            </w:r>
          </w:p>
        </w:tc>
        <w:tc>
          <w:tcPr>
            <w:tcW w:type="dxa" w:w="493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6"/>
                <w:szCs w:val="16"/>
              </w:rPr>
              <w:t xml:space="preserve">Headwinds</w:t>
            </w:r>
          </w:p>
        </w:tc>
      </w:tr>
      <w:tr>
        <w:trPr>
          <w:cantSplit/>
        </w:trPr>
        <w:tc>
          <w:tcPr>
            <w:tcW w:type="dxa" w:w="49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6"/>
                <w:szCs w:val="16"/>
              </w:rPr>
              <w:t xml:space="preserve">• Wage-indexed contracts and structural labour scarcity support price</w:t>
            </w:r>
          </w:p>
          <w:p>
            <w:pPr>
              <w:spacing w:after="0" w:before="0" w:line="228"/>
              <w:jc w:val="left"/>
            </w:pPr>
            <w:r>
              <w:rPr>
                <w:rFonts w:ascii="Arial" w:cs="Arial" w:eastAsia="Arial" w:hAnsi="Arial"/>
                <w:b w:val="false"/>
                <w:bCs w:val="false"/>
                <w:sz w:val="16"/>
                <w:szCs w:val="16"/>
              </w:rPr>
              <w:t xml:space="preserve">• Outsourcing conversion: LatAm on-premise laundries, care homes, workwear</w:t>
            </w:r>
          </w:p>
          <w:p>
            <w:pPr>
              <w:spacing w:after="0" w:before="0" w:line="228"/>
              <w:jc w:val="left"/>
            </w:pPr>
            <w:r>
              <w:rPr>
                <w:rFonts w:ascii="Arial" w:cs="Arial" w:eastAsia="Arial" w:hAnsi="Arial"/>
                <w:b w:val="false"/>
                <w:bCs w:val="false"/>
                <w:sz w:val="16"/>
                <w:szCs w:val="16"/>
              </w:rPr>
              <w:t xml:space="preserve">• Hygiene/safety norms in food, pharma, semiconductors (cleanroom market +5–7% a year </w:t>
            </w:r>
            <w:hyperlink w:history="1" r:id="rIdf6dopslzprocemjxox7yp">
              <w:r>
                <w:rPr>
                  <w:rFonts w:ascii="Arial" w:cs="Arial" w:eastAsia="Arial" w:hAnsi="Arial"/>
                  <w:b w:val="false"/>
                  <w:bCs w:val="false"/>
                  <w:sz w:val="12"/>
                  <w:szCs w:val="12"/>
                </w:rPr>
                <w:t xml:space="preserve">[#139]</w:t>
              </w:r>
            </w:hyperlink>
            <w:r>
              <w:rPr>
                <w:rFonts w:ascii="Arial" w:cs="Arial" w:eastAsia="Arial" w:hAnsi="Arial"/>
                <w:b w:val="false"/>
                <w:bCs w:val="false"/>
                <w:sz w:val="16"/>
                <w:szCs w:val="16"/>
              </w:rPr>
              <w:t xml:space="preserve">)</w:t>
            </w:r>
          </w:p>
          <w:p>
            <w:pPr>
              <w:spacing w:after="0" w:before="0" w:line="228"/>
              <w:jc w:val="left"/>
            </w:pPr>
            <w:r>
              <w:rPr>
                <w:rFonts w:ascii="Arial" w:cs="Arial" w:eastAsia="Arial" w:hAnsi="Arial"/>
                <w:b w:val="false"/>
                <w:bCs w:val="false"/>
                <w:sz w:val="16"/>
                <w:szCs w:val="16"/>
              </w:rPr>
              <w:t xml:space="preserve">• Energy largely hedged through 2027</w:t>
            </w:r>
          </w:p>
          <w:p>
            <w:pPr>
              <w:spacing w:after="0" w:before="0" w:line="228"/>
              <w:jc w:val="left"/>
            </w:pPr>
            <w:r>
              <w:rPr>
                <w:rFonts w:ascii="Arial" w:cs="Arial" w:eastAsia="Arial" w:hAnsi="Arial"/>
                <w:b w:val="false"/>
                <w:bCs w:val="false"/>
                <w:sz w:val="16"/>
                <w:szCs w:val="16"/>
              </w:rPr>
              <w:t xml:space="preserve">• Circular-economy positioning vs disposables</w:t>
            </w:r>
          </w:p>
          <w:p>
            <w:pPr>
              <w:spacing w:after="0" w:before="0" w:line="228"/>
              <w:jc w:val="left"/>
            </w:pPr>
            <w:r>
              <w:rPr>
                <w:rFonts w:ascii="Arial" w:cs="Arial" w:eastAsia="Arial" w:hAnsi="Arial"/>
                <w:b w:val="false"/>
                <w:bCs w:val="false"/>
                <w:sz w:val="16"/>
                <w:szCs w:val="16"/>
              </w:rPr>
              <w:t xml:space="preserve">• Consolidation optionality: Elis is the natural buyer of family laundries</w:t>
            </w:r>
          </w:p>
          <w:p>
            <w:pPr>
              <w:spacing w:after="0" w:before="0" w:line="228"/>
              <w:jc w:val="left"/>
            </w:pPr>
            <w:r>
              <w:rPr>
                <w:rFonts w:ascii="Arial" w:cs="Arial" w:eastAsia="Arial" w:hAnsi="Arial"/>
                <w:b w:val="false"/>
                <w:bCs w:val="false"/>
                <w:sz w:val="16"/>
                <w:szCs w:val="16"/>
              </w:rPr>
              <w:t xml:space="preserve">• Strong end-2026 indices point to 2027 price increases</w:t>
            </w:r>
          </w:p>
        </w:tc>
        <w:tc>
          <w:tcPr>
            <w:tcW w:type="dxa" w:w="49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6"/>
                <w:szCs w:val="16"/>
              </w:rPr>
              <w:t xml:space="preserve">• Lagged pass-through of 2026 minimum-wage jumps (LatAm, Germany, UK)</w:t>
            </w:r>
          </w:p>
          <w:p>
            <w:pPr>
              <w:spacing w:after="0" w:before="0" w:line="228"/>
              <w:jc w:val="left"/>
            </w:pPr>
            <w:r>
              <w:rPr>
                <w:rFonts w:ascii="Arial" w:cs="Arial" w:eastAsia="Arial" w:hAnsi="Arial"/>
                <w:b w:val="false"/>
                <w:bCs w:val="false"/>
                <w:sz w:val="16"/>
                <w:szCs w:val="16"/>
              </w:rPr>
              <w:t xml:space="preserve">• Public healthcare budget pressure (Germany) and tender re-sets (Mexico)</w:t>
            </w:r>
          </w:p>
          <w:p>
            <w:pPr>
              <w:spacing w:after="0" w:before="0" w:line="228"/>
              <w:jc w:val="left"/>
            </w:pPr>
            <w:r>
              <w:rPr>
                <w:rFonts w:ascii="Arial" w:cs="Arial" w:eastAsia="Arial" w:hAnsi="Arial"/>
                <w:b w:val="false"/>
                <w:bCs w:val="false"/>
                <w:sz w:val="16"/>
                <w:szCs w:val="16"/>
              </w:rPr>
              <w:t xml:space="preserve">• Middle East energy/commodity shock (€20–25m in 2026)</w:t>
            </w:r>
          </w:p>
          <w:p>
            <w:pPr>
              <w:spacing w:after="0" w:before="0" w:line="228"/>
              <w:jc w:val="left"/>
            </w:pPr>
            <w:r>
              <w:rPr>
                <w:rFonts w:ascii="Arial" w:cs="Arial" w:eastAsia="Arial" w:hAnsi="Arial"/>
                <w:b w:val="false"/>
                <w:bCs w:val="false"/>
                <w:sz w:val="16"/>
                <w:szCs w:val="16"/>
              </w:rPr>
              <w:t xml:space="preserve">• Soft industrial activity and rising insolvencies</w:t>
            </w:r>
          </w:p>
          <w:p>
            <w:pPr>
              <w:spacing w:after="0" w:before="0" w:line="228"/>
              <w:jc w:val="left"/>
            </w:pPr>
            <w:r>
              <w:rPr>
                <w:rFonts w:ascii="Arial" w:cs="Arial" w:eastAsia="Arial" w:hAnsi="Arial"/>
                <w:b w:val="false"/>
                <w:bCs w:val="false"/>
                <w:sz w:val="16"/>
                <w:szCs w:val="16"/>
              </w:rPr>
              <w:t xml:space="preserve">• UK &amp; Ireland competition caps margins</w:t>
            </w:r>
          </w:p>
          <w:p>
            <w:pPr>
              <w:spacing w:after="0" w:before="0" w:line="228"/>
              <w:jc w:val="left"/>
            </w:pPr>
            <w:r>
              <w:rPr>
                <w:rFonts w:ascii="Arial" w:cs="Arial" w:eastAsia="Arial" w:hAnsi="Arial"/>
                <w:b w:val="false"/>
                <w:bCs w:val="false"/>
                <w:sz w:val="16"/>
                <w:szCs w:val="16"/>
              </w:rPr>
              <w:t xml:space="preserve">• Higher refinancing costs as cheap 2019–21 debt rolls off</w:t>
            </w:r>
          </w:p>
          <w:p>
            <w:pPr>
              <w:spacing w:after="0" w:before="0" w:line="228"/>
              <w:jc w:val="left"/>
            </w:pPr>
            <w:r>
              <w:rPr>
                <w:rFonts w:ascii="Arial" w:cs="Arial" w:eastAsia="Arial" w:hAnsi="Arial"/>
                <w:b w:val="false"/>
                <w:bCs w:val="false"/>
                <w:sz w:val="16"/>
                <w:szCs w:val="16"/>
              </w:rPr>
              <w:t xml:space="preserve">• FX translation (GBP, BRL, MXN) and French political risk</w:t>
            </w:r>
          </w:p>
        </w:tc>
      </w:tr>
    </w:tbl>
    <w:p>
      <w:pPr>
        <w:spacing w:after="10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5. Strength of the franchise and economic moats</w:t>
      </w:r>
    </w:p>
    <w:p>
      <w:pPr>
        <w:spacing w:after="100" w:before="0" w:line="264"/>
        <w:jc w:val="left"/>
      </w:pPr>
      <w:r>
        <w:rPr>
          <w:rFonts w:ascii="Arial" w:cs="Arial" w:eastAsia="Arial" w:hAnsi="Arial"/>
          <w:sz w:val="19"/>
          <w:szCs w:val="19"/>
        </w:rPr>
        <w:t xml:space="preserve">Elis's products are commodities — a sheet is a sheet — but the </w:t>
      </w:r>
      <w:r>
        <w:rPr>
          <w:rFonts w:ascii="Arial" w:cs="Arial" w:eastAsia="Arial" w:hAnsi="Arial"/>
          <w:sz w:val="19"/>
          <w:szCs w:val="19"/>
        </w:rPr>
        <w:t xml:space="preserve">service</w:t>
      </w:r>
      <w:r>
        <w:rPr>
          <w:rFonts w:ascii="Arial" w:cs="Arial" w:eastAsia="Arial" w:hAnsi="Arial"/>
          <w:sz w:val="19"/>
          <w:szCs w:val="19"/>
        </w:rPr>
        <w:t xml:space="preserve"> is not. Customers buy reliability (clean linen at 6am, the right garment for each wearer, compliant hygiene) at a cost that is small relative to their own revenue: linen costs a hotel €5–10 per room against room rates often above €200 </w:t>
      </w:r>
      <w:hyperlink w:history="1" r:id="rIddahrtmmnoyzqd-amgonvj">
        <w:r>
          <w:rPr>
            <w:rFonts w:ascii="Arial" w:cs="Arial" w:eastAsia="Arial" w:hAnsi="Arial"/>
            <w:sz w:val="15"/>
            <w:szCs w:val="15"/>
          </w:rPr>
          <w:t xml:space="preserve">[#58]</w:t>
        </w:r>
      </w:hyperlink>
      <w:r>
        <w:rPr>
          <w:rFonts w:ascii="Arial" w:cs="Arial" w:eastAsia="Arial" w:hAnsi="Arial"/>
          <w:sz w:val="19"/>
          <w:szCs w:val="19"/>
        </w:rPr>
        <w:t xml:space="preserve">. Brand matters in the B2B sense of trust and coverage rather than marketing; Elis wins "thanks to reliability and quality" rather than aggressive pricing </w:t>
      </w:r>
      <w:hyperlink w:history="1" r:id="rIdlwngfmynyybuaqegu7w60">
        <w:r>
          <w:rPr>
            <w:rFonts w:ascii="Arial" w:cs="Arial" w:eastAsia="Arial" w:hAnsi="Arial"/>
            <w:sz w:val="15"/>
            <w:szCs w:val="15"/>
          </w:rPr>
          <w:t xml:space="preserve">[#612]</w:t>
        </w:r>
      </w:hyperlink>
      <w:r>
        <w:rPr>
          <w:rFonts w:ascii="Arial" w:cs="Arial" w:eastAsia="Arial" w:hAnsi="Arial"/>
          <w:sz w:val="19"/>
          <w:szCs w:val="19"/>
        </w:rPr>
        <w:t xml:space="preserve">. On S&amp;P's standardised definition Elis's LTM EBITDA margin (</w:t>
      </w:r>
      <w:hyperlink w:history="1" r:id="rIdalg1jk4fn-cmpq_hqpvrm">
        <w:r>
          <w:rPr>
            <w:rFonts w:ascii="Arial" w:cs="Arial" w:eastAsia="Arial" w:hAnsi="Arial"/>
            <w:sz w:val="19"/>
            <w:szCs w:val="19"/>
            <w:u w:val="single"/>
          </w:rPr>
          <w:t xml:space="preserve">31.1%</w:t>
        </w:r>
      </w:hyperlink>
      <w:r>
        <w:rPr>
          <w:rFonts w:ascii="Arial" w:cs="Arial" w:eastAsia="Arial" w:hAnsi="Arial"/>
          <w:sz w:val="19"/>
          <w:szCs w:val="19"/>
        </w:rPr>
        <w:t xml:space="preserve">) is above Cintas (</w:t>
      </w:r>
      <w:hyperlink w:history="1" r:id="rIdfasorv8oooltir0pimkno">
        <w:r>
          <w:rPr>
            <w:rFonts w:ascii="Arial" w:cs="Arial" w:eastAsia="Arial" w:hAnsi="Arial"/>
            <w:sz w:val="19"/>
            <w:szCs w:val="19"/>
            <w:u w:val="single"/>
          </w:rPr>
          <w:t xml:space="preserve">26.9%</w:t>
        </w:r>
      </w:hyperlink>
      <w:r>
        <w:rPr>
          <w:rFonts w:ascii="Arial" w:cs="Arial" w:eastAsia="Arial" w:hAnsi="Arial"/>
          <w:sz w:val="19"/>
          <w:szCs w:val="19"/>
        </w:rPr>
        <w:t xml:space="preserve">), UniFirst (</w:t>
      </w:r>
      <w:hyperlink w:history="1" r:id="rId-slf25dkx3al6qmrrigj7">
        <w:r>
          <w:rPr>
            <w:rFonts w:ascii="Arial" w:cs="Arial" w:eastAsia="Arial" w:hAnsi="Arial"/>
            <w:sz w:val="19"/>
            <w:szCs w:val="19"/>
            <w:u w:val="single"/>
          </w:rPr>
          <w:t xml:space="preserve">11.7%</w:t>
        </w:r>
      </w:hyperlink>
      <w:r>
        <w:rPr>
          <w:rFonts w:ascii="Arial" w:cs="Arial" w:eastAsia="Arial" w:hAnsi="Arial"/>
          <w:sz w:val="19"/>
          <w:szCs w:val="19"/>
        </w:rPr>
        <w:t xml:space="preserve">) and Vestis (</w:t>
      </w:r>
      <w:hyperlink w:history="1" r:id="rId5ky0nheaaealp3xz0flz6">
        <w:r>
          <w:rPr>
            <w:rFonts w:ascii="Arial" w:cs="Arial" w:eastAsia="Arial" w:hAnsi="Arial"/>
            <w:sz w:val="19"/>
            <w:szCs w:val="19"/>
            <w:u w:val="single"/>
          </w:rPr>
          <w:t xml:space="preserve">9.3%</w:t>
        </w:r>
      </w:hyperlink>
      <w:r>
        <w:rPr>
          <w:rFonts w:ascii="Arial" w:cs="Arial" w:eastAsia="Arial" w:hAnsi="Arial"/>
          <w:sz w:val="19"/>
          <w:szCs w:val="19"/>
        </w:rPr>
        <w:t xml:space="preserve">) [calc], but because linen is capitalised and depreciated its capital intensity is far higher and its EBIT margin is well below Cintas's.</w:t>
      </w:r>
    </w:p>
    <w:p>
      <w:pPr>
        <w:keepNext/>
        <w:spacing w:after="60" w:before="120"/>
      </w:pPr>
      <w:r>
        <w:rPr>
          <w:rFonts w:ascii="Arial" w:cs="Arial" w:eastAsia="Arial" w:hAnsi="Arial"/>
          <w:b/>
          <w:bCs/>
          <w:color w:val="13213F"/>
          <w:sz w:val="18"/>
          <w:szCs w:val="18"/>
        </w:rPr>
        <w:t xml:space="preserve">Moat scorecard (analyst assessment; 5 = very strong)</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1"/>
        <w:gridCol w:w="742"/>
        <w:gridCol w:w="7003"/>
      </w:tblGrid>
      <w:tr>
        <w:trPr>
          <w:cantSplit/>
          <w:tblHeader/>
        </w:trPr>
        <w:tc>
          <w:tcPr>
            <w:tcW w:type="dxa" w:w="212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Category</w:t>
            </w:r>
          </w:p>
        </w:tc>
        <w:tc>
          <w:tcPr>
            <w:tcW w:type="dxa" w:w="74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center"/>
            </w:pPr>
            <w:r>
              <w:rPr>
                <w:rFonts w:ascii="Arial" w:cs="Arial" w:eastAsia="Arial" w:hAnsi="Arial"/>
                <w:b/>
                <w:bCs/>
                <w:color w:val="FFFFFF"/>
                <w:sz w:val="15"/>
                <w:szCs w:val="15"/>
              </w:rPr>
              <w:t xml:space="preserve">Score</w:t>
            </w:r>
          </w:p>
        </w:tc>
        <w:tc>
          <w:tcPr>
            <w:tcW w:type="dxa" w:w="700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Assessment and evidence</w:t>
            </w:r>
          </w:p>
        </w:tc>
      </w:tr>
      <w:tr>
        <w:trPr>
          <w:cantSplit/>
        </w:trPr>
        <w:tc>
          <w:tcPr>
            <w:tcW w:type="dxa" w:w="21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Brand</w:t>
            </w:r>
          </w:p>
        </w:tc>
        <w:tc>
          <w:tcPr>
            <w:tcW w:type="dxa" w:w="7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w:t>
            </w:r>
          </w:p>
        </w:tc>
        <w:tc>
          <w:tcPr>
            <w:tcW w:type="dxa" w:w="70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B2B trust brand; #1/#2/#3 in most countries and #1 in more than half </w:t>
            </w:r>
            <w:hyperlink w:history="1" r:id="rIdt5e-qzvd93r_deneetj-w">
              <w:r>
                <w:rPr>
                  <w:rFonts w:ascii="Arial" w:cs="Arial" w:eastAsia="Arial" w:hAnsi="Arial"/>
                  <w:b w:val="false"/>
                  <w:bCs w:val="false"/>
                  <w:sz w:val="12"/>
                  <w:szCs w:val="12"/>
                </w:rPr>
                <w:t xml:space="preserve">[#1032]</w:t>
              </w:r>
            </w:hyperlink>
            <w:r>
              <w:rPr>
                <w:rFonts w:ascii="Arial" w:cs="Arial" w:eastAsia="Arial" w:hAnsi="Arial"/>
                <w:b w:val="false"/>
                <w:bCs w:val="false"/>
                <w:sz w:val="15"/>
                <w:szCs w:val="15"/>
              </w:rPr>
              <w:t xml:space="preserve">. No consumer pricing premium; Elis is "not pricing aggressive" </w:t>
            </w:r>
            <w:hyperlink w:history="1" r:id="rId2tihekldzzp78uhksletl">
              <w:r>
                <w:rPr>
                  <w:rFonts w:ascii="Arial" w:cs="Arial" w:eastAsia="Arial" w:hAnsi="Arial"/>
                  <w:b w:val="false"/>
                  <w:bCs w:val="false"/>
                  <w:sz w:val="12"/>
                  <w:szCs w:val="12"/>
                </w:rPr>
                <w:t xml:space="preserve">[#612]</w:t>
              </w:r>
            </w:hyperlink>
            <w:r>
              <w:rPr>
                <w:rFonts w:ascii="Arial" w:cs="Arial" w:eastAsia="Arial" w:hAnsi="Arial"/>
                <w:b w:val="false"/>
                <w:bCs w:val="false"/>
                <w:sz w:val="15"/>
                <w:szCs w:val="15"/>
              </w:rPr>
              <w:t xml:space="preserve">.</w:t>
            </w:r>
          </w:p>
        </w:tc>
      </w:tr>
      <w:tr>
        <w:trPr>
          <w:cantSplit/>
        </w:trPr>
        <w:tc>
          <w:tcPr>
            <w:tcW w:type="dxa" w:w="21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Hard assets</w:t>
            </w:r>
          </w:p>
        </w:tc>
        <w:tc>
          <w:tcPr>
            <w:tcW w:type="dxa" w:w="7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4</w:t>
            </w:r>
          </w:p>
        </w:tc>
        <w:tc>
          <w:tcPr>
            <w:tcW w:type="dxa" w:w="70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&gt;373 laundries, 11,800+ vehicles, linen stock; plants take 12–14 months to build but sites are permit-constrained </w:t>
            </w:r>
            <w:hyperlink w:history="1" r:id="rIdxtf3sywqhoepe_zwulrvl">
              <w:r>
                <w:rPr>
                  <w:rFonts w:ascii="Arial" w:cs="Arial" w:eastAsia="Arial" w:hAnsi="Arial"/>
                  <w:b w:val="false"/>
                  <w:bCs w:val="false"/>
                  <w:sz w:val="12"/>
                  <w:szCs w:val="12"/>
                </w:rPr>
                <w:t xml:space="preserve">[#381]</w:t>
              </w:r>
            </w:hyperlink>
            <w:r>
              <w:rPr>
                <w:rFonts w:ascii="Arial" w:cs="Arial" w:eastAsia="Arial" w:hAnsi="Arial"/>
                <w:b w:val="false"/>
                <w:bCs w:val="false"/>
                <w:sz w:val="15"/>
                <w:szCs w:val="15"/>
              </w:rPr>
              <w:t xml:space="preserve">; management: "really a high entry barrier" </w:t>
            </w:r>
            <w:hyperlink w:history="1" r:id="rId3cw3pjxdwuxkn2gkcthhk">
              <w:r>
                <w:rPr>
                  <w:rFonts w:ascii="Arial" w:cs="Arial" w:eastAsia="Arial" w:hAnsi="Arial"/>
                  <w:b w:val="false"/>
                  <w:bCs w:val="false"/>
                  <w:sz w:val="12"/>
                  <w:szCs w:val="12"/>
                </w:rPr>
                <w:t xml:space="preserve">[#484]</w:t>
              </w:r>
            </w:hyperlink>
            <w:r>
              <w:rPr>
                <w:rFonts w:ascii="Arial" w:cs="Arial" w:eastAsia="Arial" w:hAnsi="Arial"/>
                <w:b w:val="false"/>
                <w:bCs w:val="false"/>
                <w:sz w:val="15"/>
                <w:szCs w:val="15"/>
              </w:rPr>
              <w:t xml:space="preserve">.</w:t>
            </w:r>
          </w:p>
        </w:tc>
      </w:tr>
      <w:tr>
        <w:trPr>
          <w:cantSplit/>
        </w:trPr>
        <w:tc>
          <w:tcPr>
            <w:tcW w:type="dxa" w:w="21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Long-term contracts</w:t>
            </w:r>
          </w:p>
        </w:tc>
        <w:tc>
          <w:tcPr>
            <w:tcW w:type="dxa" w:w="7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4</w:t>
            </w:r>
          </w:p>
        </w:tc>
        <w:tc>
          <w:tcPr>
            <w:tcW w:type="dxa" w:w="70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~4-year initial terms, auto-renewal, exit fee ≈ residual contract value </w:t>
            </w:r>
            <w:hyperlink w:history="1" r:id="rIdhtp19ps0q9m40emsgac9b">
              <w:r>
                <w:rPr>
                  <w:rFonts w:ascii="Arial" w:cs="Arial" w:eastAsia="Arial" w:hAnsi="Arial"/>
                  <w:b w:val="false"/>
                  <w:bCs w:val="false"/>
                  <w:sz w:val="12"/>
                  <w:szCs w:val="12"/>
                </w:rPr>
                <w:t xml:space="preserve">[#1946]</w:t>
              </w:r>
            </w:hyperlink>
            <w:r>
              <w:rPr>
                <w:rFonts w:ascii="Arial" w:cs="Arial" w:eastAsia="Arial" w:hAnsi="Arial"/>
                <w:b w:val="false"/>
                <w:bCs w:val="false"/>
                <w:sz w:val="15"/>
                <w:szCs w:val="15"/>
              </w:rPr>
              <w:t xml:space="preserve">; ~94% retention </w:t>
            </w:r>
            <w:hyperlink w:history="1" r:id="rIdjf1sghfntqisydmb_2jc4">
              <w:r>
                <w:rPr>
                  <w:rFonts w:ascii="Arial" w:cs="Arial" w:eastAsia="Arial" w:hAnsi="Arial"/>
                  <w:b w:val="false"/>
                  <w:bCs w:val="false"/>
                  <w:sz w:val="12"/>
                  <w:szCs w:val="12"/>
                </w:rPr>
                <w:t xml:space="preserve">[#829]</w:t>
              </w:r>
            </w:hyperlink>
            <w:r>
              <w:rPr>
                <w:rFonts w:ascii="Arial" w:cs="Arial" w:eastAsia="Arial" w:hAnsi="Arial"/>
                <w:b w:val="false"/>
                <w:bCs w:val="false"/>
                <w:sz w:val="15"/>
                <w:szCs w:val="15"/>
              </w:rPr>
              <w:t xml:space="preserve">. Public tenders are the weak spot.</w:t>
            </w:r>
          </w:p>
        </w:tc>
      </w:tr>
      <w:tr>
        <w:trPr>
          <w:cantSplit/>
        </w:trPr>
        <w:tc>
          <w:tcPr>
            <w:tcW w:type="dxa" w:w="21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Network effect / density</w:t>
            </w:r>
          </w:p>
        </w:tc>
        <w:tc>
          <w:tcPr>
            <w:tcW w:type="dxa" w:w="7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4</w:t>
            </w:r>
          </w:p>
        </w:tc>
        <w:tc>
          <w:tcPr>
            <w:tcW w:type="dxa" w:w="70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Not a classic network effect but strong </w:t>
            </w:r>
            <w:r>
              <w:rPr>
                <w:rFonts w:ascii="Arial" w:cs="Arial" w:eastAsia="Arial" w:hAnsi="Arial"/>
                <w:b w:val="false"/>
                <w:bCs w:val="false"/>
                <w:sz w:val="15"/>
                <w:szCs w:val="15"/>
              </w:rPr>
              <w:t xml:space="preserve">route-density economics</w:t>
            </w:r>
            <w:r>
              <w:rPr>
                <w:rFonts w:ascii="Arial" w:cs="Arial" w:eastAsia="Arial" w:hAnsi="Arial"/>
                <w:b w:val="false"/>
                <w:bCs w:val="false"/>
                <w:sz w:val="15"/>
                <w:szCs w:val="15"/>
              </w:rPr>
              <w:t xml:space="preserve">: every extra customer on an existing route is high-incremental-margin; acquired companies run ~20% behind on KPIs </w:t>
            </w:r>
            <w:hyperlink w:history="1" r:id="rId9-koggkiyupmpggows0-x">
              <w:r>
                <w:rPr>
                  <w:rFonts w:ascii="Arial" w:cs="Arial" w:eastAsia="Arial" w:hAnsi="Arial"/>
                  <w:b w:val="false"/>
                  <w:bCs w:val="false"/>
                  <w:sz w:val="12"/>
                  <w:szCs w:val="12"/>
                </w:rPr>
                <w:t xml:space="preserve">[#484]</w:t>
              </w:r>
            </w:hyperlink>
            <w:r>
              <w:rPr>
                <w:rFonts w:ascii="Arial" w:cs="Arial" w:eastAsia="Arial" w:hAnsi="Arial"/>
                <w:b w:val="false"/>
                <w:bCs w:val="false"/>
                <w:sz w:val="15"/>
                <w:szCs w:val="15"/>
              </w:rPr>
              <w:t xml:space="preserve">; France EBITDA margin 41.8% (2024) where density is highest </w:t>
            </w:r>
            <w:hyperlink w:history="1" r:id="rIdempmn6z5rccr4v_nre92o">
              <w:r>
                <w:rPr>
                  <w:rFonts w:ascii="Arial" w:cs="Arial" w:eastAsia="Arial" w:hAnsi="Arial"/>
                  <w:b w:val="false"/>
                  <w:bCs w:val="false"/>
                  <w:sz w:val="12"/>
                  <w:szCs w:val="12"/>
                </w:rPr>
                <w:t xml:space="preserve">[#1084]</w:t>
              </w:r>
            </w:hyperlink>
            <w:r>
              <w:rPr>
                <w:rFonts w:ascii="Arial" w:cs="Arial" w:eastAsia="Arial" w:hAnsi="Arial"/>
                <w:b w:val="false"/>
                <w:bCs w:val="false"/>
                <w:sz w:val="15"/>
                <w:szCs w:val="15"/>
              </w:rPr>
              <w:t xml:space="preserve">.</w:t>
            </w:r>
          </w:p>
        </w:tc>
      </w:tr>
      <w:tr>
        <w:trPr>
          <w:cantSplit/>
        </w:trPr>
        <w:tc>
          <w:tcPr>
            <w:tcW w:type="dxa" w:w="21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Regulatory &amp; switching costs</w:t>
            </w:r>
          </w:p>
        </w:tc>
        <w:tc>
          <w:tcPr>
            <w:tcW w:type="dxa" w:w="7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w:t>
            </w:r>
          </w:p>
        </w:tc>
        <w:tc>
          <w:tcPr>
            <w:tcW w:type="dxa" w:w="70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Switching means re-tendering, re-sizing garments, re-training; lost customers "never reinsource" </w:t>
            </w:r>
            <w:hyperlink w:history="1" r:id="rIdsalqsmmr1pyb8y_e36bl5">
              <w:r>
                <w:rPr>
                  <w:rFonts w:ascii="Arial" w:cs="Arial" w:eastAsia="Arial" w:hAnsi="Arial"/>
                  <w:b w:val="false"/>
                  <w:bCs w:val="false"/>
                  <w:sz w:val="12"/>
                  <w:szCs w:val="12"/>
                </w:rPr>
                <w:t xml:space="preserve">[#401]</w:t>
              </w:r>
            </w:hyperlink>
            <w:r>
              <w:rPr>
                <w:rFonts w:ascii="Arial" w:cs="Arial" w:eastAsia="Arial" w:hAnsi="Arial"/>
                <w:b w:val="false"/>
                <w:bCs w:val="false"/>
                <w:sz w:val="15"/>
                <w:szCs w:val="15"/>
              </w:rPr>
              <w:t xml:space="preserve">. Environmental permits restrict new capacity. But no regulatory licence protects incumbents.</w:t>
            </w:r>
          </w:p>
        </w:tc>
      </w:tr>
      <w:tr>
        <w:trPr>
          <w:cantSplit/>
        </w:trPr>
        <w:tc>
          <w:tcPr>
            <w:tcW w:type="dxa" w:w="21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Oligopolistic / monopolistic structure</w:t>
            </w:r>
          </w:p>
        </w:tc>
        <w:tc>
          <w:tcPr>
            <w:tcW w:type="dxa" w:w="7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w:t>
            </w:r>
          </w:p>
        </w:tc>
        <w:tc>
          <w:tcPr>
            <w:tcW w:type="dxa" w:w="70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Local oligopolies (e.g. France hospitality share &gt;50% </w:t>
            </w:r>
            <w:hyperlink w:history="1" r:id="rIdqdv3x_etywrboj1rnwksp">
              <w:r>
                <w:rPr>
                  <w:rFonts w:ascii="Arial" w:cs="Arial" w:eastAsia="Arial" w:hAnsi="Arial"/>
                  <w:b w:val="false"/>
                  <w:bCs w:val="false"/>
                  <w:sz w:val="12"/>
                  <w:szCs w:val="12"/>
                </w:rPr>
                <w:t xml:space="preserve">[#1084]</w:t>
              </w:r>
            </w:hyperlink>
            <w:r>
              <w:rPr>
                <w:rFonts w:ascii="Arial" w:cs="Arial" w:eastAsia="Arial" w:hAnsi="Arial"/>
                <w:b w:val="false"/>
                <w:bCs w:val="false"/>
                <w:sz w:val="15"/>
                <w:szCs w:val="15"/>
              </w:rPr>
              <w:t xml:space="preserve">; Brazil ~5x #2 </w:t>
            </w:r>
            <w:hyperlink w:history="1" r:id="rIdintkweddrmrrr5hgjyizh">
              <w:r>
                <w:rPr>
                  <w:rFonts w:ascii="Arial" w:cs="Arial" w:eastAsia="Arial" w:hAnsi="Arial"/>
                  <w:b w:val="false"/>
                  <w:bCs w:val="false"/>
                  <w:sz w:val="12"/>
                  <w:szCs w:val="12"/>
                </w:rPr>
                <w:t xml:space="preserve">[#2488]</w:t>
              </w:r>
            </w:hyperlink>
            <w:r>
              <w:rPr>
                <w:rFonts w:ascii="Arial" w:cs="Arial" w:eastAsia="Arial" w:hAnsi="Arial"/>
                <w:b w:val="false"/>
                <w:bCs w:val="false"/>
                <w:sz w:val="15"/>
                <w:szCs w:val="15"/>
              </w:rPr>
              <w:t xml:space="preserve">) but fragmented fringe; UK competitive </w:t>
            </w:r>
            <w:hyperlink w:history="1" r:id="rId0dusf8fezbruw3u0l736c">
              <w:r>
                <w:rPr>
                  <w:rFonts w:ascii="Arial" w:cs="Arial" w:eastAsia="Arial" w:hAnsi="Arial"/>
                  <w:b w:val="false"/>
                  <w:bCs w:val="false"/>
                  <w:sz w:val="12"/>
                  <w:szCs w:val="12"/>
                </w:rPr>
                <w:t xml:space="preserve">[#749]</w:t>
              </w:r>
            </w:hyperlink>
            <w:r>
              <w:rPr>
                <w:rFonts w:ascii="Arial" w:cs="Arial" w:eastAsia="Arial" w:hAnsi="Arial"/>
                <w:b w:val="false"/>
                <w:bCs w:val="false"/>
                <w:sz w:val="15"/>
                <w:szCs w:val="15"/>
              </w:rPr>
              <w:t xml:space="preserve">. Antitrust history: French decision 07-D-21 (2007) </w:t>
            </w:r>
            <w:hyperlink w:history="1" r:id="rIdokhrmpdxuui696urnjvy-">
              <w:r>
                <w:rPr>
                  <w:rFonts w:ascii="Arial" w:cs="Arial" w:eastAsia="Arial" w:hAnsi="Arial"/>
                  <w:b w:val="false"/>
                  <w:bCs w:val="false"/>
                  <w:sz w:val="12"/>
                  <w:szCs w:val="12"/>
                </w:rPr>
                <w:t xml:space="preserve">[#2154]</w:t>
              </w:r>
            </w:hyperlink>
            <w:r>
              <w:rPr>
                <w:rFonts w:ascii="Arial" w:cs="Arial" w:eastAsia="Arial" w:hAnsi="Arial"/>
                <w:b w:val="false"/>
                <w:bCs w:val="false"/>
                <w:sz w:val="15"/>
                <w:szCs w:val="15"/>
              </w:rPr>
              <w:t xml:space="preserve">.</w:t>
            </w:r>
          </w:p>
        </w:tc>
      </w:tr>
      <w:tr>
        <w:trPr>
          <w:cantSplit/>
        </w:trPr>
        <w:tc>
          <w:tcPr>
            <w:tcW w:type="dxa" w:w="21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Cash-flow predictability</w:t>
            </w:r>
          </w:p>
        </w:tc>
        <w:tc>
          <w:tcPr>
            <w:tcW w:type="dxa" w:w="7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4</w:t>
            </w:r>
          </w:p>
        </w:tc>
        <w:tc>
          <w:tcPr>
            <w:tcW w:type="dxa" w:w="70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Recurring, diversified revenue (top-10 &lt;10%); 2020 resilience (+€43m FCF in a −14.5% revenue year) </w:t>
            </w:r>
            <w:hyperlink w:history="1" r:id="rId2drkb_q_2kslacbj49sus">
              <w:r>
                <w:rPr>
                  <w:rFonts w:ascii="Arial" w:cs="Arial" w:eastAsia="Arial" w:hAnsi="Arial"/>
                  <w:b w:val="false"/>
                  <w:bCs w:val="false"/>
                  <w:sz w:val="12"/>
                  <w:szCs w:val="12"/>
                </w:rPr>
                <w:t xml:space="preserve">[#1866]</w:t>
              </w:r>
            </w:hyperlink>
            <w:r>
              <w:rPr>
                <w:rFonts w:ascii="Arial" w:cs="Arial" w:eastAsia="Arial" w:hAnsi="Arial"/>
                <w:b w:val="false"/>
                <w:bCs w:val="false"/>
                <w:sz w:val="15"/>
                <w:szCs w:val="15"/>
              </w:rPr>
              <w:t xml:space="preserve">. Offsets: H1 FCF can turn negative (H1-2026 −€30.1m) </w:t>
            </w:r>
            <w:hyperlink w:history="1" r:id="rIdmiau4tymq84a-pkh2kebe">
              <w:r>
                <w:rPr>
                  <w:rFonts w:ascii="Arial" w:cs="Arial" w:eastAsia="Arial" w:hAnsi="Arial"/>
                  <w:b w:val="false"/>
                  <w:bCs w:val="false"/>
                  <w:sz w:val="12"/>
                  <w:szCs w:val="12"/>
                </w:rPr>
                <w:t xml:space="preserve">[#16]</w:t>
              </w:r>
            </w:hyperlink>
            <w:r>
              <w:rPr>
                <w:rFonts w:ascii="Arial" w:cs="Arial" w:eastAsia="Arial" w:hAnsi="Arial"/>
                <w:b w:val="false"/>
                <w:bCs w:val="false"/>
                <w:sz w:val="15"/>
                <w:szCs w:val="15"/>
              </w:rPr>
              <w:t xml:space="preserve">; capex ~18% of revenue.</w:t>
            </w:r>
          </w:p>
        </w:tc>
      </w:tr>
      <w:tr>
        <w:trPr>
          <w:cantSplit/>
        </w:trPr>
        <w:tc>
          <w:tcPr>
            <w:tcW w:type="dxa" w:w="21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Scalability</w:t>
            </w:r>
          </w:p>
        </w:tc>
        <w:tc>
          <w:tcPr>
            <w:tcW w:type="dxa" w:w="7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w:t>
            </w:r>
          </w:p>
        </w:tc>
        <w:tc>
          <w:tcPr>
            <w:tcW w:type="dxa" w:w="70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Scales well within a city/region (density); poorly across borders (each country needs plants and routes). Bolt-ons at ~1.2–1.3x revenue </w:t>
            </w:r>
            <w:hyperlink w:history="1" r:id="rIdijh0djcn0lxz5yrqfa6nv">
              <w:r>
                <w:rPr>
                  <w:rFonts w:ascii="Arial" w:cs="Arial" w:eastAsia="Arial" w:hAnsi="Arial"/>
                  <w:b w:val="false"/>
                  <w:bCs w:val="false"/>
                  <w:sz w:val="12"/>
                  <w:szCs w:val="12"/>
                </w:rPr>
                <w:t xml:space="preserve">[#2163]</w:t>
              </w:r>
            </w:hyperlink>
            <w:r>
              <w:rPr>
                <w:rFonts w:ascii="Arial" w:cs="Arial" w:eastAsia="Arial" w:hAnsi="Arial"/>
                <w:b w:val="false"/>
                <w:bCs w:val="false"/>
                <w:sz w:val="15"/>
                <w:szCs w:val="15"/>
              </w:rPr>
              <w:t xml:space="preserve">. North America and Australia closed </w:t>
            </w:r>
            <w:hyperlink w:history="1" r:id="rId8bx5c1igtiss5bp_oxwgv">
              <w:r>
                <w:rPr>
                  <w:rFonts w:ascii="Arial" w:cs="Arial" w:eastAsia="Arial" w:hAnsi="Arial"/>
                  <w:b w:val="false"/>
                  <w:bCs w:val="false"/>
                  <w:sz w:val="12"/>
                  <w:szCs w:val="12"/>
                </w:rPr>
                <w:t xml:space="preserve">[#3092]</w:t>
              </w:r>
            </w:hyperlink>
            <w:r>
              <w:rPr>
                <w:rFonts w:ascii="Arial" w:cs="Arial" w:eastAsia="Arial" w:hAnsi="Arial"/>
                <w:b w:val="false"/>
                <w:bCs w:val="false"/>
                <w:sz w:val="15"/>
                <w:szCs w:val="15"/>
              </w:rPr>
              <w:t xml:space="preserve"> </w:t>
            </w:r>
            <w:hyperlink w:history="1" r:id="rId5s-khsw1hx1h_u2javwaq">
              <w:r>
                <w:rPr>
                  <w:rFonts w:ascii="Arial" w:cs="Arial" w:eastAsia="Arial" w:hAnsi="Arial"/>
                  <w:b w:val="false"/>
                  <w:bCs w:val="false"/>
                  <w:sz w:val="12"/>
                  <w:szCs w:val="12"/>
                </w:rPr>
                <w:t xml:space="preserve">[#3072]</w:t>
              </w:r>
            </w:hyperlink>
            <w:r>
              <w:rPr>
                <w:rFonts w:ascii="Arial" w:cs="Arial" w:eastAsia="Arial" w:hAnsi="Arial"/>
                <w:b w:val="false"/>
                <w:bCs w:val="false"/>
                <w:sz w:val="15"/>
                <w:szCs w:val="15"/>
              </w:rPr>
              <w:t xml:space="preserve">.</w:t>
            </w:r>
          </w:p>
        </w:tc>
      </w:tr>
      <w:tr>
        <w:trPr>
          <w:cantSplit/>
        </w:trPr>
        <w:tc>
          <w:tcPr>
            <w:tcW w:type="dxa" w:w="21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Risk / history of government interference</w:t>
            </w:r>
          </w:p>
        </w:tc>
        <w:tc>
          <w:tcPr>
            <w:tcW w:type="dxa" w:w="74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 (moderate risk)</w:t>
            </w:r>
          </w:p>
        </w:tc>
        <w:tc>
          <w:tcPr>
            <w:tcW w:type="dxa" w:w="700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Public procurement rules (price-only tenders), minimum-wage politics, Brazil public-contract probes (Lavebras/Atmosfera) with a potential ban of up to 10 years </w:t>
            </w:r>
            <w:hyperlink w:history="1" r:id="rIdto-tprsxjrefqktf4wigd">
              <w:r>
                <w:rPr>
                  <w:rFonts w:ascii="Arial" w:cs="Arial" w:eastAsia="Arial" w:hAnsi="Arial"/>
                  <w:b w:val="false"/>
                  <w:bCs w:val="false"/>
                  <w:sz w:val="12"/>
                  <w:szCs w:val="12"/>
                </w:rPr>
                <w:t xml:space="preserve">[#5931]</w:t>
              </w:r>
            </w:hyperlink>
            <w:r>
              <w:rPr>
                <w:rFonts w:ascii="Arial" w:cs="Arial" w:eastAsia="Arial" w:hAnsi="Arial"/>
                <w:b w:val="false"/>
                <w:bCs w:val="false"/>
                <w:sz w:val="15"/>
                <w:szCs w:val="15"/>
              </w:rPr>
              <w:t xml:space="preserve"> </w:t>
            </w:r>
            <w:hyperlink w:history="1" r:id="rIdamm9j6pyd_a36wmtw0pqg">
              <w:r>
                <w:rPr>
                  <w:rFonts w:ascii="Arial" w:cs="Arial" w:eastAsia="Arial" w:hAnsi="Arial"/>
                  <w:b w:val="false"/>
                  <w:bCs w:val="false"/>
                  <w:sz w:val="12"/>
                  <w:szCs w:val="12"/>
                </w:rPr>
                <w:t xml:space="preserve">[#5942]</w:t>
              </w:r>
            </w:hyperlink>
            <w:r>
              <w:rPr>
                <w:rFonts w:ascii="Arial" w:cs="Arial" w:eastAsia="Arial" w:hAnsi="Arial"/>
                <w:b w:val="false"/>
                <w:bCs w:val="false"/>
                <w:sz w:val="15"/>
                <w:szCs w:val="15"/>
              </w:rPr>
              <w:t xml:space="preserve">; merger-control risk </w:t>
            </w:r>
            <w:hyperlink w:history="1" r:id="rIda-hwoxnzplnmgpelycczh">
              <w:r>
                <w:rPr>
                  <w:rFonts w:ascii="Arial" w:cs="Arial" w:eastAsia="Arial" w:hAnsi="Arial"/>
                  <w:b w:val="false"/>
                  <w:bCs w:val="false"/>
                  <w:sz w:val="12"/>
                  <w:szCs w:val="12"/>
                </w:rPr>
                <w:t xml:space="preserve">[#2150]</w:t>
              </w:r>
            </w:hyperlink>
            <w:r>
              <w:rPr>
                <w:rFonts w:ascii="Arial" w:cs="Arial" w:eastAsia="Arial" w:hAnsi="Arial"/>
                <w:b w:val="false"/>
                <w:bCs w:val="false"/>
                <w:sz w:val="15"/>
                <w:szCs w:val="15"/>
              </w:rPr>
              <w:t xml:space="preserve">.</w:t>
            </w:r>
          </w:p>
        </w:tc>
      </w:tr>
      <w:tr>
        <w:trPr>
          <w:cantSplit/>
        </w:trPr>
        <w:tc>
          <w:tcPr>
            <w:tcW w:type="dxa" w:w="21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Bargaining power vs stakeholders</w:t>
            </w:r>
          </w:p>
        </w:tc>
        <w:tc>
          <w:tcPr>
            <w:tcW w:type="dxa" w:w="74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5"/>
                <w:szCs w:val="15"/>
              </w:rPr>
              <w:t xml:space="preserve">3</w:t>
            </w:r>
          </w:p>
        </w:tc>
        <w:tc>
          <w:tcPr>
            <w:tcW w:type="dxa" w:w="700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Strong vs SME customers and textile suppliers (annual tenders, multi-sourcing) </w:t>
            </w:r>
            <w:hyperlink w:history="1" r:id="rIdhkoixp_ztivhrmulbfmf_">
              <w:r>
                <w:rPr>
                  <w:rFonts w:ascii="Arial" w:cs="Arial" w:eastAsia="Arial" w:hAnsi="Arial"/>
                  <w:b w:val="false"/>
                  <w:bCs w:val="false"/>
                  <w:sz w:val="12"/>
                  <w:szCs w:val="12"/>
                </w:rPr>
                <w:t xml:space="preserve">[#1975]</w:t>
              </w:r>
            </w:hyperlink>
            <w:r>
              <w:rPr>
                <w:rFonts w:ascii="Arial" w:cs="Arial" w:eastAsia="Arial" w:hAnsi="Arial"/>
                <w:b w:val="false"/>
                <w:bCs w:val="false"/>
                <w:sz w:val="15"/>
                <w:szCs w:val="15"/>
              </w:rPr>
              <w:t xml:space="preserve">; weak vs public health buyers, labour (60% of costs) and captive equipment suppliers </w:t>
            </w:r>
            <w:hyperlink w:history="1" r:id="rId0syngxztjaq--e3wpcwk7">
              <w:r>
                <w:rPr>
                  <w:rFonts w:ascii="Arial" w:cs="Arial" w:eastAsia="Arial" w:hAnsi="Arial"/>
                  <w:b w:val="false"/>
                  <w:bCs w:val="false"/>
                  <w:sz w:val="12"/>
                  <w:szCs w:val="12"/>
                </w:rPr>
                <w:t xml:space="preserve">[#1976]</w:t>
              </w:r>
            </w:hyperlink>
            <w:r>
              <w:rPr>
                <w:rFonts w:ascii="Arial" w:cs="Arial" w:eastAsia="Arial" w:hAnsi="Arial"/>
                <w:b w:val="false"/>
                <w:bCs w:val="false"/>
                <w:sz w:val="15"/>
                <w:szCs w:val="15"/>
              </w:rPr>
              <w:t xml:space="preserve">.</w:t>
            </w:r>
          </w:p>
        </w:tc>
      </w:tr>
    </w:tbl>
    <w:p>
      <w:pPr>
        <w:spacing w:after="140" w:before="40"/>
      </w:pPr>
      <w:r>
        <w:rPr>
          <w:rFonts w:ascii="Arial" w:cs="Arial" w:eastAsia="Arial" w:hAnsi="Arial"/>
          <w:color w:val="898781"/>
          <w:sz w:val="14"/>
          <w:szCs w:val="14"/>
        </w:rPr>
        <w:t xml:space="preserve">Scores are the analyst's judgement based on the cited evidence.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none" w:color="FFFFFF" w:sz="0"/>
              <w:left w:val="single" w:color="13213F" w:sz="24"/>
              <w:bottom w:val="none" w:color="FFFFFF" w:sz="0"/>
              <w:right w:val="none" w:color="FFFFFF" w:sz="0"/>
            </w:tcBorders>
            <w:shd w:fill="EFF1F5" w:color="auto" w:val="clear"/>
            <w:tcMar>
              <w:top w:type="dxa" w:w="100"/>
              <w:left w:type="dxa" w:w="160"/>
              <w:bottom w:type="dxa" w:w="100"/>
              <w:right w:type="dxa" w:w="140"/>
            </w:tcMar>
          </w:tcPr>
          <w:p>
            <w:pPr>
              <w:spacing w:after="60"/>
            </w:pPr>
            <w:r>
              <w:rPr>
                <w:rFonts w:ascii="Arial" w:cs="Arial" w:eastAsia="Arial" w:hAnsi="Arial"/>
                <w:b/>
                <w:bCs/>
                <w:color w:val="13213F"/>
                <w:sz w:val="19"/>
                <w:szCs w:val="19"/>
              </w:rPr>
              <w:t xml:space="preserve">Verdict: a real but local moat</w:t>
            </w:r>
          </w:p>
          <w:p>
            <w:pPr>
              <w:spacing w:after="60" w:line="252"/>
            </w:pPr>
            <w:r>
              <w:rPr>
                <w:rFonts w:ascii="Arial" w:cs="Arial" w:eastAsia="Arial" w:hAnsi="Arial"/>
                <w:sz w:val="18"/>
                <w:szCs w:val="18"/>
              </w:rPr>
              <w:t xml:space="preserve">Elis has a narrow-to-moderate moat built on local density, contracts and capital intensity, strongest in France and in markets where it is #1. It is weaker where it is sub-scale (UK, parts of Central Europe), where the buyer is a public tender (German hospitals, Mexico) and where labour inflation outruns indexation. The moat protects returns, but it has not delivered high returns on the capital paid for acquisitions: group ROIC on EBITA after tax was only ~7% in FY2024–25 [calc] (Section 13).</w:t>
            </w:r>
          </w:p>
        </w:tc>
      </w:tr>
    </w:tbl>
    <w:p>
      <w:pPr>
        <w:spacing w:after="10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6. Supply chain: from fibre to end user</w:t>
      </w:r>
    </w:p>
    <w:p>
      <w:pPr>
        <w:spacing w:after="100" w:before="0" w:line="264"/>
        <w:jc w:val="left"/>
      </w:pPr>
      <w:r>
        <w:rPr>
          <w:rFonts w:ascii="Arial" w:cs="Arial" w:eastAsia="Arial" w:hAnsi="Arial"/>
          <w:sz w:val="19"/>
          <w:szCs w:val="19"/>
        </w:rPr>
        <w:t xml:space="preserve">Elis sits in the middle of a circular chain. Upstream it buys textiles, appliances, laundry equipment, chemicals, energy, water, vehicles and labour; it converts them into a service through central purchasing, ~373 laundries and ~6,000 daily routes; downstream it serves four end-markets whose end users are hotel guests, patients, workers and visitors. Soiled items come back on the same trucks, and end-of-life textiles are recycled (&gt;87% of used flat linen) </w:t>
      </w:r>
      <w:hyperlink w:history="1" r:id="rIdky1jtqaetisnrnbqwpdge">
        <w:r>
          <w:rPr>
            <w:rFonts w:ascii="Arial" w:cs="Arial" w:eastAsia="Arial" w:hAnsi="Arial"/>
            <w:sz w:val="15"/>
            <w:szCs w:val="15"/>
          </w:rPr>
          <w:t xml:space="preserve">[#4617]</w:t>
        </w:r>
      </w:hyperlink>
      <w:r>
        <w:rPr>
          <w:rFonts w:ascii="Arial" w:cs="Arial" w:eastAsia="Arial" w:hAnsi="Arial"/>
          <w:sz w:val="19"/>
          <w:szCs w:val="19"/>
        </w:rPr>
        <w:t xml:space="preserve">.</w:t>
      </w:r>
    </w:p>
    <w:p>
      <w:pPr>
        <w:keepNext/>
        <w:spacing w:after="40"/>
        <w:jc w:val="center"/>
      </w:pPr>
      <w:r>
        <w:drawing>
          <wp:inline distT="0" distB="0" distL="0" distR="0">
            <wp:extent cx="6305550" cy="4276725"/>
            <wp:effectExtent t="0" r="0" b="0" l="0"/>
            <wp:docPr id="1" name="supply_chain.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4276725"/>
                    </a:xfrm>
                    <a:prstGeom prst="rect">
                      <a:avLst/>
                    </a:prstGeom>
                  </pic:spPr>
                </pic:pic>
              </a:graphicData>
            </a:graphic>
          </wp:inline>
        </w:drawing>
      </w:r>
    </w:p>
    <w:p>
      <w:pPr>
        <w:spacing w:after="140"/>
      </w:pPr>
      <w:r>
        <w:rPr>
          <w:rFonts w:ascii="Arial" w:cs="Arial" w:eastAsia="Arial" w:hAnsi="Arial"/>
          <w:color w:val="898781"/>
          <w:sz w:val="14"/>
          <w:szCs w:val="14"/>
        </w:rPr>
        <w:t xml:space="preserve">Source: Elis FY2025 URD, CMD 2025, FY2025 and H1 2026 calls via ProntoNLP; S&amp;P Capital IQ (employees). Full node/edge list with citations: model/G_supply_chain.json.</w:t>
      </w:r>
    </w:p>
    <w:p>
      <w:pPr>
        <w:keepNext/>
        <w:spacing w:after="60" w:before="120"/>
      </w:pPr>
      <w:r>
        <w:rPr>
          <w:rFonts w:ascii="Arial" w:cs="Arial" w:eastAsia="Arial" w:hAnsi="Arial"/>
          <w:b/>
          <w:bCs/>
          <w:color w:val="13213F"/>
          <w:sz w:val="18"/>
          <w:szCs w:val="18"/>
        </w:rPr>
        <w:t xml:space="preserve">Named companies interacting with Elis (as disclosed in permitted sources)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3"/>
        <w:gridCol w:w="5605"/>
        <w:gridCol w:w="2468"/>
      </w:tblGrid>
      <w:tr>
        <w:trPr>
          <w:cantSplit/>
          <w:tblHeader/>
        </w:trPr>
        <w:tc>
          <w:tcPr>
            <w:tcW w:type="dxa" w:w="179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Role</w:t>
            </w:r>
          </w:p>
        </w:tc>
        <w:tc>
          <w:tcPr>
            <w:tcW w:type="dxa" w:w="560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Named companies</w:t>
            </w:r>
          </w:p>
        </w:tc>
        <w:tc>
          <w:tcPr>
            <w:tcW w:type="dxa" w:w="246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Source</w:t>
            </w:r>
          </w:p>
        </w:tc>
      </w:tr>
      <w:tr>
        <w:trPr>
          <w:cantSplit/>
        </w:trPr>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Own manufacturing (captive)</w:t>
            </w:r>
          </w:p>
        </w:tc>
        <w:tc>
          <w:tcPr>
            <w:tcW w:type="dxa" w:w="56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Le Jacquard Français (France); Kennedy Hygiene (UK); garment plants in Estonia, Brazil, Mexico, Colombia, Malaysia</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yrwkaznmc8-qv0uusccya">
              <w:r>
                <w:rPr>
                  <w:rFonts w:ascii="Arial" w:cs="Arial" w:eastAsia="Arial" w:hAnsi="Arial"/>
                  <w:b w:val="false"/>
                  <w:bCs w:val="false"/>
                  <w:sz w:val="12"/>
                  <w:szCs w:val="12"/>
                </w:rPr>
                <w:t xml:space="preserve">[#4027]</w:t>
              </w:r>
            </w:hyperlink>
            <w:r>
              <w:rPr>
                <w:rFonts w:ascii="Arial" w:cs="Arial" w:eastAsia="Arial" w:hAnsi="Arial"/>
                <w:b w:val="false"/>
                <w:bCs w:val="false"/>
                <w:sz w:val="15"/>
                <w:szCs w:val="15"/>
              </w:rPr>
              <w:t xml:space="preserve"> </w:t>
            </w:r>
            <w:hyperlink w:history="1" r:id="rId-uvi1jxvmxdkif_qupi06">
              <w:r>
                <w:rPr>
                  <w:rFonts w:ascii="Arial" w:cs="Arial" w:eastAsia="Arial" w:hAnsi="Arial"/>
                  <w:b w:val="false"/>
                  <w:bCs w:val="false"/>
                  <w:sz w:val="12"/>
                  <w:szCs w:val="12"/>
                </w:rPr>
                <w:t xml:space="preserve">[#5348]</w:t>
              </w:r>
            </w:hyperlink>
          </w:p>
        </w:tc>
      </w:tr>
      <w:tr>
        <w:trPr>
          <w:cantSplit/>
        </w:trPr>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External suppliers</w:t>
            </w:r>
          </w:p>
        </w:tc>
        <w:tc>
          <w:tcPr>
            <w:tcW w:type="dxa" w:w="56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Malongo (coffee; "captive" partnership). Laundry-equipment and traceability suppliers described as captive/oligopolistic but unnamed</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crmn9yjozv1madr1o35bj">
              <w:r>
                <w:rPr>
                  <w:rFonts w:ascii="Arial" w:cs="Arial" w:eastAsia="Arial" w:hAnsi="Arial"/>
                  <w:b w:val="false"/>
                  <w:bCs w:val="false"/>
                  <w:sz w:val="12"/>
                  <w:szCs w:val="12"/>
                </w:rPr>
                <w:t xml:space="preserve">[#1976]</w:t>
              </w:r>
            </w:hyperlink>
          </w:p>
        </w:tc>
      </w:tr>
      <w:tr>
        <w:trPr>
          <w:cantSplit/>
        </w:trPr>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Customers</w:t>
            </w:r>
          </w:p>
        </w:tc>
        <w:tc>
          <w:tcPr>
            <w:tcW w:type="dxa" w:w="56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Sodexo (Germany catering accounts); a leading German private healthcare group (unnamed); Mexican federal health system; public hospitals in France, UK, Brazil</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xu8tk9tbjofirtvm1tqlj">
              <w:r>
                <w:rPr>
                  <w:rFonts w:ascii="Arial" w:cs="Arial" w:eastAsia="Arial" w:hAnsi="Arial"/>
                  <w:b w:val="false"/>
                  <w:bCs w:val="false"/>
                  <w:sz w:val="12"/>
                  <w:szCs w:val="12"/>
                </w:rPr>
                <w:t xml:space="preserve">[#1342]</w:t>
              </w:r>
            </w:hyperlink>
            <w:r>
              <w:rPr>
                <w:rFonts w:ascii="Arial" w:cs="Arial" w:eastAsia="Arial" w:hAnsi="Arial"/>
                <w:b w:val="false"/>
                <w:bCs w:val="false"/>
                <w:sz w:val="15"/>
                <w:szCs w:val="15"/>
              </w:rPr>
              <w:t xml:space="preserve"> </w:t>
            </w:r>
            <w:hyperlink w:history="1" r:id="rIdggkqv2otpgcsh-hbnfpfd">
              <w:r>
                <w:rPr>
                  <w:rFonts w:ascii="Arial" w:cs="Arial" w:eastAsia="Arial" w:hAnsi="Arial"/>
                  <w:b w:val="false"/>
                  <w:bCs w:val="false"/>
                  <w:sz w:val="12"/>
                  <w:szCs w:val="12"/>
                </w:rPr>
                <w:t xml:space="preserve">[#108]</w:t>
              </w:r>
            </w:hyperlink>
            <w:r>
              <w:rPr>
                <w:rFonts w:ascii="Arial" w:cs="Arial" w:eastAsia="Arial" w:hAnsi="Arial"/>
                <w:b w:val="false"/>
                <w:bCs w:val="false"/>
                <w:sz w:val="15"/>
                <w:szCs w:val="15"/>
              </w:rPr>
              <w:t xml:space="preserve"> </w:t>
            </w:r>
            <w:hyperlink w:history="1" r:id="rIdveaqq_l9tyho2vj_z130n">
              <w:r>
                <w:rPr>
                  <w:rFonts w:ascii="Arial" w:cs="Arial" w:eastAsia="Arial" w:hAnsi="Arial"/>
                  <w:b w:val="false"/>
                  <w:bCs w:val="false"/>
                  <w:sz w:val="12"/>
                  <w:szCs w:val="12"/>
                </w:rPr>
                <w:t xml:space="preserve">[#137]</w:t>
              </w:r>
            </w:hyperlink>
            <w:r>
              <w:rPr>
                <w:rFonts w:ascii="Arial" w:cs="Arial" w:eastAsia="Arial" w:hAnsi="Arial"/>
                <w:b w:val="false"/>
                <w:bCs w:val="false"/>
                <w:sz w:val="15"/>
                <w:szCs w:val="15"/>
              </w:rPr>
              <w:t xml:space="preserve"> </w:t>
            </w:r>
            <w:hyperlink w:history="1" r:id="rIdabl9ns29bpr4lh2bsckt9">
              <w:r>
                <w:rPr>
                  <w:rFonts w:ascii="Arial" w:cs="Arial" w:eastAsia="Arial" w:hAnsi="Arial"/>
                  <w:b w:val="false"/>
                  <w:bCs w:val="false"/>
                  <w:sz w:val="12"/>
                  <w:szCs w:val="12"/>
                </w:rPr>
                <w:t xml:space="preserve">[#160]</w:t>
              </w:r>
            </w:hyperlink>
          </w:p>
        </w:tc>
      </w:tr>
      <w:tr>
        <w:trPr>
          <w:cantSplit/>
        </w:trPr>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Competitors</w:t>
            </w:r>
          </w:p>
        </w:tc>
        <w:tc>
          <w:tcPr>
            <w:tcW w:type="dxa" w:w="56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Cintas, UniFirst, Vestis (North America); Johnson Service Group (UK); Rentokil Initial; local players and in-house laundries</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xdn6u9jjjct2t3bh44co5">
              <w:r>
                <w:rPr>
                  <w:rFonts w:ascii="Arial" w:cs="Arial" w:eastAsia="Arial" w:hAnsi="Arial"/>
                  <w:b w:val="false"/>
                  <w:bCs w:val="false"/>
                  <w:sz w:val="12"/>
                  <w:szCs w:val="12"/>
                </w:rPr>
                <w:t xml:space="preserve">[#3092]</w:t>
              </w:r>
            </w:hyperlink>
            <w:r>
              <w:rPr>
                <w:rFonts w:ascii="Arial" w:cs="Arial" w:eastAsia="Arial" w:hAnsi="Arial"/>
                <w:b w:val="false"/>
                <w:bCs w:val="false"/>
                <w:sz w:val="15"/>
                <w:szCs w:val="15"/>
              </w:rPr>
              <w:t xml:space="preserve"> </w:t>
            </w:r>
            <w:hyperlink w:history="1" r:id="rIdkkuscxdisoww8shhvzt-s">
              <w:r>
                <w:rPr>
                  <w:rFonts w:ascii="Arial" w:cs="Arial" w:eastAsia="Arial" w:hAnsi="Arial"/>
                  <w:b w:val="false"/>
                  <w:bCs w:val="false"/>
                  <w:sz w:val="12"/>
                  <w:szCs w:val="12"/>
                </w:rPr>
                <w:t xml:space="preserve">[#749]</w:t>
              </w:r>
            </w:hyperlink>
            <w:r>
              <w:rPr>
                <w:rFonts w:ascii="Arial" w:cs="Arial" w:eastAsia="Arial" w:hAnsi="Arial"/>
                <w:b w:val="false"/>
                <w:bCs w:val="false"/>
                <w:sz w:val="15"/>
                <w:szCs w:val="15"/>
              </w:rPr>
              <w:t xml:space="preserve"> </w:t>
            </w:r>
            <w:hyperlink w:history="1" r:id="rIdqcymn00a_iastzejs0ybp">
              <w:r>
                <w:rPr>
                  <w:rFonts w:ascii="Arial" w:cs="Arial" w:eastAsia="Arial" w:hAnsi="Arial"/>
                  <w:b w:val="false"/>
                  <w:bCs w:val="false"/>
                  <w:sz w:val="12"/>
                  <w:szCs w:val="12"/>
                </w:rPr>
                <w:t xml:space="preserve">[#1902]</w:t>
              </w:r>
            </w:hyperlink>
          </w:p>
        </w:tc>
      </w:tr>
      <w:tr>
        <w:trPr>
          <w:cantSplit/>
        </w:trPr>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Shareholders with agreements</w:t>
            </w:r>
          </w:p>
        </w:tc>
        <w:tc>
          <w:tcPr>
            <w:tcW w:type="dxa" w:w="56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BWGI (12-month lock-up; 25% standstill for 10 years); CPP Investments (anti-dilution right while ≥8%)</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0czscujjvvarcdex0idno">
              <w:r>
                <w:rPr>
                  <w:rFonts w:ascii="Arial" w:cs="Arial" w:eastAsia="Arial" w:hAnsi="Arial"/>
                  <w:b w:val="false"/>
                  <w:bCs w:val="false"/>
                  <w:sz w:val="12"/>
                  <w:szCs w:val="12"/>
                </w:rPr>
                <w:t xml:space="preserve">[#6728]</w:t>
              </w:r>
            </w:hyperlink>
            <w:r>
              <w:rPr>
                <w:rFonts w:ascii="Arial" w:cs="Arial" w:eastAsia="Arial" w:hAnsi="Arial"/>
                <w:b w:val="false"/>
                <w:bCs w:val="false"/>
                <w:sz w:val="15"/>
                <w:szCs w:val="15"/>
              </w:rPr>
              <w:t xml:space="preserve"> </w:t>
            </w:r>
            <w:hyperlink w:history="1" r:id="rId07uv1ggqmiazmckx5xfmo">
              <w:r>
                <w:rPr>
                  <w:rFonts w:ascii="Arial" w:cs="Arial" w:eastAsia="Arial" w:hAnsi="Arial"/>
                  <w:b w:val="false"/>
                  <w:bCs w:val="false"/>
                  <w:sz w:val="12"/>
                  <w:szCs w:val="12"/>
                </w:rPr>
                <w:t xml:space="preserve">[#6717]</w:t>
              </w:r>
            </w:hyperlink>
          </w:p>
        </w:tc>
      </w:tr>
      <w:tr>
        <w:trPr>
          <w:cantSplit/>
        </w:trPr>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Financial counterparties</w:t>
            </w:r>
          </w:p>
        </w:tc>
        <w:tc>
          <w:tcPr>
            <w:tcW w:type="dxa" w:w="56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Bondholders (EMTN, OCEANE 2029, USPP), banks (RCF €870m undrawn to Nov-2028), NEU CP, securitisation; Oddo BHF (liquidity agreement)</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kp27bvsfai6tvh1ehrgb8">
              <w:r>
                <w:rPr>
                  <w:rFonts w:ascii="Arial" w:cs="Arial" w:eastAsia="Arial" w:hAnsi="Arial"/>
                  <w:b w:val="false"/>
                  <w:bCs w:val="false"/>
                  <w:sz w:val="12"/>
                  <w:szCs w:val="12"/>
                </w:rPr>
                <w:t xml:space="preserve">[#2090]</w:t>
              </w:r>
            </w:hyperlink>
          </w:p>
        </w:tc>
      </w:tr>
      <w:tr>
        <w:trPr>
          <w:cantSplit/>
        </w:trPr>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Employees &amp; bodies</w:t>
            </w:r>
          </w:p>
        </w:tc>
        <w:tc>
          <w:tcPr>
            <w:tcW w:type="dxa" w:w="560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European Works Council (28 members, 22 countries); AFEP, GEIST, ETSA (trade bodies)</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e6k6as2xi0utkb5x__xd-">
              <w:r>
                <w:rPr>
                  <w:rFonts w:ascii="Arial" w:cs="Arial" w:eastAsia="Arial" w:hAnsi="Arial"/>
                  <w:b w:val="false"/>
                  <w:bCs w:val="false"/>
                  <w:sz w:val="12"/>
                  <w:szCs w:val="12"/>
                </w:rPr>
                <w:t xml:space="preserve">[#3484]</w:t>
              </w:r>
            </w:hyperlink>
            <w:r>
              <w:rPr>
                <w:rFonts w:ascii="Arial" w:cs="Arial" w:eastAsia="Arial" w:hAnsi="Arial"/>
                <w:b w:val="false"/>
                <w:bCs w:val="false"/>
                <w:sz w:val="15"/>
                <w:szCs w:val="15"/>
              </w:rPr>
              <w:t xml:space="preserve"> </w:t>
            </w:r>
            <w:hyperlink w:history="1" r:id="rIduqbfxvravmbyo_lnof5k0">
              <w:r>
                <w:rPr>
                  <w:rFonts w:ascii="Arial" w:cs="Arial" w:eastAsia="Arial" w:hAnsi="Arial"/>
                  <w:b w:val="false"/>
                  <w:bCs w:val="false"/>
                  <w:sz w:val="12"/>
                  <w:szCs w:val="12"/>
                </w:rPr>
                <w:t xml:space="preserve">[#2788]</w:t>
              </w:r>
            </w:hyperlink>
          </w:p>
        </w:tc>
      </w:tr>
      <w:tr>
        <w:trPr>
          <w:cantSplit/>
        </w:trPr>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Regulators</w:t>
            </w:r>
          </w:p>
        </w:tc>
        <w:tc>
          <w:tcPr>
            <w:tcW w:type="dxa" w:w="560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French Competition Authority (07-D-21); French prefectural authorities (site permits); Brazilian Federal Police (Lavatec/Lavebras probe)</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xicn-rkn0vhfrdxz69nr">
              <w:r>
                <w:rPr>
                  <w:rFonts w:ascii="Arial" w:cs="Arial" w:eastAsia="Arial" w:hAnsi="Arial"/>
                  <w:b w:val="false"/>
                  <w:bCs w:val="false"/>
                  <w:sz w:val="12"/>
                  <w:szCs w:val="12"/>
                </w:rPr>
                <w:t xml:space="preserve">[#2154]</w:t>
              </w:r>
            </w:hyperlink>
            <w:r>
              <w:rPr>
                <w:rFonts w:ascii="Arial" w:cs="Arial" w:eastAsia="Arial" w:hAnsi="Arial"/>
                <w:b w:val="false"/>
                <w:bCs w:val="false"/>
                <w:sz w:val="15"/>
                <w:szCs w:val="15"/>
              </w:rPr>
              <w:t xml:space="preserve"> </w:t>
            </w:r>
            <w:hyperlink w:history="1" r:id="rIdjoa4erp8xxtwunsjbrzf5">
              <w:r>
                <w:rPr>
                  <w:rFonts w:ascii="Arial" w:cs="Arial" w:eastAsia="Arial" w:hAnsi="Arial"/>
                  <w:b w:val="false"/>
                  <w:bCs w:val="false"/>
                  <w:sz w:val="12"/>
                  <w:szCs w:val="12"/>
                </w:rPr>
                <w:t xml:space="preserve">[#5931]</w:t>
              </w:r>
            </w:hyperlink>
          </w:p>
        </w:tc>
      </w:tr>
    </w:tbl>
    <w:p>
      <w:pPr>
        <w:spacing w:after="140" w:before="40"/>
      </w:pPr>
      <w:r>
        <w:rPr>
          <w:rFonts w:ascii="Arial" w:cs="Arial" w:eastAsia="Arial" w:hAnsi="Arial"/>
          <w:color w:val="898781"/>
          <w:sz w:val="14"/>
          <w:szCs w:val="14"/>
        </w:rPr>
        <w:t xml:space="preserve">Supplier names for textile mills, laundry equipment, chemicals, energy, RFID and vehicles are not disclosed in S&amp;P Capital IQ or ProntoNLP sources; we have not filled them from memory.</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7. Financial analysis: five years by segment and geography</w:t>
      </w:r>
    </w:p>
    <w:p>
      <w:pPr>
        <w:spacing w:after="100" w:before="0" w:line="264"/>
        <w:jc w:val="left"/>
      </w:pPr>
      <w:r>
        <w:rPr>
          <w:rFonts w:ascii="Arial" w:cs="Arial" w:eastAsia="Arial" w:hAnsi="Arial"/>
          <w:sz w:val="19"/>
          <w:szCs w:val="19"/>
        </w:rPr>
        <w:t xml:space="preserve">Elis reports six geographic operating segments plus "Other" (manufacturing entities and holdings). It discloses revenue, organic growth and </w:t>
      </w:r>
      <w:r>
        <w:rPr>
          <w:rFonts w:ascii="Arial" w:cs="Arial" w:eastAsia="Arial" w:hAnsi="Arial"/>
          <w:sz w:val="19"/>
          <w:szCs w:val="19"/>
        </w:rPr>
        <w:t xml:space="preserve">adjusted EBITDA</w:t>
      </w:r>
      <w:r>
        <w:rPr>
          <w:rFonts w:ascii="Arial" w:cs="Arial" w:eastAsia="Arial" w:hAnsi="Arial"/>
          <w:sz w:val="19"/>
          <w:szCs w:val="19"/>
        </w:rPr>
        <w:t xml:space="preserve"> by segment; it does </w:t>
      </w:r>
      <w:r>
        <w:rPr>
          <w:rFonts w:ascii="Arial" w:cs="Arial" w:eastAsia="Arial" w:hAnsi="Arial"/>
          <w:sz w:val="19"/>
          <w:szCs w:val="19"/>
        </w:rPr>
        <w:t xml:space="preserve">not</w:t>
      </w:r>
      <w:r>
        <w:rPr>
          <w:rFonts w:ascii="Arial" w:cs="Arial" w:eastAsia="Arial" w:hAnsi="Arial"/>
          <w:sz w:val="19"/>
          <w:szCs w:val="19"/>
        </w:rPr>
        <w:t xml:space="preserve"> disclose segment EBIT or net income, so those are shown at group level only. Revenue by product line and end-market is disclosed in the half-year notes.</w:t>
      </w:r>
    </w:p>
    <w:p>
      <w:pPr>
        <w:pStyle w:val="Heading2"/>
        <w:keepNext/>
        <w:keepLines/>
        <w:spacing w:after="80" w:before="180"/>
      </w:pPr>
      <w:r>
        <w:rPr>
          <w:rFonts w:ascii="Arial" w:cs="Arial" w:eastAsia="Arial" w:hAnsi="Arial"/>
          <w:b/>
          <w:bCs/>
          <w:color w:val="13213F"/>
          <w:sz w:val="24"/>
          <w:szCs w:val="24"/>
        </w:rPr>
        <w:t xml:space="preserve">7.1 Group P&amp;L, cash flow and balance sheet (S&amp;P Capital IQ, EUR 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5"/>
        <w:gridCol w:w="1160"/>
        <w:gridCol w:w="1160"/>
        <w:gridCol w:w="1160"/>
        <w:gridCol w:w="1160"/>
        <w:gridCol w:w="1160"/>
        <w:gridCol w:w="1281"/>
      </w:tblGrid>
      <w:tr>
        <w:trPr>
          <w:cantSplit/>
          <w:tblHeader/>
        </w:trPr>
        <w:tc>
          <w:tcPr>
            <w:tcW w:type="dxa" w:w="278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EUR m</w:t>
            </w:r>
          </w:p>
        </w:tc>
        <w:tc>
          <w:tcPr>
            <w:tcW w:type="dxa" w:w="116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FY2021</w:t>
            </w:r>
          </w:p>
        </w:tc>
        <w:tc>
          <w:tcPr>
            <w:tcW w:type="dxa" w:w="116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FY2022</w:t>
            </w:r>
          </w:p>
        </w:tc>
        <w:tc>
          <w:tcPr>
            <w:tcW w:type="dxa" w:w="116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FY2023</w:t>
            </w:r>
          </w:p>
        </w:tc>
        <w:tc>
          <w:tcPr>
            <w:tcW w:type="dxa" w:w="116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FY2024</w:t>
            </w:r>
          </w:p>
        </w:tc>
        <w:tc>
          <w:tcPr>
            <w:tcW w:type="dxa" w:w="116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FY2025</w:t>
            </w:r>
          </w:p>
        </w:tc>
        <w:tc>
          <w:tcPr>
            <w:tcW w:type="dxa" w:w="12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LTM Jun-26</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Revenue</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4osswfudvy2sdb8oxpqyi">
              <w:r>
                <w:rPr>
                  <w:rFonts w:ascii="Arial" w:cs="Arial" w:eastAsia="Arial" w:hAnsi="Arial"/>
                  <w:b w:val="false"/>
                  <w:bCs w:val="false"/>
                  <w:sz w:val="14"/>
                  <w:szCs w:val="14"/>
                  <w:u w:val="single"/>
                </w:rPr>
                <w:t xml:space="preserve">3,048.3</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8egsbxlhcz3g3_bquq-qb">
              <w:r>
                <w:rPr>
                  <w:rFonts w:ascii="Arial" w:cs="Arial" w:eastAsia="Arial" w:hAnsi="Arial"/>
                  <w:b w:val="false"/>
                  <w:bCs w:val="false"/>
                  <w:sz w:val="14"/>
                  <w:szCs w:val="14"/>
                  <w:u w:val="single"/>
                </w:rPr>
                <w:t xml:space="preserve">3,820.9</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sh99qczzmtuwkjdmqpazn">
              <w:r>
                <w:rPr>
                  <w:rFonts w:ascii="Arial" w:cs="Arial" w:eastAsia="Arial" w:hAnsi="Arial"/>
                  <w:b w:val="false"/>
                  <w:bCs w:val="false"/>
                  <w:sz w:val="14"/>
                  <w:szCs w:val="14"/>
                  <w:u w:val="single"/>
                </w:rPr>
                <w:t xml:space="preserve">4,309.4</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ojoiquj0i5tyqtd8gywnb">
              <w:r>
                <w:rPr>
                  <w:rFonts w:ascii="Arial" w:cs="Arial" w:eastAsia="Arial" w:hAnsi="Arial"/>
                  <w:b w:val="false"/>
                  <w:bCs w:val="false"/>
                  <w:sz w:val="14"/>
                  <w:szCs w:val="14"/>
                  <w:u w:val="single"/>
                </w:rPr>
                <w:t xml:space="preserve">4,573.7</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ixfcvsz2o_2jwbp_hbuu3">
              <w:r>
                <w:rPr>
                  <w:rFonts w:ascii="Arial" w:cs="Arial" w:eastAsia="Arial" w:hAnsi="Arial"/>
                  <w:b w:val="false"/>
                  <w:bCs w:val="false"/>
                  <w:sz w:val="14"/>
                  <w:szCs w:val="14"/>
                  <w:u w:val="single"/>
                </w:rPr>
                <w:t xml:space="preserve">4,796.8</w:t>
              </w:r>
            </w:hyperlink>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4,910.8</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  growth</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8.6%</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25.3%</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12.8%</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6.1%</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4.9%</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Gross profit</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huvowhkzptnt0av5jdol5">
              <w:r>
                <w:rPr>
                  <w:rFonts w:ascii="Arial" w:cs="Arial" w:eastAsia="Arial" w:hAnsi="Arial"/>
                  <w:b w:val="false"/>
                  <w:bCs w:val="false"/>
                  <w:sz w:val="14"/>
                  <w:szCs w:val="14"/>
                  <w:u w:val="single"/>
                </w:rPr>
                <w:t xml:space="preserve">932.1</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deazahobvlcfr8jdywka4">
              <w:r>
                <w:rPr>
                  <w:rFonts w:ascii="Arial" w:cs="Arial" w:eastAsia="Arial" w:hAnsi="Arial"/>
                  <w:b w:val="false"/>
                  <w:bCs w:val="false"/>
                  <w:sz w:val="14"/>
                  <w:szCs w:val="14"/>
                  <w:u w:val="single"/>
                </w:rPr>
                <w:t xml:space="preserve">1,169.1</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nkusbycdvglepsfbotula">
              <w:r>
                <w:rPr>
                  <w:rFonts w:ascii="Arial" w:cs="Arial" w:eastAsia="Arial" w:hAnsi="Arial"/>
                  <w:b w:val="false"/>
                  <w:bCs w:val="false"/>
                  <w:sz w:val="14"/>
                  <w:szCs w:val="14"/>
                  <w:u w:val="single"/>
                </w:rPr>
                <w:t xml:space="preserve">1,416.1</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0xe5o8z8gobzsxuagjrge">
              <w:r>
                <w:rPr>
                  <w:rFonts w:ascii="Arial" w:cs="Arial" w:eastAsia="Arial" w:hAnsi="Arial"/>
                  <w:b w:val="false"/>
                  <w:bCs w:val="false"/>
                  <w:sz w:val="14"/>
                  <w:szCs w:val="14"/>
                  <w:u w:val="single"/>
                </w:rPr>
                <w:t xml:space="preserve">1,504.2</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bkc1jnyzf23iw1xhalw1o">
              <w:r>
                <w:rPr>
                  <w:rFonts w:ascii="Arial" w:cs="Arial" w:eastAsia="Arial" w:hAnsi="Arial"/>
                  <w:b w:val="false"/>
                  <w:bCs w:val="false"/>
                  <w:sz w:val="14"/>
                  <w:szCs w:val="14"/>
                  <w:u w:val="single"/>
                </w:rPr>
                <w:t xml:space="preserve">1,610.2</w:t>
              </w:r>
            </w:hyperlink>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1,648.4</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EBITDA (S&amp;P definition)</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0i7f6bg6_-k5ujbqodz-f">
              <w:r>
                <w:rPr>
                  <w:rFonts w:ascii="Arial" w:cs="Arial" w:eastAsia="Arial" w:hAnsi="Arial"/>
                  <w:b w:val="false"/>
                  <w:bCs w:val="false"/>
                  <w:sz w:val="14"/>
                  <w:szCs w:val="14"/>
                  <w:u w:val="single"/>
                </w:rPr>
                <w:t xml:space="preserve">923.6</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lh2vcyeyjyjbkrigun_wi">
              <w:r>
                <w:rPr>
                  <w:rFonts w:ascii="Arial" w:cs="Arial" w:eastAsia="Arial" w:hAnsi="Arial"/>
                  <w:b w:val="false"/>
                  <w:bCs w:val="false"/>
                  <w:sz w:val="14"/>
                  <w:szCs w:val="14"/>
                  <w:u w:val="single"/>
                </w:rPr>
                <w:t xml:space="preserve">1,135.0</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b1srq9aklobjfmrk855le">
              <w:r>
                <w:rPr>
                  <w:rFonts w:ascii="Arial" w:cs="Arial" w:eastAsia="Arial" w:hAnsi="Arial"/>
                  <w:b w:val="false"/>
                  <w:bCs w:val="false"/>
                  <w:sz w:val="14"/>
                  <w:szCs w:val="14"/>
                  <w:u w:val="single"/>
                </w:rPr>
                <w:t xml:space="preserve">1,319.2</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mhi1xf7lmpzj-d5xvyaab">
              <w:r>
                <w:rPr>
                  <w:rFonts w:ascii="Arial" w:cs="Arial" w:eastAsia="Arial" w:hAnsi="Arial"/>
                  <w:b w:val="false"/>
                  <w:bCs w:val="false"/>
                  <w:sz w:val="14"/>
                  <w:szCs w:val="14"/>
                  <w:u w:val="single"/>
                </w:rPr>
                <w:t xml:space="preserve">1,436.0</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au1p7nyue4aacoor7nj84">
              <w:r>
                <w:rPr>
                  <w:rFonts w:ascii="Arial" w:cs="Arial" w:eastAsia="Arial" w:hAnsi="Arial"/>
                  <w:b w:val="false"/>
                  <w:bCs w:val="false"/>
                  <w:sz w:val="14"/>
                  <w:szCs w:val="14"/>
                  <w:u w:val="single"/>
                </w:rPr>
                <w:t xml:space="preserve">1,484.6</w:t>
              </w:r>
            </w:hyperlink>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1,525.7</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Adj. EBITDA (company)</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1,052.1</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1,259.6</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1,474.8</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1,609.8</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1,700.1</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1,740.1</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  margin</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34.5%</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33.0%</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34.2%</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35.2%</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35.4%</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35.4%</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EBITA (S&amp;P)</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s_zuad1c9h9wvtzco2bzg">
              <w:r>
                <w:rPr>
                  <w:rFonts w:ascii="Arial" w:cs="Arial" w:eastAsia="Arial" w:hAnsi="Arial"/>
                  <w:b w:val="false"/>
                  <w:bCs w:val="false"/>
                  <w:sz w:val="14"/>
                  <w:szCs w:val="14"/>
                  <w:u w:val="single"/>
                </w:rPr>
                <w:t xml:space="preserve">369.4</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uenegg67kd2dlb_y9pdq4">
              <w:r>
                <w:rPr>
                  <w:rFonts w:ascii="Arial" w:cs="Arial" w:eastAsia="Arial" w:hAnsi="Arial"/>
                  <w:b w:val="false"/>
                  <w:bCs w:val="false"/>
                  <w:sz w:val="14"/>
                  <w:szCs w:val="14"/>
                  <w:u w:val="single"/>
                </w:rPr>
                <w:t xml:space="preserve">541.0</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azhqd0moeq8jggudyldmd">
              <w:r>
                <w:rPr>
                  <w:rFonts w:ascii="Arial" w:cs="Arial" w:eastAsia="Arial" w:hAnsi="Arial"/>
                  <w:b w:val="false"/>
                  <w:bCs w:val="false"/>
                  <w:sz w:val="14"/>
                  <w:szCs w:val="14"/>
                  <w:u w:val="single"/>
                </w:rPr>
                <w:t xml:space="preserve">664.5</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hcq7v4ki0jyeg5_m9-x2p">
              <w:r>
                <w:rPr>
                  <w:rFonts w:ascii="Arial" w:cs="Arial" w:eastAsia="Arial" w:hAnsi="Arial"/>
                  <w:b w:val="false"/>
                  <w:bCs w:val="false"/>
                  <w:sz w:val="14"/>
                  <w:szCs w:val="14"/>
                  <w:u w:val="single"/>
                </w:rPr>
                <w:t xml:space="preserve">713.3</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pz5jap0wltb0dmwhb609_">
              <w:r>
                <w:rPr>
                  <w:rFonts w:ascii="Arial" w:cs="Arial" w:eastAsia="Arial" w:hAnsi="Arial"/>
                  <w:b w:val="false"/>
                  <w:bCs w:val="false"/>
                  <w:sz w:val="14"/>
                  <w:szCs w:val="14"/>
                  <w:u w:val="single"/>
                </w:rPr>
                <w:t xml:space="preserve">723.3</w:t>
              </w:r>
            </w:hyperlink>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EBIT (S&amp;P operating income)</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evtivyllkjl8qlpchcf5p">
              <w:r>
                <w:rPr>
                  <w:rFonts w:ascii="Arial" w:cs="Arial" w:eastAsia="Arial" w:hAnsi="Arial"/>
                  <w:b w:val="false"/>
                  <w:bCs w:val="false"/>
                  <w:sz w:val="14"/>
                  <w:szCs w:val="14"/>
                  <w:u w:val="single"/>
                </w:rPr>
                <w:t xml:space="preserve">270.7</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54quqb_jfupvb55zzwr4l">
              <w:r>
                <w:rPr>
                  <w:rFonts w:ascii="Arial" w:cs="Arial" w:eastAsia="Arial" w:hAnsi="Arial"/>
                  <w:b w:val="false"/>
                  <w:bCs w:val="false"/>
                  <w:sz w:val="14"/>
                  <w:szCs w:val="14"/>
                  <w:u w:val="single"/>
                </w:rPr>
                <w:t xml:space="preserve">439.1</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l1vtwoi97k9dvnzqkuov4">
              <w:r>
                <w:rPr>
                  <w:rFonts w:ascii="Arial" w:cs="Arial" w:eastAsia="Arial" w:hAnsi="Arial"/>
                  <w:b w:val="false"/>
                  <w:bCs w:val="false"/>
                  <w:sz w:val="14"/>
                  <w:szCs w:val="14"/>
                  <w:u w:val="single"/>
                </w:rPr>
                <w:t xml:space="preserve">557.1</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7cvxgikfv_kp5sopnon8i">
              <w:r>
                <w:rPr>
                  <w:rFonts w:ascii="Arial" w:cs="Arial" w:eastAsia="Arial" w:hAnsi="Arial"/>
                  <w:b w:val="false"/>
                  <w:bCs w:val="false"/>
                  <w:sz w:val="14"/>
                  <w:szCs w:val="14"/>
                  <w:u w:val="single"/>
                </w:rPr>
                <w:t xml:space="preserve">605.6</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oy_lf_x8whcotjrvh9fhz">
              <w:r>
                <w:rPr>
                  <w:rFonts w:ascii="Arial" w:cs="Arial" w:eastAsia="Arial" w:hAnsi="Arial"/>
                  <w:b w:val="false"/>
                  <w:bCs w:val="false"/>
                  <w:sz w:val="14"/>
                  <w:szCs w:val="14"/>
                  <w:u w:val="single"/>
                </w:rPr>
                <w:t xml:space="preserve">613.9</w:t>
              </w:r>
            </w:hyperlink>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639.4</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  margin</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8.9%</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11.5%</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12.9%</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13.2%</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12.8%</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13.0%</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 income (IFRS)</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kheqzpvfw1x1unyd96ah2">
              <w:r>
                <w:rPr>
                  <w:rFonts w:ascii="Arial" w:cs="Arial" w:eastAsia="Arial" w:hAnsi="Arial"/>
                  <w:b w:val="false"/>
                  <w:bCs w:val="false"/>
                  <w:sz w:val="14"/>
                  <w:szCs w:val="14"/>
                  <w:u w:val="single"/>
                </w:rPr>
                <w:t xml:space="preserve">114.3</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moqvlnqkplszggzfieftc">
              <w:r>
                <w:rPr>
                  <w:rFonts w:ascii="Arial" w:cs="Arial" w:eastAsia="Arial" w:hAnsi="Arial"/>
                  <w:b w:val="false"/>
                  <w:bCs w:val="false"/>
                  <w:sz w:val="14"/>
                  <w:szCs w:val="14"/>
                  <w:u w:val="single"/>
                </w:rPr>
                <w:t xml:space="preserve">202.6</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rwb0r0ya4m4jpdg0uvxzs">
              <w:r>
                <w:rPr>
                  <w:rFonts w:ascii="Arial" w:cs="Arial" w:eastAsia="Arial" w:hAnsi="Arial"/>
                  <w:b w:val="false"/>
                  <w:bCs w:val="false"/>
                  <w:sz w:val="14"/>
                  <w:szCs w:val="14"/>
                  <w:u w:val="single"/>
                </w:rPr>
                <w:t xml:space="preserve">262.0</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wyzgct7zn6ojsvsufhalb">
              <w:r>
                <w:rPr>
                  <w:rFonts w:ascii="Arial" w:cs="Arial" w:eastAsia="Arial" w:hAnsi="Arial"/>
                  <w:b w:val="false"/>
                  <w:bCs w:val="false"/>
                  <w:sz w:val="14"/>
                  <w:szCs w:val="14"/>
                  <w:u w:val="single"/>
                </w:rPr>
                <w:t xml:space="preserve">337.7</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zttkfpebffduqtcfeqnyy">
              <w:r>
                <w:rPr>
                  <w:rFonts w:ascii="Arial" w:cs="Arial" w:eastAsia="Arial" w:hAnsi="Arial"/>
                  <w:b w:val="false"/>
                  <w:bCs w:val="false"/>
                  <w:sz w:val="14"/>
                  <w:szCs w:val="14"/>
                  <w:u w:val="single"/>
                </w:rPr>
                <w:t xml:space="preserve">366.6</w:t>
              </w:r>
            </w:hyperlink>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377.8</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Cash from operations</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t7ibjojj46u7g-cfujmf0">
              <w:r>
                <w:rPr>
                  <w:rFonts w:ascii="Arial" w:cs="Arial" w:eastAsia="Arial" w:hAnsi="Arial"/>
                  <w:b w:val="false"/>
                  <w:bCs w:val="false"/>
                  <w:sz w:val="14"/>
                  <w:szCs w:val="14"/>
                  <w:u w:val="single"/>
                </w:rPr>
                <w:t xml:space="preserve">961.6</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4a7ymjmwbwxfnewhi4-vv">
              <w:r>
                <w:rPr>
                  <w:rFonts w:ascii="Arial" w:cs="Arial" w:eastAsia="Arial" w:hAnsi="Arial"/>
                  <w:b w:val="false"/>
                  <w:bCs w:val="false"/>
                  <w:sz w:val="14"/>
                  <w:szCs w:val="14"/>
                  <w:u w:val="single"/>
                </w:rPr>
                <w:t xml:space="preserve">1,091.2</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hi6r58hss8l4bkhcrudgp">
              <w:r>
                <w:rPr>
                  <w:rFonts w:ascii="Arial" w:cs="Arial" w:eastAsia="Arial" w:hAnsi="Arial"/>
                  <w:b w:val="false"/>
                  <w:bCs w:val="false"/>
                  <w:sz w:val="14"/>
                  <w:szCs w:val="14"/>
                  <w:u w:val="single"/>
                </w:rPr>
                <w:t xml:space="preserve">1,325.6</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0tngztc9phkhuv2-2vrpg">
              <w:r>
                <w:rPr>
                  <w:rFonts w:ascii="Arial" w:cs="Arial" w:eastAsia="Arial" w:hAnsi="Arial"/>
                  <w:b w:val="false"/>
                  <w:bCs w:val="false"/>
                  <w:sz w:val="14"/>
                  <w:szCs w:val="14"/>
                  <w:u w:val="single"/>
                </w:rPr>
                <w:t xml:space="preserve">1,452.1</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il5ii5qlseopcvsrmndd0">
              <w:r>
                <w:rPr>
                  <w:rFonts w:ascii="Arial" w:cs="Arial" w:eastAsia="Arial" w:hAnsi="Arial"/>
                  <w:b w:val="false"/>
                  <w:bCs w:val="false"/>
                  <w:sz w:val="14"/>
                  <w:szCs w:val="14"/>
                  <w:u w:val="single"/>
                </w:rPr>
                <w:t xml:space="preserve">1,510.6</w:t>
              </w:r>
            </w:hyperlink>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1,486.4</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Capex</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kzrrguqmv7llvqkvs5d8m">
              <w:r>
                <w:rPr>
                  <w:rFonts w:ascii="Arial" w:cs="Arial" w:eastAsia="Arial" w:hAnsi="Arial"/>
                  <w:b w:val="false"/>
                  <w:bCs w:val="false"/>
                  <w:sz w:val="14"/>
                  <w:szCs w:val="14"/>
                  <w:u w:val="single"/>
                </w:rPr>
                <w:t xml:space="preserve">-552.8</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vpggtkfjmam3nduymkpch">
              <w:r>
                <w:rPr>
                  <w:rFonts w:ascii="Arial" w:cs="Arial" w:eastAsia="Arial" w:hAnsi="Arial"/>
                  <w:b w:val="false"/>
                  <w:bCs w:val="false"/>
                  <w:sz w:val="14"/>
                  <w:szCs w:val="14"/>
                  <w:u w:val="single"/>
                </w:rPr>
                <w:t xml:space="preserve">-673.3</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ywv21ohuyzni25tnougsu">
              <w:r>
                <w:rPr>
                  <w:rFonts w:ascii="Arial" w:cs="Arial" w:eastAsia="Arial" w:hAnsi="Arial"/>
                  <w:b w:val="false"/>
                  <w:bCs w:val="false"/>
                  <w:sz w:val="14"/>
                  <w:szCs w:val="14"/>
                  <w:u w:val="single"/>
                </w:rPr>
                <w:t xml:space="preserve">-797.1</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gvxum_s0_9w3lqqmxtvgp">
              <w:r>
                <w:rPr>
                  <w:rFonts w:ascii="Arial" w:cs="Arial" w:eastAsia="Arial" w:hAnsi="Arial"/>
                  <w:b w:val="false"/>
                  <w:bCs w:val="false"/>
                  <w:sz w:val="14"/>
                  <w:szCs w:val="14"/>
                  <w:u w:val="single"/>
                </w:rPr>
                <w:t xml:space="preserve">-860.8</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q2z1-9iugg4zopkuzny3n">
              <w:r>
                <w:rPr>
                  <w:rFonts w:ascii="Arial" w:cs="Arial" w:eastAsia="Arial" w:hAnsi="Arial"/>
                  <w:b w:val="false"/>
                  <w:bCs w:val="false"/>
                  <w:sz w:val="14"/>
                  <w:szCs w:val="14"/>
                  <w:u w:val="single"/>
                </w:rPr>
                <w:t xml:space="preserve">-864.0</w:t>
              </w:r>
            </w:hyperlink>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-915.8</w:t>
            </w:r>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  capex / revenue</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18.1%</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17.6%</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18.5%</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18.8%</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18.0%</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18.6%</w:t>
            </w:r>
          </w:p>
        </w:tc>
      </w:tr>
      <w:tr>
        <w:trPr>
          <w:cantSplit/>
        </w:trPr>
        <w:tc>
          <w:tcPr>
            <w:tcW w:type="dxa" w:w="278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 debt incl. leases (S&amp;P)</w:t>
            </w:r>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plnrt2h0f0nola9odlqog">
              <w:r>
                <w:rPr>
                  <w:rFonts w:ascii="Arial" w:cs="Arial" w:eastAsia="Arial" w:hAnsi="Arial"/>
                  <w:b w:val="false"/>
                  <w:bCs w:val="false"/>
                  <w:sz w:val="14"/>
                  <w:szCs w:val="14"/>
                  <w:u w:val="single"/>
                </w:rPr>
                <w:t xml:space="preserve">3,597.4</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ubtzn0orugba-mmm8trek">
              <w:r>
                <w:rPr>
                  <w:rFonts w:ascii="Arial" w:cs="Arial" w:eastAsia="Arial" w:hAnsi="Arial"/>
                  <w:b w:val="false"/>
                  <w:bCs w:val="false"/>
                  <w:sz w:val="14"/>
                  <w:szCs w:val="14"/>
                  <w:u w:val="single"/>
                </w:rPr>
                <w:t xml:space="preserve">3,663.6</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xfdwsi-w8bnuc-mogaeol">
              <w:r>
                <w:rPr>
                  <w:rFonts w:ascii="Arial" w:cs="Arial" w:eastAsia="Arial" w:hAnsi="Arial"/>
                  <w:b w:val="false"/>
                  <w:bCs w:val="false"/>
                  <w:sz w:val="14"/>
                  <w:szCs w:val="14"/>
                  <w:u w:val="single"/>
                </w:rPr>
                <w:t xml:space="preserve">3,563.7</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dxyv4idj0f7ukbp-_gttz">
              <w:r>
                <w:rPr>
                  <w:rFonts w:ascii="Arial" w:cs="Arial" w:eastAsia="Arial" w:hAnsi="Arial"/>
                  <w:b w:val="false"/>
                  <w:bCs w:val="false"/>
                  <w:sz w:val="14"/>
                  <w:szCs w:val="14"/>
                  <w:u w:val="single"/>
                </w:rPr>
                <w:t xml:space="preserve">3,644.3</w:t>
              </w:r>
            </w:hyperlink>
          </w:p>
        </w:tc>
        <w:tc>
          <w:tcPr>
            <w:tcW w:type="dxa" w:w="116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kyn9-pzlhtysskifmke1-">
              <w:r>
                <w:rPr>
                  <w:rFonts w:ascii="Arial" w:cs="Arial" w:eastAsia="Arial" w:hAnsi="Arial"/>
                  <w:b w:val="false"/>
                  <w:bCs w:val="false"/>
                  <w:sz w:val="14"/>
                  <w:szCs w:val="14"/>
                  <w:u w:val="single"/>
                </w:rPr>
                <w:t xml:space="preserve">3,723.4</w:t>
              </w:r>
            </w:hyperlink>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u2_zubcxxjyrq81qialxn">
              <w:r>
                <w:rPr>
                  <w:rFonts w:ascii="Arial" w:cs="Arial" w:eastAsia="Arial" w:hAnsi="Arial"/>
                  <w:b w:val="false"/>
                  <w:bCs w:val="false"/>
                  <w:sz w:val="14"/>
                  <w:szCs w:val="14"/>
                  <w:u w:val="single"/>
                </w:rPr>
                <w:t xml:space="preserve">4,370.3</w:t>
              </w:r>
            </w:hyperlink>
          </w:p>
        </w:tc>
      </w:tr>
      <w:tr>
        <w:trPr>
          <w:cantSplit/>
        </w:trPr>
        <w:tc>
          <w:tcPr>
            <w:tcW w:type="dxa" w:w="278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Goodwill</w:t>
            </w:r>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sayyeefq9eawkdriqtrh9">
              <w:r>
                <w:rPr>
                  <w:rFonts w:ascii="Arial" w:cs="Arial" w:eastAsia="Arial" w:hAnsi="Arial"/>
                  <w:b w:val="false"/>
                  <w:bCs w:val="false"/>
                  <w:sz w:val="14"/>
                  <w:szCs w:val="14"/>
                  <w:u w:val="single"/>
                </w:rPr>
                <w:t xml:space="preserve">3,818.3</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kgmwec6avu5-7gqwqrjwp">
              <w:r>
                <w:rPr>
                  <w:rFonts w:ascii="Arial" w:cs="Arial" w:eastAsia="Arial" w:hAnsi="Arial"/>
                  <w:b w:val="false"/>
                  <w:bCs w:val="false"/>
                  <w:sz w:val="14"/>
                  <w:szCs w:val="14"/>
                  <w:u w:val="single"/>
                </w:rPr>
                <w:t xml:space="preserve">3,914.1</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sigstjvdi9unxecyabwb3">
              <w:r>
                <w:rPr>
                  <w:rFonts w:ascii="Arial" w:cs="Arial" w:eastAsia="Arial" w:hAnsi="Arial"/>
                  <w:b w:val="false"/>
                  <w:bCs w:val="false"/>
                  <w:sz w:val="14"/>
                  <w:szCs w:val="14"/>
                  <w:u w:val="single"/>
                </w:rPr>
                <w:t xml:space="preserve">3,979.2</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lge5hskze0sdqxh0yboqt">
              <w:r>
                <w:rPr>
                  <w:rFonts w:ascii="Arial" w:cs="Arial" w:eastAsia="Arial" w:hAnsi="Arial"/>
                  <w:b w:val="false"/>
                  <w:bCs w:val="false"/>
                  <w:sz w:val="14"/>
                  <w:szCs w:val="14"/>
                  <w:u w:val="single"/>
                </w:rPr>
                <w:t xml:space="preserve">3,932.0</w:t>
              </w:r>
            </w:hyperlink>
          </w:p>
        </w:tc>
        <w:tc>
          <w:tcPr>
            <w:tcW w:type="dxa" w:w="116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6z1u94ubyb8b_26hxuxi3">
              <w:r>
                <w:rPr>
                  <w:rFonts w:ascii="Arial" w:cs="Arial" w:eastAsia="Arial" w:hAnsi="Arial"/>
                  <w:b w:val="false"/>
                  <w:bCs w:val="false"/>
                  <w:sz w:val="14"/>
                  <w:szCs w:val="14"/>
                  <w:u w:val="single"/>
                </w:rPr>
                <w:t xml:space="preserve">4,039.6</w:t>
              </w:r>
            </w:hyperlink>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4,066.0</w:t>
            </w:r>
          </w:p>
        </w:tc>
      </w:tr>
    </w:tbl>
    <w:p>
      <w:pPr>
        <w:spacing w:after="140" w:before="40"/>
      </w:pPr>
      <w:r>
        <w:rPr>
          <w:rFonts w:ascii="Arial" w:cs="Arial" w:eastAsia="Arial" w:hAnsi="Arial"/>
          <w:color w:val="898781"/>
          <w:sz w:val="14"/>
          <w:szCs w:val="14"/>
        </w:rPr>
        <w:t xml:space="preserve">Source: S&amp;P Capital IQ (values hyperlinked to the Capital IQ document viewer where a link was returned); company adjusted EBITDA from Elis annual reports via ProntoNLP (worker F); LTM = FY2025 + H1-26 − H1-25 [calc]. S&amp;P EBITDA excludes items Elis adds back (IFRS 2, non-recurring), hence the gap to company adjusted EBITDA.</w:t>
      </w:r>
    </w:p>
    <w:p>
      <w:pPr>
        <w:keepNext w:val="false"/>
        <w:spacing w:after="40"/>
        <w:jc w:val="center"/>
      </w:pPr>
      <w:r>
        <w:drawing>
          <wp:inline distT="0" distB="0" distL="0" distR="0">
            <wp:extent cx="5762625" cy="2552700"/>
            <wp:effectExtent t="0" r="0" b="0" l="0"/>
            <wp:docPr id="1" name="hist_margins.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52700"/>
                    </a:xfrm>
                    <a:prstGeom prst="rect">
                      <a:avLst/>
                    </a:prstGeom>
                  </pic:spPr>
                </pic:pic>
              </a:graphicData>
            </a:graphic>
          </wp:inline>
        </w:drawing>
      </w:r>
    </w:p>
    <w:p>
      <w:pPr>
        <w:pStyle w:val="Heading3"/>
        <w:keepNext/>
        <w:keepLines/>
        <w:spacing w:after="80" w:before="180"/>
      </w:pPr>
      <w:r>
        <w:rPr>
          <w:rFonts w:ascii="Arial" w:cs="Arial" w:eastAsia="Arial" w:hAnsi="Arial"/>
          <w:b/>
          <w:bCs/>
          <w:color w:val="2A78D6"/>
          <w:sz w:val="20"/>
          <w:szCs w:val="20"/>
        </w:rPr>
        <w:t xml:space="preserve">Trends and why</w:t>
      </w:r>
    </w:p>
    <w:p>
      <w:pPr>
        <w:pStyle w:val="ListParagraph"/>
        <w:numPr>
          <w:ilvl w:val="0"/>
          <w:numId w:val="2"/>
        </w:numPr>
        <w:spacing w:after="60" w:line="252"/>
      </w:pPr>
      <w:r>
        <w:rPr>
          <w:rFonts w:ascii="Arial" w:cs="Arial" w:eastAsia="Arial" w:hAnsi="Arial"/>
          <w:b/>
          <w:bCs/>
          <w:sz w:val="19"/>
          <w:szCs w:val="19"/>
        </w:rPr>
        <w:t xml:space="preserve">Revenue</w:t>
      </w:r>
      <w:r>
        <w:rPr>
          <w:rFonts w:ascii="Arial" w:cs="Arial" w:eastAsia="Arial" w:hAnsi="Arial"/>
          <w:sz w:val="19"/>
          <w:szCs w:val="19"/>
        </w:rPr>
        <w:t xml:space="preserve"> rose 57% from FY2021 to FY2025 (+12% CAGR) [calc]: Covid recovery and an exceptional pricing cycle (organic +21% in 2022 incl. ~8 pts price </w:t>
      </w:r>
      <w:hyperlink w:history="1" r:id="rIdl6eojiszcvpvt584llnrx">
        <w:r>
          <w:rPr>
            <w:rFonts w:ascii="Arial" w:cs="Arial" w:eastAsia="Arial" w:hAnsi="Arial"/>
            <w:color w:val="1C5CAB"/>
            <w:sz w:val="15"/>
            <w:szCs w:val="15"/>
          </w:rPr>
          <w:t xml:space="preserve">[#178]</w:t>
        </w:r>
      </w:hyperlink>
      <w:r>
        <w:rPr>
          <w:rFonts w:ascii="Arial" w:cs="Arial" w:eastAsia="Arial" w:hAnsi="Arial"/>
          <w:sz w:val="19"/>
          <w:szCs w:val="19"/>
        </w:rPr>
        <w:t xml:space="preserve">, +11.8% in 2023 incl. ~9 pts </w:t>
      </w:r>
      <w:hyperlink w:history="1" r:id="rIdpkf6sa38dnqxyuj-avfpk">
        <w:r>
          <w:rPr>
            <w:rFonts w:ascii="Arial" w:cs="Arial" w:eastAsia="Arial" w:hAnsi="Arial"/>
            <w:color w:val="1C5CAB"/>
            <w:sz w:val="15"/>
            <w:szCs w:val="15"/>
          </w:rPr>
          <w:t xml:space="preserve">[#156]</w:t>
        </w:r>
      </w:hyperlink>
      <w:r>
        <w:rPr>
          <w:rFonts w:ascii="Arial" w:cs="Arial" w:eastAsia="Arial" w:hAnsi="Arial"/>
          <w:sz w:val="19"/>
          <w:szCs w:val="19"/>
        </w:rPr>
        <w:t xml:space="preserve">), then normalisation to +5.2% (2024) and +3.8% (2025); acquisitions added 1–2 pts a year and Mexico (Lavartex, 2022).</w:t>
      </w:r>
    </w:p>
    <w:p>
      <w:pPr>
        <w:pStyle w:val="ListParagraph"/>
        <w:numPr>
          <w:ilvl w:val="0"/>
          <w:numId w:val="2"/>
        </w:numPr>
        <w:spacing w:after="60" w:line="252"/>
      </w:pPr>
      <w:r>
        <w:rPr>
          <w:rFonts w:ascii="Arial" w:cs="Arial" w:eastAsia="Arial" w:hAnsi="Arial"/>
          <w:b/>
          <w:bCs/>
          <w:sz w:val="19"/>
          <w:szCs w:val="19"/>
        </w:rPr>
        <w:t xml:space="preserve">Margins</w:t>
      </w:r>
      <w:r>
        <w:rPr>
          <w:rFonts w:ascii="Arial" w:cs="Arial" w:eastAsia="Arial" w:hAnsi="Arial"/>
          <w:sz w:val="19"/>
          <w:szCs w:val="19"/>
        </w:rPr>
        <w:t xml:space="preserve">: adjusted EBITDA margin dipped to 33.0% in 2022 (unhedged energy) and recovered to a record 35.4% in 2025 as price caught up and hedging saved ~€30m </w:t>
      </w:r>
      <w:hyperlink w:history="1" r:id="rIdf2rleb-30pm168kdrhyfn">
        <w:r>
          <w:rPr>
            <w:rFonts w:ascii="Arial" w:cs="Arial" w:eastAsia="Arial" w:hAnsi="Arial"/>
            <w:color w:val="1C5CAB"/>
            <w:sz w:val="15"/>
            <w:szCs w:val="15"/>
          </w:rPr>
          <w:t xml:space="preserve">[#419]</w:t>
        </w:r>
      </w:hyperlink>
      <w:r>
        <w:rPr>
          <w:rFonts w:ascii="Arial" w:cs="Arial" w:eastAsia="Arial" w:hAnsi="Arial"/>
          <w:sz w:val="19"/>
          <w:szCs w:val="19"/>
        </w:rPr>
        <w:t xml:space="preserve">. EBIT margin has stalled at ~13% (S&amp;P) / 16.0% (company) because D&amp;A rose to ~19.6% of revenue with heavy linen capex.</w:t>
      </w:r>
    </w:p>
    <w:p>
      <w:pPr>
        <w:pStyle w:val="ListParagraph"/>
        <w:numPr>
          <w:ilvl w:val="0"/>
          <w:numId w:val="2"/>
        </w:numPr>
        <w:spacing w:after="60" w:line="252"/>
      </w:pPr>
      <w:r>
        <w:rPr>
          <w:rFonts w:ascii="Arial" w:cs="Arial" w:eastAsia="Arial" w:hAnsi="Arial"/>
          <w:b/>
          <w:bCs/>
          <w:sz w:val="19"/>
          <w:szCs w:val="19"/>
        </w:rPr>
        <w:t xml:space="preserve">Net income</w:t>
      </w:r>
      <w:r>
        <w:rPr>
          <w:rFonts w:ascii="Arial" w:cs="Arial" w:eastAsia="Arial" w:hAnsi="Arial"/>
          <w:sz w:val="19"/>
          <w:szCs w:val="19"/>
        </w:rPr>
        <w:t xml:space="preserve"> tripled from €114m to €367m as Covid-era charges fell away and operating leverage worked; growth has slowed to +8.6% in 2025 as financial costs rose (net interest −€134m vs −€91m in 2022).</w:t>
      </w:r>
    </w:p>
    <w:p>
      <w:pPr>
        <w:pStyle w:val="ListParagraph"/>
        <w:numPr>
          <w:ilvl w:val="0"/>
          <w:numId w:val="2"/>
        </w:numPr>
        <w:spacing w:after="60" w:line="252"/>
      </w:pPr>
      <w:r>
        <w:rPr>
          <w:rFonts w:ascii="Arial" w:cs="Arial" w:eastAsia="Arial" w:hAnsi="Arial"/>
          <w:b/>
          <w:bCs/>
          <w:sz w:val="19"/>
          <w:szCs w:val="19"/>
        </w:rPr>
        <w:t xml:space="preserve">Cash flow</w:t>
      </w:r>
      <w:r>
        <w:rPr>
          <w:rFonts w:ascii="Arial" w:cs="Arial" w:eastAsia="Arial" w:hAnsi="Arial"/>
          <w:sz w:val="19"/>
          <w:szCs w:val="19"/>
        </w:rPr>
        <w:t xml:space="preserve">: CFO grew 57% but capex stayed at 18–19% of revenue, so company FCF after leases was only €358.6m in 2025 (21% of adjusted EBITDA).</w:t>
      </w:r>
    </w:p>
    <w:p>
      <w:pPr>
        <w:spacing w:after="60"/>
      </w:pPr>
    </w:p>
    <w:p>
      <w:pPr>
        <w:pStyle w:val="Heading2"/>
        <w:keepNext/>
        <w:keepLines/>
        <w:spacing w:after="80" w:before="180"/>
      </w:pPr>
      <w:r>
        <w:rPr>
          <w:rFonts w:ascii="Arial" w:cs="Arial" w:eastAsia="Arial" w:hAnsi="Arial"/>
          <w:b/>
          <w:bCs/>
          <w:color w:val="13213F"/>
          <w:sz w:val="24"/>
          <w:szCs w:val="24"/>
        </w:rPr>
        <w:t xml:space="preserve">7.2 Segments: growth and adjusted EBITDA margin, FY2021–H1 2026</w:t>
      </w:r>
    </w:p>
    <w:p>
      <w:pPr>
        <w:keepNext/>
        <w:spacing w:after="60" w:before="120"/>
      </w:pPr>
      <w:r>
        <w:rPr>
          <w:rFonts w:ascii="Arial" w:cs="Arial" w:eastAsia="Arial" w:hAnsi="Arial"/>
          <w:b/>
          <w:bCs/>
          <w:color w:val="13213F"/>
          <w:sz w:val="18"/>
          <w:szCs w:val="18"/>
        </w:rPr>
        <w:t xml:space="preserve">Organic growth by segment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2"/>
        <w:gridCol w:w="1147"/>
        <w:gridCol w:w="1147"/>
        <w:gridCol w:w="1147"/>
        <w:gridCol w:w="1147"/>
        <w:gridCol w:w="1147"/>
        <w:gridCol w:w="1149"/>
      </w:tblGrid>
      <w:tr>
        <w:trPr>
          <w:cantSplit/>
          <w:tblHeader/>
        </w:trPr>
        <w:tc>
          <w:tcPr>
            <w:tcW w:type="dxa" w:w="298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Segment</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FY2021</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FY2022</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FY2023</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FY2024</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FY2025</w:t>
            </w:r>
          </w:p>
        </w:tc>
        <w:tc>
          <w:tcPr>
            <w:tcW w:type="dxa" w:w="114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2026</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France</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+9.9%</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+24.2%</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+10.7%</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w:t>
            </w:r>
          </w:p>
        </w:tc>
      </w:tr>
      <w:tr>
        <w:trPr>
          <w:cantSplit/>
        </w:trPr>
        <w:tc>
          <w:tcPr>
            <w:tcW w:type="dxa" w:w="29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Central Europe</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+2.5%</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+15.0%</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+15.1%</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+7.5%</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w:t>
            </w:r>
          </w:p>
        </w:tc>
        <w:tc>
          <w:tcPr>
            <w:tcW w:type="dxa" w:w="11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Scandinavia &amp; Eastern Europe</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+3.1%</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+14.9%</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+8.5%</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+3.8%</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+1.9%</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w:t>
            </w:r>
          </w:p>
        </w:tc>
      </w:tr>
      <w:tr>
        <w:trPr>
          <w:cantSplit/>
        </w:trPr>
        <w:tc>
          <w:tcPr>
            <w:tcW w:type="dxa" w:w="29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UK &amp; Ireland</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+28.8%</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+14.0%</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+4.3%</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+2.6%</w:t>
            </w:r>
          </w:p>
        </w:tc>
        <w:tc>
          <w:tcPr>
            <w:tcW w:type="dxa" w:w="11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Latin America</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+14.1%</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+9.1%</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+10.4%</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+8.7%</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+8.2%</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+8.0%</w:t>
            </w:r>
          </w:p>
        </w:tc>
      </w:tr>
      <w:tr>
        <w:trPr>
          <w:cantSplit/>
        </w:trPr>
        <w:tc>
          <w:tcPr>
            <w:tcW w:type="dxa" w:w="29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Southern Europe</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+19.0%</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+40.1%</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+13.6%</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+5.4%</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+6.7%</w:t>
            </w:r>
          </w:p>
        </w:tc>
        <w:tc>
          <w:tcPr>
            <w:tcW w:type="dxa" w:w="11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+5.7%</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Group</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+7.4%</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+21.0%</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+11.8%</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+5.2%</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+3.8%</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w:t>
            </w:r>
          </w:p>
        </w:tc>
      </w:tr>
    </w:tbl>
    <w:p>
      <w:pPr>
        <w:spacing w:after="100"/>
      </w:pPr>
    </w:p>
    <w:p>
      <w:pPr>
        <w:keepNext/>
        <w:spacing w:after="60" w:before="120"/>
      </w:pPr>
      <w:r>
        <w:rPr>
          <w:rFonts w:ascii="Arial" w:cs="Arial" w:eastAsia="Arial" w:hAnsi="Arial"/>
          <w:b/>
          <w:bCs/>
          <w:color w:val="13213F"/>
          <w:sz w:val="18"/>
          <w:szCs w:val="18"/>
        </w:rPr>
        <w:t xml:space="preserve">Adjusted EBITDA margin by segment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2"/>
        <w:gridCol w:w="1147"/>
        <w:gridCol w:w="1147"/>
        <w:gridCol w:w="1147"/>
        <w:gridCol w:w="1147"/>
        <w:gridCol w:w="1147"/>
        <w:gridCol w:w="1149"/>
      </w:tblGrid>
      <w:tr>
        <w:trPr>
          <w:cantSplit/>
          <w:tblHeader/>
        </w:trPr>
        <w:tc>
          <w:tcPr>
            <w:tcW w:type="dxa" w:w="298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Segment</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FY2021</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FY2022</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FY2023</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FY2024</w:t>
            </w:r>
          </w:p>
        </w:tc>
        <w:tc>
          <w:tcPr>
            <w:tcW w:type="dxa" w:w="114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FY2025</w:t>
            </w:r>
          </w:p>
        </w:tc>
        <w:tc>
          <w:tcPr>
            <w:tcW w:type="dxa" w:w="114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2026</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France</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39.1%</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38.4%</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40.3%</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41.8%</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41.9%</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42.7%</w:t>
            </w:r>
          </w:p>
        </w:tc>
      </w:tr>
      <w:tr>
        <w:trPr>
          <w:cantSplit/>
        </w:trPr>
        <w:tc>
          <w:tcPr>
            <w:tcW w:type="dxa" w:w="29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Central Europe</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32.6%</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29.6%</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30.5%</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32.3%</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32.9%</w:t>
            </w:r>
          </w:p>
        </w:tc>
        <w:tc>
          <w:tcPr>
            <w:tcW w:type="dxa" w:w="11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32.0%</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Scandinavia &amp; Eastern Europe</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38.5%</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36.2%</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36.5%</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35.3%</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35.5%</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34.5%</w:t>
            </w:r>
          </w:p>
        </w:tc>
      </w:tr>
      <w:tr>
        <w:trPr>
          <w:cantSplit/>
        </w:trPr>
        <w:tc>
          <w:tcPr>
            <w:tcW w:type="dxa" w:w="29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UK &amp; Ireland</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30.8%</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30.0%</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30.7%</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31.6%</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32.4%</w:t>
            </w:r>
          </w:p>
        </w:tc>
        <w:tc>
          <w:tcPr>
            <w:tcW w:type="dxa" w:w="11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31.8%</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Latin America</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33.2%</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33.5%</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34.4%</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34.9%</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33.6%</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30.7%</w:t>
            </w:r>
          </w:p>
        </w:tc>
      </w:tr>
      <w:tr>
        <w:trPr>
          <w:cantSplit/>
        </w:trPr>
        <w:tc>
          <w:tcPr>
            <w:tcW w:type="dxa" w:w="29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Southern Europe</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28.7%</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27.2%</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30.8%</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32.6%</w:t>
            </w:r>
          </w:p>
        </w:tc>
        <w:tc>
          <w:tcPr>
            <w:tcW w:type="dxa" w:w="114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33.7%</w:t>
            </w:r>
          </w:p>
        </w:tc>
        <w:tc>
          <w:tcPr>
            <w:tcW w:type="dxa" w:w="11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32.1%</w:t>
            </w:r>
          </w:p>
        </w:tc>
      </w:tr>
      <w:tr>
        <w:trPr>
          <w:cantSplit/>
        </w:trPr>
        <w:tc>
          <w:tcPr>
            <w:tcW w:type="dxa" w:w="29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Group</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34.5%</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33.0%</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34.2%</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35.2%</w:t>
            </w:r>
          </w:p>
        </w:tc>
        <w:tc>
          <w:tcPr>
            <w:tcW w:type="dxa" w:w="114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35.4%</w:t>
            </w:r>
          </w:p>
        </w:tc>
        <w:tc>
          <w:tcPr>
            <w:tcW w:type="dxa" w:w="11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34.7%</w:t>
            </w:r>
          </w:p>
        </w:tc>
      </w:tr>
    </w:tbl>
    <w:p>
      <w:pPr>
        <w:spacing w:after="140" w:before="40"/>
      </w:pPr>
      <w:r>
        <w:rPr>
          <w:rFonts w:ascii="Arial" w:cs="Arial" w:eastAsia="Arial" w:hAnsi="Arial"/>
          <w:color w:val="898781"/>
          <w:sz w:val="14"/>
          <w:szCs w:val="14"/>
        </w:rPr>
        <w:t xml:space="preserve">Source: Elis annual and semi-annual reports and calls via ProntoNLP (sample citations — France: </w:t>
      </w:r>
      <w:hyperlink w:history="1" r:id="rIdhhjy9hkhntpvymbcozrbf">
        <w:r>
          <w:rPr>
            <w:rFonts w:ascii="Arial" w:cs="Arial" w:eastAsia="Arial" w:hAnsi="Arial"/>
            <w:color w:val="898781"/>
            <w:sz w:val="12"/>
            <w:szCs w:val="12"/>
          </w:rPr>
          <w:t xml:space="preserve">[#3400]</w:t>
        </w:r>
      </w:hyperlink>
      <w:r>
        <w:rPr>
          <w:rFonts w:ascii="Arial" w:cs="Arial" w:eastAsia="Arial" w:hAnsi="Arial"/>
          <w:color w:val="898781"/>
          <w:sz w:val="14"/>
          <w:szCs w:val="14"/>
        </w:rPr>
        <w:t xml:space="preserve"> </w:t>
      </w:r>
      <w:hyperlink w:history="1" r:id="rId5nboxwjhdbzsuqxi1re_f">
        <w:r>
          <w:rPr>
            <w:rFonts w:ascii="Arial" w:cs="Arial" w:eastAsia="Arial" w:hAnsi="Arial"/>
            <w:color w:val="898781"/>
            <w:sz w:val="12"/>
            <w:szCs w:val="12"/>
          </w:rPr>
          <w:t xml:space="preserve">[#5324]</w:t>
        </w:r>
      </w:hyperlink>
      <w:r>
        <w:rPr>
          <w:rFonts w:ascii="Arial" w:cs="Arial" w:eastAsia="Arial" w:hAnsi="Arial"/>
          <w:color w:val="898781"/>
          <w:sz w:val="14"/>
          <w:szCs w:val="14"/>
        </w:rPr>
        <w:t xml:space="preserve"> </w:t>
      </w:r>
      <w:hyperlink w:history="1" r:id="rIdu7uryu3gvbfqzal2rfqrn">
        <w:r>
          <w:rPr>
            <w:rFonts w:ascii="Arial" w:cs="Arial" w:eastAsia="Arial" w:hAnsi="Arial"/>
            <w:color w:val="898781"/>
            <w:sz w:val="12"/>
            <w:szCs w:val="12"/>
          </w:rPr>
          <w:t xml:space="preserve">[#93]</w:t>
        </w:r>
      </w:hyperlink>
      <w:r>
        <w:rPr>
          <w:rFonts w:ascii="Arial" w:cs="Arial" w:eastAsia="Arial" w:hAnsi="Arial"/>
          <w:color w:val="898781"/>
          <w:sz w:val="14"/>
          <w:szCs w:val="14"/>
        </w:rPr>
        <w:t xml:space="preserve">; Central Europe: </w:t>
      </w:r>
      <w:hyperlink w:history="1" r:id="rIdnbbgwhtcsgqdfz1ptz2gq">
        <w:r>
          <w:rPr>
            <w:rFonts w:ascii="Arial" w:cs="Arial" w:eastAsia="Arial" w:hAnsi="Arial"/>
            <w:color w:val="898781"/>
            <w:sz w:val="12"/>
            <w:szCs w:val="12"/>
          </w:rPr>
          <w:t xml:space="preserve">[#3402]</w:t>
        </w:r>
      </w:hyperlink>
      <w:r>
        <w:rPr>
          <w:rFonts w:ascii="Arial" w:cs="Arial" w:eastAsia="Arial" w:hAnsi="Arial"/>
          <w:color w:val="898781"/>
          <w:sz w:val="14"/>
          <w:szCs w:val="14"/>
        </w:rPr>
        <w:t xml:space="preserve"> </w:t>
      </w:r>
      <w:hyperlink w:history="1" r:id="rIdyrhrkxbubxtrscynf_-ld">
        <w:r>
          <w:rPr>
            <w:rFonts w:ascii="Arial" w:cs="Arial" w:eastAsia="Arial" w:hAnsi="Arial"/>
            <w:color w:val="898781"/>
            <w:sz w:val="12"/>
            <w:szCs w:val="12"/>
          </w:rPr>
          <w:t xml:space="preserve">[#5331]</w:t>
        </w:r>
      </w:hyperlink>
      <w:r>
        <w:rPr>
          <w:rFonts w:ascii="Arial" w:cs="Arial" w:eastAsia="Arial" w:hAnsi="Arial"/>
          <w:color w:val="898781"/>
          <w:sz w:val="14"/>
          <w:szCs w:val="14"/>
        </w:rPr>
        <w:t xml:space="preserve"> </w:t>
      </w:r>
      <w:hyperlink w:history="1" r:id="rIdbzjcn_ulencoqgwjzmdcz">
        <w:r>
          <w:rPr>
            <w:rFonts w:ascii="Arial" w:cs="Arial" w:eastAsia="Arial" w:hAnsi="Arial"/>
            <w:color w:val="898781"/>
            <w:sz w:val="12"/>
            <w:szCs w:val="12"/>
          </w:rPr>
          <w:t xml:space="preserve">[#100]</w:t>
        </w:r>
      </w:hyperlink>
      <w:r>
        <w:rPr>
          <w:rFonts w:ascii="Arial" w:cs="Arial" w:eastAsia="Arial" w:hAnsi="Arial"/>
          <w:color w:val="898781"/>
          <w:sz w:val="14"/>
          <w:szCs w:val="14"/>
        </w:rPr>
        <w:t xml:space="preserve">; Scandinavia &amp; Eastern Europe: </w:t>
      </w:r>
      <w:hyperlink w:history="1" r:id="rId-udmpnco3eqcksstq9i0j">
        <w:r>
          <w:rPr>
            <w:rFonts w:ascii="Arial" w:cs="Arial" w:eastAsia="Arial" w:hAnsi="Arial"/>
            <w:color w:val="898781"/>
            <w:sz w:val="12"/>
            <w:szCs w:val="12"/>
          </w:rPr>
          <w:t xml:space="preserve">[#3405]</w:t>
        </w:r>
      </w:hyperlink>
      <w:r>
        <w:rPr>
          <w:rFonts w:ascii="Arial" w:cs="Arial" w:eastAsia="Arial" w:hAnsi="Arial"/>
          <w:color w:val="898781"/>
          <w:sz w:val="14"/>
          <w:szCs w:val="14"/>
        </w:rPr>
        <w:t xml:space="preserve"> </w:t>
      </w:r>
      <w:hyperlink w:history="1" r:id="rIdwiyauf-fzzgzhu8omcbnv">
        <w:r>
          <w:rPr>
            <w:rFonts w:ascii="Arial" w:cs="Arial" w:eastAsia="Arial" w:hAnsi="Arial"/>
            <w:color w:val="898781"/>
            <w:sz w:val="12"/>
            <w:szCs w:val="12"/>
          </w:rPr>
          <w:t xml:space="preserve">[#5331]</w:t>
        </w:r>
      </w:hyperlink>
      <w:r>
        <w:rPr>
          <w:rFonts w:ascii="Arial" w:cs="Arial" w:eastAsia="Arial" w:hAnsi="Arial"/>
          <w:color w:val="898781"/>
          <w:sz w:val="14"/>
          <w:szCs w:val="14"/>
        </w:rPr>
        <w:t xml:space="preserve"> </w:t>
      </w:r>
      <w:hyperlink w:history="1" r:id="rIdklfn3xwjv2ygjc5xdq3lf">
        <w:r>
          <w:rPr>
            <w:rFonts w:ascii="Arial" w:cs="Arial" w:eastAsia="Arial" w:hAnsi="Arial"/>
            <w:color w:val="898781"/>
            <w:sz w:val="12"/>
            <w:szCs w:val="12"/>
          </w:rPr>
          <w:t xml:space="preserve">[#115]</w:t>
        </w:r>
      </w:hyperlink>
      <w:r>
        <w:rPr>
          <w:rFonts w:ascii="Arial" w:cs="Arial" w:eastAsia="Arial" w:hAnsi="Arial"/>
          <w:color w:val="898781"/>
          <w:sz w:val="14"/>
          <w:szCs w:val="14"/>
        </w:rPr>
        <w:t xml:space="preserve">; UK &amp; Ireland: </w:t>
      </w:r>
      <w:hyperlink w:history="1" r:id="rIdosm3qcd8c5ulu4vprwggd">
        <w:r>
          <w:rPr>
            <w:rFonts w:ascii="Arial" w:cs="Arial" w:eastAsia="Arial" w:hAnsi="Arial"/>
            <w:color w:val="898781"/>
            <w:sz w:val="12"/>
            <w:szCs w:val="12"/>
          </w:rPr>
          <w:t xml:space="preserve">[#3407]</w:t>
        </w:r>
      </w:hyperlink>
      <w:r>
        <w:rPr>
          <w:rFonts w:ascii="Arial" w:cs="Arial" w:eastAsia="Arial" w:hAnsi="Arial"/>
          <w:color w:val="898781"/>
          <w:sz w:val="14"/>
          <w:szCs w:val="14"/>
        </w:rPr>
        <w:t xml:space="preserve"> </w:t>
      </w:r>
      <w:hyperlink w:history="1" r:id="rIdjkuhiqb8g9-lxjwbdika7">
        <w:r>
          <w:rPr>
            <w:rFonts w:ascii="Arial" w:cs="Arial" w:eastAsia="Arial" w:hAnsi="Arial"/>
            <w:color w:val="898781"/>
            <w:sz w:val="12"/>
            <w:szCs w:val="12"/>
          </w:rPr>
          <w:t xml:space="preserve">[#5331]</w:t>
        </w:r>
      </w:hyperlink>
      <w:r>
        <w:rPr>
          <w:rFonts w:ascii="Arial" w:cs="Arial" w:eastAsia="Arial" w:hAnsi="Arial"/>
          <w:color w:val="898781"/>
          <w:sz w:val="14"/>
          <w:szCs w:val="14"/>
        </w:rPr>
        <w:t xml:space="preserve"> </w:t>
      </w:r>
      <w:hyperlink w:history="1" r:id="rId7wejv1rnqq93nmq8dnaxr">
        <w:r>
          <w:rPr>
            <w:rFonts w:ascii="Arial" w:cs="Arial" w:eastAsia="Arial" w:hAnsi="Arial"/>
            <w:color w:val="898781"/>
            <w:sz w:val="12"/>
            <w:szCs w:val="12"/>
          </w:rPr>
          <w:t xml:space="preserve">[#55]</w:t>
        </w:r>
      </w:hyperlink>
      <w:r>
        <w:rPr>
          <w:rFonts w:ascii="Arial" w:cs="Arial" w:eastAsia="Arial" w:hAnsi="Arial"/>
          <w:color w:val="898781"/>
          <w:sz w:val="14"/>
          <w:szCs w:val="14"/>
        </w:rPr>
        <w:t xml:space="preserve">; Latin America: </w:t>
      </w:r>
      <w:hyperlink w:history="1" r:id="rIdlchlm-vtn_gohghjiopae">
        <w:r>
          <w:rPr>
            <w:rFonts w:ascii="Arial" w:cs="Arial" w:eastAsia="Arial" w:hAnsi="Arial"/>
            <w:color w:val="898781"/>
            <w:sz w:val="12"/>
            <w:szCs w:val="12"/>
          </w:rPr>
          <w:t xml:space="preserve">[#3407]</w:t>
        </w:r>
      </w:hyperlink>
      <w:r>
        <w:rPr>
          <w:rFonts w:ascii="Arial" w:cs="Arial" w:eastAsia="Arial" w:hAnsi="Arial"/>
          <w:color w:val="898781"/>
          <w:sz w:val="14"/>
          <w:szCs w:val="14"/>
        </w:rPr>
        <w:t xml:space="preserve"> </w:t>
      </w:r>
      <w:hyperlink w:history="1" r:id="rIdcreatrmqbzflraha6j29n">
        <w:r>
          <w:rPr>
            <w:rFonts w:ascii="Arial" w:cs="Arial" w:eastAsia="Arial" w:hAnsi="Arial"/>
            <w:color w:val="898781"/>
            <w:sz w:val="12"/>
            <w:szCs w:val="12"/>
          </w:rPr>
          <w:t xml:space="preserve">[#5331]</w:t>
        </w:r>
      </w:hyperlink>
      <w:r>
        <w:rPr>
          <w:rFonts w:ascii="Arial" w:cs="Arial" w:eastAsia="Arial" w:hAnsi="Arial"/>
          <w:color w:val="898781"/>
          <w:sz w:val="14"/>
          <w:szCs w:val="14"/>
        </w:rPr>
        <w:t xml:space="preserve"> </w:t>
      </w:r>
      <w:hyperlink w:history="1" r:id="rIdihvkk4idq0f6isimhakda">
        <w:r>
          <w:rPr>
            <w:rFonts w:ascii="Arial" w:cs="Arial" w:eastAsia="Arial" w:hAnsi="Arial"/>
            <w:color w:val="898781"/>
            <w:sz w:val="12"/>
            <w:szCs w:val="12"/>
          </w:rPr>
          <w:t xml:space="preserve">[#67]</w:t>
        </w:r>
      </w:hyperlink>
      <w:r>
        <w:rPr>
          <w:rFonts w:ascii="Arial" w:cs="Arial" w:eastAsia="Arial" w:hAnsi="Arial"/>
          <w:color w:val="898781"/>
          <w:sz w:val="14"/>
          <w:szCs w:val="14"/>
        </w:rPr>
        <w:t xml:space="preserve">; Southern Europe: </w:t>
      </w:r>
      <w:hyperlink w:history="1" r:id="rIdcqrkkc9cnbbzb5zkmv9kf">
        <w:r>
          <w:rPr>
            <w:rFonts w:ascii="Arial" w:cs="Arial" w:eastAsia="Arial" w:hAnsi="Arial"/>
            <w:color w:val="898781"/>
            <w:sz w:val="12"/>
            <w:szCs w:val="12"/>
          </w:rPr>
          <w:t xml:space="preserve">[#3418]</w:t>
        </w:r>
      </w:hyperlink>
      <w:r>
        <w:rPr>
          <w:rFonts w:ascii="Arial" w:cs="Arial" w:eastAsia="Arial" w:hAnsi="Arial"/>
          <w:color w:val="898781"/>
          <w:sz w:val="14"/>
          <w:szCs w:val="14"/>
        </w:rPr>
        <w:t xml:space="preserve"> </w:t>
      </w:r>
      <w:hyperlink w:history="1" r:id="rIdtyasfotmhbkxdepwxbwab">
        <w:r>
          <w:rPr>
            <w:rFonts w:ascii="Arial" w:cs="Arial" w:eastAsia="Arial" w:hAnsi="Arial"/>
            <w:color w:val="898781"/>
            <w:sz w:val="12"/>
            <w:szCs w:val="12"/>
          </w:rPr>
          <w:t xml:space="preserve">[#5352]</w:t>
        </w:r>
      </w:hyperlink>
      <w:r>
        <w:rPr>
          <w:rFonts w:ascii="Arial" w:cs="Arial" w:eastAsia="Arial" w:hAnsi="Arial"/>
          <w:color w:val="898781"/>
          <w:sz w:val="14"/>
          <w:szCs w:val="14"/>
        </w:rPr>
        <w:t xml:space="preserve"> </w:t>
      </w:r>
      <w:hyperlink w:history="1" r:id="rIdip5jnncbl4j7eu_3um7ao">
        <w:r>
          <w:rPr>
            <w:rFonts w:ascii="Arial" w:cs="Arial" w:eastAsia="Arial" w:hAnsi="Arial"/>
            <w:color w:val="898781"/>
            <w:sz w:val="12"/>
            <w:szCs w:val="12"/>
          </w:rPr>
          <w:t xml:space="preserve">[#69]</w:t>
        </w:r>
      </w:hyperlink>
      <w:r>
        <w:rPr>
          <w:rFonts w:ascii="Arial" w:cs="Arial" w:eastAsia="Arial" w:hAnsi="Arial"/>
          <w:color w:val="898781"/>
          <w:sz w:val="14"/>
          <w:szCs w:val="14"/>
        </w:rPr>
        <w:t xml:space="preserve">). Full citations per cell in model/F_segments_annual.csv.</w:t>
      </w:r>
    </w:p>
    <w:p>
      <w:pPr>
        <w:keepNext/>
        <w:spacing w:after="60" w:before="120"/>
      </w:pPr>
      <w:r>
        <w:rPr>
          <w:rFonts w:ascii="Arial" w:cs="Arial" w:eastAsia="Arial" w:hAnsi="Arial"/>
          <w:b/>
          <w:bCs/>
          <w:color w:val="13213F"/>
          <w:sz w:val="18"/>
          <w:szCs w:val="18"/>
        </w:rPr>
        <w:t xml:space="preserve">Half-year revenue and adjusted EBITDA by segment (EUR m) — the only periods where € segment figures are retrievable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1"/>
        <w:gridCol w:w="1281"/>
        <w:gridCol w:w="1281"/>
        <w:gridCol w:w="1281"/>
        <w:gridCol w:w="1281"/>
        <w:gridCol w:w="1411"/>
      </w:tblGrid>
      <w:tr>
        <w:trPr>
          <w:cantSplit/>
          <w:tblHeader/>
        </w:trPr>
        <w:tc>
          <w:tcPr>
            <w:tcW w:type="dxa" w:w="333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Segment</w:t>
            </w:r>
          </w:p>
        </w:tc>
        <w:tc>
          <w:tcPr>
            <w:tcW w:type="dxa" w:w="12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2022</w:t>
            </w:r>
          </w:p>
        </w:tc>
        <w:tc>
          <w:tcPr>
            <w:tcW w:type="dxa" w:w="12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2023</w:t>
            </w:r>
          </w:p>
        </w:tc>
        <w:tc>
          <w:tcPr>
            <w:tcW w:type="dxa" w:w="12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2024</w:t>
            </w:r>
          </w:p>
        </w:tc>
        <w:tc>
          <w:tcPr>
            <w:tcW w:type="dxa" w:w="12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2025</w:t>
            </w:r>
          </w:p>
        </w:tc>
        <w:tc>
          <w:tcPr>
            <w:tcW w:type="dxa" w:w="141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EBITDA H1 2025</w:t>
            </w:r>
          </w:p>
        </w:tc>
      </w:tr>
      <w:tr>
        <w:trPr>
          <w:cantSplit/>
        </w:trPr>
        <w:tc>
          <w:tcPr>
            <w:tcW w:type="dxa" w:w="333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France</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564.0</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640.3</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663.2</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683.8</w:t>
            </w:r>
          </w:p>
        </w:tc>
        <w:tc>
          <w:tcPr>
            <w:tcW w:type="dxa" w:w="14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285.8</w:t>
            </w:r>
          </w:p>
        </w:tc>
      </w:tr>
      <w:tr>
        <w:trPr>
          <w:cantSplit/>
        </w:trPr>
        <w:tc>
          <w:tcPr>
            <w:tcW w:type="dxa" w:w="333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Central Europe</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410.7</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497.3</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556.8</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605.5</w:t>
            </w:r>
          </w:p>
        </w:tc>
        <w:tc>
          <w:tcPr>
            <w:tcW w:type="dxa" w:w="14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196.7</w:t>
            </w:r>
          </w:p>
        </w:tc>
      </w:tr>
      <w:tr>
        <w:trPr>
          <w:cantSplit/>
        </w:trPr>
        <w:tc>
          <w:tcPr>
            <w:tcW w:type="dxa" w:w="333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Scandinavia &amp; Eastern Europe</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280.2</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300.1</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309.4</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317.4</w:t>
            </w:r>
          </w:p>
        </w:tc>
        <w:tc>
          <w:tcPr>
            <w:tcW w:type="dxa" w:w="14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109.3</w:t>
            </w:r>
          </w:p>
        </w:tc>
      </w:tr>
      <w:tr>
        <w:trPr>
          <w:cantSplit/>
        </w:trPr>
        <w:tc>
          <w:tcPr>
            <w:tcW w:type="dxa" w:w="333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UK &amp; Ireland</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224.2</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257.3</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275.9</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286.9</w:t>
            </w:r>
          </w:p>
        </w:tc>
        <w:tc>
          <w:tcPr>
            <w:tcW w:type="dxa" w:w="14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91.5</w:t>
            </w:r>
          </w:p>
        </w:tc>
      </w:tr>
      <w:tr>
        <w:trPr>
          <w:cantSplit/>
        </w:trPr>
        <w:tc>
          <w:tcPr>
            <w:tcW w:type="dxa" w:w="333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Latin America</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141.0</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213.7</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232.3</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218.6</w:t>
            </w:r>
          </w:p>
        </w:tc>
        <w:tc>
          <w:tcPr>
            <w:tcW w:type="dxa" w:w="14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71.0</w:t>
            </w:r>
          </w:p>
        </w:tc>
      </w:tr>
      <w:tr>
        <w:trPr>
          <w:cantSplit/>
        </w:trPr>
        <w:tc>
          <w:tcPr>
            <w:tcW w:type="dxa" w:w="333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Southern Europe</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150.3</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179.9</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195.5</w:t>
            </w:r>
          </w:p>
        </w:tc>
        <w:tc>
          <w:tcPr>
            <w:tcW w:type="dxa" w:w="12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214.1</w:t>
            </w:r>
          </w:p>
        </w:tc>
        <w:tc>
          <w:tcPr>
            <w:tcW w:type="dxa" w:w="14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68.2</w:t>
            </w:r>
          </w:p>
        </w:tc>
      </w:tr>
      <w:tr>
        <w:trPr>
          <w:cantSplit/>
        </w:trPr>
        <w:tc>
          <w:tcPr>
            <w:tcW w:type="dxa" w:w="333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Group</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1,783.8</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2,101.3</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2,246.7</w:t>
            </w:r>
          </w:p>
        </w:tc>
        <w:tc>
          <w:tcPr>
            <w:tcW w:type="dxa" w:w="12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2,343.1</w:t>
            </w:r>
          </w:p>
        </w:tc>
        <w:tc>
          <w:tcPr>
            <w:tcW w:type="dxa" w:w="14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813.8</w:t>
            </w:r>
          </w:p>
        </w:tc>
      </w:tr>
    </w:tbl>
    <w:p>
      <w:pPr>
        <w:spacing w:after="140" w:before="40"/>
      </w:pPr>
      <w:r>
        <w:rPr>
          <w:rFonts w:ascii="Arial" w:cs="Arial" w:eastAsia="Arial" w:hAnsi="Arial"/>
          <w:color w:val="898781"/>
          <w:sz w:val="14"/>
          <w:szCs w:val="14"/>
        </w:rPr>
        <w:t xml:space="preserve">Source: Elis semi-annual reports via ProntoNLP (model/F_segments_annual.csv). Full-year € segment revenue is only in non-indexed tables; FY2025 approximations are in Section 1.</w:t>
      </w:r>
    </w:p>
    <w:p>
      <w:pPr>
        <w:keepNext w:val="false"/>
        <w:spacing w:after="40"/>
        <w:jc w:val="center"/>
      </w:pPr>
      <w:r>
        <w:drawing>
          <wp:inline distT="0" distB="0" distL="0" distR="0">
            <wp:extent cx="5762625" cy="2495550"/>
            <wp:effectExtent t="0" r="0" b="0" l="0"/>
            <wp:docPr id="1" name="segment_margins.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95550"/>
                    </a:xfrm>
                    <a:prstGeom prst="rect">
                      <a:avLst/>
                    </a:prstGeom>
                  </pic:spPr>
                </pic:pic>
              </a:graphicData>
            </a:graphic>
          </wp:inline>
        </w:drawing>
      </w:r>
    </w:p>
    <w:p>
      <w:pPr>
        <w:pStyle w:val="ListParagraph"/>
        <w:numPr>
          <w:ilvl w:val="0"/>
          <w:numId w:val="2"/>
        </w:numPr>
        <w:spacing w:after="60" w:line="252"/>
      </w:pPr>
      <w:r>
        <w:rPr>
          <w:rFonts w:ascii="Arial" w:cs="Arial" w:eastAsia="Arial" w:hAnsi="Arial"/>
          <w:b/>
          <w:bCs/>
          <w:sz w:val="19"/>
          <w:szCs w:val="19"/>
        </w:rPr>
        <w:t xml:space="preserve">France</w:t>
      </w:r>
      <w:r>
        <w:rPr>
          <w:rFonts w:ascii="Arial" w:cs="Arial" w:eastAsia="Arial" w:hAnsi="Arial"/>
          <w:sz w:val="19"/>
          <w:szCs w:val="19"/>
        </w:rPr>
        <w:t xml:space="preserve"> (≈29% of revenue): low growth (+2–3%) but margin up from 38.4% (2022) to 42.7% in H1 2026 — density, pricing and productivity.</w:t>
      </w:r>
    </w:p>
    <w:p>
      <w:pPr>
        <w:pStyle w:val="ListParagraph"/>
        <w:numPr>
          <w:ilvl w:val="0"/>
          <w:numId w:val="2"/>
        </w:numPr>
        <w:spacing w:after="60" w:line="252"/>
      </w:pPr>
      <w:r>
        <w:rPr>
          <w:rFonts w:ascii="Arial" w:cs="Arial" w:eastAsia="Arial" w:hAnsi="Arial"/>
          <w:b/>
          <w:bCs/>
          <w:sz w:val="19"/>
          <w:szCs w:val="19"/>
        </w:rPr>
        <w:t xml:space="preserve">Central Europe</w:t>
      </w:r>
      <w:r>
        <w:rPr>
          <w:rFonts w:ascii="Arial" w:cs="Arial" w:eastAsia="Arial" w:hAnsi="Arial"/>
          <w:sz w:val="19"/>
          <w:szCs w:val="19"/>
        </w:rPr>
        <w:t xml:space="preserve"> (≈26%): the turnaround story — Germany margin +450bp in 2024 to ~29% [FY2024 call]; margin 32.9% in 2025 but slipping in H1 2026 on German minimum wages and public healthcare tenders.</w:t>
      </w:r>
    </w:p>
    <w:p>
      <w:pPr>
        <w:pStyle w:val="ListParagraph"/>
        <w:numPr>
          <w:ilvl w:val="0"/>
          <w:numId w:val="2"/>
        </w:numPr>
        <w:spacing w:after="60" w:line="252"/>
      </w:pPr>
      <w:r>
        <w:rPr>
          <w:rFonts w:ascii="Arial" w:cs="Arial" w:eastAsia="Arial" w:hAnsi="Arial"/>
          <w:b/>
          <w:bCs/>
          <w:sz w:val="19"/>
          <w:szCs w:val="19"/>
        </w:rPr>
        <w:t xml:space="preserve">Scandinavia &amp; Eastern Europe</w:t>
      </w:r>
      <w:r>
        <w:rPr>
          <w:rFonts w:ascii="Arial" w:cs="Arial" w:eastAsia="Arial" w:hAnsi="Arial"/>
          <w:sz w:val="19"/>
          <w:szCs w:val="19"/>
        </w:rPr>
        <w:t xml:space="preserve">: the "cash cow", but margin has drifted from 38.5% (2021) to 34.5% (H1 2026) with Danish customer losses and weak volumes.</w:t>
      </w:r>
    </w:p>
    <w:p>
      <w:pPr>
        <w:pStyle w:val="ListParagraph"/>
        <w:numPr>
          <w:ilvl w:val="0"/>
          <w:numId w:val="2"/>
        </w:numPr>
        <w:spacing w:after="60" w:line="252"/>
      </w:pPr>
      <w:r>
        <w:rPr>
          <w:rFonts w:ascii="Arial" w:cs="Arial" w:eastAsia="Arial" w:hAnsi="Arial"/>
          <w:b/>
          <w:bCs/>
          <w:sz w:val="19"/>
          <w:szCs w:val="19"/>
        </w:rPr>
        <w:t xml:space="preserve">UK &amp; Ireland</w:t>
      </w:r>
      <w:r>
        <w:rPr>
          <w:rFonts w:ascii="Arial" w:cs="Arial" w:eastAsia="Arial" w:hAnsi="Arial"/>
          <w:sz w:val="19"/>
          <w:szCs w:val="19"/>
        </w:rPr>
        <w:t xml:space="preserve">: the Berendsen legacy fixed — margin from ~23% pre-acquisition to 32.4% — but organic growth only ~2% and competition caps further gains.</w:t>
      </w:r>
    </w:p>
    <w:p>
      <w:pPr>
        <w:pStyle w:val="ListParagraph"/>
        <w:numPr>
          <w:ilvl w:val="0"/>
          <w:numId w:val="2"/>
        </w:numPr>
        <w:spacing w:after="60" w:line="252"/>
      </w:pPr>
      <w:r>
        <w:rPr>
          <w:rFonts w:ascii="Arial" w:cs="Arial" w:eastAsia="Arial" w:hAnsi="Arial"/>
          <w:b/>
          <w:bCs/>
          <w:sz w:val="19"/>
          <w:szCs w:val="19"/>
        </w:rPr>
        <w:t xml:space="preserve">Latin America</w:t>
      </w:r>
      <w:r>
        <w:rPr>
          <w:rFonts w:ascii="Arial" w:cs="Arial" w:eastAsia="Arial" w:hAnsi="Arial"/>
          <w:sz w:val="19"/>
          <w:szCs w:val="19"/>
        </w:rPr>
        <w:t xml:space="preserve">: highest growth (8–14% organic) but volatile margins (34.9% in 2024 → 30.7% in H1 2026: minimum wages, Mexico tender loss) and FX (−8% in 2025).</w:t>
      </w:r>
    </w:p>
    <w:p>
      <w:pPr>
        <w:pStyle w:val="ListParagraph"/>
        <w:numPr>
          <w:ilvl w:val="0"/>
          <w:numId w:val="2"/>
        </w:numPr>
        <w:spacing w:after="60" w:line="252"/>
      </w:pPr>
      <w:r>
        <w:rPr>
          <w:rFonts w:ascii="Arial" w:cs="Arial" w:eastAsia="Arial" w:hAnsi="Arial"/>
          <w:b/>
          <w:bCs/>
          <w:sz w:val="19"/>
          <w:szCs w:val="19"/>
        </w:rPr>
        <w:t xml:space="preserve">Southern Europe</w:t>
      </w:r>
      <w:r>
        <w:rPr>
          <w:rFonts w:ascii="Arial" w:cs="Arial" w:eastAsia="Arial" w:hAnsi="Arial"/>
          <w:sz w:val="19"/>
          <w:szCs w:val="19"/>
        </w:rPr>
        <w:t xml:space="preserve">: best improvement — margin 27.2% (2022) to 33.7% (2025) via density and bolt-ons.</w:t>
      </w:r>
    </w:p>
    <w:p>
      <w:pPr>
        <w:spacing w:after="60"/>
      </w:pPr>
    </w:p>
    <w:p>
      <w:pPr>
        <w:pStyle w:val="Heading2"/>
        <w:keepNext/>
        <w:keepLines/>
        <w:spacing w:after="80" w:before="180"/>
      </w:pPr>
      <w:r>
        <w:rPr>
          <w:rFonts w:ascii="Arial" w:cs="Arial" w:eastAsia="Arial" w:hAnsi="Arial"/>
          <w:b/>
          <w:bCs/>
          <w:color w:val="13213F"/>
          <w:sz w:val="24"/>
          <w:szCs w:val="24"/>
        </w:rPr>
        <w:t xml:space="preserve">7.3 Revenue by product line and end-market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2"/>
        <w:gridCol w:w="1644"/>
        <w:gridCol w:w="1644"/>
        <w:gridCol w:w="1644"/>
        <w:gridCol w:w="1372"/>
      </w:tblGrid>
      <w:tr>
        <w:trPr>
          <w:cantSplit/>
          <w:tblHeader/>
        </w:trPr>
        <w:tc>
          <w:tcPr>
            <w:tcW w:type="dxa" w:w="356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Category</w:t>
            </w:r>
          </w:p>
        </w:tc>
        <w:tc>
          <w:tcPr>
            <w:tcW w:type="dxa" w:w="164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2022 €m</w:t>
            </w:r>
          </w:p>
        </w:tc>
        <w:tc>
          <w:tcPr>
            <w:tcW w:type="dxa" w:w="164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2024 €m</w:t>
            </w:r>
          </w:p>
        </w:tc>
        <w:tc>
          <w:tcPr>
            <w:tcW w:type="dxa" w:w="164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Share H1 2024</w:t>
            </w:r>
          </w:p>
        </w:tc>
        <w:tc>
          <w:tcPr>
            <w:tcW w:type="dxa" w:w="137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Change</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Flat linen</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752.5</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1,021.0</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45.4%</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+35.7%</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Workwear</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670.7</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826.8</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36.8%</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+23.3%</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Hygiene &amp; well-being</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325.0</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371.7</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16.5%</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+14.4%</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Flat linen</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752.5</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Workwear</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670.7</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Hygiene &amp; well-being</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325.0</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Hospitality</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417.6</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559.3</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24.9%</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+33.9%</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Industry</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500.2</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617.1</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27.5%</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+23.4%</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Healthcare</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514.4</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672.3</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29.9%</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+30.7%</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Trade &amp; Services</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351.7</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417.7</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18.6%</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+18.8%</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Healthcare</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514.4</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Industry</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500.2</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r>
        <w:trPr>
          <w:cantSplit/>
        </w:trPr>
        <w:tc>
          <w:tcPr>
            <w:tcW w:type="dxa" w:w="35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Hospitality</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417.6</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r>
        <w:trPr>
          <w:cantSplit/>
        </w:trPr>
        <w:tc>
          <w:tcPr>
            <w:tcW w:type="dxa" w:w="35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Trade &amp; Services</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351.7</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c>
          <w:tcPr>
            <w:tcW w:type="dxa" w:w="16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0.0%</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-100.0%</w:t>
            </w:r>
          </w:p>
        </w:tc>
      </w:tr>
    </w:tbl>
    <w:p>
      <w:pPr>
        <w:spacing w:after="140" w:before="40"/>
      </w:pPr>
      <w:r>
        <w:rPr>
          <w:rFonts w:ascii="Arial" w:cs="Arial" w:eastAsia="Arial" w:hAnsi="Arial"/>
          <w:color w:val="898781"/>
          <w:sz w:val="14"/>
          <w:szCs w:val="14"/>
        </w:rPr>
        <w:t xml:space="preserve">Source: Elis semi-annual report revenue-disaggregation notes via ProntoNLP (worker F, model/F_product_endmarket.csv) [calc shares].</w:t>
      </w:r>
    </w:p>
    <w:p>
      <w:pPr>
        <w:pStyle w:val="Heading2"/>
        <w:keepNext/>
        <w:keepLines/>
        <w:spacing w:after="80" w:before="180"/>
      </w:pPr>
      <w:r>
        <w:rPr>
          <w:rFonts w:ascii="Arial" w:cs="Arial" w:eastAsia="Arial" w:hAnsi="Arial"/>
          <w:b/>
          <w:bCs/>
          <w:color w:val="13213F"/>
          <w:sz w:val="24"/>
          <w:szCs w:val="24"/>
        </w:rPr>
        <w:t xml:space="preserve">7.4 Operating KPIs and trends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1793"/>
        <w:gridCol w:w="5607"/>
      </w:tblGrid>
      <w:tr>
        <w:trPr>
          <w:cantSplit/>
          <w:tblHeader/>
        </w:trPr>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KPI</w:t>
            </w:r>
          </w:p>
        </w:tc>
        <w:tc>
          <w:tcPr>
            <w:tcW w:type="dxa" w:w="179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Latest</w:t>
            </w:r>
          </w:p>
        </w:tc>
        <w:tc>
          <w:tcPr>
            <w:tcW w:type="dxa" w:w="560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Trend / comment</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Organic growth</w:t>
            </w:r>
          </w:p>
        </w:tc>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H1-26 +3.2%</w:t>
            </w:r>
          </w:p>
        </w:tc>
        <w:tc>
          <w:tcPr>
            <w:tcW w:type="dxa" w:w="560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Down from +21% (2022) to 3.8% (2025); price ≈ volume; 2027 guided "better"</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Price contribution</w:t>
            </w:r>
          </w:p>
        </w:tc>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~half of organic</w:t>
            </w:r>
          </w:p>
        </w:tc>
        <w:tc>
          <w:tcPr>
            <w:tcW w:type="dxa" w:w="560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~8 pts (2022), ~9 pts (2023), normalising to ~2 pts</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Customer retention</w:t>
            </w:r>
          </w:p>
        </w:tc>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~94%</w:t>
            </w:r>
          </w:p>
        </w:tc>
        <w:tc>
          <w:tcPr>
            <w:tcW w:type="dxa" w:w="560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Churn ~6% incl. failures; +~1 pt churn in 2023–24 from pricing </w:t>
            </w:r>
            <w:hyperlink w:history="1" r:id="rIdd_hs_vqaxdovdnjjc0uu0">
              <w:r>
                <w:rPr>
                  <w:rFonts w:ascii="Arial" w:cs="Arial" w:eastAsia="Arial" w:hAnsi="Arial"/>
                  <w:b w:val="false"/>
                  <w:bCs w:val="false"/>
                  <w:sz w:val="12"/>
                  <w:szCs w:val="12"/>
                </w:rPr>
                <w:t xml:space="preserve">[#452]</w:t>
              </w:r>
            </w:hyperlink>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New signings</w:t>
            </w:r>
          </w:p>
        </w:tc>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Record Q1-26</w:t>
            </w:r>
          </w:p>
        </w:tc>
        <w:tc>
          <w:tcPr>
            <w:tcW w:type="dxa" w:w="560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Q2 better; 3–4 months to invoice </w:t>
            </w:r>
            <w:hyperlink w:history="1" r:id="rIdbmvsfg4uinsbiioimg_j7">
              <w:r>
                <w:rPr>
                  <w:rFonts w:ascii="Arial" w:cs="Arial" w:eastAsia="Arial" w:hAnsi="Arial"/>
                  <w:b w:val="false"/>
                  <w:bCs w:val="false"/>
                  <w:sz w:val="12"/>
                  <w:szCs w:val="12"/>
                </w:rPr>
                <w:t xml:space="preserve">[#497]</w:t>
              </w:r>
            </w:hyperlink>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Capex intensity</w:t>
            </w:r>
          </w:p>
        </w:tc>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19.5% (H1-26)</w:t>
            </w:r>
          </w:p>
        </w:tc>
        <w:tc>
          <w:tcPr>
            <w:tcW w:type="dxa" w:w="560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18.0% (FY2025); guided ~18% for FY2026</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D&amp;A / revenue</w:t>
            </w:r>
          </w:p>
        </w:tc>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19.7% (H1-26)</w:t>
            </w:r>
          </w:p>
        </w:tc>
        <w:tc>
          <w:tcPr>
            <w:tcW w:type="dxa" w:w="560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Peaked 2025 per management; limits EBIT leverage</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FCF / adj. EBITDA</w:t>
            </w:r>
          </w:p>
        </w:tc>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21% (FY2025)</w:t>
            </w:r>
          </w:p>
        </w:tc>
        <w:tc>
          <w:tcPr>
            <w:tcW w:type="dxa" w:w="560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H1-26 negative (−€30.1m)</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DSO (company)</w:t>
            </w:r>
          </w:p>
        </w:tc>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57 days (Jun-26)</w:t>
            </w:r>
          </w:p>
        </w:tc>
        <w:tc>
          <w:tcPr>
            <w:tcW w:type="dxa" w:w="560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vs 54 days a year earlier</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Leverage</w:t>
            </w:r>
          </w:p>
        </w:tc>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2.09x (Jun-26)</w:t>
            </w:r>
          </w:p>
        </w:tc>
        <w:tc>
          <w:tcPr>
            <w:tcW w:type="dxa" w:w="560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1.75x Dec-25; target ~1.65x Dec-26</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Pre-tax ROCE</w:t>
            </w:r>
          </w:p>
        </w:tc>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14.7% (FY2025)</w:t>
            </w:r>
          </w:p>
        </w:tc>
        <w:tc>
          <w:tcPr>
            <w:tcW w:type="dxa" w:w="560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Target &gt;15% in 2026 </w:t>
            </w:r>
            <w:hyperlink w:history="1" r:id="rIdncxzfyxhqkqu0adjcyavz">
              <w:r>
                <w:rPr>
                  <w:rFonts w:ascii="Arial" w:cs="Arial" w:eastAsia="Arial" w:hAnsi="Arial"/>
                  <w:b w:val="false"/>
                  <w:bCs w:val="false"/>
                  <w:sz w:val="12"/>
                  <w:szCs w:val="12"/>
                </w:rPr>
                <w:t xml:space="preserve">[#270]</w:t>
              </w:r>
            </w:hyperlink>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Network</w:t>
            </w:r>
          </w:p>
        </w:tc>
        <w:tc>
          <w:tcPr>
            <w:tcW w:type="dxa" w:w="17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&gt;373 laundries; 6,000+ routes/day</w:t>
            </w:r>
          </w:p>
        </w:tc>
        <w:tc>
          <w:tcPr>
            <w:tcW w:type="dxa" w:w="560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11,800+ vehicles; 58,445 employees (S&amp;P)</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Energy hedging</w:t>
            </w:r>
          </w:p>
        </w:tc>
        <w:tc>
          <w:tcPr>
            <w:tcW w:type="dxa" w:w="17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93%/94% (2026)</w:t>
            </w:r>
          </w:p>
        </w:tc>
        <w:tc>
          <w:tcPr>
            <w:tcW w:type="dxa" w:w="560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81%/87% (2027), 61%/53% (2028) gas/electricity</w:t>
            </w:r>
          </w:p>
        </w:tc>
      </w:tr>
    </w:tbl>
    <w:p>
      <w:pPr>
        <w:spacing w:after="140" w:before="40"/>
      </w:pPr>
      <w:r>
        <w:rPr>
          <w:rFonts w:ascii="Arial" w:cs="Arial" w:eastAsia="Arial" w:hAnsi="Arial"/>
          <w:color w:val="898781"/>
          <w:sz w:val="14"/>
          <w:szCs w:val="14"/>
        </w:rPr>
        <w:t xml:space="preserve">Sources as cited and in Sections 3–4 and 8.</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8. Earnings calls, sentiment and the latest result</w:t>
      </w:r>
    </w:p>
    <w:p>
      <w:pPr>
        <w:pStyle w:val="Heading2"/>
        <w:keepNext/>
        <w:keepLines/>
        <w:spacing w:after="80" w:before="180"/>
      </w:pPr>
      <w:r>
        <w:rPr>
          <w:rFonts w:ascii="Arial" w:cs="Arial" w:eastAsia="Arial" w:hAnsi="Arial"/>
          <w:b/>
          <w:bCs/>
          <w:color w:val="13213F"/>
          <w:sz w:val="24"/>
          <w:szCs w:val="24"/>
        </w:rPr>
        <w:t xml:space="preserve">8.1 What management has been focused on</w:t>
      </w:r>
    </w:p>
    <w:p>
      <w:pPr>
        <w:spacing w:after="100" w:before="0" w:line="264"/>
        <w:jc w:val="left"/>
      </w:pPr>
      <w:r>
        <w:rPr>
          <w:rFonts w:ascii="Arial" w:cs="Arial" w:eastAsia="Arial" w:hAnsi="Arial"/>
          <w:sz w:val="19"/>
          <w:szCs w:val="19"/>
        </w:rPr>
        <w:t xml:space="preserve">We read the last four results calls in full (</w:t>
      </w:r>
      <w:hyperlink w:history="1" r:id="rIdy8kpwkvtwg2ubbc-6na3a">
        <w:r>
          <w:rPr>
            <w:rFonts w:ascii="Arial" w:cs="Arial" w:eastAsia="Arial" w:hAnsi="Arial"/>
            <w:sz w:val="19"/>
            <w:szCs w:val="19"/>
            <w:u w:val="single"/>
          </w:rPr>
          <w:t xml:space="preserve">H1 2026 earnings call, 29-Jul-2026</w:t>
        </w:r>
      </w:hyperlink>
      <w:r>
        <w:rPr>
          <w:rFonts w:ascii="Arial" w:cs="Arial" w:eastAsia="Arial" w:hAnsi="Arial"/>
          <w:sz w:val="19"/>
          <w:szCs w:val="19"/>
        </w:rPr>
        <w:t xml:space="preserve">, </w:t>
      </w:r>
      <w:hyperlink w:history="1" r:id="rId32uoj2glgyq8vsiuffzik">
        <w:r>
          <w:rPr>
            <w:rFonts w:ascii="Arial" w:cs="Arial" w:eastAsia="Arial" w:hAnsi="Arial"/>
            <w:sz w:val="19"/>
            <w:szCs w:val="19"/>
            <w:u w:val="single"/>
          </w:rPr>
          <w:t xml:space="preserve">FY2025 earnings call, 11-Mar-2026</w:t>
        </w:r>
      </w:hyperlink>
      <w:r>
        <w:rPr>
          <w:rFonts w:ascii="Arial" w:cs="Arial" w:eastAsia="Arial" w:hAnsi="Arial"/>
          <w:sz w:val="19"/>
          <w:szCs w:val="19"/>
        </w:rPr>
        <w:t xml:space="preserve">, </w:t>
      </w:r>
      <w:hyperlink w:history="1" r:id="rIdinwiegz495xe-xikgg5sv">
        <w:r>
          <w:rPr>
            <w:rFonts w:ascii="Arial" w:cs="Arial" w:eastAsia="Arial" w:hAnsi="Arial"/>
            <w:sz w:val="19"/>
            <w:szCs w:val="19"/>
            <w:u w:val="single"/>
          </w:rPr>
          <w:t xml:space="preserve">H1 2025 earnings call, 30-Jul-2025</w:t>
        </w:r>
      </w:hyperlink>
      <w:r>
        <w:rPr>
          <w:rFonts w:ascii="Arial" w:cs="Arial" w:eastAsia="Arial" w:hAnsi="Arial"/>
          <w:sz w:val="19"/>
          <w:szCs w:val="19"/>
        </w:rPr>
        <w:t xml:space="preserve">, </w:t>
      </w:r>
      <w:hyperlink w:history="1" r:id="rIdaxvkwakfpv2mev4isl5uo">
        <w:r>
          <w:rPr>
            <w:rFonts w:ascii="Arial" w:cs="Arial" w:eastAsia="Arial" w:hAnsi="Arial"/>
            <w:sz w:val="19"/>
            <w:szCs w:val="19"/>
            <w:u w:val="single"/>
          </w:rPr>
          <w:t xml:space="preserve">FY2024 earnings call, 6-Mar-2025</w:t>
        </w:r>
      </w:hyperlink>
      <w:r>
        <w:rPr>
          <w:rFonts w:ascii="Arial" w:cs="Arial" w:eastAsia="Arial" w:hAnsi="Arial"/>
          <w:sz w:val="19"/>
          <w:szCs w:val="19"/>
        </w:rPr>
        <w:t xml:space="preserve">) and the H1 2024 call and </w:t>
      </w:r>
      <w:hyperlink w:history="1" r:id="rIdoyqugbhh96rcoc5j-xpac">
        <w:r>
          <w:rPr>
            <w:rFonts w:ascii="Arial" w:cs="Arial" w:eastAsia="Arial" w:hAnsi="Arial"/>
            <w:sz w:val="19"/>
            <w:szCs w:val="19"/>
            <w:u w:val="single"/>
          </w:rPr>
          <w:t xml:space="preserve">Capital Markets Day, 27-May-2025</w:t>
        </w:r>
      </w:hyperlink>
      <w:r>
        <w:rPr>
          <w:rFonts w:ascii="Arial" w:cs="Arial" w:eastAsia="Arial" w:hAnsi="Arial"/>
          <w:sz w:val="19"/>
          <w:szCs w:val="19"/>
        </w:rPr>
        <w:t xml:space="preserve"> through keyword extraction and targeted reading. The narrative arc is clear: </w:t>
      </w:r>
      <w:r>
        <w:rPr>
          <w:rFonts w:ascii="Arial" w:cs="Arial" w:eastAsia="Arial" w:hAnsi="Arial"/>
          <w:sz w:val="19"/>
          <w:szCs w:val="19"/>
        </w:rPr>
        <w:t xml:space="preserve">2024 "records and upgrades" → 2025 "valuation gap and shareholder returns" → H1 2026 "resilience despite Mexico, macro and energy"</w:t>
      </w:r>
      <w:r>
        <w:rPr>
          <w:rFonts w:ascii="Arial" w:cs="Arial" w:eastAsia="Arial" w:hAnsi="Arial"/>
          <w:sz w:val="19"/>
          <w:szCs w:val="19"/>
        </w:rPr>
        <w:t xml:space="preserve">. Between FY2025 and H1 2026 the share of sentences on macro/geopolitics rose from ≤1.6% to 5.2%, Mexico from 0.45% to 3.8%, FCF/working capital to 4.0% and wage inflation to 2.4% (both series highs), while CSR/circularity fell from 6.1% to 2.2% [calc]. Analysts devoted 11.3% of their questions to contracts and volumes (≤3.8% previously).</w:t>
      </w:r>
    </w:p>
    <w:p>
      <w:pPr>
        <w:keepNext/>
        <w:spacing w:after="60" w:before="120"/>
      </w:pPr>
      <w:r>
        <w:rPr>
          <w:rFonts w:ascii="Arial" w:cs="Arial" w:eastAsia="Arial" w:hAnsi="Arial"/>
          <w:b/>
          <w:bCs/>
          <w:color w:val="13213F"/>
          <w:sz w:val="18"/>
          <w:szCs w:val="18"/>
        </w:rPr>
        <w:t xml:space="preserve">Top themes by event (ProntoNLP document sentiment, −1 to +1)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4"/>
        <w:gridCol w:w="643"/>
        <w:gridCol w:w="7829"/>
      </w:tblGrid>
      <w:tr>
        <w:trPr>
          <w:cantSplit/>
          <w:tblHeader/>
        </w:trPr>
        <w:tc>
          <w:tcPr>
            <w:tcW w:type="dxa" w:w="139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Event</w:t>
            </w:r>
          </w:p>
        </w:tc>
        <w:tc>
          <w:tcPr>
            <w:tcW w:type="dxa" w:w="64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center"/>
            </w:pPr>
            <w:r>
              <w:rPr>
                <w:rFonts w:ascii="Arial" w:cs="Arial" w:eastAsia="Arial" w:hAnsi="Arial"/>
                <w:b/>
                <w:bCs/>
                <w:color w:val="FFFFFF"/>
                <w:sz w:val="13"/>
                <w:szCs w:val="13"/>
              </w:rPr>
              <w:t xml:space="preserve">Sent.</w:t>
            </w:r>
          </w:p>
        </w:tc>
        <w:tc>
          <w:tcPr>
            <w:tcW w:type="dxa" w:w="782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Top themes (summary, with one representative citation each)</w:t>
            </w:r>
          </w:p>
        </w:tc>
      </w:tr>
      <w:tr>
        <w:trPr>
          <w:cantSplit/>
        </w:trPr>
        <w:tc>
          <w:tcPr>
            <w:tcW w:type="dxa" w:w="1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2024</w:t>
            </w:r>
          </w:p>
          <w:p>
            <w:pPr>
              <w:spacing w:after="0" w:before="0" w:line="228"/>
              <w:jc w:val="left"/>
            </w:pPr>
            <w:r>
              <w:rPr>
                <w:rFonts w:ascii="Arial" w:cs="Arial" w:eastAsia="Arial" w:hAnsi="Arial"/>
                <w:b w:val="false"/>
                <w:bCs w:val="false"/>
                <w:sz w:val="13"/>
                <w:szCs w:val="13"/>
              </w:rPr>
              <w:t xml:space="preserve">2024-07-24</w:t>
            </w:r>
          </w:p>
        </w:tc>
        <w:tc>
          <w:tcPr>
            <w:tcW w:type="dxa" w:w="64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0.7</w:t>
            </w:r>
          </w:p>
        </w:tc>
        <w:tc>
          <w:tcPr>
            <w:tcW w:type="dxa" w:w="78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Guidance upgrade:</w:t>
            </w:r>
            <w:r>
              <w:rPr>
                <w:rFonts w:ascii="Arial" w:cs="Arial" w:eastAsia="Arial" w:hAnsi="Arial"/>
                <w:b w:val="false"/>
                <w:bCs w:val="false"/>
                <w:sz w:val="13"/>
                <w:szCs w:val="13"/>
              </w:rPr>
              <w:t xml:space="preserve"> FY2024 organic raised to +5.2%-5.5% (from ~+5%) and adj EBITDA margin to 35.2%-35.5% (from ~35%); other objectives confirmed </w:t>
            </w:r>
            <w:hyperlink w:history="1" r:id="rIdffxkxqngoivgeiz-su_sy">
              <w:r>
                <w:rPr>
                  <w:rFonts w:ascii="Arial" w:cs="Arial" w:eastAsia="Arial" w:hAnsi="Arial"/>
                  <w:b w:val="false"/>
                  <w:bCs w:val="false"/>
                  <w:sz w:val="12"/>
                  <w:szCs w:val="12"/>
                </w:rPr>
                <w:t xml:space="preserve">[#270]</w:t>
              </w:r>
            </w:hyperlink>
          </w:p>
          <w:p>
            <w:pPr>
              <w:spacing w:after="0" w:before="0" w:line="228"/>
              <w:jc w:val="left"/>
            </w:pPr>
            <w:r>
              <w:rPr>
                <w:rFonts w:ascii="Arial" w:cs="Arial" w:eastAsia="Arial" w:hAnsi="Arial"/>
                <w:b w:val="false"/>
                <w:bCs w:val="false"/>
                <w:sz w:val="13"/>
                <w:szCs w:val="13"/>
              </w:rPr>
              <w:t xml:space="preserve">Pricing discipline and churn normalisation:</w:t>
            </w:r>
            <w:r>
              <w:rPr>
                <w:rFonts w:ascii="Arial" w:cs="Arial" w:eastAsia="Arial" w:hAnsi="Arial"/>
                <w:b w:val="false"/>
                <w:bCs w:val="false"/>
                <w:sz w:val="13"/>
                <w:szCs w:val="13"/>
              </w:rPr>
              <w:t xml:space="preserve"> Pricing offsets salary inflation; churn back to pre-2023 levels; pricing effect to ease as inflation slows </w:t>
            </w:r>
            <w:hyperlink w:history="1" r:id="rIdk35iksxqdqfmizahivygj">
              <w:r>
                <w:rPr>
                  <w:rFonts w:ascii="Arial" w:cs="Arial" w:eastAsia="Arial" w:hAnsi="Arial"/>
                  <w:b w:val="false"/>
                  <w:bCs w:val="false"/>
                  <w:sz w:val="12"/>
                  <w:szCs w:val="12"/>
                </w:rPr>
                <w:t xml:space="preserve">[#26]</w:t>
              </w:r>
            </w:hyperlink>
          </w:p>
          <w:p>
            <w:pPr>
              <w:spacing w:after="0" w:before="0" w:line="228"/>
              <w:jc w:val="left"/>
            </w:pPr>
            <w:r>
              <w:rPr>
                <w:rFonts w:ascii="Arial" w:cs="Arial" w:eastAsia="Arial" w:hAnsi="Arial"/>
                <w:b w:val="false"/>
                <w:bCs w:val="false"/>
                <w:sz w:val="13"/>
                <w:szCs w:val="13"/>
              </w:rPr>
              <w:t xml:space="preserve">Margin expansion, productivity and energy hedging:</w:t>
            </w:r>
            <w:r>
              <w:rPr>
                <w:rFonts w:ascii="Arial" w:cs="Arial" w:eastAsia="Arial" w:hAnsi="Arial"/>
                <w:b w:val="false"/>
                <w:bCs w:val="false"/>
                <w:sz w:val="13"/>
                <w:szCs w:val="13"/>
              </w:rPr>
              <w:t xml:space="preserve"> EBITDA EUR 774m, margin 34.5% (+120bp); hedging favourable; France margin +190bp </w:t>
            </w:r>
            <w:hyperlink w:history="1" r:id="rIdwr3pwz6as5-tqti5xq-kk">
              <w:r>
                <w:rPr>
                  <w:rFonts w:ascii="Arial" w:cs="Arial" w:eastAsia="Arial" w:hAnsi="Arial"/>
                  <w:b w:val="false"/>
                  <w:bCs w:val="false"/>
                  <w:sz w:val="12"/>
                  <w:szCs w:val="12"/>
                </w:rPr>
                <w:t xml:space="preserve">[#19]</w:t>
              </w:r>
            </w:hyperlink>
          </w:p>
          <w:p>
            <w:pPr>
              <w:spacing w:after="0" w:before="0" w:line="228"/>
              <w:jc w:val="left"/>
            </w:pPr>
            <w:r>
              <w:rPr>
                <w:rFonts w:ascii="Arial" w:cs="Arial" w:eastAsia="Arial" w:hAnsi="Arial"/>
                <w:b w:val="false"/>
                <w:bCs w:val="false"/>
                <w:sz w:val="13"/>
                <w:szCs w:val="13"/>
              </w:rPr>
              <w:t xml:space="preserve">Workwear-led commercial momentum:</w:t>
            </w:r>
            <w:r>
              <w:rPr>
                <w:rFonts w:ascii="Arial" w:cs="Arial" w:eastAsia="Arial" w:hAnsi="Arial"/>
                <w:b w:val="false"/>
                <w:bCs w:val="false"/>
                <w:sz w:val="13"/>
                <w:szCs w:val="13"/>
              </w:rPr>
              <w:t xml:space="preserve"> Strong workwear signings; Germany workwear +15%; record healthcare signings </w:t>
            </w:r>
            <w:hyperlink w:history="1" r:id="rIdb_hjykch9m1gv4a-fufhe">
              <w:r>
                <w:rPr>
                  <w:rFonts w:ascii="Arial" w:cs="Arial" w:eastAsia="Arial" w:hAnsi="Arial"/>
                  <w:b w:val="false"/>
                  <w:bCs w:val="false"/>
                  <w:sz w:val="12"/>
                  <w:szCs w:val="12"/>
                </w:rPr>
                <w:t xml:space="preserve">[#33]</w:t>
              </w:r>
            </w:hyperlink>
          </w:p>
          <w:p>
            <w:pPr>
              <w:spacing w:after="0" w:before="0" w:line="228"/>
              <w:jc w:val="left"/>
            </w:pPr>
            <w:r>
              <w:rPr>
                <w:rFonts w:ascii="Arial" w:cs="Arial" w:eastAsia="Arial" w:hAnsi="Arial"/>
                <w:b w:val="false"/>
                <w:bCs w:val="false"/>
                <w:sz w:val="13"/>
                <w:szCs w:val="13"/>
              </w:rPr>
              <w:t xml:space="preserve">France political risk and Olympics:</w:t>
            </w:r>
            <w:r>
              <w:rPr>
                <w:rFonts w:ascii="Arial" w:cs="Arial" w:eastAsia="Arial" w:hAnsi="Arial"/>
                <w:b w:val="false"/>
                <w:bCs w:val="false"/>
                <w:sz w:val="13"/>
                <w:szCs w:val="13"/>
              </w:rPr>
              <w:t xml:space="preserve"> Stock -15% since dissolution called exaggerated; minimum-wage scenario +1-2% revenue at stable margin; Olympics weighed on Paris hospitality </w:t>
            </w:r>
            <w:hyperlink w:history="1" r:id="rId9-vwvmky4m11vgln5cabl">
              <w:r>
                <w:rPr>
                  <w:rFonts w:ascii="Arial" w:cs="Arial" w:eastAsia="Arial" w:hAnsi="Arial"/>
                  <w:b w:val="false"/>
                  <w:bCs w:val="false"/>
                  <w:sz w:val="12"/>
                  <w:szCs w:val="12"/>
                </w:rPr>
                <w:t xml:space="preserve">[#81]</w:t>
              </w:r>
            </w:hyperlink>
          </w:p>
        </w:tc>
      </w:tr>
      <w:tr>
        <w:trPr>
          <w:cantSplit/>
        </w:trPr>
        <w:tc>
          <w:tcPr>
            <w:tcW w:type="dxa" w:w="1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FY2024</w:t>
            </w:r>
          </w:p>
          <w:p>
            <w:pPr>
              <w:spacing w:after="0" w:before="0" w:line="228"/>
              <w:jc w:val="left"/>
            </w:pPr>
            <w:r>
              <w:rPr>
                <w:rFonts w:ascii="Arial" w:cs="Arial" w:eastAsia="Arial" w:hAnsi="Arial"/>
                <w:b w:val="false"/>
                <w:bCs w:val="false"/>
                <w:sz w:val="13"/>
                <w:szCs w:val="13"/>
              </w:rPr>
              <w:t xml:space="preserve">2025-03-06</w:t>
            </w:r>
          </w:p>
        </w:tc>
        <w:tc>
          <w:tcPr>
            <w:tcW w:type="dxa" w:w="64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0.78</w:t>
            </w:r>
          </w:p>
        </w:tc>
        <w:tc>
          <w:tcPr>
            <w:tcW w:type="dxa" w:w="78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Record year and valuation disconnect:</w:t>
            </w:r>
            <w:r>
              <w:rPr>
                <w:rFonts w:ascii="Arial" w:cs="Arial" w:eastAsia="Arial" w:hAnsi="Arial"/>
                <w:b w:val="false"/>
                <w:bCs w:val="false"/>
                <w:sz w:val="13"/>
                <w:szCs w:val="13"/>
              </w:rPr>
              <w:t xml:space="preserve"> Record KPIs; stock below 2019 level; EV/EBITDA and P/E ~9.6x </w:t>
            </w:r>
            <w:hyperlink w:history="1" r:id="rId4hoa82l7zziw2r9-ujz8y">
              <w:r>
                <w:rPr>
                  <w:rFonts w:ascii="Arial" w:cs="Arial" w:eastAsia="Arial" w:hAnsi="Arial"/>
                  <w:b w:val="false"/>
                  <w:bCs w:val="false"/>
                  <w:sz w:val="12"/>
                  <w:szCs w:val="12"/>
                </w:rPr>
                <w:t xml:space="preserve">[#19]</w:t>
              </w:r>
            </w:hyperlink>
          </w:p>
          <w:p>
            <w:pPr>
              <w:spacing w:after="0" w:before="0" w:line="228"/>
              <w:jc w:val="left"/>
            </w:pPr>
            <w:r>
              <w:rPr>
                <w:rFonts w:ascii="Arial" w:cs="Arial" w:eastAsia="Arial" w:hAnsi="Arial"/>
                <w:b w:val="false"/>
                <w:bCs w:val="false"/>
                <w:sz w:val="13"/>
                <w:szCs w:val="13"/>
              </w:rPr>
              <w:t xml:space="preserve">New capital-allocation policy and EUR 150m buyback:</w:t>
            </w:r>
            <w:r>
              <w:rPr>
                <w:rFonts w:ascii="Arial" w:cs="Arial" w:eastAsia="Arial" w:hAnsi="Arial"/>
                <w:b w:val="false"/>
                <w:bCs w:val="false"/>
                <w:sz w:val="13"/>
                <w:szCs w:val="13"/>
              </w:rPr>
              <w:t xml:space="preserve"> Bolt-ons EUR 50-150m/yr; deleverage capped at ~0.1x/yr; remaining cash to shareholders; EUR 150m buyback; DPS EUR 0.45 (+5%) </w:t>
            </w:r>
            <w:hyperlink w:history="1" r:id="rIdkq40oi63e1xfzly_pgb5u">
              <w:r>
                <w:rPr>
                  <w:rFonts w:ascii="Arial" w:cs="Arial" w:eastAsia="Arial" w:hAnsi="Arial"/>
                  <w:b w:val="false"/>
                  <w:bCs w:val="false"/>
                  <w:sz w:val="12"/>
                  <w:szCs w:val="12"/>
                </w:rPr>
                <w:t xml:space="preserve">[#372]</w:t>
              </w:r>
            </w:hyperlink>
          </w:p>
          <w:p>
            <w:pPr>
              <w:spacing w:after="0" w:before="0" w:line="228"/>
              <w:jc w:val="left"/>
            </w:pPr>
            <w:r>
              <w:rPr>
                <w:rFonts w:ascii="Arial" w:cs="Arial" w:eastAsia="Arial" w:hAnsi="Arial"/>
                <w:b w:val="false"/>
                <w:bCs w:val="false"/>
                <w:sz w:val="13"/>
                <w:szCs w:val="13"/>
              </w:rPr>
              <w:t xml:space="preserve">FY2025 guidance and pricing normalisation:</w:t>
            </w:r>
            <w:r>
              <w:rPr>
                <w:rFonts w:ascii="Arial" w:cs="Arial" w:eastAsia="Arial" w:hAnsi="Arial"/>
                <w:b w:val="false"/>
                <w:bCs w:val="false"/>
                <w:sz w:val="13"/>
                <w:szCs w:val="13"/>
              </w:rPr>
              <w:t xml:space="preserve"> Organic slightly below 4%; margins/EPS/FCF slightly up; pricing negotiations less easy; EUR 30m energy savings given back </w:t>
            </w:r>
            <w:hyperlink w:history="1" r:id="rIdpwastydu2uyqps2dtl3rm">
              <w:r>
                <w:rPr>
                  <w:rFonts w:ascii="Arial" w:cs="Arial" w:eastAsia="Arial" w:hAnsi="Arial"/>
                  <w:b w:val="false"/>
                  <w:bCs w:val="false"/>
                  <w:sz w:val="12"/>
                  <w:szCs w:val="12"/>
                </w:rPr>
                <w:t xml:space="preserve">[#383]</w:t>
              </w:r>
            </w:hyperlink>
          </w:p>
          <w:p>
            <w:pPr>
              <w:spacing w:after="0" w:before="0" w:line="228"/>
              <w:jc w:val="left"/>
            </w:pPr>
            <w:r>
              <w:rPr>
                <w:rFonts w:ascii="Arial" w:cs="Arial" w:eastAsia="Arial" w:hAnsi="Arial"/>
                <w:b w:val="false"/>
                <w:bCs w:val="false"/>
                <w:sz w:val="13"/>
                <w:szCs w:val="13"/>
              </w:rPr>
              <w:t xml:space="preserve">Germany turnaround:</w:t>
            </w:r>
            <w:r>
              <w:rPr>
                <w:rFonts w:ascii="Arial" w:cs="Arial" w:eastAsia="Arial" w:hAnsi="Arial"/>
                <w:b w:val="false"/>
                <w:bCs w:val="false"/>
                <w:sz w:val="13"/>
                <w:szCs w:val="13"/>
              </w:rPr>
              <w:t xml:space="preserve"> Margin +450bp to 29%; more to come </w:t>
            </w:r>
            <w:hyperlink w:history="1" r:id="rId_dmrxyfvbigkbkpxsxvef">
              <w:r>
                <w:rPr>
                  <w:rFonts w:ascii="Arial" w:cs="Arial" w:eastAsia="Arial" w:hAnsi="Arial"/>
                  <w:b w:val="false"/>
                  <w:bCs w:val="false"/>
                  <w:sz w:val="12"/>
                  <w:szCs w:val="12"/>
                </w:rPr>
                <w:t xml:space="preserve">[#122]</w:t>
              </w:r>
            </w:hyperlink>
          </w:p>
          <w:p>
            <w:pPr>
              <w:spacing w:after="0" w:before="0" w:line="228"/>
              <w:jc w:val="left"/>
            </w:pPr>
            <w:r>
              <w:rPr>
                <w:rFonts w:ascii="Arial" w:cs="Arial" w:eastAsia="Arial" w:hAnsi="Arial"/>
                <w:b w:val="false"/>
                <w:bCs w:val="false"/>
                <w:sz w:val="13"/>
                <w:szCs w:val="13"/>
              </w:rPr>
              <w:t xml:space="preserve">Pest control and clean room growth:</w:t>
            </w:r>
            <w:r>
              <w:rPr>
                <w:rFonts w:ascii="Arial" w:cs="Arial" w:eastAsia="Arial" w:hAnsi="Arial"/>
                <w:b w:val="false"/>
                <w:bCs w:val="false"/>
                <w:sz w:val="13"/>
                <w:szCs w:val="13"/>
              </w:rPr>
              <w:t xml:space="preserve"> Clean room EUR 255m (+11%); pest control EUR 75m (+24%) </w:t>
            </w:r>
            <w:hyperlink w:history="1" r:id="rIdmkladknjluyqx8b5aiqxl">
              <w:r>
                <w:rPr>
                  <w:rFonts w:ascii="Arial" w:cs="Arial" w:eastAsia="Arial" w:hAnsi="Arial"/>
                  <w:b w:val="false"/>
                  <w:bCs w:val="false"/>
                  <w:sz w:val="12"/>
                  <w:szCs w:val="12"/>
                </w:rPr>
                <w:t xml:space="preserve">[#79]</w:t>
              </w:r>
            </w:hyperlink>
          </w:p>
        </w:tc>
      </w:tr>
      <w:tr>
        <w:trPr>
          <w:cantSplit/>
        </w:trPr>
        <w:tc>
          <w:tcPr>
            <w:tcW w:type="dxa" w:w="1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CMD</w:t>
            </w:r>
          </w:p>
          <w:p>
            <w:pPr>
              <w:spacing w:after="0" w:before="0" w:line="228"/>
              <w:jc w:val="left"/>
            </w:pPr>
            <w:r>
              <w:rPr>
                <w:rFonts w:ascii="Arial" w:cs="Arial" w:eastAsia="Arial" w:hAnsi="Arial"/>
                <w:b w:val="false"/>
                <w:bCs w:val="false"/>
                <w:sz w:val="13"/>
                <w:szCs w:val="13"/>
              </w:rPr>
              <w:t xml:space="preserve">2025-05-27</w:t>
            </w:r>
          </w:p>
        </w:tc>
        <w:tc>
          <w:tcPr>
            <w:tcW w:type="dxa" w:w="64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0.77</w:t>
            </w:r>
          </w:p>
        </w:tc>
        <w:tc>
          <w:tcPr>
            <w:tcW w:type="dxa" w:w="78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2025-28 financial targets:</w:t>
            </w:r>
            <w:r>
              <w:rPr>
                <w:rFonts w:ascii="Arial" w:cs="Arial" w:eastAsia="Arial" w:hAnsi="Arial"/>
                <w:b w:val="false"/>
                <w:bCs w:val="false"/>
                <w:sz w:val="13"/>
                <w:szCs w:val="13"/>
              </w:rPr>
              <w:t xml:space="preserve"> +5% to +6% growth (CFO wrap-up says 5.5%-6%) incl. ~4% organic; ~+20bp EBITDA margin p.a.; EBITDA/EBIT/EPS faster than revenue; ~EUR 1.5bn cumulative FCF </w:t>
            </w:r>
            <w:hyperlink w:history="1" r:id="rIda9wl2tqydhc0p-mndje3l">
              <w:r>
                <w:rPr>
                  <w:rFonts w:ascii="Arial" w:cs="Arial" w:eastAsia="Arial" w:hAnsi="Arial"/>
                  <w:b w:val="false"/>
                  <w:bCs w:val="false"/>
                  <w:sz w:val="12"/>
                  <w:szCs w:val="12"/>
                </w:rPr>
                <w:t xml:space="preserve">[#3206]</w:t>
              </w:r>
            </w:hyperlink>
          </w:p>
          <w:p>
            <w:pPr>
              <w:spacing w:after="0" w:before="0" w:line="228"/>
              <w:jc w:val="left"/>
            </w:pPr>
            <w:r>
              <w:rPr>
                <w:rFonts w:ascii="Arial" w:cs="Arial" w:eastAsia="Arial" w:hAnsi="Arial"/>
                <w:b w:val="false"/>
                <w:bCs w:val="false"/>
                <w:sz w:val="13"/>
                <w:szCs w:val="13"/>
              </w:rPr>
              <w:t xml:space="preserve">Capital allocation:</w:t>
            </w:r>
            <w:r>
              <w:rPr>
                <w:rFonts w:ascii="Arial" w:cs="Arial" w:eastAsia="Arial" w:hAnsi="Arial"/>
                <w:b w:val="false"/>
                <w:bCs w:val="false"/>
                <w:sz w:val="13"/>
                <w:szCs w:val="13"/>
              </w:rPr>
              <w:t xml:space="preserve"> Bolt-ons up to EUR 150m EV (~EUR 100m avg); small deleveraging; buyback and/or special dividend yearly </w:t>
            </w:r>
            <w:hyperlink w:history="1" r:id="rIdelbjuacdlzwri5q0fq9ke">
              <w:r>
                <w:rPr>
                  <w:rFonts w:ascii="Arial" w:cs="Arial" w:eastAsia="Arial" w:hAnsi="Arial"/>
                  <w:b w:val="false"/>
                  <w:bCs w:val="false"/>
                  <w:sz w:val="12"/>
                  <w:szCs w:val="12"/>
                </w:rPr>
                <w:t xml:space="preserve">[#3239]</w:t>
              </w:r>
            </w:hyperlink>
          </w:p>
          <w:p>
            <w:pPr>
              <w:spacing w:after="0" w:before="0" w:line="228"/>
              <w:jc w:val="left"/>
            </w:pPr>
            <w:r>
              <w:rPr>
                <w:rFonts w:ascii="Arial" w:cs="Arial" w:eastAsia="Arial" w:hAnsi="Arial"/>
                <w:b w:val="false"/>
                <w:bCs w:val="false"/>
                <w:sz w:val="13"/>
                <w:szCs w:val="13"/>
              </w:rPr>
              <w:t xml:space="preserve">Valuation gap:</w:t>
            </w:r>
            <w:r>
              <w:rPr>
                <w:rFonts w:ascii="Arial" w:cs="Arial" w:eastAsia="Arial" w:hAnsi="Arial"/>
                <w:b w:val="false"/>
                <w:bCs w:val="false"/>
                <w:sz w:val="13"/>
                <w:szCs w:val="13"/>
              </w:rPr>
              <w:t xml:space="preserve"> ~11x vs US peers; 4x below historical multiples </w:t>
            </w:r>
            <w:hyperlink w:history="1" r:id="rIdzs5ukhke6uf9d098hon_z">
              <w:r>
                <w:rPr>
                  <w:rFonts w:ascii="Arial" w:cs="Arial" w:eastAsia="Arial" w:hAnsi="Arial"/>
                  <w:b w:val="false"/>
                  <w:bCs w:val="false"/>
                  <w:sz w:val="12"/>
                  <w:szCs w:val="12"/>
                </w:rPr>
                <w:t xml:space="preserve">[#3195]</w:t>
              </w:r>
            </w:hyperlink>
          </w:p>
          <w:p>
            <w:pPr>
              <w:spacing w:after="0" w:before="0" w:line="228"/>
              <w:jc w:val="left"/>
            </w:pPr>
            <w:r>
              <w:rPr>
                <w:rFonts w:ascii="Arial" w:cs="Arial" w:eastAsia="Arial" w:hAnsi="Arial"/>
                <w:b w:val="false"/>
                <w:bCs w:val="false"/>
                <w:sz w:val="13"/>
                <w:szCs w:val="13"/>
              </w:rPr>
              <w:t xml:space="preserve">Large-M&amp;A boundaries:</w:t>
            </w:r>
            <w:r>
              <w:rPr>
                <w:rFonts w:ascii="Arial" w:cs="Arial" w:eastAsia="Arial" w:hAnsi="Arial"/>
                <w:b w:val="false"/>
                <w:bCs w:val="false"/>
                <w:sz w:val="13"/>
                <w:szCs w:val="13"/>
              </w:rPr>
              <w:t xml:space="preserve"> Was ready to evaluate Vestis; nothing on the table for US; European large player below EUR 1bn turnover </w:t>
            </w:r>
            <w:hyperlink w:history="1" r:id="rId9sdiuuoacpnp82jx8wosn">
              <w:r>
                <w:rPr>
                  <w:rFonts w:ascii="Arial" w:cs="Arial" w:eastAsia="Arial" w:hAnsi="Arial"/>
                  <w:b w:val="false"/>
                  <w:bCs w:val="false"/>
                  <w:sz w:val="12"/>
                  <w:szCs w:val="12"/>
                </w:rPr>
                <w:t xml:space="preserve">[#3277]</w:t>
              </w:r>
            </w:hyperlink>
          </w:p>
          <w:p>
            <w:pPr>
              <w:spacing w:after="0" w:before="0" w:line="228"/>
              <w:jc w:val="left"/>
            </w:pPr>
            <w:r>
              <w:rPr>
                <w:rFonts w:ascii="Arial" w:cs="Arial" w:eastAsia="Arial" w:hAnsi="Arial"/>
                <w:b w:val="false"/>
                <w:bCs w:val="false"/>
                <w:sz w:val="13"/>
                <w:szCs w:val="13"/>
              </w:rPr>
              <w:t xml:space="preserve">Organic growth engine:</w:t>
            </w:r>
            <w:r>
              <w:rPr>
                <w:rFonts w:ascii="Arial" w:cs="Arial" w:eastAsia="Arial" w:hAnsi="Arial"/>
                <w:b w:val="false"/>
                <w:bCs w:val="false"/>
                <w:sz w:val="13"/>
                <w:szCs w:val="13"/>
              </w:rPr>
              <w:t xml:space="preserve"> Sales machine, outsourcing, small customers; analysts challenge 4% ambition </w:t>
            </w:r>
            <w:hyperlink w:history="1" r:id="rIdmfj1qkov5gyoirannn85j">
              <w:r>
                <w:rPr>
                  <w:rFonts w:ascii="Arial" w:cs="Arial" w:eastAsia="Arial" w:hAnsi="Arial"/>
                  <w:b w:val="false"/>
                  <w:bCs w:val="false"/>
                  <w:sz w:val="12"/>
                  <w:szCs w:val="12"/>
                </w:rPr>
                <w:t xml:space="preserve">[#514]</w:t>
              </w:r>
            </w:hyperlink>
          </w:p>
        </w:tc>
      </w:tr>
      <w:tr>
        <w:trPr>
          <w:cantSplit/>
        </w:trPr>
        <w:tc>
          <w:tcPr>
            <w:tcW w:type="dxa" w:w="1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2025</w:t>
            </w:r>
          </w:p>
          <w:p>
            <w:pPr>
              <w:spacing w:after="0" w:before="0" w:line="228"/>
              <w:jc w:val="left"/>
            </w:pPr>
            <w:r>
              <w:rPr>
                <w:rFonts w:ascii="Arial" w:cs="Arial" w:eastAsia="Arial" w:hAnsi="Arial"/>
                <w:b w:val="false"/>
                <w:bCs w:val="false"/>
                <w:sz w:val="13"/>
                <w:szCs w:val="13"/>
              </w:rPr>
              <w:t xml:space="preserve">2025-07-30</w:t>
            </w:r>
          </w:p>
        </w:tc>
        <w:tc>
          <w:tcPr>
            <w:tcW w:type="dxa" w:w="64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0.67</w:t>
            </w:r>
          </w:p>
        </w:tc>
        <w:tc>
          <w:tcPr>
            <w:tcW w:type="dxa" w:w="78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LatAm margin squeeze and Mexico tender win:</w:t>
            </w:r>
            <w:r>
              <w:rPr>
                <w:rFonts w:ascii="Arial" w:cs="Arial" w:eastAsia="Arial" w:hAnsi="Arial"/>
                <w:b w:val="false"/>
                <w:bCs w:val="false"/>
                <w:sz w:val="13"/>
                <w:szCs w:val="13"/>
              </w:rPr>
              <w:t xml:space="preserve"> LatAm margin -220bp to 32.5% (minimum wage, hours, premiums); Brazil productivity; big Mexico public-hospital tender won ("massive", "super profitable"); H2 back to 2024 … </w:t>
            </w:r>
            <w:hyperlink w:history="1" r:id="rIdum5dgx5phr7fyvutlplyv">
              <w:r>
                <w:rPr>
                  <w:rFonts w:ascii="Arial" w:cs="Arial" w:eastAsia="Arial" w:hAnsi="Arial"/>
                  <w:b w:val="false"/>
                  <w:bCs w:val="false"/>
                  <w:sz w:val="12"/>
                  <w:szCs w:val="12"/>
                </w:rPr>
                <w:t xml:space="preserve">[#85]</w:t>
              </w:r>
            </w:hyperlink>
          </w:p>
          <w:p>
            <w:pPr>
              <w:spacing w:after="0" w:before="0" w:line="228"/>
              <w:jc w:val="left"/>
            </w:pPr>
            <w:r>
              <w:rPr>
                <w:rFonts w:ascii="Arial" w:cs="Arial" w:eastAsia="Arial" w:hAnsi="Arial"/>
                <w:b w:val="false"/>
                <w:bCs w:val="false"/>
                <w:sz w:val="13"/>
                <w:szCs w:val="13"/>
              </w:rPr>
              <w:t xml:space="preserve">Reaffirmed FY2025 guidance; calendar effects:</w:t>
            </w:r>
            <w:r>
              <w:rPr>
                <w:rFonts w:ascii="Arial" w:cs="Arial" w:eastAsia="Arial" w:hAnsi="Arial"/>
                <w:b w:val="false"/>
                <w:bCs w:val="false"/>
                <w:sz w:val="13"/>
                <w:szCs w:val="13"/>
              </w:rPr>
              <w:t xml:space="preserve"> Organic +3.5% (~4% ex calendar); all FY2025 objectives reaffirmed </w:t>
            </w:r>
            <w:hyperlink w:history="1" r:id="rIdgnponzit7iokh3xcapenr">
              <w:r>
                <w:rPr>
                  <w:rFonts w:ascii="Arial" w:cs="Arial" w:eastAsia="Arial" w:hAnsi="Arial"/>
                  <w:b w:val="false"/>
                  <w:bCs w:val="false"/>
                  <w:sz w:val="12"/>
                  <w:szCs w:val="12"/>
                </w:rPr>
                <w:t xml:space="preserve">[#11]</w:t>
              </w:r>
            </w:hyperlink>
          </w:p>
          <w:p>
            <w:pPr>
              <w:spacing w:after="0" w:before="0" w:line="228"/>
              <w:jc w:val="left"/>
            </w:pPr>
            <w:r>
              <w:rPr>
                <w:rFonts w:ascii="Arial" w:cs="Arial" w:eastAsia="Arial" w:hAnsi="Arial"/>
                <w:b w:val="false"/>
                <w:bCs w:val="false"/>
                <w:sz w:val="13"/>
                <w:szCs w:val="13"/>
              </w:rPr>
              <w:t xml:space="preserve">Margin vs D&amp;A:</w:t>
            </w:r>
            <w:r>
              <w:rPr>
                <w:rFonts w:ascii="Arial" w:cs="Arial" w:eastAsia="Arial" w:hAnsi="Arial"/>
                <w:b w:val="false"/>
                <w:bCs w:val="false"/>
                <w:sz w:val="13"/>
                <w:szCs w:val="13"/>
              </w:rPr>
              <w:t xml:space="preserve"> EBITDA margin +30bp but EBIT margin -20bp (D&amp;A 19.6%); linen capex normalising; D&amp;A/sales peak 2025 </w:t>
            </w:r>
            <w:hyperlink w:history="1" r:id="rIdv4aymyyqxhamkymrvwyfv">
              <w:r>
                <w:rPr>
                  <w:rFonts w:ascii="Arial" w:cs="Arial" w:eastAsia="Arial" w:hAnsi="Arial"/>
                  <w:b w:val="false"/>
                  <w:bCs w:val="false"/>
                  <w:sz w:val="12"/>
                  <w:szCs w:val="12"/>
                </w:rPr>
                <w:t xml:space="preserve">[#12]</w:t>
              </w:r>
            </w:hyperlink>
          </w:p>
          <w:p>
            <w:pPr>
              <w:spacing w:after="0" w:before="0" w:line="228"/>
              <w:jc w:val="left"/>
            </w:pPr>
            <w:r>
              <w:rPr>
                <w:rFonts w:ascii="Arial" w:cs="Arial" w:eastAsia="Arial" w:hAnsi="Arial"/>
                <w:b w:val="false"/>
                <w:bCs w:val="false"/>
                <w:sz w:val="13"/>
                <w:szCs w:val="13"/>
              </w:rPr>
              <w:t xml:space="preserve">Regional dispersion:</w:t>
            </w:r>
            <w:r>
              <w:rPr>
                <w:rFonts w:ascii="Arial" w:cs="Arial" w:eastAsia="Arial" w:hAnsi="Arial"/>
                <w:b w:val="false"/>
                <w:bCs w:val="false"/>
                <w:sz w:val="13"/>
                <w:szCs w:val="13"/>
              </w:rPr>
              <w:t xml:space="preserve"> Denmark losses, Scandinavia margin -50bp ("cash cow"); Southern Europe margin flat; UK subdued </w:t>
            </w:r>
            <w:hyperlink w:history="1" r:id="rIdd6llbzuorwadg1bv9bgep">
              <w:r>
                <w:rPr>
                  <w:rFonts w:ascii="Arial" w:cs="Arial" w:eastAsia="Arial" w:hAnsi="Arial"/>
                  <w:b w:val="false"/>
                  <w:bCs w:val="false"/>
                  <w:sz w:val="12"/>
                  <w:szCs w:val="12"/>
                </w:rPr>
                <w:t xml:space="preserve">[#57]</w:t>
              </w:r>
            </w:hyperlink>
          </w:p>
          <w:p>
            <w:pPr>
              <w:spacing w:after="0" w:before="0" w:line="228"/>
              <w:jc w:val="left"/>
            </w:pPr>
            <w:r>
              <w:rPr>
                <w:rFonts w:ascii="Arial" w:cs="Arial" w:eastAsia="Arial" w:hAnsi="Arial"/>
                <w:b w:val="false"/>
                <w:bCs w:val="false"/>
                <w:sz w:val="13"/>
                <w:szCs w:val="13"/>
              </w:rPr>
              <w:t xml:space="preserve">CMD targets and capital returns:</w:t>
            </w:r>
            <w:r>
              <w:rPr>
                <w:rFonts w:ascii="Arial" w:cs="Arial" w:eastAsia="Arial" w:hAnsi="Arial"/>
                <w:b w:val="false"/>
                <w:bCs w:val="false"/>
                <w:sz w:val="13"/>
                <w:szCs w:val="13"/>
              </w:rPr>
              <w:t xml:space="preserve"> 2025-28 targets restated; EUR 150m buyback (~4m shares at ~EUR 22 by June) </w:t>
            </w:r>
            <w:hyperlink w:history="1" r:id="rIdoddtiu43ofysenb-6rshf">
              <w:r>
                <w:rPr>
                  <w:rFonts w:ascii="Arial" w:cs="Arial" w:eastAsia="Arial" w:hAnsi="Arial"/>
                  <w:b w:val="false"/>
                  <w:bCs w:val="false"/>
                  <w:sz w:val="12"/>
                  <w:szCs w:val="12"/>
                </w:rPr>
                <w:t xml:space="preserve">[#262]</w:t>
              </w:r>
            </w:hyperlink>
          </w:p>
        </w:tc>
      </w:tr>
      <w:tr>
        <w:trPr>
          <w:cantSplit/>
        </w:trPr>
        <w:tc>
          <w:tcPr>
            <w:tcW w:type="dxa" w:w="1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FY2025</w:t>
            </w:r>
          </w:p>
          <w:p>
            <w:pPr>
              <w:spacing w:after="0" w:before="0" w:line="228"/>
              <w:jc w:val="left"/>
            </w:pPr>
            <w:r>
              <w:rPr>
                <w:rFonts w:ascii="Arial" w:cs="Arial" w:eastAsia="Arial" w:hAnsi="Arial"/>
                <w:b w:val="false"/>
                <w:bCs w:val="false"/>
                <w:sz w:val="13"/>
                <w:szCs w:val="13"/>
              </w:rPr>
              <w:t xml:space="preserve">2026-03-11</w:t>
            </w:r>
          </w:p>
        </w:tc>
        <w:tc>
          <w:tcPr>
            <w:tcW w:type="dxa" w:w="64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0.81</w:t>
            </w:r>
          </w:p>
        </w:tc>
        <w:tc>
          <w:tcPr>
            <w:tcW w:type="dxa" w:w="78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Record 2025:</w:t>
            </w:r>
            <w:r>
              <w:rPr>
                <w:rFonts w:ascii="Arial" w:cs="Arial" w:eastAsia="Arial" w:hAnsi="Arial"/>
                <w:b w:val="false"/>
                <w:bCs w:val="false"/>
                <w:sz w:val="13"/>
                <w:szCs w:val="13"/>
              </w:rPr>
              <w:t xml:space="preserve"> Revenue EUR 4,796.8m; adj EBITDA margin 35.4%; FCF EUR 358.6m; leverage 1.75x </w:t>
            </w:r>
            <w:hyperlink w:history="1" r:id="rIdionhuioaxaignfnst3xbf">
              <w:r>
                <w:rPr>
                  <w:rFonts w:ascii="Arial" w:cs="Arial" w:eastAsia="Arial" w:hAnsi="Arial"/>
                  <w:b w:val="false"/>
                  <w:bCs w:val="false"/>
                  <w:sz w:val="12"/>
                  <w:szCs w:val="12"/>
                </w:rPr>
                <w:t xml:space="preserve">[#20]</w:t>
              </w:r>
            </w:hyperlink>
          </w:p>
          <w:p>
            <w:pPr>
              <w:spacing w:after="0" w:before="0" w:line="228"/>
              <w:jc w:val="left"/>
            </w:pPr>
            <w:r>
              <w:rPr>
                <w:rFonts w:ascii="Arial" w:cs="Arial" w:eastAsia="Arial" w:hAnsi="Arial"/>
                <w:b w:val="false"/>
                <w:bCs w:val="false"/>
                <w:sz w:val="13"/>
                <w:szCs w:val="13"/>
              </w:rPr>
              <w:t xml:space="preserve">Capital returns step-up:</w:t>
            </w:r>
            <w:r>
              <w:rPr>
                <w:rFonts w:ascii="Arial" w:cs="Arial" w:eastAsia="Arial" w:hAnsi="Arial"/>
                <w:b w:val="false"/>
                <w:bCs w:val="false"/>
                <w:sz w:val="13"/>
                <w:szCs w:val="13"/>
              </w:rPr>
              <w:t xml:space="preserve"> DPS EUR 0.48 (+7%); buyback up to EUR 500m tied to OCEANE soft call (debt component EUR 362m); new EUR 500-600m bond </w:t>
            </w:r>
            <w:hyperlink w:history="1" r:id="rIdhlhuiqna11fncldn-nybi">
              <w:r>
                <w:rPr>
                  <w:rFonts w:ascii="Arial" w:cs="Arial" w:eastAsia="Arial" w:hAnsi="Arial"/>
                  <w:b w:val="false"/>
                  <w:bCs w:val="false"/>
                  <w:sz w:val="12"/>
                  <w:szCs w:val="12"/>
                </w:rPr>
                <w:t xml:space="preserve">[#505]</w:t>
              </w:r>
            </w:hyperlink>
          </w:p>
          <w:p>
            <w:pPr>
              <w:spacing w:after="0" w:before="0" w:line="228"/>
              <w:jc w:val="left"/>
            </w:pPr>
            <w:r>
              <w:rPr>
                <w:rFonts w:ascii="Arial" w:cs="Arial" w:eastAsia="Arial" w:hAnsi="Arial"/>
                <w:b w:val="false"/>
                <w:bCs w:val="false"/>
                <w:sz w:val="13"/>
                <w:szCs w:val="13"/>
              </w:rPr>
              <w:t xml:space="preserve">Energy hedging and Middle East:</w:t>
            </w:r>
            <w:r>
              <w:rPr>
                <w:rFonts w:ascii="Arial" w:cs="Arial" w:eastAsia="Arial" w:hAnsi="Arial"/>
                <w:b w:val="false"/>
                <w:bCs w:val="false"/>
                <w:sz w:val="13"/>
                <w:szCs w:val="13"/>
              </w:rPr>
              <w:t xml:space="preserve"> 93%/94% hedged 2026; energy bill ~EUR 190m; no significant ME impact; fuel ~EUR 60m exposed </w:t>
            </w:r>
            <w:hyperlink w:history="1" r:id="rIdcgrhoo7yk-anv5vhgnay2">
              <w:r>
                <w:rPr>
                  <w:rFonts w:ascii="Arial" w:cs="Arial" w:eastAsia="Arial" w:hAnsi="Arial"/>
                  <w:b w:val="false"/>
                  <w:bCs w:val="false"/>
                  <w:sz w:val="12"/>
                  <w:szCs w:val="12"/>
                </w:rPr>
                <w:t xml:space="preserve">[#446]</w:t>
              </w:r>
            </w:hyperlink>
          </w:p>
          <w:p>
            <w:pPr>
              <w:spacing w:after="0" w:before="0" w:line="228"/>
              <w:jc w:val="left"/>
            </w:pPr>
            <w:r>
              <w:rPr>
                <w:rFonts w:ascii="Arial" w:cs="Arial" w:eastAsia="Arial" w:hAnsi="Arial"/>
                <w:b w:val="false"/>
                <w:bCs w:val="false"/>
                <w:sz w:val="13"/>
                <w:szCs w:val="13"/>
              </w:rPr>
              <w:t xml:space="preserve">FY2026 guidance:</w:t>
            </w:r>
            <w:r>
              <w:rPr>
                <w:rFonts w:ascii="Arial" w:cs="Arial" w:eastAsia="Arial" w:hAnsi="Arial"/>
                <w:b w:val="false"/>
                <w:bCs w:val="false"/>
                <w:sz w:val="13"/>
                <w:szCs w:val="13"/>
              </w:rPr>
              <w:t xml:space="preserve"> Organic slightly below 2025 (soft Q4-25 signings); slight margin expansion; HSD EPS; MSD FCF; ~1.65x </w:t>
            </w:r>
            <w:hyperlink w:history="1" r:id="rIdvhjgnkuetfl6wdg1uftxf">
              <w:r>
                <w:rPr>
                  <w:rFonts w:ascii="Arial" w:cs="Arial" w:eastAsia="Arial" w:hAnsi="Arial"/>
                  <w:b w:val="false"/>
                  <w:bCs w:val="false"/>
                  <w:sz w:val="12"/>
                  <w:szCs w:val="12"/>
                </w:rPr>
                <w:t xml:space="preserve">[#464]</w:t>
              </w:r>
            </w:hyperlink>
          </w:p>
          <w:p>
            <w:pPr>
              <w:spacing w:after="0" w:before="0" w:line="228"/>
              <w:jc w:val="left"/>
            </w:pPr>
            <w:r>
              <w:rPr>
                <w:rFonts w:ascii="Arial" w:cs="Arial" w:eastAsia="Arial" w:hAnsi="Arial"/>
                <w:b w:val="false"/>
                <w:bCs w:val="false"/>
                <w:sz w:val="13"/>
                <w:szCs w:val="13"/>
              </w:rPr>
              <w:t xml:space="preserve">M&amp;A 2025:</w:t>
            </w:r>
            <w:r>
              <w:rPr>
                <w:rFonts w:ascii="Arial" w:cs="Arial" w:eastAsia="Arial" w:hAnsi="Arial"/>
                <w:b w:val="false"/>
                <w:bCs w:val="false"/>
                <w:sz w:val="13"/>
                <w:szCs w:val="13"/>
              </w:rPr>
              <w:t xml:space="preserve"> EUR 91m revenue acquired for EUR 108m (~1.2x sales, ~5x EBITDA pre-synergies) </w:t>
            </w:r>
            <w:hyperlink w:history="1" r:id="rIdh-0gvzrkgnjmlbtmkunrz">
              <w:r>
                <w:rPr>
                  <w:rFonts w:ascii="Arial" w:cs="Arial" w:eastAsia="Arial" w:hAnsi="Arial"/>
                  <w:b w:val="false"/>
                  <w:bCs w:val="false"/>
                  <w:sz w:val="12"/>
                  <w:szCs w:val="12"/>
                </w:rPr>
                <w:t xml:space="preserve">[#93]</w:t>
              </w:r>
            </w:hyperlink>
          </w:p>
        </w:tc>
      </w:tr>
      <w:tr>
        <w:trPr>
          <w:cantSplit/>
        </w:trPr>
        <w:tc>
          <w:tcPr>
            <w:tcW w:type="dxa" w:w="1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w:t>
            </w:r>
          </w:p>
          <w:p>
            <w:pPr>
              <w:spacing w:after="0" w:before="0" w:line="228"/>
              <w:jc w:val="left"/>
            </w:pPr>
            <w:r>
              <w:rPr>
                <w:rFonts w:ascii="Arial" w:cs="Arial" w:eastAsia="Arial" w:hAnsi="Arial"/>
                <w:b w:val="false"/>
                <w:bCs w:val="false"/>
                <w:sz w:val="13"/>
                <w:szCs w:val="13"/>
              </w:rPr>
              <w:t xml:space="preserve">2026-07-29</w:t>
            </w:r>
          </w:p>
        </w:tc>
        <w:tc>
          <w:tcPr>
            <w:tcW w:type="dxa" w:w="64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0.52</w:t>
            </w:r>
          </w:p>
        </w:tc>
        <w:tc>
          <w:tcPr>
            <w:tcW w:type="dxa" w:w="78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Mexico tender reset and LatAm margin:</w:t>
            </w:r>
            <w:r>
              <w:rPr>
                <w:rFonts w:ascii="Arial" w:cs="Arial" w:eastAsia="Arial" w:hAnsi="Arial"/>
                <w:b w:val="false"/>
                <w:bCs w:val="false"/>
                <w:sz w:val="13"/>
                <w:szCs w:val="13"/>
              </w:rPr>
              <w:t xml:space="preserve"> 50% of tender volume lost (~EUR 2m/month, ~EUR 14m FY26); LatAm margin -180bp; H2 decline more limited; recovery not in forecast </w:t>
            </w:r>
            <w:hyperlink w:history="1" r:id="rIdldqcds7gdyo0ozawowqah">
              <w:r>
                <w:rPr>
                  <w:rFonts w:ascii="Arial" w:cs="Arial" w:eastAsia="Arial" w:hAnsi="Arial"/>
                  <w:b w:val="false"/>
                  <w:bCs w:val="false"/>
                  <w:sz w:val="12"/>
                  <w:szCs w:val="12"/>
                </w:rPr>
                <w:t xml:space="preserve">[#136]</w:t>
              </w:r>
            </w:hyperlink>
          </w:p>
          <w:p>
            <w:pPr>
              <w:spacing w:after="0" w:before="0" w:line="228"/>
              <w:jc w:val="left"/>
            </w:pPr>
            <w:r>
              <w:rPr>
                <w:rFonts w:ascii="Arial" w:cs="Arial" w:eastAsia="Arial" w:hAnsi="Arial"/>
                <w:b w:val="false"/>
                <w:bCs w:val="false"/>
                <w:sz w:val="13"/>
                <w:szCs w:val="13"/>
              </w:rPr>
              <w:t xml:space="preserve">Macro deterioration and resilience narrative:</w:t>
            </w:r>
            <w:r>
              <w:rPr>
                <w:rFonts w:ascii="Arial" w:cs="Arial" w:eastAsia="Arial" w:hAnsi="Arial"/>
                <w:b w:val="false"/>
                <w:bCs w:val="false"/>
                <w:sz w:val="13"/>
                <w:szCs w:val="13"/>
              </w:rPr>
              <w:t xml:space="preserve"> Record insolvencies France/Germany; organic &gt;3% despite macro; France election risk downplayed </w:t>
            </w:r>
            <w:hyperlink w:history="1" r:id="rIdvtwpkh3ajdrwljwjc4pz-">
              <w:r>
                <w:rPr>
                  <w:rFonts w:ascii="Arial" w:cs="Arial" w:eastAsia="Arial" w:hAnsi="Arial"/>
                  <w:b w:val="false"/>
                  <w:bCs w:val="false"/>
                  <w:sz w:val="12"/>
                  <w:szCs w:val="12"/>
                </w:rPr>
                <w:t xml:space="preserve">[#59]</w:t>
              </w:r>
            </w:hyperlink>
          </w:p>
          <w:p>
            <w:pPr>
              <w:spacing w:after="0" w:before="0" w:line="228"/>
              <w:jc w:val="left"/>
            </w:pPr>
            <w:r>
              <w:rPr>
                <w:rFonts w:ascii="Arial" w:cs="Arial" w:eastAsia="Arial" w:hAnsi="Arial"/>
                <w:b w:val="false"/>
                <w:bCs w:val="false"/>
                <w:sz w:val="13"/>
                <w:szCs w:val="13"/>
              </w:rPr>
              <w:t xml:space="preserve">Middle East cost inflation, hedging and cost savings:</w:t>
            </w:r>
            <w:r>
              <w:rPr>
                <w:rFonts w:ascii="Arial" w:cs="Arial" w:eastAsia="Arial" w:hAnsi="Arial"/>
                <w:b w:val="false"/>
                <w:bCs w:val="false"/>
                <w:sz w:val="13"/>
                <w:szCs w:val="13"/>
              </w:rPr>
              <w:t xml:space="preserve"> Spot energy +50%; 93-94% hedged 2026; other commodities EUR 7m H1; FY extra cost EUR 20-25m; ~EUR 10m mostly temporary savings plus surcharges </w:t>
            </w:r>
            <w:hyperlink w:history="1" r:id="rIdwk8vnux6ggarfzs6jnu3q">
              <w:r>
                <w:rPr>
                  <w:rFonts w:ascii="Arial" w:cs="Arial" w:eastAsia="Arial" w:hAnsi="Arial"/>
                  <w:b w:val="false"/>
                  <w:bCs w:val="false"/>
                  <w:sz w:val="12"/>
                  <w:szCs w:val="12"/>
                </w:rPr>
                <w:t xml:space="preserve">[#73]</w:t>
              </w:r>
            </w:hyperlink>
          </w:p>
          <w:p>
            <w:pPr>
              <w:spacing w:after="0" w:before="0" w:line="228"/>
              <w:jc w:val="left"/>
            </w:pPr>
            <w:r>
              <w:rPr>
                <w:rFonts w:ascii="Arial" w:cs="Arial" w:eastAsia="Arial" w:hAnsi="Arial"/>
                <w:b w:val="false"/>
                <w:bCs w:val="false"/>
                <w:sz w:val="13"/>
                <w:szCs w:val="13"/>
              </w:rPr>
              <w:t xml:space="preserve">Record contract signings and H2/2027 acceleration:</w:t>
            </w:r>
            <w:r>
              <w:rPr>
                <w:rFonts w:ascii="Arial" w:cs="Arial" w:eastAsia="Arial" w:hAnsi="Arial"/>
                <w:b w:val="false"/>
                <w:bCs w:val="false"/>
                <w:sz w:val="13"/>
                <w:szCs w:val="13"/>
              </w:rPr>
              <w:t xml:space="preserve"> Q1 record, Q2 better; 3-4 months to invoice; 2027 organic growth better with strong price indexation </w:t>
            </w:r>
            <w:hyperlink w:history="1" r:id="rId3tkuwzfahxnn9fev-vxuf">
              <w:r>
                <w:rPr>
                  <w:rFonts w:ascii="Arial" w:cs="Arial" w:eastAsia="Arial" w:hAnsi="Arial"/>
                  <w:b w:val="false"/>
                  <w:bCs w:val="false"/>
                  <w:sz w:val="12"/>
                  <w:szCs w:val="12"/>
                </w:rPr>
                <w:t xml:space="preserve">[#31]</w:t>
              </w:r>
            </w:hyperlink>
          </w:p>
          <w:p>
            <w:pPr>
              <w:spacing w:after="0" w:before="0" w:line="228"/>
              <w:jc w:val="left"/>
            </w:pPr>
            <w:r>
              <w:rPr>
                <w:rFonts w:ascii="Arial" w:cs="Arial" w:eastAsia="Arial" w:hAnsi="Arial"/>
                <w:b w:val="false"/>
                <w:bCs w:val="false"/>
                <w:sz w:val="13"/>
                <w:szCs w:val="13"/>
              </w:rPr>
              <w:t xml:space="preserve">Wage pass-through lag:</w:t>
            </w:r>
            <w:r>
              <w:rPr>
                <w:rFonts w:ascii="Arial" w:cs="Arial" w:eastAsia="Arial" w:hAnsi="Arial"/>
                <w:b w:val="false"/>
                <w:bCs w:val="false"/>
                <w:sz w:val="13"/>
                <w:szCs w:val="13"/>
              </w:rPr>
              <w:t xml:space="preserve"> Germany and UK minimum wage hard to pass; LatAm wage inflation (Colombia +23%, Mexico +13%) </w:t>
            </w:r>
            <w:hyperlink w:history="1" r:id="rIdbue7scwv2k5r59eoapan7">
              <w:r>
                <w:rPr>
                  <w:rFonts w:ascii="Arial" w:cs="Arial" w:eastAsia="Arial" w:hAnsi="Arial"/>
                  <w:b w:val="false"/>
                  <w:bCs w:val="false"/>
                  <w:sz w:val="12"/>
                  <w:szCs w:val="12"/>
                </w:rPr>
                <w:t xml:space="preserve">[#111]</w:t>
              </w:r>
            </w:hyperlink>
          </w:p>
        </w:tc>
      </w:tr>
    </w:tbl>
    <w:p>
      <w:pPr>
        <w:spacing w:after="140" w:before="40"/>
      </w:pPr>
      <w:r>
        <w:rPr>
          <w:rFonts w:ascii="Arial" w:cs="Arial" w:eastAsia="Arial" w:hAnsi="Arial"/>
          <w:color w:val="898781"/>
          <w:sz w:val="14"/>
          <w:szCs w:val="14"/>
        </w:rPr>
        <w:t xml:space="preserve">Source: ProntoNLP transcripts and document sentiment; worker A analysis (model/A_management_focus.json).</w:t>
      </w:r>
    </w:p>
    <w:p>
      <w:pPr>
        <w:pStyle w:val="Heading2"/>
        <w:keepNext/>
        <w:keepLines/>
        <w:spacing w:after="80" w:before="180"/>
      </w:pPr>
      <w:r>
        <w:rPr>
          <w:rFonts w:ascii="Arial" w:cs="Arial" w:eastAsia="Arial" w:hAnsi="Arial"/>
          <w:b/>
          <w:bCs/>
          <w:color w:val="13213F"/>
          <w:sz w:val="24"/>
          <w:szCs w:val="24"/>
        </w:rPr>
        <w:t xml:space="preserve">8.2 Sentiment: how tone has shifted</w:t>
      </w:r>
    </w:p>
    <w:p>
      <w:pPr>
        <w:keepNext/>
        <w:spacing w:after="40"/>
        <w:jc w:val="center"/>
      </w:pPr>
      <w:r>
        <w:drawing>
          <wp:inline distT="0" distB="0" distL="0" distR="0">
            <wp:extent cx="5943600" cy="2800350"/>
            <wp:effectExtent t="0" r="0" b="0" l="0"/>
            <wp:docPr id="1" name="sentiment.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00350"/>
                    </a:xfrm>
                    <a:prstGeom prst="rect">
                      <a:avLst/>
                    </a:prstGeom>
                  </pic:spPr>
                </pic:pic>
              </a:graphicData>
            </a:graphic>
          </wp:inline>
        </w:drawing>
      </w:r>
    </w:p>
    <w:p>
      <w:pPr>
        <w:spacing w:after="140"/>
      </w:pPr>
      <w:r>
        <w:rPr>
          <w:rFonts w:ascii="Arial" w:cs="Arial" w:eastAsia="Arial" w:hAnsi="Arial"/>
          <w:color w:val="898781"/>
          <w:sz w:val="14"/>
          <w:szCs w:val="14"/>
        </w:rPr>
        <w:t xml:space="preserve">Source: ProntoNLP document-level sentiment scores (getDocuments / getAnalytics).</w:t>
      </w:r>
    </w:p>
    <w:p>
      <w:pPr>
        <w:pStyle w:val="ListParagraph"/>
        <w:numPr>
          <w:ilvl w:val="0"/>
          <w:numId w:val="2"/>
        </w:numPr>
        <w:spacing w:after="60" w:line="252"/>
      </w:pPr>
      <w:r>
        <w:rPr>
          <w:rFonts w:ascii="Arial" w:cs="Arial" w:eastAsia="Arial" w:hAnsi="Arial"/>
          <w:sz w:val="19"/>
          <w:szCs w:val="19"/>
        </w:rPr>
        <w:t xml:space="preserve">Tone recovered from the Covid trough (H1 2020 score 0.03) to a 0.62–0.88 plateau through 2023–FY2025, peaking with the record FY2025 call (</w:t>
      </w:r>
      <w:hyperlink w:history="1" r:id="rIdhpchpdujlqmp81jaaexyz">
        <w:r>
          <w:rPr>
            <w:rFonts w:ascii="Arial" w:cs="Arial" w:eastAsia="Arial" w:hAnsi="Arial"/>
            <w:color w:val="1C5CAB"/>
            <w:sz w:val="19"/>
            <w:szCs w:val="19"/>
            <w:u w:val="single"/>
          </w:rPr>
          <w:t xml:space="preserve">0.81</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sz w:val="19"/>
          <w:szCs w:val="19"/>
        </w:rPr>
        <w:t xml:space="preserve">The **H1 2026 call scored </w:t>
      </w:r>
      <w:hyperlink w:history="1" r:id="rIdzx35rcnqup53u1zghxv68">
        <w:r>
          <w:rPr>
            <w:rFonts w:ascii="Arial" w:cs="Arial" w:eastAsia="Arial" w:hAnsi="Arial"/>
            <w:color w:val="1C5CAB"/>
            <w:sz w:val="19"/>
            <w:szCs w:val="19"/>
            <w:u w:val="single"/>
          </w:rPr>
          <w:t xml:space="preserve">0.52</w:t>
        </w:r>
      </w:hyperlink>
      <w:r>
        <w:rPr>
          <w:rFonts w:ascii="Arial" w:cs="Arial" w:eastAsia="Arial" w:hAnsi="Arial"/>
          <w:sz w:val="19"/>
          <w:szCs w:val="19"/>
        </w:rPr>
        <w:t xml:space="preserve">** — the lowest results-call score since FY2020 — and the investment score fell from </w:t>
      </w:r>
      <w:hyperlink w:history="1" r:id="rIdidyl-83zokayzeydrbt1g">
        <w:r>
          <w:rPr>
            <w:rFonts w:ascii="Arial" w:cs="Arial" w:eastAsia="Arial" w:hAnsi="Arial"/>
            <w:color w:val="1C5CAB"/>
            <w:sz w:val="19"/>
            <w:szCs w:val="19"/>
            <w:u w:val="single"/>
          </w:rPr>
          <w:t xml:space="preserve">0.83</w:t>
        </w:r>
      </w:hyperlink>
      <w:r>
        <w:rPr>
          <w:rFonts w:ascii="Arial" w:cs="Arial" w:eastAsia="Arial" w:hAnsi="Arial"/>
          <w:sz w:val="19"/>
          <w:szCs w:val="19"/>
        </w:rPr>
        <w:t xml:space="preserve"> to </w:t>
      </w:r>
      <w:hyperlink w:history="1" r:id="rIdiplusuk6bpmve7cwaki0o">
        <w:r>
          <w:rPr>
            <w:rFonts w:ascii="Arial" w:cs="Arial" w:eastAsia="Arial" w:hAnsi="Arial"/>
            <w:color w:val="1C5CAB"/>
            <w:sz w:val="19"/>
            <w:szCs w:val="19"/>
            <w:u w:val="single"/>
          </w:rPr>
          <w:t xml:space="preserve">0.2</w:t>
        </w:r>
      </w:hyperlink>
      <w:r>
        <w:rPr>
          <w:rFonts w:ascii="Arial" w:cs="Arial" w:eastAsia="Arial" w:hAnsi="Arial"/>
          <w:sz w:val="19"/>
          <w:szCs w:val="19"/>
        </w:rPr>
        <w:t xml:space="preserve">. The </w:t>
      </w:r>
      <w:hyperlink w:history="1" r:id="rIdyuliuv4b37owl4fbsx_4o">
        <w:r>
          <w:rPr>
            <w:rFonts w:ascii="Arial" w:cs="Arial" w:eastAsia="Arial" w:hAnsi="Arial"/>
            <w:color w:val="1C5CAB"/>
            <w:sz w:val="19"/>
            <w:szCs w:val="19"/>
            <w:u w:val="single"/>
          </w:rPr>
          <w:t xml:space="preserve">Forecast</w:t>
        </w:r>
      </w:hyperlink>
      <w:r>
        <w:rPr>
          <w:rFonts w:ascii="Arial" w:cs="Arial" w:eastAsia="Arial" w:hAnsi="Arial"/>
          <w:sz w:val="19"/>
          <w:szCs w:val="19"/>
        </w:rPr>
        <w:t xml:space="preserve"> aspect halved (0.83→0.41) and </w:t>
      </w:r>
      <w:hyperlink w:history="1" r:id="rId0rvs2isjqau27mlnrqbys">
        <w:r>
          <w:rPr>
            <w:rFonts w:ascii="Arial" w:cs="Arial" w:eastAsia="Arial" w:hAnsi="Arial"/>
            <w:color w:val="1C5CAB"/>
            <w:sz w:val="19"/>
            <w:szCs w:val="19"/>
            <w:u w:val="single"/>
          </w:rPr>
          <w:t xml:space="preserve">CurrentState</w:t>
        </w:r>
      </w:hyperlink>
      <w:r>
        <w:rPr>
          <w:rFonts w:ascii="Arial" w:cs="Arial" w:eastAsia="Arial" w:hAnsi="Arial"/>
          <w:sz w:val="19"/>
          <w:szCs w:val="19"/>
        </w:rPr>
        <w:t xml:space="preserve"> fell 0.75→0.40, while StrategicPosition barely moved (0.97→0.93): the market heard a near-term problem, not a strategic one.</w:t>
      </w:r>
    </w:p>
    <w:p>
      <w:pPr>
        <w:pStyle w:val="ListParagraph"/>
        <w:numPr>
          <w:ilvl w:val="0"/>
          <w:numId w:val="2"/>
        </w:numPr>
        <w:spacing w:after="60" w:line="252"/>
      </w:pPr>
      <w:r>
        <w:rPr>
          <w:rFonts w:ascii="Arial" w:cs="Arial" w:eastAsia="Arial" w:hAnsi="Arial"/>
          <w:b/>
          <w:bCs/>
          <w:sz w:val="19"/>
          <w:szCs w:val="19"/>
        </w:rPr>
        <w:t xml:space="preserve">The drop came from management, not from the Q&amp;A</w:t>
      </w:r>
      <w:r>
        <w:rPr>
          <w:rFonts w:ascii="Arial" w:cs="Arial" w:eastAsia="Arial" w:hAnsi="Arial"/>
          <w:sz w:val="19"/>
          <w:szCs w:val="19"/>
        </w:rPr>
        <w:t xml:space="preserve">: executive sentiment fell from 0.82 to 0.54 (negative events 53→90) while analysts stayed neutral. New negative event types: </w:t>
      </w:r>
      <w:hyperlink w:history="1" r:id="rIdfhs1jeeh_8nuzfrang6y1">
        <w:r>
          <w:rPr>
            <w:rFonts w:ascii="Arial" w:cs="Arial" w:eastAsia="Arial" w:hAnsi="Arial"/>
            <w:color w:val="1C5CAB"/>
            <w:sz w:val="19"/>
            <w:szCs w:val="19"/>
            <w:u w:val="single"/>
          </w:rPr>
          <w:t xml:space="preserve">OperationalChallenge</w:t>
        </w:r>
      </w:hyperlink>
      <w:r>
        <w:rPr>
          <w:rFonts w:ascii="Arial" w:cs="Arial" w:eastAsia="Arial" w:hAnsi="Arial"/>
          <w:sz w:val="19"/>
          <w:szCs w:val="19"/>
        </w:rPr>
        <w:t xml:space="preserve"> and </w:t>
      </w:r>
      <w:hyperlink w:history="1" r:id="rId3qxw8zgcbtg8d66gqxwap">
        <w:r>
          <w:rPr>
            <w:rFonts w:ascii="Arial" w:cs="Arial" w:eastAsia="Arial" w:hAnsi="Arial"/>
            <w:color w:val="1C5CAB"/>
            <w:sz w:val="19"/>
            <w:szCs w:val="19"/>
            <w:u w:val="single"/>
          </w:rPr>
          <w:t xml:space="preserve">CostChallenge</w:t>
        </w:r>
      </w:hyperlink>
      <w:r>
        <w:rPr>
          <w:rFonts w:ascii="Arial" w:cs="Arial" w:eastAsia="Arial" w:hAnsi="Arial"/>
          <w:sz w:val="19"/>
          <w:szCs w:val="19"/>
        </w:rPr>
        <w:t xml:space="preserve">; </w:t>
      </w:r>
      <w:hyperlink w:history="1" r:id="rIdupr9tk26vbbh085hirxuz">
        <w:r>
          <w:rPr>
            <w:rFonts w:ascii="Arial" w:cs="Arial" w:eastAsia="Arial" w:hAnsi="Arial"/>
            <w:color w:val="1C5CAB"/>
            <w:sz w:val="19"/>
            <w:szCs w:val="19"/>
            <w:u w:val="single"/>
          </w:rPr>
          <w:t xml:space="preserve">Debt</w:t>
        </w:r>
      </w:hyperlink>
      <w:r>
        <w:rPr>
          <w:rFonts w:ascii="Arial" w:cs="Arial" w:eastAsia="Arial" w:hAnsi="Arial"/>
          <w:sz w:val="19"/>
          <w:szCs w:val="19"/>
        </w:rPr>
        <w:t xml:space="preserve"> turned from 0.96 to 0.13.</w:t>
      </w:r>
    </w:p>
    <w:p>
      <w:pPr>
        <w:pStyle w:val="ListParagraph"/>
        <w:numPr>
          <w:ilvl w:val="0"/>
          <w:numId w:val="2"/>
        </w:numPr>
        <w:spacing w:after="60" w:line="252"/>
      </w:pPr>
      <w:r>
        <w:rPr>
          <w:rFonts w:ascii="Arial" w:cs="Arial" w:eastAsia="Arial" w:hAnsi="Arial"/>
          <w:sz w:val="19"/>
          <w:szCs w:val="19"/>
        </w:rPr>
        <w:t xml:space="preserve">The 55 negative sentences cluster around: macro and insolvencies </w:t>
      </w:r>
      <w:hyperlink w:history="1" r:id="rIdqt-qa2pfif60esrpewxni">
        <w:r>
          <w:rPr>
            <w:rFonts w:ascii="Arial" w:cs="Arial" w:eastAsia="Arial" w:hAnsi="Arial"/>
            <w:color w:val="1C5CAB"/>
            <w:sz w:val="15"/>
            <w:szCs w:val="15"/>
          </w:rPr>
          <w:t xml:space="preserve">[#59]</w:t>
        </w:r>
      </w:hyperlink>
      <w:r>
        <w:rPr>
          <w:rFonts w:ascii="Arial" w:cs="Arial" w:eastAsia="Arial" w:hAnsi="Arial"/>
          <w:sz w:val="19"/>
          <w:szCs w:val="19"/>
        </w:rPr>
        <w:t xml:space="preserve">; Middle East energy and commodities (€20–25m for the year) </w:t>
      </w:r>
      <w:hyperlink w:history="1" r:id="rIdclmnhaxdpzndno-64y1db">
        <w:r>
          <w:rPr>
            <w:rFonts w:ascii="Arial" w:cs="Arial" w:eastAsia="Arial" w:hAnsi="Arial"/>
            <w:color w:val="1C5CAB"/>
            <w:sz w:val="15"/>
            <w:szCs w:val="15"/>
          </w:rPr>
          <w:t xml:space="preserve">[#73]</w:t>
        </w:r>
      </w:hyperlink>
      <w:r>
        <w:rPr>
          <w:rFonts w:ascii="Arial" w:cs="Arial" w:eastAsia="Arial" w:hAnsi="Arial"/>
          <w:sz w:val="19"/>
          <w:szCs w:val="19"/>
        </w:rPr>
        <w:t xml:space="preserve"> </w:t>
      </w:r>
      <w:hyperlink w:history="1" r:id="rId87zrtrxpbhhx-4s6pjyds">
        <w:r>
          <w:rPr>
            <w:rFonts w:ascii="Arial" w:cs="Arial" w:eastAsia="Arial" w:hAnsi="Arial"/>
            <w:color w:val="1C5CAB"/>
            <w:sz w:val="15"/>
            <w:szCs w:val="15"/>
          </w:rPr>
          <w:t xml:space="preserve">[#464]</w:t>
        </w:r>
      </w:hyperlink>
      <w:r>
        <w:rPr>
          <w:rFonts w:ascii="Arial" w:cs="Arial" w:eastAsia="Arial" w:hAnsi="Arial"/>
          <w:sz w:val="19"/>
          <w:szCs w:val="19"/>
        </w:rPr>
        <w:t xml:space="preserve">; minimum wages not yet passed through </w:t>
      </w:r>
      <w:hyperlink w:history="1" r:id="rIdmuumzaczly5d8cqipiiz0">
        <w:r>
          <w:rPr>
            <w:rFonts w:ascii="Arial" w:cs="Arial" w:eastAsia="Arial" w:hAnsi="Arial"/>
            <w:color w:val="1C5CAB"/>
            <w:sz w:val="15"/>
            <w:szCs w:val="15"/>
          </w:rPr>
          <w:t xml:space="preserve">[#111]</w:t>
        </w:r>
      </w:hyperlink>
      <w:r>
        <w:rPr>
          <w:rFonts w:ascii="Arial" w:cs="Arial" w:eastAsia="Arial" w:hAnsi="Arial"/>
          <w:sz w:val="19"/>
          <w:szCs w:val="19"/>
        </w:rPr>
        <w:t xml:space="preserve"> </w:t>
      </w:r>
      <w:hyperlink w:history="1" r:id="rIdsbwzvols7rpguscynn6w_">
        <w:r>
          <w:rPr>
            <w:rFonts w:ascii="Arial" w:cs="Arial" w:eastAsia="Arial" w:hAnsi="Arial"/>
            <w:color w:val="1C5CAB"/>
            <w:sz w:val="15"/>
            <w:szCs w:val="15"/>
          </w:rPr>
          <w:t xml:space="preserve">[#147]</w:t>
        </w:r>
      </w:hyperlink>
      <w:r>
        <w:rPr>
          <w:rFonts w:ascii="Arial" w:cs="Arial" w:eastAsia="Arial" w:hAnsi="Arial"/>
          <w:sz w:val="19"/>
          <w:szCs w:val="19"/>
        </w:rPr>
        <w:t xml:space="preserve">; the Mexico tender loss </w:t>
      </w:r>
      <w:hyperlink w:history="1" r:id="rId5ot-o-qp4tnuxknkvnhgp">
        <w:r>
          <w:rPr>
            <w:rFonts w:ascii="Arial" w:cs="Arial" w:eastAsia="Arial" w:hAnsi="Arial"/>
            <w:color w:val="1C5CAB"/>
            <w:sz w:val="15"/>
            <w:szCs w:val="15"/>
          </w:rPr>
          <w:t xml:space="preserve">[#139]</w:t>
        </w:r>
      </w:hyperlink>
      <w:r>
        <w:rPr>
          <w:rFonts w:ascii="Arial" w:cs="Arial" w:eastAsia="Arial" w:hAnsi="Arial"/>
          <w:sz w:val="19"/>
          <w:szCs w:val="19"/>
        </w:rPr>
        <w:t xml:space="preserve"> </w:t>
      </w:r>
      <w:hyperlink w:history="1" r:id="rId9jnkb_nhy98bo8xk9xipa">
        <w:r>
          <w:rPr>
            <w:rFonts w:ascii="Arial" w:cs="Arial" w:eastAsia="Arial" w:hAnsi="Arial"/>
            <w:color w:val="1C5CAB"/>
            <w:sz w:val="15"/>
            <w:szCs w:val="15"/>
          </w:rPr>
          <w:t xml:space="preserve">[#377]</w:t>
        </w:r>
      </w:hyperlink>
      <w:r>
        <w:rPr>
          <w:rFonts w:ascii="Arial" w:cs="Arial" w:eastAsia="Arial" w:hAnsi="Arial"/>
          <w:sz w:val="19"/>
          <w:szCs w:val="19"/>
        </w:rPr>
        <w:t xml:space="preserve">; cash and leverage </w:t>
      </w:r>
      <w:hyperlink w:history="1" r:id="rIdz_ogtaw4k5fuddbnnbfex">
        <w:r>
          <w:rPr>
            <w:rFonts w:ascii="Arial" w:cs="Arial" w:eastAsia="Arial" w:hAnsi="Arial"/>
            <w:color w:val="1C5CAB"/>
            <w:sz w:val="15"/>
            <w:szCs w:val="15"/>
          </w:rPr>
          <w:t xml:space="preserve">[#26]</w:t>
        </w:r>
      </w:hyperlink>
      <w:r>
        <w:rPr>
          <w:rFonts w:ascii="Arial" w:cs="Arial" w:eastAsia="Arial" w:hAnsi="Arial"/>
          <w:sz w:val="19"/>
          <w:szCs w:val="19"/>
        </w:rPr>
        <w:t xml:space="preserve"> </w:t>
      </w:r>
      <w:hyperlink w:history="1" r:id="rIdmhtsh1ui4aadbafd-jm-0">
        <w:r>
          <w:rPr>
            <w:rFonts w:ascii="Arial" w:cs="Arial" w:eastAsia="Arial" w:hAnsi="Arial"/>
            <w:color w:val="1C5CAB"/>
            <w:sz w:val="15"/>
            <w:szCs w:val="15"/>
          </w:rPr>
          <w:t xml:space="preserve">[#276]</w:t>
        </w:r>
      </w:hyperlink>
      <w:r>
        <w:rPr>
          <w:rFonts w:ascii="Arial" w:cs="Arial" w:eastAsia="Arial" w:hAnsi="Arial"/>
          <w:sz w:val="19"/>
          <w:szCs w:val="19"/>
        </w:rPr>
        <w:t xml:space="preserve">; and the absence of 2027 guidance </w:t>
      </w:r>
      <w:hyperlink w:history="1" r:id="rIdcs03tmqreothkkhp3ozxc">
        <w:r>
          <w:rPr>
            <w:rFonts w:ascii="Arial" w:cs="Arial" w:eastAsia="Arial" w:hAnsi="Arial"/>
            <w:color w:val="1C5CAB"/>
            <w:sz w:val="15"/>
            <w:szCs w:val="15"/>
          </w:rPr>
          <w:t xml:space="preserve">[#521]</w:t>
        </w:r>
      </w:hyperlink>
      <w:r>
        <w:rPr>
          <w:rFonts w:ascii="Arial" w:cs="Arial" w:eastAsia="Arial" w:hAnsi="Arial"/>
          <w:sz w:val="19"/>
          <w:szCs w:val="19"/>
        </w:rPr>
        <w:t xml:space="preserve">.</w:t>
      </w:r>
    </w:p>
    <w:p>
      <w:pPr>
        <w:spacing w:after="60"/>
      </w:pPr>
    </w:p>
    <w:p>
      <w:pPr>
        <w:pStyle w:val="Heading2"/>
        <w:keepNext/>
        <w:keepLines/>
        <w:spacing w:after="80" w:before="180"/>
      </w:pPr>
      <w:r>
        <w:rPr>
          <w:rFonts w:ascii="Arial" w:cs="Arial" w:eastAsia="Arial" w:hAnsi="Arial"/>
          <w:b/>
          <w:bCs/>
          <w:color w:val="13213F"/>
          <w:sz w:val="24"/>
          <w:szCs w:val="24"/>
        </w:rPr>
        <w:t xml:space="preserve">8.3 H1 2026 (reported 29-Jul-2026): the numbers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6"/>
        <w:gridCol w:w="1108"/>
        <w:gridCol w:w="4434"/>
        <w:gridCol w:w="2218"/>
      </w:tblGrid>
      <w:tr>
        <w:trPr>
          <w:cantSplit/>
          <w:tblHeader/>
        </w:trPr>
        <w:tc>
          <w:tcPr>
            <w:tcW w:type="dxa" w:w="210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Metric</w:t>
            </w:r>
          </w:p>
        </w:tc>
        <w:tc>
          <w:tcPr>
            <w:tcW w:type="dxa" w:w="110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H1 2026</w:t>
            </w:r>
          </w:p>
        </w:tc>
        <w:tc>
          <w:tcPr>
            <w:tcW w:type="dxa" w:w="443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Change / context</w:t>
            </w:r>
          </w:p>
        </w:tc>
        <w:tc>
          <w:tcPr>
            <w:tcW w:type="dxa" w:w="221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Source</w:t>
            </w:r>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Revenue</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€2,457.1m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+4.9% reported; +3.2% organic (Q1 +3.1%, Q2 +3.2%); M&amp;A +1.1pp; FX +0.6pp</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vhl96msf4m5vboymd2dxa">
              <w:r>
                <w:rPr>
                  <w:rFonts w:ascii="Arial" w:cs="Arial" w:eastAsia="Arial" w:hAnsi="Arial"/>
                  <w:b w:val="false"/>
                  <w:bCs w:val="false"/>
                  <w:sz w:val="12"/>
                  <w:szCs w:val="12"/>
                </w:rPr>
                <w:t xml:space="preserve">[#8]</w:t>
              </w:r>
            </w:hyperlink>
            <w:r>
              <w:rPr>
                <w:rFonts w:ascii="Arial" w:cs="Arial" w:eastAsia="Arial" w:hAnsi="Arial"/>
                <w:b w:val="false"/>
                <w:bCs w:val="false"/>
                <w:sz w:val="14"/>
                <w:szCs w:val="14"/>
              </w:rPr>
              <w:t xml:space="preserve"> </w:t>
            </w:r>
            <w:hyperlink w:history="1" r:id="rIdakzvyk_6udvpog7u-cl7f">
              <w:r>
                <w:rPr>
                  <w:rFonts w:ascii="Arial" w:cs="Arial" w:eastAsia="Arial" w:hAnsi="Arial"/>
                  <w:b w:val="false"/>
                  <w:bCs w:val="false"/>
                  <w:sz w:val="12"/>
                  <w:szCs w:val="12"/>
                </w:rPr>
                <w:t xml:space="preserve">[#20]</w:t>
              </w:r>
            </w:hyperlink>
            <w:r>
              <w:rPr>
                <w:rFonts w:ascii="Arial" w:cs="Arial" w:eastAsia="Arial" w:hAnsi="Arial"/>
                <w:b w:val="false"/>
                <w:bCs w:val="false"/>
                <w:sz w:val="14"/>
                <w:szCs w:val="14"/>
              </w:rPr>
              <w:t xml:space="preserve"> </w:t>
            </w:r>
            <w:hyperlink w:history="1" r:id="rIdbdf8yod7wdhw_169jdcwm">
              <w:r>
                <w:rPr>
                  <w:rFonts w:ascii="Arial" w:cs="Arial" w:eastAsia="Arial" w:hAnsi="Arial"/>
                  <w:b w:val="false"/>
                  <w:bCs w:val="false"/>
                  <w:sz w:val="12"/>
                  <w:szCs w:val="12"/>
                </w:rPr>
                <w:t xml:space="preserve">[#201]</w:t>
              </w:r>
            </w:hyperlink>
            <w:r>
              <w:rPr>
                <w:rFonts w:ascii="Arial" w:cs="Arial" w:eastAsia="Arial" w:hAnsi="Arial"/>
                <w:b w:val="false"/>
                <w:bCs w:val="false"/>
                <w:sz w:val="14"/>
                <w:szCs w:val="14"/>
              </w:rPr>
              <w:t xml:space="preserve"> </w:t>
            </w:r>
            <w:hyperlink w:history="1" r:id="rIdl83kikwabvhnpr-ufugxs">
              <w:r>
                <w:rPr>
                  <w:rFonts w:ascii="Arial" w:cs="Arial" w:eastAsia="Arial" w:hAnsi="Arial"/>
                  <w:b w:val="false"/>
                  <w:bCs w:val="false"/>
                  <w:sz w:val="12"/>
                  <w:szCs w:val="12"/>
                </w:rPr>
                <w:t xml:space="preserve">[#46]</w:t>
              </w:r>
            </w:hyperlink>
            <w:r>
              <w:rPr>
                <w:rFonts w:ascii="Arial" w:cs="Arial" w:eastAsia="Arial" w:hAnsi="Arial"/>
                <w:b w:val="false"/>
                <w:bCs w:val="false"/>
                <w:sz w:val="14"/>
                <w:szCs w:val="14"/>
              </w:rPr>
              <w:t xml:space="preserve"> </w:t>
            </w:r>
            <w:hyperlink w:history="1" r:id="rIddafu-dj_cnjkbpcrpnfmi">
              <w:r>
                <w:rPr>
                  <w:rFonts w:ascii="Arial" w:cs="Arial" w:eastAsia="Arial" w:hAnsi="Arial"/>
                  <w:b w:val="false"/>
                  <w:bCs w:val="false"/>
                  <w:sz w:val="12"/>
                  <w:szCs w:val="12"/>
                </w:rPr>
                <w:t xml:space="preserve">[#200]</w:t>
              </w:r>
            </w:hyperlink>
          </w:p>
        </w:tc>
      </w:tr>
      <w:tr>
        <w:trPr>
          <w:cantSplit/>
        </w:trPr>
        <w:tc>
          <w:tcPr>
            <w:tcW w:type="dxa" w:w="21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Adjusted EBITDA</w:t>
            </w:r>
          </w:p>
        </w:tc>
        <w:tc>
          <w:tcPr>
            <w:tcW w:type="dxa" w:w="110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€853.8m</w:t>
            </w:r>
          </w:p>
        </w:tc>
        <w:tc>
          <w:tcPr>
            <w:tcW w:type="dxa" w:w="44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Margin 34.7%, flat (H1 2025: €813.8m, 34.7%)</w:t>
            </w:r>
          </w:p>
        </w:tc>
        <w:tc>
          <w:tcPr>
            <w:tcW w:type="dxa" w:w="22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rnkuvazfrkhwysa4nbf">
              <w:r>
                <w:rPr>
                  <w:rFonts w:ascii="Arial" w:cs="Arial" w:eastAsia="Arial" w:hAnsi="Arial"/>
                  <w:b w:val="false"/>
                  <w:bCs w:val="false"/>
                  <w:sz w:val="12"/>
                  <w:szCs w:val="12"/>
                </w:rPr>
                <w:t xml:space="preserve">[#9]</w:t>
              </w:r>
            </w:hyperlink>
            <w:r>
              <w:rPr>
                <w:rFonts w:ascii="Arial" w:cs="Arial" w:eastAsia="Arial" w:hAnsi="Arial"/>
                <w:b w:val="false"/>
                <w:bCs w:val="false"/>
                <w:sz w:val="14"/>
                <w:szCs w:val="14"/>
              </w:rPr>
              <w:t xml:space="preserve"> </w:t>
            </w:r>
            <w:hyperlink w:history="1" r:id="rIdlemzpmehis0jwj9ffoago">
              <w:r>
                <w:rPr>
                  <w:rFonts w:ascii="Arial" w:cs="Arial" w:eastAsia="Arial" w:hAnsi="Arial"/>
                  <w:b w:val="false"/>
                  <w:bCs w:val="false"/>
                  <w:sz w:val="12"/>
                  <w:szCs w:val="12"/>
                </w:rPr>
                <w:t xml:space="preserve">[#212]</w:t>
              </w:r>
            </w:hyperlink>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Adjusted EBIT</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€370.0m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+4.6%; margin 15.1%, flat; D&amp;A 19.7% of revenue</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l3pqf9zk2ghw_qebdlq-n">
              <w:r>
                <w:rPr>
                  <w:rFonts w:ascii="Arial" w:cs="Arial" w:eastAsia="Arial" w:hAnsi="Arial"/>
                  <w:b w:val="false"/>
                  <w:bCs w:val="false"/>
                  <w:sz w:val="12"/>
                  <w:szCs w:val="12"/>
                </w:rPr>
                <w:t xml:space="preserve">[#11]</w:t>
              </w:r>
            </w:hyperlink>
            <w:r>
              <w:rPr>
                <w:rFonts w:ascii="Arial" w:cs="Arial" w:eastAsia="Arial" w:hAnsi="Arial"/>
                <w:b w:val="false"/>
                <w:bCs w:val="false"/>
                <w:sz w:val="14"/>
                <w:szCs w:val="14"/>
              </w:rPr>
              <w:t xml:space="preserve"> </w:t>
            </w:r>
            <w:hyperlink w:history="1" r:id="rIdtf1x_ty9q3vv-oxibgknv">
              <w:r>
                <w:rPr>
                  <w:rFonts w:ascii="Arial" w:cs="Arial" w:eastAsia="Arial" w:hAnsi="Arial"/>
                  <w:b w:val="false"/>
                  <w:bCs w:val="false"/>
                  <w:sz w:val="12"/>
                  <w:szCs w:val="12"/>
                </w:rPr>
                <w:t xml:space="preserve">[#23]</w:t>
              </w:r>
            </w:hyperlink>
          </w:p>
        </w:tc>
      </w:tr>
      <w:tr>
        <w:trPr>
          <w:cantSplit/>
        </w:trPr>
        <w:tc>
          <w:tcPr>
            <w:tcW w:type="dxa" w:w="21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Operating income (IFRS)</w:t>
            </w:r>
          </w:p>
        </w:tc>
        <w:tc>
          <w:tcPr>
            <w:tcW w:type="dxa" w:w="110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€300.2m</w:t>
            </w:r>
          </w:p>
        </w:tc>
        <w:tc>
          <w:tcPr>
            <w:tcW w:type="dxa" w:w="44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+7.1%; IFRS 2 charge €16.3m (vs €21.1m); PPA amortisation €40.2m</w:t>
            </w:r>
          </w:p>
        </w:tc>
        <w:tc>
          <w:tcPr>
            <w:tcW w:type="dxa" w:w="22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erllc-guhunknhspj021">
              <w:r>
                <w:rPr>
                  <w:rFonts w:ascii="Arial" w:cs="Arial" w:eastAsia="Arial" w:hAnsi="Arial"/>
                  <w:b w:val="false"/>
                  <w:bCs w:val="false"/>
                  <w:sz w:val="12"/>
                  <w:szCs w:val="12"/>
                </w:rPr>
                <w:t xml:space="preserve">[#224]</w:t>
              </w:r>
            </w:hyperlink>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 financial expense</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€73.9m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vs €64.9m (+€9m: higher debt and coupons)</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aed8oomj8jwpmgi1ap14k">
              <w:r>
                <w:rPr>
                  <w:rFonts w:ascii="Arial" w:cs="Arial" w:eastAsia="Arial" w:hAnsi="Arial"/>
                  <w:b w:val="false"/>
                  <w:bCs w:val="false"/>
                  <w:sz w:val="12"/>
                  <w:szCs w:val="12"/>
                </w:rPr>
                <w:t xml:space="preserve">[#226]</w:t>
              </w:r>
            </w:hyperlink>
            <w:r>
              <w:rPr>
                <w:rFonts w:ascii="Arial" w:cs="Arial" w:eastAsia="Arial" w:hAnsi="Arial"/>
                <w:b w:val="false"/>
                <w:bCs w:val="false"/>
                <w:sz w:val="14"/>
                <w:szCs w:val="14"/>
              </w:rPr>
              <w:t xml:space="preserve"> </w:t>
            </w:r>
            <w:hyperlink w:history="1" r:id="rIdfqmy3tnufrmui-cotckcb">
              <w:r>
                <w:rPr>
                  <w:rFonts w:ascii="Arial" w:cs="Arial" w:eastAsia="Arial" w:hAnsi="Arial"/>
                  <w:b w:val="false"/>
                  <w:bCs w:val="false"/>
                  <w:sz w:val="12"/>
                  <w:szCs w:val="12"/>
                </w:rPr>
                <w:t xml:space="preserve">[#83]</w:t>
              </w:r>
            </w:hyperlink>
          </w:p>
        </w:tc>
      </w:tr>
      <w:tr>
        <w:trPr>
          <w:cantSplit/>
        </w:trPr>
        <w:tc>
          <w:tcPr>
            <w:tcW w:type="dxa" w:w="21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 income (IFRS)</w:t>
            </w:r>
          </w:p>
        </w:tc>
        <w:tc>
          <w:tcPr>
            <w:tcW w:type="dxa" w:w="110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€163.6m</w:t>
            </w:r>
          </w:p>
        </w:tc>
        <w:tc>
          <w:tcPr>
            <w:tcW w:type="dxa" w:w="44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+7.3% vs restated €152.4m; ETR 27.7% (29.3%)</w:t>
            </w:r>
          </w:p>
        </w:tc>
        <w:tc>
          <w:tcPr>
            <w:tcW w:type="dxa" w:w="22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tp-_mecdo7ysodgtuc15i">
              <w:r>
                <w:rPr>
                  <w:rFonts w:ascii="Arial" w:cs="Arial" w:eastAsia="Arial" w:hAnsi="Arial"/>
                  <w:b w:val="false"/>
                  <w:bCs w:val="false"/>
                  <w:sz w:val="12"/>
                  <w:szCs w:val="12"/>
                </w:rPr>
                <w:t xml:space="preserve">[#13]</w:t>
              </w:r>
            </w:hyperlink>
            <w:r>
              <w:rPr>
                <w:rFonts w:ascii="Arial" w:cs="Arial" w:eastAsia="Arial" w:hAnsi="Arial"/>
                <w:b w:val="false"/>
                <w:bCs w:val="false"/>
                <w:sz w:val="14"/>
                <w:szCs w:val="14"/>
              </w:rPr>
              <w:t xml:space="preserve"> </w:t>
            </w:r>
            <w:hyperlink w:history="1" r:id="rId1xkq0wlhgrlfang75aarp">
              <w:r>
                <w:rPr>
                  <w:rFonts w:ascii="Arial" w:cs="Arial" w:eastAsia="Arial" w:hAnsi="Arial"/>
                  <w:b w:val="false"/>
                  <w:bCs w:val="false"/>
                  <w:sz w:val="12"/>
                  <w:szCs w:val="12"/>
                </w:rPr>
                <w:t xml:space="preserve">[#86]</w:t>
              </w:r>
            </w:hyperlink>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Headline net income</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€215.5m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+1.1%</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fmgiglm_doxvnelsgwz3r">
              <w:r>
                <w:rPr>
                  <w:rFonts w:ascii="Arial" w:cs="Arial" w:eastAsia="Arial" w:hAnsi="Arial"/>
                  <w:b w:val="false"/>
                  <w:bCs w:val="false"/>
                  <w:sz w:val="12"/>
                  <w:szCs w:val="12"/>
                </w:rPr>
                <w:t xml:space="preserve">[#14]</w:t>
              </w:r>
            </w:hyperlink>
            <w:r>
              <w:rPr>
                <w:rFonts w:ascii="Arial" w:cs="Arial" w:eastAsia="Arial" w:hAnsi="Arial"/>
                <w:b w:val="false"/>
                <w:bCs w:val="false"/>
                <w:sz w:val="14"/>
                <w:szCs w:val="14"/>
              </w:rPr>
              <w:t xml:space="preserve"> </w:t>
            </w:r>
            <w:hyperlink w:history="1" r:id="rId3dcavdgfqhbqja5zbevzo">
              <w:r>
                <w:rPr>
                  <w:rFonts w:ascii="Arial" w:cs="Arial" w:eastAsia="Arial" w:hAnsi="Arial"/>
                  <w:b w:val="false"/>
                  <w:bCs w:val="false"/>
                  <w:sz w:val="12"/>
                  <w:szCs w:val="12"/>
                </w:rPr>
                <w:t xml:space="preserve">[#236]</w:t>
              </w:r>
            </w:hyperlink>
          </w:p>
        </w:tc>
      </w:tr>
      <w:tr>
        <w:trPr>
          <w:cantSplit/>
        </w:trPr>
        <w:tc>
          <w:tcPr>
            <w:tcW w:type="dxa" w:w="21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Headline EPS (diluted)</w:t>
            </w:r>
          </w:p>
        </w:tc>
        <w:tc>
          <w:tcPr>
            <w:tcW w:type="dxa" w:w="110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€0.89</w:t>
            </w:r>
          </w:p>
        </w:tc>
        <w:tc>
          <w:tcPr>
            <w:tcW w:type="dxa" w:w="44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+5.1% (basic €0.96, +5.3%); diluted share count −3.6%</w:t>
            </w:r>
          </w:p>
        </w:tc>
        <w:tc>
          <w:tcPr>
            <w:tcW w:type="dxa" w:w="22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p3jpo5qcrtgtkkpksl95e">
              <w:r>
                <w:rPr>
                  <w:rFonts w:ascii="Arial" w:cs="Arial" w:eastAsia="Arial" w:hAnsi="Arial"/>
                  <w:b w:val="false"/>
                  <w:bCs w:val="false"/>
                  <w:sz w:val="12"/>
                  <w:szCs w:val="12"/>
                </w:rPr>
                <w:t xml:space="preserve">[#15]</w:t>
              </w:r>
            </w:hyperlink>
            <w:r>
              <w:rPr>
                <w:rFonts w:ascii="Arial" w:cs="Arial" w:eastAsia="Arial" w:hAnsi="Arial"/>
                <w:b w:val="false"/>
                <w:bCs w:val="false"/>
                <w:sz w:val="14"/>
                <w:szCs w:val="14"/>
              </w:rPr>
              <w:t xml:space="preserve"> </w:t>
            </w:r>
            <w:hyperlink w:history="1" r:id="rIduk5jtid9gkza2l3tmro3l">
              <w:r>
                <w:rPr>
                  <w:rFonts w:ascii="Arial" w:cs="Arial" w:eastAsia="Arial" w:hAnsi="Arial"/>
                  <w:b w:val="false"/>
                  <w:bCs w:val="false"/>
                  <w:sz w:val="12"/>
                  <w:szCs w:val="12"/>
                </w:rPr>
                <w:t xml:space="preserve">[#89]</w:t>
              </w:r>
            </w:hyperlink>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 capex</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€479.1m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19.5% of revenue vs 18.4%</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gs0t62w1zq7wd9gmwy8zv">
              <w:r>
                <w:rPr>
                  <w:rFonts w:ascii="Arial" w:cs="Arial" w:eastAsia="Arial" w:hAnsi="Arial"/>
                  <w:b w:val="false"/>
                  <w:bCs w:val="false"/>
                  <w:sz w:val="12"/>
                  <w:szCs w:val="12"/>
                </w:rPr>
                <w:t xml:space="preserve">[#246]</w:t>
              </w:r>
            </w:hyperlink>
            <w:r>
              <w:rPr>
                <w:rFonts w:ascii="Arial" w:cs="Arial" w:eastAsia="Arial" w:hAnsi="Arial"/>
                <w:b w:val="false"/>
                <w:bCs w:val="false"/>
                <w:sz w:val="14"/>
                <w:szCs w:val="14"/>
              </w:rPr>
              <w:t xml:space="preserve"> </w:t>
            </w:r>
            <w:hyperlink w:history="1" r:id="rId6pvrclvffnwtj5tsmgplr">
              <w:r>
                <w:rPr>
                  <w:rFonts w:ascii="Arial" w:cs="Arial" w:eastAsia="Arial" w:hAnsi="Arial"/>
                  <w:b w:val="false"/>
                  <w:bCs w:val="false"/>
                  <w:sz w:val="12"/>
                  <w:szCs w:val="12"/>
                </w:rPr>
                <w:t xml:space="preserve">[#90]</w:t>
              </w:r>
            </w:hyperlink>
          </w:p>
        </w:tc>
      </w:tr>
      <w:tr>
        <w:trPr>
          <w:cantSplit/>
        </w:trPr>
        <w:tc>
          <w:tcPr>
            <w:tcW w:type="dxa" w:w="21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Working capital change</w:t>
            </w:r>
          </w:p>
        </w:tc>
        <w:tc>
          <w:tcPr>
            <w:tcW w:type="dxa" w:w="110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−€164.0m</w:t>
            </w:r>
          </w:p>
        </w:tc>
        <w:tc>
          <w:tcPr>
            <w:tcW w:type="dxa" w:w="44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vs −€113m; DSO 57 days vs 54</w:t>
            </w:r>
          </w:p>
        </w:tc>
        <w:tc>
          <w:tcPr>
            <w:tcW w:type="dxa" w:w="22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_ooeuog8kcoi9hxrjfprg">
              <w:r>
                <w:rPr>
                  <w:rFonts w:ascii="Arial" w:cs="Arial" w:eastAsia="Arial" w:hAnsi="Arial"/>
                  <w:b w:val="false"/>
                  <w:bCs w:val="false"/>
                  <w:sz w:val="12"/>
                  <w:szCs w:val="12"/>
                </w:rPr>
                <w:t xml:space="preserve">[#93]</w:t>
              </w:r>
            </w:hyperlink>
            <w:r>
              <w:rPr>
                <w:rFonts w:ascii="Arial" w:cs="Arial" w:eastAsia="Arial" w:hAnsi="Arial"/>
                <w:b w:val="false"/>
                <w:bCs w:val="false"/>
                <w:sz w:val="14"/>
                <w:szCs w:val="14"/>
              </w:rPr>
              <w:t xml:space="preserve"> </w:t>
            </w:r>
            <w:hyperlink w:history="1" r:id="rIdyo4ngvikhl1q7ixxwyl8u">
              <w:r>
                <w:rPr>
                  <w:rFonts w:ascii="Arial" w:cs="Arial" w:eastAsia="Arial" w:hAnsi="Arial"/>
                  <w:b w:val="false"/>
                  <w:bCs w:val="false"/>
                  <w:sz w:val="12"/>
                  <w:szCs w:val="12"/>
                </w:rPr>
                <w:t xml:space="preserve">[#251]</w:t>
              </w:r>
            </w:hyperlink>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Free cash flow (after leases)</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−€30.1m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vs +€31m in H1 2025 — first negative H1 in the sample</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o1tn8gxlsbmhnglapfzgg">
              <w:r>
                <w:rPr>
                  <w:rFonts w:ascii="Arial" w:cs="Arial" w:eastAsia="Arial" w:hAnsi="Arial"/>
                  <w:b w:val="false"/>
                  <w:bCs w:val="false"/>
                  <w:sz w:val="12"/>
                  <w:szCs w:val="12"/>
                </w:rPr>
                <w:t xml:space="preserve">[#16]</w:t>
              </w:r>
            </w:hyperlink>
            <w:r>
              <w:rPr>
                <w:rFonts w:ascii="Arial" w:cs="Arial" w:eastAsia="Arial" w:hAnsi="Arial"/>
                <w:b w:val="false"/>
                <w:bCs w:val="false"/>
                <w:sz w:val="14"/>
                <w:szCs w:val="14"/>
              </w:rPr>
              <w:t xml:space="preserve"> </w:t>
            </w:r>
            <w:hyperlink w:history="1" r:id="rId66fvsijjsktpg6dqoam3q">
              <w:r>
                <w:rPr>
                  <w:rFonts w:ascii="Arial" w:cs="Arial" w:eastAsia="Arial" w:hAnsi="Arial"/>
                  <w:b w:val="false"/>
                  <w:bCs w:val="false"/>
                  <w:sz w:val="12"/>
                  <w:szCs w:val="12"/>
                </w:rPr>
                <w:t xml:space="preserve">[#97]</w:t>
              </w:r>
            </w:hyperlink>
          </w:p>
        </w:tc>
      </w:tr>
      <w:tr>
        <w:trPr>
          <w:cantSplit/>
        </w:trPr>
        <w:tc>
          <w:tcPr>
            <w:tcW w:type="dxa" w:w="21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Net financial debt</w:t>
            </w:r>
          </w:p>
        </w:tc>
        <w:tc>
          <w:tcPr>
            <w:tcW w:type="dxa" w:w="110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€3,670.3m</w:t>
            </w:r>
          </w:p>
        </w:tc>
        <w:tc>
          <w:tcPr>
            <w:tcW w:type="dxa" w:w="44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vs €3,020.2m (Dec-25); leverage 2.09x vs 1.75x</w:t>
            </w:r>
          </w:p>
        </w:tc>
        <w:tc>
          <w:tcPr>
            <w:tcW w:type="dxa" w:w="22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4ofkkxp8flljvimi7beit">
              <w:r>
                <w:rPr>
                  <w:rFonts w:ascii="Arial" w:cs="Arial" w:eastAsia="Arial" w:hAnsi="Arial"/>
                  <w:b w:val="false"/>
                  <w:bCs w:val="false"/>
                  <w:sz w:val="12"/>
                  <w:szCs w:val="12"/>
                </w:rPr>
                <w:t xml:space="preserve">[#103]</w:t>
              </w:r>
            </w:hyperlink>
            <w:r>
              <w:rPr>
                <w:rFonts w:ascii="Arial" w:cs="Arial" w:eastAsia="Arial" w:hAnsi="Arial"/>
                <w:b w:val="false"/>
                <w:bCs w:val="false"/>
                <w:sz w:val="14"/>
                <w:szCs w:val="14"/>
              </w:rPr>
              <w:t xml:space="preserve"> </w:t>
            </w:r>
            <w:hyperlink w:history="1" r:id="rIdydflwkvgxcnqyswavw0la">
              <w:r>
                <w:rPr>
                  <w:rFonts w:ascii="Arial" w:cs="Arial" w:eastAsia="Arial" w:hAnsi="Arial"/>
                  <w:b w:val="false"/>
                  <w:bCs w:val="false"/>
                  <w:sz w:val="12"/>
                  <w:szCs w:val="12"/>
                </w:rPr>
                <w:t xml:space="preserve">[#104]</w:t>
              </w:r>
            </w:hyperlink>
            <w:r>
              <w:rPr>
                <w:rFonts w:ascii="Arial" w:cs="Arial" w:eastAsia="Arial" w:hAnsi="Arial"/>
                <w:b w:val="false"/>
                <w:bCs w:val="false"/>
                <w:sz w:val="14"/>
                <w:szCs w:val="14"/>
              </w:rPr>
              <w:t xml:space="preserve"> </w:t>
            </w:r>
            <w:hyperlink w:history="1" r:id="rId-3lb51holrpnbuhvtwjli">
              <w:r>
                <w:rPr>
                  <w:rFonts w:ascii="Arial" w:cs="Arial" w:eastAsia="Arial" w:hAnsi="Arial"/>
                  <w:b w:val="false"/>
                  <w:bCs w:val="false"/>
                  <w:sz w:val="12"/>
                  <w:szCs w:val="12"/>
                </w:rPr>
                <w:t xml:space="preserve">[#17]</w:t>
              </w:r>
            </w:hyperlink>
          </w:p>
        </w:tc>
      </w:tr>
      <w:tr>
        <w:trPr>
          <w:cantSplit/>
        </w:trPr>
        <w:tc>
          <w:tcPr>
            <w:tcW w:type="dxa" w:w="21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Shareholder returns</w:t>
            </w:r>
          </w:p>
        </w:tc>
        <w:tc>
          <w:tcPr>
            <w:tcW w:type="dxa" w:w="110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€572m</w:t>
            </w:r>
          </w:p>
        </w:tc>
        <w:tc>
          <w:tcPr>
            <w:tcW w:type="dxa" w:w="44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Buyback €466.8m at €26.25 (programme completed 9-Jul-2026) + dividend €105.6m (€0.48)</w:t>
            </w:r>
          </w:p>
        </w:tc>
        <w:tc>
          <w:tcPr>
            <w:tcW w:type="dxa" w:w="22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relydgzyxchziisjsry8g">
              <w:r>
                <w:rPr>
                  <w:rFonts w:ascii="Arial" w:cs="Arial" w:eastAsia="Arial" w:hAnsi="Arial"/>
                  <w:b w:val="false"/>
                  <w:bCs w:val="false"/>
                  <w:sz w:val="12"/>
                  <w:szCs w:val="12"/>
                </w:rPr>
                <w:t xml:space="preserve">[#292]</w:t>
              </w:r>
            </w:hyperlink>
            <w:r>
              <w:rPr>
                <w:rFonts w:ascii="Arial" w:cs="Arial" w:eastAsia="Arial" w:hAnsi="Arial"/>
                <w:b w:val="false"/>
                <w:bCs w:val="false"/>
                <w:sz w:val="14"/>
                <w:szCs w:val="14"/>
              </w:rPr>
              <w:t xml:space="preserve"> </w:t>
            </w:r>
            <w:hyperlink w:history="1" r:id="rIdxzjjjwxm68mxdag6g4gdb">
              <w:r>
                <w:rPr>
                  <w:rFonts w:ascii="Arial" w:cs="Arial" w:eastAsia="Arial" w:hAnsi="Arial"/>
                  <w:b w:val="false"/>
                  <w:bCs w:val="false"/>
                  <w:sz w:val="12"/>
                  <w:szCs w:val="12"/>
                </w:rPr>
                <w:t xml:space="preserve">[#17]</w:t>
              </w:r>
            </w:hyperlink>
            <w:r>
              <w:rPr>
                <w:rFonts w:ascii="Arial" w:cs="Arial" w:eastAsia="Arial" w:hAnsi="Arial"/>
                <w:b w:val="false"/>
                <w:bCs w:val="false"/>
                <w:sz w:val="14"/>
                <w:szCs w:val="14"/>
              </w:rPr>
              <w:t xml:space="preserve"> </w:t>
            </w:r>
            <w:hyperlink w:history="1" r:id="rIdwyizbjq9ds1sy1lkadfw-">
              <w:r>
                <w:rPr>
                  <w:rFonts w:ascii="Arial" w:cs="Arial" w:eastAsia="Arial" w:hAnsi="Arial"/>
                  <w:b w:val="false"/>
                  <w:bCs w:val="false"/>
                  <w:sz w:val="12"/>
                  <w:szCs w:val="12"/>
                </w:rPr>
                <w:t xml:space="preserve">[#294]</w:t>
              </w:r>
            </w:hyperlink>
            <w:r>
              <w:rPr>
                <w:rFonts w:ascii="Arial" w:cs="Arial" w:eastAsia="Arial" w:hAnsi="Arial"/>
                <w:b w:val="false"/>
                <w:bCs w:val="false"/>
                <w:sz w:val="14"/>
                <w:szCs w:val="14"/>
              </w:rPr>
              <w:t xml:space="preserve"> </w:t>
            </w:r>
            <w:hyperlink w:history="1" r:id="rIdlpn59w1xpn5najgojc4g_">
              <w:r>
                <w:rPr>
                  <w:rFonts w:ascii="Arial" w:cs="Arial" w:eastAsia="Arial" w:hAnsi="Arial"/>
                  <w:b w:val="false"/>
                  <w:bCs w:val="false"/>
                  <w:sz w:val="12"/>
                  <w:szCs w:val="12"/>
                </w:rPr>
                <w:t xml:space="preserve">[#105]</w:t>
              </w:r>
            </w:hyperlink>
          </w:p>
        </w:tc>
      </w:tr>
    </w:tbl>
    <w:p>
      <w:pPr>
        <w:spacing w:after="140" w:before="40"/>
      </w:pPr>
      <w:r>
        <w:rPr>
          <w:rFonts w:ascii="Arial" w:cs="Arial" w:eastAsia="Arial" w:hAnsi="Arial"/>
          <w:color w:val="898781"/>
          <w:sz w:val="14"/>
          <w:szCs w:val="14"/>
        </w:rPr>
        <w:t xml:space="preserve">Source: </w:t>
      </w:r>
      <w:hyperlink w:history="1" r:id="rIdgapa3luf51ilqdzadvyqi">
        <w:r>
          <w:rPr>
            <w:rFonts w:ascii="Arial" w:cs="Arial" w:eastAsia="Arial" w:hAnsi="Arial"/>
            <w:color w:val="898781"/>
            <w:sz w:val="14"/>
            <w:szCs w:val="14"/>
            <w:u w:val="single"/>
          </w:rPr>
          <w:t xml:space="preserve">H1 2026 semi-annual report</w:t>
        </w:r>
      </w:hyperlink>
      <w:r>
        <w:rPr>
          <w:rFonts w:ascii="Arial" w:cs="Arial" w:eastAsia="Arial" w:hAnsi="Arial"/>
          <w:color w:val="898781"/>
          <w:sz w:val="14"/>
          <w:szCs w:val="14"/>
        </w:rPr>
        <w:t xml:space="preserve"> and </w:t>
      </w:r>
      <w:hyperlink w:history="1" r:id="rId-5ztefavdnt9ictaqaq87">
        <w:r>
          <w:rPr>
            <w:rFonts w:ascii="Arial" w:cs="Arial" w:eastAsia="Arial" w:hAnsi="Arial"/>
            <w:color w:val="898781"/>
            <w:sz w:val="14"/>
            <w:szCs w:val="14"/>
            <w:u w:val="single"/>
          </w:rPr>
          <w:t xml:space="preserve">H1 2026 earnings call, 29-Jul-2026</w:t>
        </w:r>
      </w:hyperlink>
      <w:r>
        <w:rPr>
          <w:rFonts w:ascii="Arial" w:cs="Arial" w:eastAsia="Arial" w:hAnsi="Arial"/>
          <w:color w:val="898781"/>
          <w:sz w:val="14"/>
          <w:szCs w:val="14"/>
        </w:rPr>
        <w:t xml:space="preserve"> (company figures; the call transcript contains several transcription errors — e.g. "35.7%" margin, "€317m" EBIT, "2.9x" leverage — so semi-annual-report figures are used).</w:t>
      </w:r>
    </w:p>
    <w:p>
      <w:pPr>
        <w:pStyle w:val="Heading3"/>
        <w:keepNext/>
        <w:keepLines/>
        <w:spacing w:after="80" w:before="180"/>
      </w:pPr>
      <w:r>
        <w:rPr>
          <w:rFonts w:ascii="Arial" w:cs="Arial" w:eastAsia="Arial" w:hAnsi="Arial"/>
          <w:b/>
          <w:bCs/>
          <w:color w:val="2A78D6"/>
          <w:sz w:val="20"/>
          <w:szCs w:val="20"/>
        </w:rPr>
        <w:t xml:space="preserve">Versus consensus</w:t>
      </w:r>
    </w:p>
    <w:p>
      <w:pPr>
        <w:spacing w:after="100" w:before="0" w:line="264"/>
        <w:jc w:val="left"/>
      </w:pPr>
      <w:r>
        <w:rPr>
          <w:rFonts w:ascii="Arial" w:cs="Arial" w:eastAsia="Arial" w:hAnsi="Arial"/>
          <w:sz w:val="19"/>
          <w:szCs w:val="19"/>
        </w:rPr>
        <w:t xml:space="preserve">Revenue was </w:t>
      </w:r>
      <w:r>
        <w:rPr>
          <w:rFonts w:ascii="Arial" w:cs="Arial" w:eastAsia="Arial" w:hAnsi="Arial"/>
          <w:sz w:val="19"/>
          <w:szCs w:val="19"/>
        </w:rPr>
        <w:t xml:space="preserve">in line</w:t>
      </w:r>
      <w:r>
        <w:rPr>
          <w:rFonts w:ascii="Arial" w:cs="Arial" w:eastAsia="Arial" w:hAnsi="Arial"/>
          <w:sz w:val="19"/>
          <w:szCs w:val="19"/>
        </w:rPr>
        <w:t xml:space="preserve">: Q1 €1,180.5m vs €1,183.1m expected (−0.22%) and Q2 €1,276.6m vs €1,274.8m (+0.14%), i.e. H1 −0.03% vs consensus [calc] (ProntoNLP consensus, quarterly revenue only). </w:t>
      </w:r>
      <w:r>
        <w:rPr>
          <w:rFonts w:ascii="Arial" w:cs="Arial" w:eastAsia="Arial" w:hAnsi="Arial"/>
          <w:sz w:val="19"/>
          <w:szCs w:val="19"/>
        </w:rPr>
        <w:t xml:space="preserve">Profit consensus (EBITDA, EBIT, EPS) is not available in S&amp;P Capital IQ or ProntoNLP for Elis</w:t>
      </w:r>
      <w:r>
        <w:rPr>
          <w:rFonts w:ascii="Arial" w:cs="Arial" w:eastAsia="Arial" w:hAnsi="Arial"/>
          <w:sz w:val="19"/>
          <w:szCs w:val="19"/>
        </w:rPr>
        <w:t xml:space="preserve">, so we cannot state an EBITDA or EPS beat/miss; on our reading, headline EPS growth of +5.1% was below the "high single-digit" full-year guide, putting the burden on H2.</w:t>
      </w:r>
    </w:p>
    <w:p>
      <w:pPr>
        <w:pStyle w:val="Heading3"/>
        <w:keepNext/>
        <w:keepLines/>
        <w:spacing w:after="80" w:before="180"/>
      </w:pPr>
      <w:r>
        <w:rPr>
          <w:rFonts w:ascii="Arial" w:cs="Arial" w:eastAsia="Arial" w:hAnsi="Arial"/>
          <w:b/>
          <w:bCs/>
          <w:color w:val="2A78D6"/>
          <w:sz w:val="20"/>
          <w:szCs w:val="20"/>
        </w:rPr>
        <w:t xml:space="preserve">Segment drivers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7"/>
        <w:gridCol w:w="1429"/>
        <w:gridCol w:w="1429"/>
        <w:gridCol w:w="1858"/>
        <w:gridCol w:w="1433"/>
      </w:tblGrid>
      <w:tr>
        <w:trPr>
          <w:cantSplit/>
          <w:tblHeader/>
        </w:trPr>
        <w:tc>
          <w:tcPr>
            <w:tcW w:type="dxa" w:w="371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Region</w:t>
            </w:r>
          </w:p>
        </w:tc>
        <w:tc>
          <w:tcPr>
            <w:tcW w:type="dxa" w:w="142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Reported</w:t>
            </w:r>
          </w:p>
        </w:tc>
        <w:tc>
          <w:tcPr>
            <w:tcW w:type="dxa" w:w="142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Organic</w:t>
            </w:r>
          </w:p>
        </w:tc>
        <w:tc>
          <w:tcPr>
            <w:tcW w:type="dxa" w:w="185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Adj. EBITDA margin</w:t>
            </w:r>
          </w:p>
        </w:tc>
        <w:tc>
          <w:tcPr>
            <w:tcW w:type="dxa" w:w="143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Change</w:t>
            </w:r>
          </w:p>
        </w:tc>
      </w:tr>
      <w:tr>
        <w:trPr>
          <w:cantSplit/>
        </w:trPr>
        <w:tc>
          <w:tcPr>
            <w:tcW w:type="dxa" w:w="3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France</w:t>
            </w:r>
          </w:p>
        </w:tc>
        <w:tc>
          <w:tcPr>
            <w:tcW w:type="dxa" w:w="14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+2.5%</w:t>
            </w:r>
          </w:p>
        </w:tc>
        <w:tc>
          <w:tcPr>
            <w:tcW w:type="dxa" w:w="14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+2.0%</w:t>
            </w:r>
          </w:p>
        </w:tc>
        <w:tc>
          <w:tcPr>
            <w:tcW w:type="dxa" w:w="18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42.7%</w:t>
            </w:r>
          </w:p>
        </w:tc>
        <w:tc>
          <w:tcPr>
            <w:tcW w:type="dxa" w:w="14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+90bp</w:t>
            </w:r>
          </w:p>
        </w:tc>
      </w:tr>
      <w:tr>
        <w:trPr>
          <w:cantSplit/>
        </w:trPr>
        <w:tc>
          <w:tcPr>
            <w:tcW w:type="dxa" w:w="3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Central Europe</w:t>
            </w:r>
          </w:p>
        </w:tc>
        <w:tc>
          <w:tcPr>
            <w:tcW w:type="dxa" w:w="14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+5.9%</w:t>
            </w:r>
          </w:p>
        </w:tc>
        <w:tc>
          <w:tcPr>
            <w:tcW w:type="dxa" w:w="14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+3.2%</w:t>
            </w:r>
          </w:p>
        </w:tc>
        <w:tc>
          <w:tcPr>
            <w:tcW w:type="dxa" w:w="18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32.0%</w:t>
            </w:r>
          </w:p>
        </w:tc>
        <w:tc>
          <w:tcPr>
            <w:tcW w:type="dxa" w:w="143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-30bp</w:t>
            </w:r>
          </w:p>
        </w:tc>
      </w:tr>
      <w:tr>
        <w:trPr>
          <w:cantSplit/>
        </w:trPr>
        <w:tc>
          <w:tcPr>
            <w:tcW w:type="dxa" w:w="3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Scandinavia &amp; Eastern Europe</w:t>
            </w:r>
          </w:p>
        </w:tc>
        <w:tc>
          <w:tcPr>
            <w:tcW w:type="dxa" w:w="14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+3.4%</w:t>
            </w:r>
          </w:p>
        </w:tc>
        <w:tc>
          <w:tcPr>
            <w:tcW w:type="dxa" w:w="14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w:t>
            </w:r>
          </w:p>
        </w:tc>
        <w:tc>
          <w:tcPr>
            <w:tcW w:type="dxa" w:w="18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34.5%</w:t>
            </w:r>
          </w:p>
        </w:tc>
        <w:tc>
          <w:tcPr>
            <w:tcW w:type="dxa" w:w="14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+10bp</w:t>
            </w:r>
          </w:p>
        </w:tc>
      </w:tr>
      <w:tr>
        <w:trPr>
          <w:cantSplit/>
        </w:trPr>
        <w:tc>
          <w:tcPr>
            <w:tcW w:type="dxa" w:w="3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UK &amp; Ireland</w:t>
            </w:r>
          </w:p>
        </w:tc>
        <w:tc>
          <w:tcPr>
            <w:tcW w:type="dxa" w:w="14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-0.8%</w:t>
            </w:r>
          </w:p>
        </w:tc>
        <w:tc>
          <w:tcPr>
            <w:tcW w:type="dxa" w:w="14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w:t>
            </w:r>
          </w:p>
        </w:tc>
        <w:tc>
          <w:tcPr>
            <w:tcW w:type="dxa" w:w="18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31.8%</w:t>
            </w:r>
          </w:p>
        </w:tc>
        <w:tc>
          <w:tcPr>
            <w:tcW w:type="dxa" w:w="143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-10bp</w:t>
            </w:r>
          </w:p>
        </w:tc>
      </w:tr>
      <w:tr>
        <w:trPr>
          <w:cantSplit/>
        </w:trPr>
        <w:tc>
          <w:tcPr>
            <w:tcW w:type="dxa" w:w="3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Latin America</w:t>
            </w:r>
          </w:p>
        </w:tc>
        <w:tc>
          <w:tcPr>
            <w:tcW w:type="dxa" w:w="14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+15.4%</w:t>
            </w:r>
          </w:p>
        </w:tc>
        <w:tc>
          <w:tcPr>
            <w:tcW w:type="dxa" w:w="142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+8.0%</w:t>
            </w:r>
          </w:p>
        </w:tc>
        <w:tc>
          <w:tcPr>
            <w:tcW w:type="dxa" w:w="18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30.7%</w:t>
            </w:r>
          </w:p>
        </w:tc>
        <w:tc>
          <w:tcPr>
            <w:tcW w:type="dxa" w:w="14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-180bp</w:t>
            </w:r>
          </w:p>
        </w:tc>
      </w:tr>
      <w:tr>
        <w:trPr>
          <w:cantSplit/>
        </w:trPr>
        <w:tc>
          <w:tcPr>
            <w:tcW w:type="dxa" w:w="3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Southern Europe</w:t>
            </w:r>
          </w:p>
        </w:tc>
        <w:tc>
          <w:tcPr>
            <w:tcW w:type="dxa" w:w="14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+8.1%</w:t>
            </w:r>
          </w:p>
        </w:tc>
        <w:tc>
          <w:tcPr>
            <w:tcW w:type="dxa" w:w="142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+5.7%</w:t>
            </w:r>
          </w:p>
        </w:tc>
        <w:tc>
          <w:tcPr>
            <w:tcW w:type="dxa" w:w="18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32.1%</w:t>
            </w:r>
          </w:p>
        </w:tc>
        <w:tc>
          <w:tcPr>
            <w:tcW w:type="dxa" w:w="143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+30bp</w:t>
            </w:r>
          </w:p>
        </w:tc>
      </w:tr>
    </w:tbl>
    <w:p>
      <w:pPr>
        <w:spacing w:after="140" w:before="40"/>
      </w:pPr>
      <w:r>
        <w:rPr>
          <w:rFonts w:ascii="Arial" w:cs="Arial" w:eastAsia="Arial" w:hAnsi="Arial"/>
          <w:color w:val="898781"/>
          <w:sz w:val="14"/>
          <w:szCs w:val="14"/>
        </w:rPr>
        <w:t xml:space="preserve">Source: </w:t>
      </w:r>
      <w:hyperlink w:history="1" r:id="rIdhz-xfghubwfybwf_pgimk">
        <w:r>
          <w:rPr>
            <w:rFonts w:ascii="Arial" w:cs="Arial" w:eastAsia="Arial" w:hAnsi="Arial"/>
            <w:color w:val="898781"/>
            <w:sz w:val="14"/>
            <w:szCs w:val="14"/>
            <w:u w:val="single"/>
          </w:rPr>
          <w:t xml:space="preserve">H1 2026 semi-annual report</w:t>
        </w:r>
      </w:hyperlink>
      <w:r>
        <w:rPr>
          <w:rFonts w:ascii="Arial" w:cs="Arial" w:eastAsia="Arial" w:hAnsi="Arial"/>
          <w:color w:val="898781"/>
          <w:sz w:val="14"/>
          <w:szCs w:val="14"/>
        </w:rPr>
        <w:t xml:space="preserve">; </w:t>
      </w:r>
      <w:hyperlink w:history="1" r:id="rIdbkzguy0h8rjkhp1n9r0py">
        <w:r>
          <w:rPr>
            <w:rFonts w:ascii="Arial" w:cs="Arial" w:eastAsia="Arial" w:hAnsi="Arial"/>
            <w:color w:val="898781"/>
            <w:sz w:val="14"/>
            <w:szCs w:val="14"/>
            <w:u w:val="single"/>
          </w:rPr>
          <w:t xml:space="preserve">H1 2026 earnings call, 29-Jul-2026</w:t>
        </w:r>
      </w:hyperlink>
      <w:r>
        <w:rPr>
          <w:rFonts w:ascii="Arial" w:cs="Arial" w:eastAsia="Arial" w:hAnsi="Arial"/>
          <w:color w:val="898781"/>
          <w:sz w:val="14"/>
          <w:szCs w:val="14"/>
        </w:rPr>
        <w:t xml:space="preserve">. "Others" (manufacturing entities, holdings, Asia) is only in non-indexed tables.</w:t>
      </w:r>
    </w:p>
    <w:p>
      <w:pPr>
        <w:pStyle w:val="ListParagraph"/>
        <w:numPr>
          <w:ilvl w:val="0"/>
          <w:numId w:val="2"/>
        </w:numPr>
        <w:spacing w:after="60" w:line="252"/>
      </w:pPr>
      <w:r>
        <w:rPr>
          <w:rFonts w:ascii="Arial" w:cs="Arial" w:eastAsia="Arial" w:hAnsi="Arial"/>
          <w:b/>
          <w:bCs/>
          <w:sz w:val="19"/>
          <w:szCs w:val="19"/>
        </w:rPr>
        <w:t xml:space="preserve">Acceleration:</w:t>
      </w:r>
      <w:r>
        <w:rPr>
          <w:rFonts w:ascii="Arial" w:cs="Arial" w:eastAsia="Arial" w:hAnsi="Arial"/>
          <w:sz w:val="19"/>
          <w:szCs w:val="19"/>
        </w:rPr>
        <w:t xml:space="preserve"> Southern Europe (+5.7% organic, margin +30bp) and Central Europe ex-acquisitions; Latin America still grew +8.0% organically (Brazil +8.6%).</w:t>
      </w:r>
    </w:p>
    <w:p>
      <w:pPr>
        <w:pStyle w:val="ListParagraph"/>
        <w:numPr>
          <w:ilvl w:val="0"/>
          <w:numId w:val="2"/>
        </w:numPr>
        <w:spacing w:after="60" w:line="252"/>
      </w:pPr>
      <w:r>
        <w:rPr>
          <w:rFonts w:ascii="Arial" w:cs="Arial" w:eastAsia="Arial" w:hAnsi="Arial"/>
          <w:b/>
          <w:bCs/>
          <w:sz w:val="19"/>
          <w:szCs w:val="19"/>
        </w:rPr>
        <w:t xml:space="preserve">Deceleration:</w:t>
      </w:r>
      <w:r>
        <w:rPr>
          <w:rFonts w:ascii="Arial" w:cs="Arial" w:eastAsia="Arial" w:hAnsi="Arial"/>
          <w:sz w:val="19"/>
          <w:szCs w:val="19"/>
        </w:rPr>
        <w:t xml:space="preserve"> France slowed to +2.0% organic (hospitality softness, Paris occupancy) but expanded margin +90bp to 42.7%; UK &amp; Ireland and Scandinavia only +1.6% organic.</w:t>
      </w:r>
    </w:p>
    <w:p>
      <w:pPr>
        <w:pStyle w:val="ListParagraph"/>
        <w:numPr>
          <w:ilvl w:val="0"/>
          <w:numId w:val="2"/>
        </w:numPr>
        <w:spacing w:after="60" w:line="252"/>
      </w:pPr>
      <w:r>
        <w:rPr>
          <w:rFonts w:ascii="Arial" w:cs="Arial" w:eastAsia="Arial" w:hAnsi="Arial"/>
          <w:b/>
          <w:bCs/>
          <w:sz w:val="19"/>
          <w:szCs w:val="19"/>
        </w:rPr>
        <w:t xml:space="preserve">The problem child: Latin America.</w:t>
      </w:r>
      <w:r>
        <w:rPr>
          <w:rFonts w:ascii="Arial" w:cs="Arial" w:eastAsia="Arial" w:hAnsi="Arial"/>
          <w:sz w:val="19"/>
          <w:szCs w:val="19"/>
        </w:rPr>
        <w:t xml:space="preserve"> The Mexican federal healthcare tender was re-run as multi-lot and Elis lost about half the volume (~€2m a month from June, ~€14m in FY2026); recovery is not in the forecast </w:t>
      </w:r>
      <w:hyperlink w:history="1" r:id="rIdnis7pulljycuaqwk59ofz">
        <w:r>
          <w:rPr>
            <w:rFonts w:ascii="Arial" w:cs="Arial" w:eastAsia="Arial" w:hAnsi="Arial"/>
            <w:color w:val="1C5CAB"/>
            <w:sz w:val="15"/>
            <w:szCs w:val="15"/>
          </w:rPr>
          <w:t xml:space="preserve">[#137]</w:t>
        </w:r>
      </w:hyperlink>
      <w:r>
        <w:rPr>
          <w:rFonts w:ascii="Arial" w:cs="Arial" w:eastAsia="Arial" w:hAnsi="Arial"/>
          <w:sz w:val="19"/>
          <w:szCs w:val="19"/>
        </w:rPr>
        <w:t xml:space="preserve"> </w:t>
      </w:r>
      <w:hyperlink w:history="1" r:id="rIdwe5yr-sg4hlb0pzo6mit3">
        <w:r>
          <w:rPr>
            <w:rFonts w:ascii="Arial" w:cs="Arial" w:eastAsia="Arial" w:hAnsi="Arial"/>
            <w:color w:val="1C5CAB"/>
            <w:sz w:val="15"/>
            <w:szCs w:val="15"/>
          </w:rPr>
          <w:t xml:space="preserve">[#377]</w:t>
        </w:r>
      </w:hyperlink>
      <w:r>
        <w:rPr>
          <w:rFonts w:ascii="Arial" w:cs="Arial" w:eastAsia="Arial" w:hAnsi="Arial"/>
          <w:sz w:val="19"/>
          <w:szCs w:val="19"/>
        </w:rPr>
        <w:t xml:space="preserve">. Combined with minimum-wage hikes (+23% Colombia, +13% Mexico) the LatAm margin fell 180bp to 30.7%, reversing March guidance that it would be "at least flat" </w:t>
      </w:r>
      <w:hyperlink w:history="1" r:id="rIdt8mb2xtajujibjijyhiit">
        <w:r>
          <w:rPr>
            <w:rFonts w:ascii="Arial" w:cs="Arial" w:eastAsia="Arial" w:hAnsi="Arial"/>
            <w:color w:val="1C5CAB"/>
            <w:sz w:val="15"/>
            <w:szCs w:val="15"/>
          </w:rPr>
          <w:t xml:space="preserve">[#580]</w:t>
        </w:r>
      </w:hyperlink>
      <w:r>
        <w:rPr>
          <w:rFonts w:ascii="Arial" w:cs="Arial" w:eastAsia="Arial" w:hAnsi="Arial"/>
          <w:sz w:val="19"/>
          <w:szCs w:val="19"/>
        </w:rPr>
        <w:t xml:space="preserve"> </w:t>
      </w:r>
      <w:hyperlink w:history="1" r:id="rIduffapmaxu6qpfj_igde8a">
        <w:r>
          <w:rPr>
            <w:rFonts w:ascii="Arial" w:cs="Arial" w:eastAsia="Arial" w:hAnsi="Arial"/>
            <w:color w:val="1C5CAB"/>
            <w:sz w:val="15"/>
            <w:szCs w:val="15"/>
          </w:rPr>
          <w:t xml:space="preserve">[#558]</w:t>
        </w:r>
      </w:hyperlink>
      <w:r>
        <w:rPr>
          <w:rFonts w:ascii="Arial" w:cs="Arial" w:eastAsia="Arial" w:hAnsi="Arial"/>
          <w:sz w:val="19"/>
          <w:szCs w:val="19"/>
        </w:rPr>
        <w:t xml:space="preserve">. The semi-annual report notes impairment indicators in the Mexico and Chile CGUs, with no impairment booked </w:t>
      </w:r>
      <w:hyperlink w:history="1" r:id="rIdluuddg18kkicvfcehvcfd">
        <w:r>
          <w:rPr>
            <w:rFonts w:ascii="Arial" w:cs="Arial" w:eastAsia="Arial" w:hAnsi="Arial"/>
            <w:color w:val="1C5CAB"/>
            <w:sz w:val="15"/>
            <w:szCs w:val="15"/>
          </w:rPr>
          <w:t xml:space="preserve">[#329]</w:t>
        </w:r>
      </w:hyperlink>
      <w:r>
        <w:rPr>
          <w:rFonts w:ascii="Arial" w:cs="Arial" w:eastAsia="Arial" w:hAnsi="Arial"/>
          <w:sz w:val="19"/>
          <w:szCs w:val="19"/>
        </w:rPr>
        <w:t xml:space="preserve">.</w:t>
      </w:r>
    </w:p>
    <w:p>
      <w:pPr>
        <w:spacing w:after="60"/>
      </w:pPr>
    </w:p>
    <w:p>
      <w:pPr>
        <w:pStyle w:val="Heading3"/>
        <w:keepNext/>
        <w:keepLines/>
        <w:spacing w:after="80" w:before="180"/>
      </w:pPr>
      <w:r>
        <w:rPr>
          <w:rFonts w:ascii="Arial" w:cs="Arial" w:eastAsia="Arial" w:hAnsi="Arial"/>
          <w:b/>
          <w:bCs/>
          <w:color w:val="2A78D6"/>
          <w:sz w:val="20"/>
          <w:szCs w:val="20"/>
        </w:rPr>
        <w:t xml:space="preserve">Margins</w:t>
      </w:r>
    </w:p>
    <w:p>
      <w:pPr>
        <w:spacing w:after="100" w:before="0" w:line="264"/>
        <w:jc w:val="left"/>
      </w:pPr>
      <w:r>
        <w:rPr>
          <w:rFonts w:ascii="Arial" w:cs="Arial" w:eastAsia="Arial" w:hAnsi="Arial"/>
          <w:sz w:val="19"/>
          <w:szCs w:val="19"/>
        </w:rPr>
        <w:t xml:space="preserve">Adjusted EBITDA and EBIT margins were both flat (34.7%/15.1%). Pricing (slightly more than half of organic growth) covered ~4% wage inflation; Middle East energy, fuel, paper and chemicals cost ~€7m in H1, offset by ~€10m of mostly temporary savings </w:t>
      </w:r>
      <w:hyperlink w:history="1" r:id="rIdpcxex4vxxjkymmc966ofn">
        <w:r>
          <w:rPr>
            <w:rFonts w:ascii="Arial" w:cs="Arial" w:eastAsia="Arial" w:hAnsi="Arial"/>
            <w:sz w:val="15"/>
            <w:szCs w:val="15"/>
          </w:rPr>
          <w:t xml:space="preserve">[#75]</w:t>
        </w:r>
      </w:hyperlink>
      <w:r>
        <w:rPr>
          <w:rFonts w:ascii="Arial" w:cs="Arial" w:eastAsia="Arial" w:hAnsi="Arial"/>
          <w:sz w:val="19"/>
          <w:szCs w:val="19"/>
        </w:rPr>
        <w:t xml:space="preserve"> </w:t>
      </w:r>
      <w:hyperlink w:history="1" r:id="rId2rjw3n1epdfxbp_iwir7r">
        <w:r>
          <w:rPr>
            <w:rFonts w:ascii="Arial" w:cs="Arial" w:eastAsia="Arial" w:hAnsi="Arial"/>
            <w:sz w:val="15"/>
            <w:szCs w:val="15"/>
          </w:rPr>
          <w:t xml:space="preserve">[#460]</w:t>
        </w:r>
      </w:hyperlink>
      <w:r>
        <w:rPr>
          <w:rFonts w:ascii="Arial" w:cs="Arial" w:eastAsia="Arial" w:hAnsi="Arial"/>
          <w:sz w:val="19"/>
          <w:szCs w:val="19"/>
        </w:rPr>
        <w:t xml:space="preserve">; D&amp;A edged up to 19.7% of revenue. Note the pattern: adjusted EBIT grew more slowly than revenue in both FY2025 (+4.6% vs +4.9%) and H1 2026 (+4.6% vs +4.9%), against the CMD promise that EBIT would grow faster than revenue [calc].</w:t>
      </w:r>
    </w:p>
    <w:p>
      <w:pPr>
        <w:pStyle w:val="Heading3"/>
        <w:keepNext/>
        <w:keepLines/>
        <w:spacing w:after="80" w:before="180"/>
      </w:pPr>
      <w:r>
        <w:rPr>
          <w:rFonts w:ascii="Arial" w:cs="Arial" w:eastAsia="Arial" w:hAnsi="Arial"/>
          <w:b/>
          <w:bCs/>
          <w:color w:val="2A78D6"/>
          <w:sz w:val="20"/>
          <w:szCs w:val="20"/>
        </w:rPr>
        <w:t xml:space="preserve">Guidance and outlook</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2"/>
        <w:gridCol w:w="1715"/>
        <w:gridCol w:w="3217"/>
        <w:gridCol w:w="3862"/>
      </w:tblGrid>
      <w:tr>
        <w:trPr>
          <w:cantSplit/>
          <w:tblHeader/>
        </w:trPr>
        <w:tc>
          <w:tcPr>
            <w:tcW w:type="dxa" w:w="107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Issued</w:t>
            </w:r>
          </w:p>
        </w:tc>
        <w:tc>
          <w:tcPr>
            <w:tcW w:type="dxa" w:w="171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Metric</w:t>
            </w:r>
          </w:p>
        </w:tc>
        <w:tc>
          <w:tcPr>
            <w:tcW w:type="dxa" w:w="321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Guidance</w:t>
            </w:r>
          </w:p>
        </w:tc>
        <w:tc>
          <w:tcPr>
            <w:tcW w:type="dxa" w:w="386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Status / outcome</w:t>
            </w: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2025-05-27</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Revenue growth</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+5% to +6% p.a. at constant FX (~4% organic + 1-2% M&amp;A); CFO wrap-up says "5.5% to 6%"</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 +5.5% cFX, organic 3.8%; 2026 guide organic slightly below 3.8% -&gt; organic below CMD 4% two years running [calc]</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2025-05-27</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Adj EBITDA margin</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~+20bp p.a. on average</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 +20bp; H1 2026 flat; FY2026 guide "slight expansion"</w:t>
            </w: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2025-05-27</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EBIT and EPS vs revenue</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EBITDA/EBIT/EPS to grow faster than revenue</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 adj EBIT +4.6% vs revenue +4.9% (slower); H1 2026 EBIT +4.6% vs revenue +4.9% (slower); diluted headline EPS faster in both [calc]</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2025-05-27</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Cumulative FCF</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~EUR 1.5bn over 4 years (+35% vs EUR 1.1bn prior 4 yrs)</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 EUR 358.6m; requires ~EUR 380m avg 2026-28 [calc]</w:t>
            </w: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Organic growth</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slightly below 2025 level (3.8%)</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3.2%; reaffirmed 29-Jul-2026 (had been tracking ahead before Mexico)</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Adj EBITDA &amp; EBIT margins</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slight expansion</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both flat (34.7% / 15.1%); reaffirmed</w:t>
            </w: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Diluted headline EPS</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high single-digit growth</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+5.1%; reaffirmed (share count -~5% diluted avg by YE)</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Free cash flow</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mid-single-digit growth</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EUR -30.1m (H1 2025 +31m); reaffirmed</w:t>
            </w: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Leverage</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~1.65x at YE2026 (~-0.1x)</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2.09x at 30-Jun-2026; reaffirmed; relies on OCEANE 2029 conversion (debt component EUR 362m)</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Share buyback</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up to EUR 500m</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completed 9-Jul-2026 </w:t>
            </w:r>
            <w:hyperlink w:history="1" r:id="rIdhoriq7ndghi7lhl7m1zso">
              <w:r>
                <w:rPr>
                  <w:rFonts w:ascii="Arial" w:cs="Arial" w:eastAsia="Arial" w:hAnsi="Arial"/>
                  <w:b w:val="false"/>
                  <w:bCs w:val="false"/>
                  <w:sz w:val="12"/>
                  <w:szCs w:val="12"/>
                </w:rPr>
                <w:t xml:space="preserve">[#17]</w:t>
              </w:r>
            </w:hyperlink>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LatAm margin</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at least 2025 level, more probably better</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2026 -180bp; H2 decline expected, more limited -&gt; REVERSED</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German healthcare contract</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~EUR 30m per year, start Oct/Nov 2026</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29-Jul-2026: ~EUR 20m additional revenue in 2027, implementation late H2 </w:t>
            </w:r>
            <w:hyperlink w:history="1" r:id="rId-ex1tmowdg_xpicjuljyp">
              <w:r>
                <w:rPr>
                  <w:rFonts w:ascii="Arial" w:cs="Arial" w:eastAsia="Arial" w:hAnsi="Arial"/>
                  <w:b w:val="false"/>
                  <w:bCs w:val="false"/>
                  <w:sz w:val="12"/>
                  <w:szCs w:val="12"/>
                </w:rPr>
                <w:t xml:space="preserve">[#108]</w:t>
              </w:r>
            </w:hyperlink>
            <w:r>
              <w:rPr>
                <w:rFonts w:ascii="Arial" w:cs="Arial" w:eastAsia="Arial" w:hAnsi="Arial"/>
                <w:b w:val="false"/>
                <w:bCs w:val="false"/>
                <w:sz w:val="13"/>
                <w:szCs w:val="13"/>
              </w:rPr>
              <w:t xml:space="preserve"> </w:t>
            </w:r>
            <w:hyperlink w:history="1" r:id="rIdvzwf-cer07lpcrbpwcohx">
              <w:r>
                <w:rPr>
                  <w:rFonts w:ascii="Arial" w:cs="Arial" w:eastAsia="Arial" w:hAnsi="Arial"/>
                  <w:b w:val="false"/>
                  <w:bCs w:val="false"/>
                  <w:sz w:val="12"/>
                  <w:szCs w:val="12"/>
                </w:rPr>
                <w:t xml:space="preserve">[#47]</w:t>
              </w:r>
            </w:hyperlink>
            <w:r>
              <w:rPr>
                <w:rFonts w:ascii="Arial" w:cs="Arial" w:eastAsia="Arial" w:hAnsi="Arial"/>
                <w:b w:val="false"/>
                <w:bCs w:val="false"/>
                <w:sz w:val="13"/>
                <w:szCs w:val="13"/>
              </w:rPr>
              <w:t xml:space="preserve"> [#48](https:</w:t>
            </w: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2026-05-04</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All objectives</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confirmed</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2026-07-29</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All objectives</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confirmed unchanged vs March</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r>
      <w:tr>
        <w:trPr>
          <w:cantSplit/>
        </w:trPr>
        <w:tc>
          <w:tcPr>
            <w:tcW w:type="dxa" w:w="10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2026-07-29</w:t>
            </w:r>
          </w:p>
        </w:tc>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Capex</w:t>
            </w:r>
          </w:p>
        </w:tc>
        <w:tc>
          <w:tcPr>
            <w:tcW w:type="dxa" w:w="32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~18% of revenue by YE (SR) / just above 18% (call)</w:t>
            </w:r>
          </w:p>
        </w:tc>
        <w:tc>
          <w:tcPr>
            <w:tcW w:type="dxa" w:w="38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19.5%</w:t>
            </w:r>
          </w:p>
        </w:tc>
      </w:tr>
      <w:tr>
        <w:trPr>
          <w:cantSplit/>
        </w:trPr>
        <w:tc>
          <w:tcPr>
            <w:tcW w:type="dxa" w:w="10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2026-07-29</w:t>
            </w:r>
          </w:p>
        </w:tc>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Organic growth (qualitative)</w:t>
            </w:r>
          </w:p>
        </w:tc>
        <w:tc>
          <w:tcPr>
            <w:tcW w:type="dxa" w:w="32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"organic growth will be better in 27" (no formal guidance)</w:t>
            </w:r>
          </w:p>
        </w:tc>
        <w:tc>
          <w:tcPr>
            <w:tcW w:type="dxa" w:w="38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r>
    </w:tbl>
    <w:p>
      <w:pPr>
        <w:spacing w:after="140" w:before="40"/>
      </w:pPr>
      <w:r>
        <w:rPr>
          <w:rFonts w:ascii="Arial" w:cs="Arial" w:eastAsia="Arial" w:hAnsi="Arial"/>
          <w:color w:val="898781"/>
          <w:sz w:val="14"/>
          <w:szCs w:val="14"/>
        </w:rPr>
        <w:t xml:space="preserve">Source: worker A guidance history (model/A_guidance_history.csv), compiled from Elis calls and filings via ProntoNLP.</w:t>
      </w:r>
    </w:p>
    <w:p>
      <w:pPr>
        <w:spacing w:after="100" w:before="0" w:line="264"/>
        <w:jc w:val="left"/>
      </w:pPr>
      <w:r>
        <w:rPr>
          <w:rFonts w:ascii="Arial" w:cs="Arial" w:eastAsia="Arial" w:hAnsi="Arial"/>
          <w:sz w:val="19"/>
          <w:szCs w:val="19"/>
        </w:rPr>
        <w:t xml:space="preserve">All FY2026 objectives were </w:t>
      </w:r>
      <w:r>
        <w:rPr>
          <w:rFonts w:ascii="Arial" w:cs="Arial" w:eastAsia="Arial" w:hAnsi="Arial"/>
          <w:sz w:val="19"/>
          <w:szCs w:val="19"/>
        </w:rPr>
        <w:t xml:space="preserve">confirmed, not raised</w:t>
      </w:r>
      <w:r>
        <w:rPr>
          <w:rFonts w:ascii="Arial" w:cs="Arial" w:eastAsia="Arial" w:hAnsi="Arial"/>
          <w:sz w:val="19"/>
          <w:szCs w:val="19"/>
        </w:rPr>
        <w:t xml:space="preserve"> </w:t>
      </w:r>
      <w:hyperlink w:history="1" r:id="rIdoog08cwhhrvht-ghxyjpr">
        <w:r>
          <w:rPr>
            <w:rFonts w:ascii="Arial" w:cs="Arial" w:eastAsia="Arial" w:hAnsi="Arial"/>
            <w:sz w:val="15"/>
            <w:szCs w:val="15"/>
          </w:rPr>
          <w:t xml:space="preserve">[#342]</w:t>
        </w:r>
      </w:hyperlink>
      <w:r>
        <w:rPr>
          <w:rFonts w:ascii="Arial" w:cs="Arial" w:eastAsia="Arial" w:hAnsi="Arial"/>
          <w:sz w:val="19"/>
          <w:szCs w:val="19"/>
        </w:rPr>
        <w:t xml:space="preserve">: organic growth slightly below 2025's 3.8%, slight expansion of EBITDA and EBIT margins, high-single-digit growth in diluted headline EPS, mid-single-digit FCF growth and leverage of ~1.65x at year-end. The tone was weaker in the detail: organic growth had been "tracking ahead" until Mexico </w:t>
      </w:r>
      <w:hyperlink w:history="1" r:id="rIdzqfatm1ql0k43n_spcio6">
        <w:r>
          <w:rPr>
            <w:rFonts w:ascii="Arial" w:cs="Arial" w:eastAsia="Arial" w:hAnsi="Arial"/>
            <w:sz w:val="15"/>
            <w:szCs w:val="15"/>
          </w:rPr>
          <w:t xml:space="preserve">[#330]</w:t>
        </w:r>
      </w:hyperlink>
      <w:r>
        <w:rPr>
          <w:rFonts w:ascii="Arial" w:cs="Arial" w:eastAsia="Arial" w:hAnsi="Arial"/>
          <w:sz w:val="19"/>
          <w:szCs w:val="19"/>
        </w:rPr>
        <w:t xml:space="preserve">; the large German healthcare contract slipped from ~€30m a year </w:t>
      </w:r>
      <w:hyperlink w:history="1" r:id="rIdvzpmrjh_h68dvspoq2orc">
        <w:r>
          <w:rPr>
            <w:rFonts w:ascii="Arial" w:cs="Arial" w:eastAsia="Arial" w:hAnsi="Arial"/>
            <w:sz w:val="15"/>
            <w:szCs w:val="15"/>
          </w:rPr>
          <w:t xml:space="preserve">[#625]</w:t>
        </w:r>
      </w:hyperlink>
      <w:r>
        <w:rPr>
          <w:rFonts w:ascii="Arial" w:cs="Arial" w:eastAsia="Arial" w:hAnsi="Arial"/>
          <w:sz w:val="19"/>
          <w:szCs w:val="19"/>
        </w:rPr>
        <w:t xml:space="preserve"> to ~€20m of revenue in 2027 </w:t>
      </w:r>
      <w:hyperlink w:history="1" r:id="rIdma51r9ygmsj66gbhqw6an">
        <w:r>
          <w:rPr>
            <w:rFonts w:ascii="Arial" w:cs="Arial" w:eastAsia="Arial" w:hAnsi="Arial"/>
            <w:sz w:val="15"/>
            <w:szCs w:val="15"/>
          </w:rPr>
          <w:t xml:space="preserve">[#108]</w:t>
        </w:r>
      </w:hyperlink>
      <w:r>
        <w:rPr>
          <w:rFonts w:ascii="Arial" w:cs="Arial" w:eastAsia="Arial" w:hAnsi="Arial"/>
          <w:sz w:val="19"/>
          <w:szCs w:val="19"/>
        </w:rPr>
        <w:t xml:space="preserve">; the 2027 energy saving shrank from €10–15m </w:t>
      </w:r>
      <w:hyperlink w:history="1" r:id="rIdegte7wuiyqh-xrhsxwf-j">
        <w:r>
          <w:rPr>
            <w:rFonts w:ascii="Arial" w:cs="Arial" w:eastAsia="Arial" w:hAnsi="Arial"/>
            <w:sz w:val="15"/>
            <w:szCs w:val="15"/>
          </w:rPr>
          <w:t xml:space="preserve">[#641]</w:t>
        </w:r>
      </w:hyperlink>
      <w:r>
        <w:rPr>
          <w:rFonts w:ascii="Arial" w:cs="Arial" w:eastAsia="Arial" w:hAnsi="Arial"/>
          <w:sz w:val="19"/>
          <w:szCs w:val="19"/>
        </w:rPr>
        <w:t xml:space="preserve"> to slightly below €10m </w:t>
      </w:r>
      <w:hyperlink w:history="1" r:id="rId3mdicffzmkljlspbren3y">
        <w:r>
          <w:rPr>
            <w:rFonts w:ascii="Arial" w:cs="Arial" w:eastAsia="Arial" w:hAnsi="Arial"/>
            <w:sz w:val="15"/>
            <w:szCs w:val="15"/>
          </w:rPr>
          <w:t xml:space="preserve">[#599]</w:t>
        </w:r>
      </w:hyperlink>
      <w:r>
        <w:rPr>
          <w:rFonts w:ascii="Arial" w:cs="Arial" w:eastAsia="Arial" w:hAnsi="Arial"/>
          <w:sz w:val="19"/>
          <w:szCs w:val="19"/>
        </w:rPr>
        <w:t xml:space="preserve">. The positives: record signings in Q1, a better Q2 </w:t>
      </w:r>
      <w:hyperlink w:history="1" r:id="rIdxvnvwd9xnpm3lteqyasu5">
        <w:r>
          <w:rPr>
            <w:rFonts w:ascii="Arial" w:cs="Arial" w:eastAsia="Arial" w:hAnsi="Arial"/>
            <w:sz w:val="15"/>
            <w:szCs w:val="15"/>
          </w:rPr>
          <w:t xml:space="preserve">[#497]</w:t>
        </w:r>
      </w:hyperlink>
      <w:r>
        <w:rPr>
          <w:rFonts w:ascii="Arial" w:cs="Arial" w:eastAsia="Arial" w:hAnsi="Arial"/>
          <w:sz w:val="19"/>
          <w:szCs w:val="19"/>
        </w:rPr>
        <w:t xml:space="preserve">, strong index-linked pricing for 2027 </w:t>
      </w:r>
      <w:hyperlink w:history="1" r:id="rIdtbigrfcfa6uzfbhsfny1m">
        <w:r>
          <w:rPr>
            <w:rFonts w:ascii="Arial" w:cs="Arial" w:eastAsia="Arial" w:hAnsi="Arial"/>
            <w:sz w:val="15"/>
            <w:szCs w:val="15"/>
          </w:rPr>
          <w:t xml:space="preserve">[#472]</w:t>
        </w:r>
      </w:hyperlink>
      <w:r>
        <w:rPr>
          <w:rFonts w:ascii="Arial" w:cs="Arial" w:eastAsia="Arial" w:hAnsi="Arial"/>
          <w:sz w:val="19"/>
          <w:szCs w:val="19"/>
        </w:rPr>
        <w:t xml:space="preserve"> and "organic growth will be better in '27" </w:t>
      </w:r>
      <w:hyperlink w:history="1" r:id="rIdryusiqh0eyizizhsb-nus">
        <w:r>
          <w:rPr>
            <w:rFonts w:ascii="Arial" w:cs="Arial" w:eastAsia="Arial" w:hAnsi="Arial"/>
            <w:sz w:val="15"/>
            <w:szCs w:val="15"/>
          </w:rPr>
          <w:t xml:space="preserve">[#524]</w:t>
        </w:r>
      </w:hyperlink>
      <w:r>
        <w:rPr>
          <w:rFonts w:ascii="Arial" w:cs="Arial" w:eastAsia="Arial" w:hAnsi="Arial"/>
          <w:sz w:val="19"/>
          <w:szCs w:val="19"/>
        </w:rPr>
        <w:t xml:space="preserve">.</w:t>
      </w:r>
    </w:p>
    <w:p>
      <w:pPr>
        <w:pStyle w:val="Heading3"/>
        <w:keepNext/>
        <w:keepLines/>
        <w:spacing w:after="80" w:before="180"/>
      </w:pPr>
      <w:r>
        <w:rPr>
          <w:rFonts w:ascii="Arial" w:cs="Arial" w:eastAsia="Arial" w:hAnsi="Arial"/>
          <w:b/>
          <w:bCs/>
          <w:color w:val="2A78D6"/>
          <w:sz w:val="20"/>
          <w:szCs w:val="20"/>
        </w:rPr>
        <w:t xml:space="preserve">Balance-sheet and cash-flow flags</w:t>
      </w:r>
    </w:p>
    <w:p>
      <w:pPr>
        <w:pStyle w:val="ListParagraph"/>
        <w:numPr>
          <w:ilvl w:val="0"/>
          <w:numId w:val="2"/>
        </w:numPr>
        <w:spacing w:after="60" w:line="252"/>
      </w:pPr>
      <w:r>
        <w:rPr>
          <w:rFonts w:ascii="Arial" w:cs="Arial" w:eastAsia="Arial" w:hAnsi="Arial"/>
          <w:b/>
          <w:bCs/>
          <w:sz w:val="19"/>
          <w:szCs w:val="19"/>
        </w:rPr>
        <w:t xml:space="preserve">OCEANE 2029 soft call / leverage target dependency (high):</w:t>
      </w:r>
      <w:r>
        <w:rPr>
          <w:rFonts w:ascii="Arial" w:cs="Arial" w:eastAsia="Arial" w:hAnsi="Arial"/>
          <w:sz w:val="19"/>
          <w:szCs w:val="19"/>
        </w:rPr>
        <w:t xml:space="preserve"> YE2026 ~1.65x leverage target and the EUR 500m buyback were sized on conversion of the OCEANE 2029 (debt component EUR 362m). Soft call possible from Oct-2026 at 130% of par (CFO: ~EUR 21.5). After the 28-May-2026 adjustment (6,256.8564 shares per bond; 3,800 bonds = 23,776,054 shares) implied conversion price ~EUR 15.98 and 130… </w:t>
      </w:r>
      <w:hyperlink w:history="1" r:id="rIdxdlry8e_rz14kzrds7o2i">
        <w:r>
          <w:rPr>
            <w:rFonts w:ascii="Arial" w:cs="Arial" w:eastAsia="Arial" w:hAnsi="Arial"/>
            <w:color w:val="1C5CAB"/>
            <w:sz w:val="15"/>
            <w:szCs w:val="15"/>
          </w:rPr>
          <w:t xml:space="preserve">[#513]</w:t>
        </w:r>
      </w:hyperlink>
      <w:r>
        <w:rPr>
          <w:rFonts w:ascii="Arial" w:cs="Arial" w:eastAsia="Arial" w:hAnsi="Arial"/>
          <w:sz w:val="19"/>
          <w:szCs w:val="19"/>
        </w:rPr>
        <w:t xml:space="preserve"> </w:t>
      </w:r>
      <w:hyperlink w:history="1" r:id="rIdlf88rrgzzpmwlaokxstql">
        <w:r>
          <w:rPr>
            <w:rFonts w:ascii="Arial" w:cs="Arial" w:eastAsia="Arial" w:hAnsi="Arial"/>
            <w:color w:val="1C5CAB"/>
            <w:sz w:val="15"/>
            <w:szCs w:val="15"/>
          </w:rPr>
          <w:t xml:space="preserve">[#514]</w:t>
        </w:r>
      </w:hyperlink>
    </w:p>
    <w:p>
      <w:pPr>
        <w:pStyle w:val="ListParagraph"/>
        <w:numPr>
          <w:ilvl w:val="0"/>
          <w:numId w:val="2"/>
        </w:numPr>
        <w:spacing w:after="60" w:line="252"/>
      </w:pPr>
      <w:r>
        <w:rPr>
          <w:rFonts w:ascii="Arial" w:cs="Arial" w:eastAsia="Arial" w:hAnsi="Arial"/>
          <w:b/>
          <w:bCs/>
          <w:sz w:val="19"/>
          <w:szCs w:val="19"/>
        </w:rPr>
        <w:t xml:space="preserve">First negative H1 FCF in sample; FCF bridge (high):</w:t>
      </w:r>
      <w:r>
        <w:rPr>
          <w:rFonts w:ascii="Arial" w:cs="Arial" w:eastAsia="Arial" w:hAnsi="Arial"/>
          <w:sz w:val="19"/>
          <w:szCs w:val="19"/>
        </w:rPr>
        <w:t xml:space="preserve"> H1 FCF EUR -30.1m vs +31m H1 2025 and +55.5m H1 2024 (H1 2023 EUR 17m): swing EUR -61.1m [calc] = CF before fin/tax +33.9m, net capex -47.3m, WC -51.0m, net interest +14.2m, tax -7.1m, leases -3.8m [calc]. Management: timing only; nearly all FCF generated in H2; FY MSD growth reaffirmed. </w:t>
      </w:r>
      <w:hyperlink w:history="1" r:id="rIdpnzucfqja34y_vwgmpntu">
        <w:r>
          <w:rPr>
            <w:rFonts w:ascii="Arial" w:cs="Arial" w:eastAsia="Arial" w:hAnsi="Arial"/>
            <w:color w:val="1C5CAB"/>
            <w:sz w:val="15"/>
            <w:szCs w:val="15"/>
          </w:rPr>
          <w:t xml:space="preserve">[#16]</w:t>
        </w:r>
      </w:hyperlink>
      <w:r>
        <w:rPr>
          <w:rFonts w:ascii="Arial" w:cs="Arial" w:eastAsia="Arial" w:hAnsi="Arial"/>
          <w:sz w:val="19"/>
          <w:szCs w:val="19"/>
        </w:rPr>
        <w:t xml:space="preserve"> </w:t>
      </w:r>
      <w:hyperlink w:history="1" r:id="rIdmryfmrz1_jzkgb6uxlnit">
        <w:r>
          <w:rPr>
            <w:rFonts w:ascii="Arial" w:cs="Arial" w:eastAsia="Arial" w:hAnsi="Arial"/>
            <w:color w:val="1C5CAB"/>
            <w:sz w:val="15"/>
            <w:szCs w:val="15"/>
          </w:rPr>
          <w:t xml:space="preserve">[#90]</w:t>
        </w:r>
      </w:hyperlink>
    </w:p>
    <w:p>
      <w:pPr>
        <w:pStyle w:val="ListParagraph"/>
        <w:numPr>
          <w:ilvl w:val="0"/>
          <w:numId w:val="2"/>
        </w:numPr>
        <w:spacing w:after="60" w:line="252"/>
      </w:pPr>
      <w:r>
        <w:rPr>
          <w:rFonts w:ascii="Arial" w:cs="Arial" w:eastAsia="Arial" w:hAnsi="Arial"/>
          <w:b/>
          <w:bCs/>
          <w:sz w:val="19"/>
          <w:szCs w:val="19"/>
        </w:rPr>
        <w:t xml:space="preserve">Working capital: inventory build and DSO deterioration (medium):</w:t>
      </w:r>
      <w:r>
        <w:rPr>
          <w:rFonts w:ascii="Arial" w:cs="Arial" w:eastAsia="Arial" w:hAnsi="Arial"/>
          <w:sz w:val="19"/>
          <w:szCs w:val="19"/>
        </w:rPr>
        <w:t xml:space="preserve"> WC change EUR -164.0m (vs -113m): flat-linen and workwear inventory build plus DSO 57 days (vs 54). CFO: "a couple of days", ~60 days group level, not to over-read. Credit-risk vigilance strengthened in Mexico. Securitisation programme (France, up to EUR 200m, since Jun-2023) and supplier-finance programme exist; utilisation not… </w:t>
      </w:r>
      <w:hyperlink w:history="1" r:id="rIdty2fcftluzz4tpatp2zfm">
        <w:r>
          <w:rPr>
            <w:rFonts w:ascii="Arial" w:cs="Arial" w:eastAsia="Arial" w:hAnsi="Arial"/>
            <w:color w:val="1C5CAB"/>
            <w:sz w:val="15"/>
            <w:szCs w:val="15"/>
          </w:rPr>
          <w:t xml:space="preserve">[#93]</w:t>
        </w:r>
      </w:hyperlink>
      <w:r>
        <w:rPr>
          <w:rFonts w:ascii="Arial" w:cs="Arial" w:eastAsia="Arial" w:hAnsi="Arial"/>
          <w:sz w:val="19"/>
          <w:szCs w:val="19"/>
        </w:rPr>
        <w:t xml:space="preserve"> </w:t>
      </w:r>
      <w:hyperlink w:history="1" r:id="rIdbfxxyt9sfqafluo2shndx">
        <w:r>
          <w:rPr>
            <w:rFonts w:ascii="Arial" w:cs="Arial" w:eastAsia="Arial" w:hAnsi="Arial"/>
            <w:color w:val="1C5CAB"/>
            <w:sz w:val="15"/>
            <w:szCs w:val="15"/>
          </w:rPr>
          <w:t xml:space="preserve">[#253]</w:t>
        </w:r>
      </w:hyperlink>
    </w:p>
    <w:p>
      <w:pPr>
        <w:pStyle w:val="ListParagraph"/>
        <w:numPr>
          <w:ilvl w:val="0"/>
          <w:numId w:val="2"/>
        </w:numPr>
        <w:spacing w:after="60" w:line="252"/>
      </w:pPr>
      <w:r>
        <w:rPr>
          <w:rFonts w:ascii="Arial" w:cs="Arial" w:eastAsia="Arial" w:hAnsi="Arial"/>
          <w:b/>
          <w:bCs/>
          <w:sz w:val="19"/>
          <w:szCs w:val="19"/>
        </w:rPr>
        <w:t xml:space="preserve">Leverage jump (high):</w:t>
      </w:r>
      <w:r>
        <w:rPr>
          <w:rFonts w:ascii="Arial" w:cs="Arial" w:eastAsia="Arial" w:hAnsi="Arial"/>
          <w:sz w:val="19"/>
          <w:szCs w:val="19"/>
        </w:rPr>
        <w:t xml:space="preserve"> Leverage 2.09x at 30-Jun-2026 vs 1.75x Dec-2025 and 1.92x Jun-2025; net debt +EUR 650m in H1 (buyback 466.8m, dividend 105.6m, M&amp;A 36m, negative FCF). CFO: 2026 "not exactly a normative year". Covenant &lt;3.75x (RCF/USPP). </w:t>
      </w:r>
      <w:hyperlink w:history="1" r:id="rIdgz4npbphcw5vzqctie15n">
        <w:r>
          <w:rPr>
            <w:rFonts w:ascii="Arial" w:cs="Arial" w:eastAsia="Arial" w:hAnsi="Arial"/>
            <w:color w:val="1C5CAB"/>
            <w:sz w:val="15"/>
            <w:szCs w:val="15"/>
          </w:rPr>
          <w:t xml:space="preserve">[#103]</w:t>
        </w:r>
      </w:hyperlink>
      <w:r>
        <w:rPr>
          <w:rFonts w:ascii="Arial" w:cs="Arial" w:eastAsia="Arial" w:hAnsi="Arial"/>
          <w:sz w:val="19"/>
          <w:szCs w:val="19"/>
        </w:rPr>
        <w:t xml:space="preserve"> </w:t>
      </w:r>
      <w:hyperlink w:history="1" r:id="rIdgfb7doqus68liothdkc4w">
        <w:r>
          <w:rPr>
            <w:rFonts w:ascii="Arial" w:cs="Arial" w:eastAsia="Arial" w:hAnsi="Arial"/>
            <w:color w:val="1C5CAB"/>
            <w:sz w:val="15"/>
            <w:szCs w:val="15"/>
          </w:rPr>
          <w:t xml:space="preserve">[#104]</w:t>
        </w:r>
      </w:hyperlink>
    </w:p>
    <w:p>
      <w:pPr>
        <w:pStyle w:val="ListParagraph"/>
        <w:numPr>
          <w:ilvl w:val="0"/>
          <w:numId w:val="2"/>
        </w:numPr>
        <w:spacing w:after="60" w:line="252"/>
      </w:pPr>
      <w:r>
        <w:rPr>
          <w:rFonts w:ascii="Arial" w:cs="Arial" w:eastAsia="Arial" w:hAnsi="Arial"/>
          <w:b/>
          <w:bCs/>
          <w:sz w:val="19"/>
          <w:szCs w:val="19"/>
        </w:rPr>
        <w:t xml:space="preserve">Mexico tender reset and impairment indicators (high):</w:t>
      </w:r>
      <w:r>
        <w:rPr>
          <w:rFonts w:ascii="Arial" w:cs="Arial" w:eastAsia="Arial" w:hAnsi="Arial"/>
          <w:sz w:val="19"/>
          <w:szCs w:val="19"/>
        </w:rPr>
        <w:t xml:space="preserve"> Mexico federal healthcare tender re-run as multi-lot: 50% of volume lost (~EUR 2m/month from June; ~EUR 14m 2026); not in forecast to recover. Months earlier the tender win was "massive... super profitable" and Q1 2026 Mexico organic was ~+16%. SR: impairment indicators at Mexico (tenders not renewed) and Chile (EBITDA &lt;90% of b… </w:t>
      </w:r>
      <w:hyperlink w:history="1" r:id="rIdk7fwsslxu1nzhxpm5djln">
        <w:r>
          <w:rPr>
            <w:rFonts w:ascii="Arial" w:cs="Arial" w:eastAsia="Arial" w:hAnsi="Arial"/>
            <w:color w:val="1C5CAB"/>
            <w:sz w:val="15"/>
            <w:szCs w:val="15"/>
          </w:rPr>
          <w:t xml:space="preserve">[#136]</w:t>
        </w:r>
      </w:hyperlink>
      <w:r>
        <w:rPr>
          <w:rFonts w:ascii="Arial" w:cs="Arial" w:eastAsia="Arial" w:hAnsi="Arial"/>
          <w:sz w:val="19"/>
          <w:szCs w:val="19"/>
        </w:rPr>
        <w:t xml:space="preserve"> </w:t>
      </w:r>
      <w:hyperlink w:history="1" r:id="rId-0cgvoyltqo-ln6zzo-vq">
        <w:r>
          <w:rPr>
            <w:rFonts w:ascii="Arial" w:cs="Arial" w:eastAsia="Arial" w:hAnsi="Arial"/>
            <w:color w:val="1C5CAB"/>
            <w:sz w:val="15"/>
            <w:szCs w:val="15"/>
          </w:rPr>
          <w:t xml:space="preserve">[#137]</w:t>
        </w:r>
      </w:hyperlink>
    </w:p>
    <w:p>
      <w:pPr>
        <w:pStyle w:val="ListParagraph"/>
        <w:numPr>
          <w:ilvl w:val="0"/>
          <w:numId w:val="2"/>
        </w:numPr>
        <w:spacing w:after="60" w:line="252"/>
      </w:pPr>
      <w:r>
        <w:rPr>
          <w:rFonts w:ascii="Arial" w:cs="Arial" w:eastAsia="Arial" w:hAnsi="Arial"/>
          <w:b/>
          <w:bCs/>
          <w:sz w:val="19"/>
          <w:szCs w:val="19"/>
        </w:rPr>
        <w:t xml:space="preserve">Guidance credibility versus CMD and LatAm commentary (medium):</w:t>
      </w:r>
      <w:r>
        <w:rPr>
          <w:rFonts w:ascii="Arial" w:cs="Arial" w:eastAsia="Arial" w:hAnsi="Arial"/>
          <w:sz w:val="19"/>
          <w:szCs w:val="19"/>
        </w:rPr>
        <w:t xml:space="preserve"> FY2025 adj EBIT margin flat at 16.0% vs "slightly up" guided; adj EBIT grew slower than revenue in FY2025 and H1 2026 vs CMD target of faster; organic below ~4% CMD target in 2025 and guided below again in 2026; LatAm 2026 margin guided flat-to-up in March, -180bp in H1 with further H2 decline expected; German healthcare contrac… </w:t>
      </w:r>
      <w:hyperlink w:history="1" r:id="rIdlb0mn0jkwscjx5evth6fo">
        <w:r>
          <w:rPr>
            <w:rFonts w:ascii="Arial" w:cs="Arial" w:eastAsia="Arial" w:hAnsi="Arial"/>
            <w:color w:val="1C5CAB"/>
            <w:sz w:val="15"/>
            <w:szCs w:val="15"/>
          </w:rPr>
          <w:t xml:space="preserve">[#384]</w:t>
        </w:r>
      </w:hyperlink>
      <w:r>
        <w:rPr>
          <w:rFonts w:ascii="Arial" w:cs="Arial" w:eastAsia="Arial" w:hAnsi="Arial"/>
          <w:sz w:val="19"/>
          <w:szCs w:val="19"/>
        </w:rPr>
        <w:t xml:space="preserve"> </w:t>
      </w:r>
      <w:hyperlink w:history="1" r:id="rIdv2mfwn6_jqbi-gnb2dtcz">
        <w:r>
          <w:rPr>
            <w:rFonts w:ascii="Arial" w:cs="Arial" w:eastAsia="Arial" w:hAnsi="Arial"/>
            <w:color w:val="1C5CAB"/>
            <w:sz w:val="15"/>
            <w:szCs w:val="15"/>
          </w:rPr>
          <w:t xml:space="preserve">[#27]</w:t>
        </w:r>
      </w:hyperlink>
    </w:p>
    <w:p>
      <w:pPr>
        <w:pStyle w:val="ListParagraph"/>
        <w:numPr>
          <w:ilvl w:val="0"/>
          <w:numId w:val="2"/>
        </w:numPr>
        <w:spacing w:after="60" w:line="252"/>
      </w:pPr>
      <w:r>
        <w:rPr>
          <w:rFonts w:ascii="Arial" w:cs="Arial" w:eastAsia="Arial" w:hAnsi="Arial"/>
          <w:b/>
          <w:bCs/>
          <w:sz w:val="19"/>
          <w:szCs w:val="19"/>
        </w:rPr>
        <w:t xml:space="preserve">Accounting/restatements and one-offs (medium):</w:t>
      </w:r>
      <w:r>
        <w:rPr>
          <w:rFonts w:ascii="Arial" w:cs="Arial" w:eastAsia="Arial" w:hAnsi="Arial"/>
          <w:sz w:val="19"/>
          <w:szCs w:val="19"/>
        </w:rPr>
        <w:t xml:space="preserve"> H1 2025 restated under IFRS 3 (Neutral PPA; NI 152.5m published -&gt; 152.4m); FY2024 restated under IFRS 3 (Carsan, Wasned, Ernst); IFRS 9/7 amendment cut opening 2026 cash by EUR 1.8m (non-retrospective); IFRS 18 from 2027. FY2025 non-current income included ~EUR 25m insurance compensation; FY2025 IFRS 2 EUR 46m incl. one-offs; H… </w:t>
      </w:r>
      <w:hyperlink w:history="1" r:id="rId-sgem9ug-kj1ie-vlqzmu">
        <w:r>
          <w:rPr>
            <w:rFonts w:ascii="Arial" w:cs="Arial" w:eastAsia="Arial" w:hAnsi="Arial"/>
            <w:color w:val="1C5CAB"/>
            <w:sz w:val="15"/>
            <w:szCs w:val="15"/>
          </w:rPr>
          <w:t xml:space="preserve">[#251]</w:t>
        </w:r>
      </w:hyperlink>
      <w:r>
        <w:rPr>
          <w:rFonts w:ascii="Arial" w:cs="Arial" w:eastAsia="Arial" w:hAnsi="Arial"/>
          <w:sz w:val="19"/>
          <w:szCs w:val="19"/>
        </w:rPr>
        <w:t xml:space="preserve"> </w:t>
      </w:r>
      <w:hyperlink w:history="1" r:id="rIdcgefiutzukkhwnncfjquc">
        <w:r>
          <w:rPr>
            <w:rFonts w:ascii="Arial" w:cs="Arial" w:eastAsia="Arial" w:hAnsi="Arial"/>
            <w:color w:val="1C5CAB"/>
            <w:sz w:val="15"/>
            <w:szCs w:val="15"/>
          </w:rPr>
          <w:t xml:space="preserve">[#254]</w:t>
        </w:r>
      </w:hyperlink>
    </w:p>
    <w:p>
      <w:pPr>
        <w:pStyle w:val="ListParagraph"/>
        <w:numPr>
          <w:ilvl w:val="0"/>
          <w:numId w:val="2"/>
        </w:numPr>
        <w:spacing w:after="60" w:line="252"/>
      </w:pPr>
      <w:r>
        <w:rPr>
          <w:rFonts w:ascii="Arial" w:cs="Arial" w:eastAsia="Arial" w:hAnsi="Arial"/>
          <w:b/>
          <w:bCs/>
          <w:sz w:val="19"/>
          <w:szCs w:val="19"/>
        </w:rPr>
        <w:t xml:space="preserve">Source inconsistencies on bonds (medium):</w:t>
      </w:r>
      <w:r>
        <w:rPr>
          <w:rFonts w:ascii="Arial" w:cs="Arial" w:eastAsia="Arial" w:hAnsi="Arial"/>
          <w:sz w:val="19"/>
          <w:szCs w:val="19"/>
        </w:rPr>
        <w:t xml:space="preserve"> SR: early refinancing in Nov-2025 of the EUR 600m bond originally maturing Mar-2026. FY2025 call: early repayment of a EUR 350m bond maturing Feb-2026 and a EUR 350m 3.375% Sep-2031 issue. Cannot reconcile from prose; flag for capital-structure workstream. </w:t>
      </w:r>
      <w:hyperlink w:history="1" r:id="rId8wdn5disgc1yz5qsom9p-">
        <w:r>
          <w:rPr>
            <w:rFonts w:ascii="Arial" w:cs="Arial" w:eastAsia="Arial" w:hAnsi="Arial"/>
            <w:color w:val="1C5CAB"/>
            <w:sz w:val="15"/>
            <w:szCs w:val="15"/>
          </w:rPr>
          <w:t xml:space="preserve">[#95]</w:t>
        </w:r>
      </w:hyperlink>
      <w:r>
        <w:rPr>
          <w:rFonts w:ascii="Arial" w:cs="Arial" w:eastAsia="Arial" w:hAnsi="Arial"/>
          <w:sz w:val="19"/>
          <w:szCs w:val="19"/>
        </w:rPr>
        <w:t xml:space="preserve"> </w:t>
      </w:r>
      <w:hyperlink w:history="1" r:id="rIdwqujovdml0j1rrawigwtl">
        <w:r>
          <w:rPr>
            <w:rFonts w:ascii="Arial" w:cs="Arial" w:eastAsia="Arial" w:hAnsi="Arial"/>
            <w:color w:val="1C5CAB"/>
            <w:sz w:val="15"/>
            <w:szCs w:val="15"/>
          </w:rPr>
          <w:t xml:space="preserve">[#326]</w:t>
        </w:r>
      </w:hyperlink>
    </w:p>
    <w:p>
      <w:pPr>
        <w:spacing w:after="60"/>
      </w:pPr>
    </w:p>
    <w:p>
      <w:pPr>
        <w:pStyle w:val="Heading3"/>
        <w:keepNext/>
        <w:keepLines/>
        <w:spacing w:after="80" w:before="180"/>
      </w:pPr>
      <w:r>
        <w:rPr>
          <w:rFonts w:ascii="Arial" w:cs="Arial" w:eastAsia="Arial" w:hAnsi="Arial"/>
          <w:b/>
          <w:bCs/>
          <w:color w:val="2A78D6"/>
          <w:sz w:val="20"/>
          <w:szCs w:val="20"/>
        </w:rPr>
        <w:t xml:space="preserve">Market reaction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5"/>
        <w:gridCol w:w="1557"/>
        <w:gridCol w:w="1298"/>
        <w:gridCol w:w="1298"/>
        <w:gridCol w:w="1038"/>
        <w:gridCol w:w="1300"/>
      </w:tblGrid>
      <w:tr>
        <w:trPr>
          <w:cantSplit/>
          <w:tblHeader/>
        </w:trPr>
        <w:tc>
          <w:tcPr>
            <w:tcW w:type="dxa" w:w="337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Event</w:t>
            </w:r>
          </w:p>
        </w:tc>
        <w:tc>
          <w:tcPr>
            <w:tcW w:type="dxa" w:w="155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Reaction day</w:t>
            </w:r>
          </w:p>
        </w:tc>
        <w:tc>
          <w:tcPr>
            <w:tcW w:type="dxa" w:w="129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Open gap</w:t>
            </w:r>
          </w:p>
        </w:tc>
        <w:tc>
          <w:tcPr>
            <w:tcW w:type="dxa" w:w="129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Day 1</w:t>
            </w:r>
          </w:p>
        </w:tc>
        <w:tc>
          <w:tcPr>
            <w:tcW w:type="dxa" w:w="103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z-score</w:t>
            </w:r>
          </w:p>
        </w:tc>
        <w:tc>
          <w:tcPr>
            <w:tcW w:type="dxa" w:w="130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5 days</w:t>
            </w:r>
          </w:p>
        </w:tc>
      </w:tr>
      <w:tr>
        <w:trPr>
          <w:cantSplit/>
        </w:trPr>
        <w:tc>
          <w:tcPr>
            <w:tcW w:type="dxa" w:w="33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Q3 2024 revenue</w:t>
            </w:r>
          </w:p>
        </w:tc>
        <w:tc>
          <w:tcPr>
            <w:tcW w:type="dxa" w:w="155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2024-10-31</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-0.20%</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+3.90%</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2.5</w:t>
            </w:r>
          </w:p>
        </w:tc>
        <w:tc>
          <w:tcPr>
            <w:tcW w:type="dxa" w:w="130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+7.59%</w:t>
            </w:r>
          </w:p>
        </w:tc>
      </w:tr>
      <w:tr>
        <w:trPr>
          <w:cantSplit/>
        </w:trPr>
        <w:tc>
          <w:tcPr>
            <w:tcW w:type="dxa" w:w="33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FY2024 results</w:t>
            </w:r>
          </w:p>
        </w:tc>
        <w:tc>
          <w:tcPr>
            <w:tcW w:type="dxa" w:w="155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2025-03-06</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+4.57%</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+9.05%</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5.7</w:t>
            </w:r>
          </w:p>
        </w:tc>
        <w:tc>
          <w:tcPr>
            <w:tcW w:type="dxa" w:w="130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+8.95%</w:t>
            </w:r>
          </w:p>
        </w:tc>
      </w:tr>
      <w:tr>
        <w:trPr>
          <w:cantSplit/>
        </w:trPr>
        <w:tc>
          <w:tcPr>
            <w:tcW w:type="dxa" w:w="33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Q1 2025 revenue</w:t>
            </w:r>
          </w:p>
        </w:tc>
        <w:tc>
          <w:tcPr>
            <w:tcW w:type="dxa" w:w="155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2025-05-06</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-0.17%</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-1.30%</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-0.8</w:t>
            </w:r>
          </w:p>
        </w:tc>
        <w:tc>
          <w:tcPr>
            <w:tcW w:type="dxa" w:w="130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-1.30%</w:t>
            </w:r>
          </w:p>
        </w:tc>
      </w:tr>
      <w:tr>
        <w:trPr>
          <w:cantSplit/>
        </w:trPr>
        <w:tc>
          <w:tcPr>
            <w:tcW w:type="dxa" w:w="33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Capital Markets Day</w:t>
            </w:r>
          </w:p>
        </w:tc>
        <w:tc>
          <w:tcPr>
            <w:tcW w:type="dxa" w:w="155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2025-05-27</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+0.34%</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+2.13%</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w:t>
            </w:r>
          </w:p>
        </w:tc>
        <w:tc>
          <w:tcPr>
            <w:tcW w:type="dxa" w:w="130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+1.96%</w:t>
            </w:r>
          </w:p>
        </w:tc>
      </w:tr>
      <w:tr>
        <w:trPr>
          <w:cantSplit/>
        </w:trPr>
        <w:tc>
          <w:tcPr>
            <w:tcW w:type="dxa" w:w="33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H1 2025 results</w:t>
            </w:r>
          </w:p>
        </w:tc>
        <w:tc>
          <w:tcPr>
            <w:tcW w:type="dxa" w:w="155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2025-07-31</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-2.52%</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-1.54%</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w:t>
            </w:r>
          </w:p>
        </w:tc>
        <w:tc>
          <w:tcPr>
            <w:tcW w:type="dxa" w:w="130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-0.81%</w:t>
            </w:r>
          </w:p>
        </w:tc>
      </w:tr>
      <w:tr>
        <w:trPr>
          <w:cantSplit/>
        </w:trPr>
        <w:tc>
          <w:tcPr>
            <w:tcW w:type="dxa" w:w="33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FY2025 revenue (Q4-25)</w:t>
            </w:r>
          </w:p>
        </w:tc>
        <w:tc>
          <w:tcPr>
            <w:tcW w:type="dxa" w:w="155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2026-01-30</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+0.16%</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+0.91%</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0.6</w:t>
            </w:r>
          </w:p>
        </w:tc>
        <w:tc>
          <w:tcPr>
            <w:tcW w:type="dxa" w:w="130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+6.92%</w:t>
            </w:r>
          </w:p>
        </w:tc>
      </w:tr>
      <w:tr>
        <w:trPr>
          <w:cantSplit/>
        </w:trPr>
        <w:tc>
          <w:tcPr>
            <w:tcW w:type="dxa" w:w="33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FY2025 results</w:t>
            </w:r>
          </w:p>
        </w:tc>
        <w:tc>
          <w:tcPr>
            <w:tcW w:type="dxa" w:w="155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2026-03-11</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+7.74%</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+3.19%</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w:t>
            </w:r>
          </w:p>
        </w:tc>
        <w:tc>
          <w:tcPr>
            <w:tcW w:type="dxa" w:w="130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+2.47%</w:t>
            </w:r>
          </w:p>
        </w:tc>
      </w:tr>
      <w:tr>
        <w:trPr>
          <w:cantSplit/>
        </w:trPr>
        <w:tc>
          <w:tcPr>
            <w:tcW w:type="dxa" w:w="33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Q1 2026 revenue</w:t>
            </w:r>
          </w:p>
        </w:tc>
        <w:tc>
          <w:tcPr>
            <w:tcW w:type="dxa" w:w="155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2026-05-05</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+1.38%</w:t>
            </w:r>
          </w:p>
        </w:tc>
        <w:tc>
          <w:tcPr>
            <w:tcW w:type="dxa" w:w="129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+3.23%</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w:t>
            </w:r>
          </w:p>
        </w:tc>
        <w:tc>
          <w:tcPr>
            <w:tcW w:type="dxa" w:w="130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+5.38%</w:t>
            </w:r>
          </w:p>
        </w:tc>
      </w:tr>
      <w:tr>
        <w:trPr>
          <w:cantSplit/>
        </w:trPr>
        <w:tc>
          <w:tcPr>
            <w:tcW w:type="dxa" w:w="33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H1 2026 results</w:t>
            </w:r>
          </w:p>
        </w:tc>
        <w:tc>
          <w:tcPr>
            <w:tcW w:type="dxa" w:w="155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2026-07-30</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-4.14%</w:t>
            </w:r>
          </w:p>
        </w:tc>
        <w:tc>
          <w:tcPr>
            <w:tcW w:type="dxa" w:w="129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-5.68%</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-3.6</w:t>
            </w:r>
          </w:p>
        </w:tc>
        <w:tc>
          <w:tcPr>
            <w:tcW w:type="dxa" w:w="130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-3.91%</w:t>
            </w:r>
          </w:p>
        </w:tc>
      </w:tr>
    </w:tbl>
    <w:p>
      <w:pPr>
        <w:spacing w:after="140" w:before="40"/>
      </w:pPr>
      <w:r>
        <w:rPr>
          <w:rFonts w:ascii="Arial" w:cs="Arial" w:eastAsia="Arial" w:hAnsi="Arial"/>
          <w:color w:val="898781"/>
          <w:sz w:val="14"/>
          <w:szCs w:val="14"/>
        </w:rPr>
        <w:t xml:space="preserve">Source: ProntoNLP daily prices; timing from call times and consensus timestamps; moves and z-scores are analyst calculations (daily s.d. 1.59%).</w:t>
      </w:r>
    </w:p>
    <w:p>
      <w:pPr>
        <w:spacing w:after="100" w:before="0" w:line="264"/>
        <w:jc w:val="left"/>
      </w:pPr>
      <w:r>
        <w:rPr>
          <w:rFonts w:ascii="Arial" w:cs="Arial" w:eastAsia="Arial" w:hAnsi="Arial"/>
          <w:sz w:val="19"/>
          <w:szCs w:val="19"/>
        </w:rPr>
        <w:t xml:space="preserve">H1 2026 was in line on revenue with guidance intact, yet produced the worst results-day move in three years (−5.68%, z-score −3.6) and the shares are 18.4% below the pre-results close [calc]. </w:t>
      </w:r>
      <w:r>
        <w:rPr>
          <w:rFonts w:ascii="Arial" w:cs="Arial" w:eastAsia="Arial" w:hAnsi="Arial"/>
          <w:sz w:val="19"/>
          <w:szCs w:val="19"/>
        </w:rPr>
        <w:t xml:space="preserve">What was priced in</w:t>
      </w:r>
      <w:r>
        <w:rPr>
          <w:rFonts w:ascii="Arial" w:cs="Arial" w:eastAsia="Arial" w:hAnsi="Arial"/>
          <w:sz w:val="19"/>
          <w:szCs w:val="19"/>
        </w:rPr>
        <w:t xml:space="preserve"> at €28 in early July was a clean H2 acceleration plus continued buyback support; the result removed the first (Mexico, flat margins, negative H1 FCF, 2.09x leverage) just as the second ended (buyback completed 9-Jul). The reaction is consistent with a de-rating of "quality" rather than a cut to earnings — our base case has FY2026E headline EPS only ~2% below the guidance mid-point (Section 9).</w:t>
      </w:r>
    </w:p>
    <w:p>
      <w:pPr>
        <w:pStyle w:val="Heading3"/>
        <w:keepNext/>
        <w:keepLines/>
        <w:spacing w:after="80" w:before="180"/>
      </w:pPr>
      <w:r>
        <w:rPr>
          <w:rFonts w:ascii="Arial" w:cs="Arial" w:eastAsia="Arial" w:hAnsi="Arial"/>
          <w:b/>
          <w:bCs/>
          <w:color w:val="2A78D6"/>
          <w:sz w:val="20"/>
          <w:szCs w:val="20"/>
        </w:rPr>
        <w:t xml:space="preserve">What looks unusual versus recent history</w:t>
      </w:r>
    </w:p>
    <w:p>
      <w:pPr>
        <w:pStyle w:val="ListParagraph"/>
        <w:numPr>
          <w:ilvl w:val="0"/>
          <w:numId w:val="2"/>
        </w:numPr>
        <w:spacing w:after="60" w:line="252"/>
      </w:pPr>
      <w:r>
        <w:rPr>
          <w:rFonts w:ascii="Arial" w:cs="Arial" w:eastAsia="Arial" w:hAnsi="Arial"/>
          <w:sz w:val="19"/>
          <w:szCs w:val="19"/>
        </w:rPr>
        <w:t xml:space="preserve">First negative H1 free cash flow in the 2023–2026 sample (−€30.1m), driven by capex phasing (+€47m) and working capital (−€51m) [calc].</w:t>
      </w:r>
    </w:p>
    <w:p>
      <w:pPr>
        <w:pStyle w:val="ListParagraph"/>
        <w:numPr>
          <w:ilvl w:val="0"/>
          <w:numId w:val="2"/>
        </w:numPr>
        <w:spacing w:after="60" w:line="252"/>
      </w:pPr>
      <w:r>
        <w:rPr>
          <w:rFonts w:ascii="Arial" w:cs="Arial" w:eastAsia="Arial" w:hAnsi="Arial"/>
          <w:sz w:val="19"/>
          <w:szCs w:val="19"/>
        </w:rPr>
        <w:t xml:space="preserve">Leverage up 0.34x in six months to 2.09x — the year-end ~1.65x target relies on the OCEANE 2029 being converted (debt component €362m) </w:t>
      </w:r>
      <w:hyperlink w:history="1" r:id="rIdvq9mfzes6rhtehm_k9fpz">
        <w:r>
          <w:rPr>
            <w:rFonts w:ascii="Arial" w:cs="Arial" w:eastAsia="Arial" w:hAnsi="Arial"/>
            <w:color w:val="1C5CAB"/>
            <w:sz w:val="15"/>
            <w:szCs w:val="15"/>
          </w:rPr>
          <w:t xml:space="preserve">[#517]</w:t>
        </w:r>
      </w:hyperlink>
      <w:r>
        <w:rPr>
          <w:rFonts w:ascii="Arial" w:cs="Arial" w:eastAsia="Arial" w:hAnsi="Arial"/>
          <w:sz w:val="19"/>
          <w:szCs w:val="19"/>
        </w:rPr>
        <w:t xml:space="preserve">, which in turn needs the share price to stay above the ~€20.8 soft-call trigger [calc] (Section 10).</w:t>
      </w:r>
    </w:p>
    <w:p>
      <w:pPr>
        <w:pStyle w:val="ListParagraph"/>
        <w:numPr>
          <w:ilvl w:val="0"/>
          <w:numId w:val="2"/>
        </w:numPr>
        <w:spacing w:after="60" w:line="252"/>
      </w:pPr>
      <w:r>
        <w:rPr>
          <w:rFonts w:ascii="Arial" w:cs="Arial" w:eastAsia="Arial" w:hAnsi="Arial"/>
          <w:sz w:val="19"/>
          <w:szCs w:val="19"/>
        </w:rPr>
        <w:t xml:space="preserve">A reversal of explicit March guidance on LatAm margins within five months, plus impairment indicators in two CGUs.</w:t>
      </w:r>
    </w:p>
    <w:p>
      <w:pPr>
        <w:pStyle w:val="ListParagraph"/>
        <w:numPr>
          <w:ilvl w:val="0"/>
          <w:numId w:val="2"/>
        </w:numPr>
        <w:spacing w:after="60" w:line="252"/>
      </w:pPr>
      <w:r>
        <w:rPr>
          <w:rFonts w:ascii="Arial" w:cs="Arial" w:eastAsia="Arial" w:hAnsi="Arial"/>
          <w:sz w:val="19"/>
          <w:szCs w:val="19"/>
        </w:rPr>
        <w:t xml:space="preserve">Management changes announced in the semi-annual report but not discussed on the call: Matthieu Lecharny leaves the Management Board; Yann Michel (Group COO) joins; Xavier Martiré and Louis Guyot reappointed for four years from 5-Sep-2026 </w:t>
      </w:r>
      <w:hyperlink w:history="1" r:id="rIdvgeytyzcdywu7im47cmqi">
        <w:r>
          <w:rPr>
            <w:rFonts w:ascii="Arial" w:cs="Arial" w:eastAsia="Arial" w:hAnsi="Arial"/>
            <w:color w:val="1C5CAB"/>
            <w:sz w:val="15"/>
            <w:szCs w:val="15"/>
          </w:rPr>
          <w:t xml:space="preserve">[#139]</w:t>
        </w:r>
      </w:hyperlink>
      <w:r>
        <w:rPr>
          <w:rFonts w:ascii="Arial" w:cs="Arial" w:eastAsia="Arial" w:hAnsi="Arial"/>
          <w:sz w:val="19"/>
          <w:szCs w:val="19"/>
        </w:rPr>
        <w:t xml:space="preserve"> </w:t>
      </w:r>
      <w:hyperlink w:history="1" r:id="rIdpcysc3rfv14ue7163hhcy">
        <w:r>
          <w:rPr>
            <w:rFonts w:ascii="Arial" w:cs="Arial" w:eastAsia="Arial" w:hAnsi="Arial"/>
            <w:color w:val="1C5CAB"/>
            <w:sz w:val="15"/>
            <w:szCs w:val="15"/>
          </w:rPr>
          <w:t xml:space="preserve">[#142]</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sz w:val="19"/>
          <w:szCs w:val="19"/>
        </w:rPr>
        <w:t xml:space="preserve">Register churn: CPP Investments fell below 10% (Feb) and 5% (Jul) of the capital, while Invesco crossed 5% and 10% and BWGI's holding moved around 20% of voting rights </w:t>
      </w:r>
      <w:hyperlink w:history="1" r:id="rIdmrrg4w0n19tl783kj4uzf">
        <w:r>
          <w:rPr>
            <w:rFonts w:ascii="Arial" w:cs="Arial" w:eastAsia="Arial" w:hAnsi="Arial"/>
            <w:color w:val="1C5CAB"/>
            <w:sz w:val="15"/>
            <w:szCs w:val="15"/>
          </w:rPr>
          <w:t xml:space="preserve">[#166]</w:t>
        </w:r>
      </w:hyperlink>
      <w:r>
        <w:rPr>
          <w:rFonts w:ascii="Arial" w:cs="Arial" w:eastAsia="Arial" w:hAnsi="Arial"/>
          <w:sz w:val="19"/>
          <w:szCs w:val="19"/>
        </w:rPr>
        <w:t xml:space="preserve"> </w:t>
      </w:r>
      <w:hyperlink w:history="1" r:id="rIdgubzak1t25-hriowyt6su">
        <w:r>
          <w:rPr>
            <w:rFonts w:ascii="Arial" w:cs="Arial" w:eastAsia="Arial" w:hAnsi="Arial"/>
            <w:color w:val="1C5CAB"/>
            <w:sz w:val="15"/>
            <w:szCs w:val="15"/>
          </w:rPr>
          <w:t xml:space="preserve">[#167]</w:t>
        </w:r>
      </w:hyperlink>
      <w:r>
        <w:rPr>
          <w:rFonts w:ascii="Arial" w:cs="Arial" w:eastAsia="Arial" w:hAnsi="Arial"/>
          <w:sz w:val="19"/>
          <w:szCs w:val="19"/>
        </w:rPr>
        <w:t xml:space="preserve">.</w:t>
      </w:r>
    </w:p>
    <w:p>
      <w:pPr>
        <w:spacing w:after="6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9. EPS estimates, FY2026E–FY2028E</w:t>
      </w:r>
    </w:p>
    <w:p>
      <w:pPr>
        <w:spacing w:after="100" w:before="0" w:line="264"/>
        <w:jc w:val="left"/>
      </w:pPr>
      <w:r>
        <w:rPr>
          <w:rFonts w:ascii="Arial" w:cs="Arial" w:eastAsia="Arial" w:hAnsi="Arial"/>
          <w:sz w:val="19"/>
          <w:szCs w:val="19"/>
        </w:rPr>
        <w:t xml:space="preserve">We forecast </w:t>
      </w:r>
      <w:r>
        <w:rPr>
          <w:rFonts w:ascii="Arial" w:cs="Arial" w:eastAsia="Arial" w:hAnsi="Arial"/>
          <w:sz w:val="19"/>
          <w:szCs w:val="19"/>
        </w:rPr>
        <w:t xml:space="preserve">headline diluted EPS</w:t>
      </w:r>
      <w:r>
        <w:rPr>
          <w:rFonts w:ascii="Arial" w:cs="Arial" w:eastAsia="Arial" w:hAnsi="Arial"/>
          <w:sz w:val="19"/>
          <w:szCs w:val="19"/>
        </w:rPr>
        <w:t xml:space="preserve"> (the company's KPI, excluding amortisation of acquired customer relationships, IFRS 2 charges and non-recurring items) and reconcile to IFRS EPS. No forward EPS consensus is available for Elis in S&amp;P Capital IQ or ProntoNLP, so our estimates are compared with company guidance and the 2025–28 Capital Markets Day framework.</w:t>
      </w:r>
    </w:p>
    <w:p>
      <w:pPr>
        <w:keepNext/>
        <w:spacing w:after="60" w:before="120"/>
      </w:pPr>
      <w:r>
        <w:rPr>
          <w:rFonts w:ascii="Arial" w:cs="Arial" w:eastAsia="Arial" w:hAnsi="Arial"/>
          <w:b/>
          <w:bCs/>
          <w:color w:val="13213F"/>
          <w:sz w:val="18"/>
          <w:szCs w:val="18"/>
        </w:rPr>
        <w:t xml:space="preserve">Base-case forecast (EUR m unless stated)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2"/>
        <w:gridCol w:w="1450"/>
        <w:gridCol w:w="1450"/>
        <w:gridCol w:w="1450"/>
        <w:gridCol w:w="1454"/>
      </w:tblGrid>
      <w:tr>
        <w:trPr>
          <w:cantSplit/>
          <w:tblHeader/>
        </w:trPr>
        <w:tc>
          <w:tcPr>
            <w:tcW w:type="dxa" w:w="406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p>
        </w:tc>
        <w:tc>
          <w:tcPr>
            <w:tcW w:type="dxa" w:w="145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FY2025A</w:t>
            </w:r>
          </w:p>
        </w:tc>
        <w:tc>
          <w:tcPr>
            <w:tcW w:type="dxa" w:w="145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FY2026E</w:t>
            </w:r>
          </w:p>
        </w:tc>
        <w:tc>
          <w:tcPr>
            <w:tcW w:type="dxa" w:w="145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FY2027E</w:t>
            </w:r>
          </w:p>
        </w:tc>
        <w:tc>
          <w:tcPr>
            <w:tcW w:type="dxa" w:w="145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FY2028E</w:t>
            </w:r>
          </w:p>
        </w:tc>
      </w:tr>
      <w:tr>
        <w:trPr>
          <w:cantSplit/>
        </w:trPr>
        <w:tc>
          <w:tcPr>
            <w:tcW w:type="dxa" w:w="40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Revenue</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4,796.8</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5,002</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5,242</w:t>
            </w:r>
          </w:p>
        </w:tc>
        <w:tc>
          <w:tcPr>
            <w:tcW w:type="dxa" w:w="14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5,504</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  growth (organic + M&amp;A + FX)</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+4.9%</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+4.3%</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+4.8%</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+5.0%</w:t>
            </w:r>
          </w:p>
        </w:tc>
      </w:tr>
      <w:tr>
        <w:trPr>
          <w:cantSplit/>
        </w:trPr>
        <w:tc>
          <w:tcPr>
            <w:tcW w:type="dxa" w:w="40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Adj. EBITDA</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1,700.1</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1,773</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1,866</w:t>
            </w:r>
          </w:p>
        </w:tc>
        <w:tc>
          <w:tcPr>
            <w:tcW w:type="dxa" w:w="14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1,968</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  margin</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35.4%</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35.4%</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35.6%</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35.8%</w:t>
            </w:r>
          </w:p>
        </w:tc>
      </w:tr>
      <w:tr>
        <w:trPr>
          <w:cantSplit/>
        </w:trPr>
        <w:tc>
          <w:tcPr>
            <w:tcW w:type="dxa" w:w="40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Adj. EBIT</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766.6</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798</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849</w:t>
            </w:r>
          </w:p>
        </w:tc>
        <w:tc>
          <w:tcPr>
            <w:tcW w:type="dxa" w:w="14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903</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  margin</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16.0%</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16.0%</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16.2%</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16.4%</w:t>
            </w:r>
          </w:p>
        </w:tc>
      </w:tr>
      <w:tr>
        <w:trPr>
          <w:cantSplit/>
        </w:trPr>
        <w:tc>
          <w:tcPr>
            <w:tcW w:type="dxa" w:w="40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Net financial expense (headline)</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~131</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155</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150</w:t>
            </w:r>
          </w:p>
        </w:tc>
        <w:tc>
          <w:tcPr>
            <w:tcW w:type="dxa" w:w="14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150</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Tax rate (headline)</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~26.5%</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27.0%</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27.0%</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27.0%</w:t>
            </w:r>
          </w:p>
        </w:tc>
      </w:tr>
      <w:tr>
        <w:trPr>
          <w:cantSplit/>
        </w:trPr>
        <w:tc>
          <w:tcPr>
            <w:tcW w:type="dxa" w:w="40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Headline net income</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467.3</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470</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510</w:t>
            </w:r>
          </w:p>
        </w:tc>
        <w:tc>
          <w:tcPr>
            <w:tcW w:type="dxa" w:w="14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549</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Diluted shares (m)</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259.1</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244.2</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239.0</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234.8</w:t>
            </w:r>
          </w:p>
        </w:tc>
      </w:tr>
      <w:tr>
        <w:trPr>
          <w:cantSplit/>
        </w:trPr>
        <w:tc>
          <w:tcPr>
            <w:tcW w:type="dxa" w:w="4062"/>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Headline diluted EPS (€)</w:t>
            </w:r>
          </w:p>
        </w:tc>
        <w:tc>
          <w:tcPr>
            <w:tcW w:type="dxa" w:w="1450"/>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1.85</w:t>
            </w:r>
          </w:p>
        </w:tc>
        <w:tc>
          <w:tcPr>
            <w:tcW w:type="dxa" w:w="1450"/>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1.96</w:t>
            </w:r>
          </w:p>
        </w:tc>
        <w:tc>
          <w:tcPr>
            <w:tcW w:type="dxa" w:w="1450"/>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2.14</w:t>
            </w:r>
          </w:p>
        </w:tc>
        <w:tc>
          <w:tcPr>
            <w:tcW w:type="dxa" w:w="145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2.34</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  growth</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+5.2%</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+5.9%</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+8.9%</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+9.6%</w:t>
            </w:r>
          </w:p>
        </w:tc>
      </w:tr>
      <w:tr>
        <w:trPr>
          <w:cantSplit/>
        </w:trPr>
        <w:tc>
          <w:tcPr>
            <w:tcW w:type="dxa" w:w="406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IFRS diluted EPS (€) [e]</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1.46</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1.58</w:t>
            </w:r>
          </w:p>
        </w:tc>
        <w:tc>
          <w:tcPr>
            <w:tcW w:type="dxa" w:w="14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1.77</w:t>
            </w:r>
          </w:p>
        </w:tc>
        <w:tc>
          <w:tcPr>
            <w:tcW w:type="dxa" w:w="14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1.97</w:t>
            </w:r>
          </w:p>
        </w:tc>
      </w:tr>
      <w:tr>
        <w:trPr>
          <w:cantSplit/>
        </w:trPr>
        <w:tc>
          <w:tcPr>
            <w:tcW w:type="dxa" w:w="406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P/E (headline) at €21.26</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11.5x</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10.8x</w:t>
            </w:r>
          </w:p>
        </w:tc>
        <w:tc>
          <w:tcPr>
            <w:tcW w:type="dxa" w:w="14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10.0x</w:t>
            </w:r>
          </w:p>
        </w:tc>
        <w:tc>
          <w:tcPr>
            <w:tcW w:type="dxa" w:w="14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9.1x</w:t>
            </w:r>
          </w:p>
        </w:tc>
      </w:tr>
    </w:tbl>
    <w:p>
      <w:pPr>
        <w:spacing w:after="140" w:before="40"/>
      </w:pPr>
      <w:r>
        <w:rPr>
          <w:rFonts w:ascii="Arial" w:cs="Arial" w:eastAsia="Arial" w:hAnsi="Arial"/>
          <w:color w:val="898781"/>
          <w:sz w:val="14"/>
          <w:szCs w:val="14"/>
        </w:rPr>
        <w:t xml:space="preserve">FY2025A: Elis (adj. EBITDA €1,700.1m </w:t>
      </w:r>
      <w:hyperlink w:history="1" r:id="rId-o-cvjlx4msrdizdixjri">
        <w:r>
          <w:rPr>
            <w:rFonts w:ascii="Arial" w:cs="Arial" w:eastAsia="Arial" w:hAnsi="Arial"/>
            <w:color w:val="898781"/>
            <w:sz w:val="12"/>
            <w:szCs w:val="12"/>
          </w:rPr>
          <w:t xml:space="preserve">[#5321]</w:t>
        </w:r>
      </w:hyperlink>
      <w:r>
        <w:rPr>
          <w:rFonts w:ascii="Arial" w:cs="Arial" w:eastAsia="Arial" w:hAnsi="Arial"/>
          <w:color w:val="898781"/>
          <w:sz w:val="14"/>
          <w:szCs w:val="14"/>
        </w:rPr>
        <w:t xml:space="preserve">; headline NI €467.3m </w:t>
      </w:r>
      <w:hyperlink w:history="1" r:id="rIdn7av0mwuff-6vjqdoxoa2">
        <w:r>
          <w:rPr>
            <w:rFonts w:ascii="Arial" w:cs="Arial" w:eastAsia="Arial" w:hAnsi="Arial"/>
            <w:color w:val="898781"/>
            <w:sz w:val="12"/>
            <w:szCs w:val="12"/>
          </w:rPr>
          <w:t xml:space="preserve">[#279]</w:t>
        </w:r>
      </w:hyperlink>
      <w:r>
        <w:rPr>
          <w:rFonts w:ascii="Arial" w:cs="Arial" w:eastAsia="Arial" w:hAnsi="Arial"/>
          <w:color w:val="898781"/>
          <w:sz w:val="14"/>
          <w:szCs w:val="14"/>
        </w:rPr>
        <w:t xml:space="preserve">; headline diluted EPS €1.85 </w:t>
      </w:r>
      <w:hyperlink w:history="1" r:id="rId8dbjd2gwqccvwf2nm_9oy">
        <w:r>
          <w:rPr>
            <w:rFonts w:ascii="Arial" w:cs="Arial" w:eastAsia="Arial" w:hAnsi="Arial"/>
            <w:color w:val="898781"/>
            <w:sz w:val="12"/>
            <w:szCs w:val="12"/>
          </w:rPr>
          <w:t xml:space="preserve">[#28]</w:t>
        </w:r>
      </w:hyperlink>
      <w:r>
        <w:rPr>
          <w:rFonts w:ascii="Arial" w:cs="Arial" w:eastAsia="Arial" w:hAnsi="Arial"/>
          <w:color w:val="898781"/>
          <w:sz w:val="14"/>
          <w:szCs w:val="14"/>
        </w:rPr>
        <w:t xml:space="preserve">); diluted shares S&amp;P weighted average 259.1m. Estimates [e]: model/main_forecast.py.</w:t>
      </w:r>
    </w:p>
    <w:p>
      <w:pPr>
        <w:pStyle w:val="Heading2"/>
        <w:keepNext/>
        <w:keepLines/>
        <w:spacing w:after="80" w:before="180"/>
      </w:pPr>
      <w:r>
        <w:rPr>
          <w:rFonts w:ascii="Arial" w:cs="Arial" w:eastAsia="Arial" w:hAnsi="Arial"/>
          <w:b/>
          <w:bCs/>
          <w:color w:val="13213F"/>
          <w:sz w:val="24"/>
          <w:szCs w:val="24"/>
        </w:rPr>
        <w:t xml:space="preserve">Building blocks</w:t>
      </w:r>
    </w:p>
    <w:p>
      <w:pPr>
        <w:pStyle w:val="ListParagraph"/>
        <w:numPr>
          <w:ilvl w:val="0"/>
          <w:numId w:val="2"/>
        </w:numPr>
        <w:spacing w:after="60" w:line="252"/>
      </w:pPr>
      <w:r>
        <w:rPr>
          <w:rFonts w:ascii="Arial" w:cs="Arial" w:eastAsia="Arial" w:hAnsi="Arial"/>
          <w:b/>
          <w:bCs/>
          <w:sz w:val="19"/>
          <w:szCs w:val="19"/>
        </w:rPr>
        <w:t xml:space="preserve">Industry growth and market share:</w:t>
      </w:r>
      <w:r>
        <w:rPr>
          <w:rFonts w:ascii="Arial" w:cs="Arial" w:eastAsia="Arial" w:hAnsi="Arial"/>
          <w:sz w:val="19"/>
          <w:szCs w:val="19"/>
        </w:rPr>
        <w:t xml:space="preserve"> European textile services grow roughly with GDP plus outsourcing; Elis targets ~4% organic (CMD). We model organic +3.3% in 2026 (H1 +3.2%; Mexico −€14m), 3.8% in 2027 (record signings, German healthcare contract ~€20m </w:t>
      </w:r>
      <w:hyperlink w:history="1" r:id="rIdu3w_38rdna_vxm4xq6bc6">
        <w:r>
          <w:rPr>
            <w:rFonts w:ascii="Arial" w:cs="Arial" w:eastAsia="Arial" w:hAnsi="Arial"/>
            <w:color w:val="1C5CAB"/>
            <w:sz w:val="15"/>
            <w:szCs w:val="15"/>
          </w:rPr>
          <w:t xml:space="preserve">[#108]</w:t>
        </w:r>
      </w:hyperlink>
      <w:r>
        <w:rPr>
          <w:rFonts w:ascii="Arial" w:cs="Arial" w:eastAsia="Arial" w:hAnsi="Arial"/>
          <w:sz w:val="19"/>
          <w:szCs w:val="19"/>
        </w:rPr>
        <w:t xml:space="preserve">) and 4.0% in 2028, plus ~1pt of bolt-on M&amp;A a year (budget €50–150m at ~1.2x sales) and neutral FX after 2026.</w:t>
      </w:r>
    </w:p>
    <w:p>
      <w:pPr>
        <w:pStyle w:val="ListParagraph"/>
        <w:numPr>
          <w:ilvl w:val="0"/>
          <w:numId w:val="2"/>
        </w:numPr>
        <w:spacing w:after="60" w:line="252"/>
      </w:pPr>
      <w:r>
        <w:rPr>
          <w:rFonts w:ascii="Arial" w:cs="Arial" w:eastAsia="Arial" w:hAnsi="Arial"/>
          <w:b/>
          <w:bCs/>
          <w:sz w:val="19"/>
          <w:szCs w:val="19"/>
        </w:rPr>
        <w:t xml:space="preserve">Price increases vs cost pressure:</w:t>
      </w:r>
      <w:r>
        <w:rPr>
          <w:rFonts w:ascii="Arial" w:cs="Arial" w:eastAsia="Arial" w:hAnsi="Arial"/>
          <w:sz w:val="19"/>
          <w:szCs w:val="19"/>
        </w:rPr>
        <w:t xml:space="preserve"> wages ~+4% a year (~60% of costs) need ~1.7% price to neutralise; end-2026 indices are "strong". We assume price slightly above cost inflation from 2027, giving +15–20bp a year of EBITDA margin (CMD target ~20bp).</w:t>
      </w:r>
    </w:p>
    <w:p>
      <w:pPr>
        <w:pStyle w:val="ListParagraph"/>
        <w:numPr>
          <w:ilvl w:val="0"/>
          <w:numId w:val="2"/>
        </w:numPr>
        <w:spacing w:after="60" w:line="252"/>
      </w:pPr>
      <w:r>
        <w:rPr>
          <w:rFonts w:ascii="Arial" w:cs="Arial" w:eastAsia="Arial" w:hAnsi="Arial"/>
          <w:b/>
          <w:bCs/>
          <w:sz w:val="19"/>
          <w:szCs w:val="19"/>
        </w:rPr>
        <w:t xml:space="preserve">Operating leverage:</w:t>
      </w:r>
      <w:r>
        <w:rPr>
          <w:rFonts w:ascii="Arial" w:cs="Arial" w:eastAsia="Arial" w:hAnsi="Arial"/>
          <w:sz w:val="19"/>
          <w:szCs w:val="19"/>
        </w:rPr>
        <w:t xml:space="preserve"> D&amp;A stays ~19.4–19.6% of revenue, so adjusted EBIT margin rises only from 16.0% to 16.4% by 2028. 2026 includes €20–25m of Middle East energy/commodity costs, half offset.</w:t>
      </w:r>
    </w:p>
    <w:p>
      <w:pPr>
        <w:pStyle w:val="ListParagraph"/>
        <w:numPr>
          <w:ilvl w:val="0"/>
          <w:numId w:val="2"/>
        </w:numPr>
        <w:spacing w:after="60" w:line="252"/>
      </w:pPr>
      <w:r>
        <w:rPr>
          <w:rFonts w:ascii="Arial" w:cs="Arial" w:eastAsia="Arial" w:hAnsi="Arial"/>
          <w:b/>
          <w:bCs/>
          <w:sz w:val="19"/>
          <w:szCs w:val="19"/>
        </w:rPr>
        <w:t xml:space="preserve">Financing costs:</w:t>
      </w:r>
      <w:r>
        <w:rPr>
          <w:rFonts w:ascii="Arial" w:cs="Arial" w:eastAsia="Arial" w:hAnsi="Arial"/>
          <w:sz w:val="19"/>
          <w:szCs w:val="19"/>
        </w:rPr>
        <w:t xml:space="preserve"> net financial expense rises from ~€131m (2025) to ~€155m (2026) on buyback debt and the €600m 3.875% March-2026 bond, then ~€150m as the OCEANE converts (removing ~€362m of debt) and the 4.125% 2027 bond is refinanced.</w:t>
      </w:r>
    </w:p>
    <w:p>
      <w:pPr>
        <w:pStyle w:val="ListParagraph"/>
        <w:numPr>
          <w:ilvl w:val="0"/>
          <w:numId w:val="2"/>
        </w:numPr>
        <w:spacing w:after="60" w:line="252"/>
      </w:pPr>
      <w:r>
        <w:rPr>
          <w:rFonts w:ascii="Arial" w:cs="Arial" w:eastAsia="Arial" w:hAnsi="Arial"/>
          <w:b/>
          <w:bCs/>
          <w:sz w:val="19"/>
          <w:szCs w:val="19"/>
        </w:rPr>
        <w:t xml:space="preserve">Share count:</w:t>
      </w:r>
      <w:r>
        <w:rPr>
          <w:rFonts w:ascii="Arial" w:cs="Arial" w:eastAsia="Arial" w:hAnsi="Arial"/>
          <w:sz w:val="19"/>
          <w:szCs w:val="19"/>
        </w:rPr>
        <w:t xml:space="preserve"> the €466.8m buyback (17.8m shares at €26.25) cuts the diluted count ~5% on average in 2026 and ~7% in 2027; the OCEANE's 23.8m shares are already in the diluted count and will be delivered largely from treasury. We assume €100m a year of buybacks in 2027–28.</w:t>
      </w:r>
    </w:p>
    <w:p>
      <w:pPr>
        <w:spacing w:after="60"/>
      </w:pPr>
    </w:p>
    <w:p>
      <w:pPr>
        <w:keepNext/>
        <w:spacing w:after="60" w:before="120"/>
      </w:pPr>
      <w:r>
        <w:rPr>
          <w:rFonts w:ascii="Arial" w:cs="Arial" w:eastAsia="Arial" w:hAnsi="Arial"/>
          <w:b/>
          <w:bCs/>
          <w:color w:val="13213F"/>
          <w:sz w:val="18"/>
          <w:szCs w:val="18"/>
        </w:rPr>
        <w:t xml:space="preserve">Scenario EPS paths (headline diluted)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rPr>
          <w:cantSplit/>
          <w:tblHeader/>
        </w:trPr>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Scenario</w:t>
            </w:r>
          </w:p>
        </w:tc>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FY2026E</w:t>
            </w:r>
          </w:p>
        </w:tc>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FY2027E</w:t>
            </w:r>
          </w:p>
        </w:tc>
        <w:tc>
          <w:tcPr>
            <w:tcW w:type="dxa" w:w="246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FY2028E</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Bear</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€1.91 (+3.0%)</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€1.91 (+0.2%)</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€1.95 (+2.1%)</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Base</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€1.96 (+5.9%)</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€2.14 (+8.9%)</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€2.34 (+9.6%)</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Bull</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€2.00 (+8.2%)</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€2.27 (+13.6%)</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€2.64 (+15.9%)</w:t>
            </w:r>
          </w:p>
        </w:tc>
      </w:tr>
    </w:tbl>
    <w:p>
      <w:pPr>
        <w:spacing w:after="100"/>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none" w:color="FFFFFF" w:sz="0"/>
              <w:left w:val="single" w:color="13213F" w:sz="24"/>
              <w:bottom w:val="none" w:color="FFFFFF" w:sz="0"/>
              <w:right w:val="none" w:color="FFFFFF" w:sz="0"/>
            </w:tcBorders>
            <w:shd w:fill="EFF1F5" w:color="auto" w:val="clear"/>
            <w:tcMar>
              <w:top w:type="dxa" w:w="100"/>
              <w:left w:type="dxa" w:w="160"/>
              <w:bottom w:type="dxa" w:w="100"/>
              <w:right w:type="dxa" w:w="140"/>
            </w:tcMar>
          </w:tcPr>
          <w:p>
            <w:pPr>
              <w:spacing w:after="60"/>
            </w:pPr>
            <w:r>
              <w:rPr>
                <w:rFonts w:ascii="Arial" w:cs="Arial" w:eastAsia="Arial" w:hAnsi="Arial"/>
                <w:b/>
                <w:bCs/>
                <w:color w:val="13213F"/>
                <w:sz w:val="19"/>
                <w:szCs w:val="19"/>
              </w:rPr>
              <w:t xml:space="preserve">Versus guidance</w:t>
            </w:r>
          </w:p>
          <w:p>
            <w:pPr>
              <w:spacing w:after="60" w:line="252"/>
            </w:pPr>
            <w:r>
              <w:rPr>
                <w:rFonts w:ascii="Arial" w:cs="Arial" w:eastAsia="Arial" w:hAnsi="Arial"/>
                <w:sz w:val="18"/>
                <w:szCs w:val="18"/>
              </w:rPr>
              <w:t xml:space="preserve">Management guides "high single-digit" headline EPS growth for 2026 (≈€1.98–2.02). Our €1.96 (+5.9%) is ~2% below the mid-point because H1 grew only +5.1% and H2 carries higher interest and energy costs. Our 2027–28 numbers (+9–10% a year) sit within the CMD ambition that EPS grows faster than revenue, helped by the buyback.</w:t>
            </w:r>
          </w:p>
        </w:tc>
      </w:tr>
    </w:tbl>
    <w:p>
      <w:pPr>
        <w:spacing w:after="10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10. Capital structure, debt, covenants and liquidity</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6"/>
      </w:tblGrid>
      <w:tr>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€3,670m</w:t>
            </w:r>
          </w:p>
          <w:p>
            <w:pPr>
              <w:spacing w:after="0" w:line="220"/>
            </w:pPr>
            <w:r>
              <w:rPr>
                <w:rFonts w:ascii="Arial" w:cs="Arial" w:eastAsia="Arial" w:hAnsi="Arial"/>
                <w:color w:val="52514E"/>
                <w:sz w:val="14"/>
                <w:szCs w:val="14"/>
              </w:rPr>
              <w:t xml:space="preserve">Net financial debt excl. IFRS 16, 30-Jun-2026 (Dec-25: €3,020m)</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2.09x</w:t>
            </w:r>
          </w:p>
          <w:p>
            <w:pPr>
              <w:spacing w:after="0" w:line="220"/>
            </w:pPr>
            <w:r>
              <w:rPr>
                <w:rFonts w:ascii="Arial" w:cs="Arial" w:eastAsia="Arial" w:hAnsi="Arial"/>
                <w:color w:val="52514E"/>
                <w:sz w:val="14"/>
                <w:szCs w:val="14"/>
              </w:rPr>
              <w:t xml:space="preserve">Leverage (covenant definition); covenant &lt;3.75x</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€1.35bn</w:t>
            </w:r>
          </w:p>
          <w:p>
            <w:pPr>
              <w:spacing w:after="0" w:line="220"/>
            </w:pPr>
            <w:r>
              <w:rPr>
                <w:rFonts w:ascii="Arial" w:cs="Arial" w:eastAsia="Arial" w:hAnsi="Arial"/>
                <w:color w:val="52514E"/>
                <w:sz w:val="14"/>
                <w:szCs w:val="14"/>
              </w:rPr>
              <w:t xml:space="preserve">Liquidity: €447m cash + €900m undrawn RCF</w:t>
            </w:r>
          </w:p>
        </w:tc>
        <w:tc>
          <w:tcPr>
            <w:tcW w:type="dxa" w:w="2466"/>
            <w:tcBorders>
              <w:top w:val="single" w:color="FFFFFF" w:sz="12"/>
              <w:left w:val="single" w:color="FFFFFF" w:sz="12"/>
              <w:bottom w:val="single" w:color="FFFFFF" w:sz="12"/>
              <w:right w:val="single" w:color="FFFFFF" w:sz="12"/>
            </w:tcBorders>
            <w:shd w:fill="EFF1F5" w:color="auto" w:val="clear"/>
            <w:tcMar>
              <w:top w:type="dxa" w:w="100"/>
              <w:left w:type="dxa" w:w="120"/>
              <w:bottom w:type="dxa" w:w="100"/>
              <w:right w:type="dxa" w:w="100"/>
            </w:tcMar>
          </w:tcPr>
          <w:p>
            <w:pPr>
              <w:spacing w:after="40"/>
            </w:pPr>
            <w:r>
              <w:rPr>
                <w:rFonts w:ascii="Arial" w:cs="Arial" w:eastAsia="Arial" w:hAnsi="Arial"/>
                <w:b/>
                <w:bCs/>
                <w:color w:val="13213F"/>
                <w:sz w:val="30"/>
                <w:szCs w:val="30"/>
              </w:rPr>
              <w:t xml:space="preserve">BBB- / Baa3</w:t>
            </w:r>
          </w:p>
          <w:p>
            <w:pPr>
              <w:spacing w:after="0" w:line="220"/>
            </w:pPr>
            <w:r>
              <w:rPr>
                <w:rFonts w:ascii="Arial" w:cs="Arial" w:eastAsia="Arial" w:hAnsi="Arial"/>
                <w:color w:val="52514E"/>
                <w:sz w:val="14"/>
                <w:szCs w:val="14"/>
              </w:rPr>
              <w:t xml:space="preserve">S&amp;P / Moody's, both stable</w:t>
            </w:r>
          </w:p>
        </w:tc>
      </w:tr>
    </w:tbl>
    <w:p>
      <w:pPr>
        <w:spacing w:after="120"/>
      </w:pPr>
    </w:p>
    <w:p>
      <w:pPr>
        <w:spacing w:after="100" w:before="0" w:line="264"/>
        <w:jc w:val="left"/>
      </w:pPr>
      <w:r>
        <w:rPr>
          <w:rFonts w:ascii="Arial" w:cs="Arial" w:eastAsia="Arial" w:hAnsi="Arial"/>
          <w:sz w:val="19"/>
          <w:szCs w:val="19"/>
        </w:rPr>
        <w:t xml:space="preserve">S&amp;P Capital IQ shows total debt including leases of </w:t>
      </w:r>
      <w:hyperlink w:history="1" r:id="rIdnfvgmwzypxmg3f3lf7cv0">
        <w:r>
          <w:rPr>
            <w:rFonts w:ascii="Arial" w:cs="Arial" w:eastAsia="Arial" w:hAnsi="Arial"/>
            <w:sz w:val="19"/>
            <w:szCs w:val="19"/>
            <w:u w:val="single"/>
          </w:rPr>
          <w:t xml:space="preserve">€4,816.9m</w:t>
        </w:r>
      </w:hyperlink>
      <w:r>
        <w:rPr>
          <w:rFonts w:ascii="Arial" w:cs="Arial" w:eastAsia="Arial" w:hAnsi="Arial"/>
          <w:sz w:val="19"/>
          <w:szCs w:val="19"/>
        </w:rPr>
        <w:t xml:space="preserve"> and net debt of </w:t>
      </w:r>
      <w:hyperlink w:history="1" r:id="rIdchjtshrcjukzhpwwvx0l0">
        <w:r>
          <w:rPr>
            <w:rFonts w:ascii="Arial" w:cs="Arial" w:eastAsia="Arial" w:hAnsi="Arial"/>
            <w:sz w:val="19"/>
            <w:szCs w:val="19"/>
            <w:u w:val="single"/>
          </w:rPr>
          <w:t xml:space="preserve">€4,370.3m</w:t>
        </w:r>
      </w:hyperlink>
      <w:r>
        <w:rPr>
          <w:rFonts w:ascii="Arial" w:cs="Arial" w:eastAsia="Arial" w:hAnsi="Arial"/>
          <w:sz w:val="19"/>
          <w:szCs w:val="19"/>
        </w:rPr>
        <w:t xml:space="preserve"> at 30-Jun-2026 (of which ~€700m IFRS 16 lease liabilities), against </w:t>
      </w:r>
      <w:hyperlink w:history="1" r:id="rIdontf263wvtvhwxodrgwqk">
        <w:r>
          <w:rPr>
            <w:rFonts w:ascii="Arial" w:cs="Arial" w:eastAsia="Arial" w:hAnsi="Arial"/>
            <w:sz w:val="19"/>
            <w:szCs w:val="19"/>
            <w:u w:val="single"/>
          </w:rPr>
          <w:t xml:space="preserve">€3,723.4m</w:t>
        </w:r>
      </w:hyperlink>
      <w:r>
        <w:rPr>
          <w:rFonts w:ascii="Arial" w:cs="Arial" w:eastAsia="Arial" w:hAnsi="Arial"/>
          <w:sz w:val="19"/>
          <w:szCs w:val="19"/>
        </w:rPr>
        <w:t xml:space="preserve"> at Dec-2025. On the company definition (excluding leases) net financial debt was €3,670.3m, up €650m in six months: buyback €466.8m, dividend €105.6m, M&amp;A €36m and negative FCF </w:t>
      </w:r>
      <w:hyperlink w:history="1" r:id="rIdpiucfnylbedqmvic6tv1c">
        <w:r>
          <w:rPr>
            <w:rFonts w:ascii="Arial" w:cs="Arial" w:eastAsia="Arial" w:hAnsi="Arial"/>
            <w:sz w:val="15"/>
            <w:szCs w:val="15"/>
          </w:rPr>
          <w:t xml:space="preserve">[#103]</w:t>
        </w:r>
      </w:hyperlink>
      <w:r>
        <w:rPr>
          <w:rFonts w:ascii="Arial" w:cs="Arial" w:eastAsia="Arial" w:hAnsi="Arial"/>
          <w:sz w:val="19"/>
          <w:szCs w:val="19"/>
        </w:rPr>
        <w:t xml:space="preserve"> </w:t>
      </w:r>
      <w:hyperlink w:history="1" r:id="rId1wnnlswx0gtfs7rqurbla">
        <w:r>
          <w:rPr>
            <w:rFonts w:ascii="Arial" w:cs="Arial" w:eastAsia="Arial" w:hAnsi="Arial"/>
            <w:sz w:val="15"/>
            <w:szCs w:val="15"/>
          </w:rPr>
          <w:t xml:space="preserve">[#104]</w:t>
        </w:r>
      </w:hyperlink>
      <w:r>
        <w:rPr>
          <w:rFonts w:ascii="Arial" w:cs="Arial" w:eastAsia="Arial" w:hAnsi="Arial"/>
          <w:sz w:val="19"/>
          <w:szCs w:val="19"/>
        </w:rPr>
        <w:t xml:space="preserve">.</w:t>
      </w:r>
    </w:p>
    <w:p>
      <w:pPr>
        <w:keepNext/>
        <w:spacing w:after="60" w:before="120"/>
      </w:pPr>
      <w:r>
        <w:rPr>
          <w:rFonts w:ascii="Arial" w:cs="Arial" w:eastAsia="Arial" w:hAnsi="Arial"/>
          <w:b/>
          <w:bCs/>
          <w:color w:val="13213F"/>
          <w:sz w:val="18"/>
          <w:szCs w:val="18"/>
        </w:rPr>
        <w:t xml:space="preserve">Debt instruments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1259"/>
        <w:gridCol w:w="944"/>
        <w:gridCol w:w="944"/>
        <w:gridCol w:w="1049"/>
        <w:gridCol w:w="3361"/>
      </w:tblGrid>
      <w:tr>
        <w:trPr>
          <w:cantSplit/>
          <w:tblHeader/>
        </w:trPr>
        <w:tc>
          <w:tcPr>
            <w:tcW w:type="dxa" w:w="23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Instrument</w:t>
            </w:r>
          </w:p>
        </w:tc>
        <w:tc>
          <w:tcPr>
            <w:tcW w:type="dxa" w:w="125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Issued</w:t>
            </w:r>
          </w:p>
        </w:tc>
        <w:tc>
          <w:tcPr>
            <w:tcW w:type="dxa" w:w="94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Amount</w:t>
            </w:r>
          </w:p>
        </w:tc>
        <w:tc>
          <w:tcPr>
            <w:tcW w:type="dxa" w:w="94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Coupon</w:t>
            </w:r>
          </w:p>
        </w:tc>
        <w:tc>
          <w:tcPr>
            <w:tcW w:type="dxa" w:w="104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Maturity</w:t>
            </w:r>
          </w:p>
        </w:tc>
        <w:tc>
          <w:tcPr>
            <w:tcW w:type="dxa" w:w="336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Status / terms</w:t>
            </w:r>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 (2019 tranche + 2021 tap)</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2019-10-03 (EUR350m); </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550.0m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1.625%</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2028-04</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at 31-Dec-2025; 8.5-year tranche; EUR4bn EMTN programme </w:t>
            </w:r>
            <w:hyperlink w:history="1" r:id="rIddtnvl-cdwzo_oeamryt2z">
              <w:r>
                <w:rPr>
                  <w:rFonts w:ascii="Arial" w:cs="Arial" w:eastAsia="Arial" w:hAnsi="Arial"/>
                  <w:b w:val="false"/>
                  <w:bCs w:val="false"/>
                  <w:sz w:val="12"/>
                  <w:szCs w:val="12"/>
                </w:rPr>
                <w:t xml:space="preserve">[#6093]</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2022-05-17</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300.0m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4.125%</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2027-05-24</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to be refinanced with Mar-2026 issue proceeds; 5-year </w:t>
            </w:r>
            <w:hyperlink w:history="1" r:id="rIdixqjyqfnzmadusmhuincs">
              <w:r>
                <w:rPr>
                  <w:rFonts w:ascii="Arial" w:cs="Arial" w:eastAsia="Arial" w:hAnsi="Arial"/>
                  <w:b w:val="false"/>
                  <w:bCs w:val="false"/>
                  <w:sz w:val="12"/>
                  <w:szCs w:val="12"/>
                </w:rPr>
                <w:t xml:space="preserve">[#6093]</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2024-03 (dated 14-Mar-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400.0m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3.75%</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2030 (6-year)</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Refinanced EUR500m bond repaid Apr-2024 </w:t>
            </w:r>
            <w:hyperlink w:history="1" r:id="rIdyknnm9l26lcje8sqovqbf">
              <w:r>
                <w:rPr>
                  <w:rFonts w:ascii="Arial" w:cs="Arial" w:eastAsia="Arial" w:hAnsi="Arial"/>
                  <w:b w:val="false"/>
                  <w:bCs w:val="false"/>
                  <w:sz w:val="12"/>
                  <w:szCs w:val="12"/>
                </w:rPr>
                <w:t xml:space="preserve">[#6093]</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 (series 8)</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Priced 2025-08-26; set</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350.0m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3.375%</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2031-09-02</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Re-offer price 99.925%; re-offer yield 3.389%; gross proceeds EUR348.075m; underwriting 0.375%; refinanced EUR350m bond due 15-Feb-2026 (early redeemed 18-No </w:t>
            </w:r>
            <w:hyperlink w:history="1" r:id="rIdhctnpxcydtzyy28ihefls">
              <w:r>
                <w:rPr>
                  <w:rFonts w:ascii="Arial" w:cs="Arial" w:eastAsia="Arial" w:hAnsi="Arial"/>
                  <w:b w:val="false"/>
                  <w:bCs w:val="false"/>
                  <w:sz w:val="12"/>
                  <w:szCs w:val="12"/>
                </w:rPr>
                <w:t xml:space="preserve">[#1345]</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2026-03-16</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600.0m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3.875%</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2032-03 (6-year)</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Senior unsecured; proceeds to refinance EUR300m May-2027 bond and fund 2026 buyback </w:t>
            </w:r>
            <w:hyperlink w:history="1" r:id="rIdz8wmqilj2rz6nztbe5x_n">
              <w:r>
                <w:rPr>
                  <w:rFonts w:ascii="Arial" w:cs="Arial" w:eastAsia="Arial" w:hAnsi="Arial"/>
                  <w:b w:val="false"/>
                  <w:bCs w:val="false"/>
                  <w:sz w:val="12"/>
                  <w:szCs w:val="12"/>
                </w:rPr>
                <w:t xml:space="preserve">[#267]</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 (repaid)</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500.0m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2024-04</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Repaid at maturity Apr-2024;  </w:t>
            </w:r>
            <w:hyperlink w:history="1" r:id="rIdeugk5hla_0qy4qcpulfwa">
              <w:r>
                <w:rPr>
                  <w:rFonts w:ascii="Arial" w:cs="Arial" w:eastAsia="Arial" w:hAnsi="Arial"/>
                  <w:b w:val="false"/>
                  <w:bCs w:val="false"/>
                  <w:sz w:val="12"/>
                  <w:szCs w:val="12"/>
                </w:rPr>
                <w:t xml:space="preserve">[#3465]</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 (repaid)</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2019-10-03 tranche</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500.0m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2025-04</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Repaid at maturity H1 2025;  </w:t>
            </w:r>
            <w:hyperlink w:history="1" r:id="rIde-t3gljnyv945muudlbp4">
              <w:r>
                <w:rPr>
                  <w:rFonts w:ascii="Arial" w:cs="Arial" w:eastAsia="Arial" w:hAnsi="Arial"/>
                  <w:b w:val="false"/>
                  <w:bCs w:val="false"/>
                  <w:sz w:val="12"/>
                  <w:szCs w:val="12"/>
                </w:rPr>
                <w:t xml:space="preserve">[#5390]</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EMTN bond (early redeemed)</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350.0m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2026-02-15</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Early redeemed 2025-11-18; NB: H1-2026 SR describes 'early refinancing, in November 2025, of the 600 million euros bond originally maturing in March 2026' - inconsistent  </w:t>
            </w:r>
            <w:hyperlink w:history="1" r:id="rId5ab6zxehe86dhljecc2v6">
              <w:r>
                <w:rPr>
                  <w:rFonts w:ascii="Arial" w:cs="Arial" w:eastAsia="Arial" w:hAnsi="Arial"/>
                  <w:b w:val="false"/>
                  <w:bCs w:val="false"/>
                  <w:sz w:val="12"/>
                  <w:szCs w:val="12"/>
                </w:rPr>
                <w:t xml:space="preserve">[#5314]</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OCANE 2029 (convertible/exchangeable)</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2022-09-22</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380.0m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Not in retrieved text</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2029-09-22</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Elis intends to exercise soft call effective from mid-Oct-2026; Conversion ratio 6,146.2538 shares/bond from 28-May-2025, 6,256.8564 from 28-May-2026; holder </w:t>
            </w:r>
            <w:hyperlink w:history="1" r:id="rIdywe0-thwnqkhgyktjbpwl">
              <w:r>
                <w:rPr>
                  <w:rFonts w:ascii="Arial" w:cs="Arial" w:eastAsia="Arial" w:hAnsi="Arial"/>
                  <w:b w:val="false"/>
                  <w:bCs w:val="false"/>
                  <w:sz w:val="12"/>
                  <w:szCs w:val="12"/>
                </w:rPr>
                <w:t xml:space="preserve">[#6079]</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USPP (euro tranche)</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2019-04</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300.0m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2.70%</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2029 (10-year)</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Covenant &lt;3.75x half-yearly </w:t>
            </w:r>
            <w:hyperlink w:history="1" r:id="rIdnib9orpxrrk5_4ktt9e3k">
              <w:r>
                <w:rPr>
                  <w:rFonts w:ascii="Arial" w:cs="Arial" w:eastAsia="Arial" w:hAnsi="Arial"/>
                  <w:b w:val="false"/>
                  <w:bCs w:val="false"/>
                  <w:sz w:val="12"/>
                  <w:szCs w:val="12"/>
                </w:rPr>
                <w:t xml:space="preserve">[#6437]</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USPP (USD tranche)</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2019-04</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40.0m USD</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4.99%</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2029 (10-year)</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USD debt fully swapped into EUR via cross-currency swaps </w:t>
            </w:r>
            <w:hyperlink w:history="1" r:id="rIdsuqltep6nj5kkvtxc5iho">
              <w:r>
                <w:rPr>
                  <w:rFonts w:ascii="Arial" w:cs="Arial" w:eastAsia="Arial" w:hAnsi="Arial"/>
                  <w:b w:val="false"/>
                  <w:bCs w:val="false"/>
                  <w:sz w:val="12"/>
                  <w:szCs w:val="12"/>
                </w:rPr>
                <w:t xml:space="preserve">[#6437]</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USPP notes (USD)</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 (10-year to June 2</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Not in retrieved text USD</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4.32%</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2032-06</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Swapped into EUR </w:t>
            </w:r>
            <w:hyperlink w:history="1" r:id="rIddpg9n2nm1b3al-chuvx_k">
              <w:r>
                <w:rPr>
                  <w:rFonts w:ascii="Arial" w:cs="Arial" w:eastAsia="Arial" w:hAnsi="Arial"/>
                  <w:b w:val="false"/>
                  <w:bCs w:val="false"/>
                  <w:sz w:val="12"/>
                  <w:szCs w:val="12"/>
                </w:rPr>
                <w:t xml:space="preserve">[#6071]</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USPP notes (USD)</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 (12-year to July 2</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Not in retrieved text (EUR183.4m after swap per adjacent sentence) USD</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6.03% (USD); 5.21% final EUR c</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2035-07</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'fully converted into euros for a total amount of 183.4 million ... final 5.21% coupon in euros' (sentence follows the 2035 notes description) </w:t>
            </w:r>
            <w:hyperlink w:history="1" r:id="rIdnrtk1lptymasmbzh7p4mk">
              <w:r>
                <w:rPr>
                  <w:rFonts w:ascii="Arial" w:cs="Arial" w:eastAsia="Arial" w:hAnsi="Arial"/>
                  <w:b w:val="false"/>
                  <w:bCs w:val="false"/>
                  <w:sz w:val="12"/>
                  <w:szCs w:val="12"/>
                </w:rPr>
                <w:t xml:space="preserve">[#6075]</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Syndicated RCF (sustainability-linked)</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2021-11-09</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900.0m (870.0m from Nov-2027 to Nov-2028)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Margin indexed to S&amp;P/Moody's </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2027-11 (EUR900m) / 20</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Undrawn at 31-Dec-2025 and 30-Jun-2026; 13 banks; 5-year + two 1-year extension options; back-up for CP; 2030 climate goals in margin since Dec-2023; covenant &lt;3.75x </w:t>
            </w:r>
            <w:hyperlink w:history="1" r:id="rIdlwibxazh4lvrrjktzi0dl">
              <w:r>
                <w:rPr>
                  <w:rFonts w:ascii="Arial" w:cs="Arial" w:eastAsia="Arial" w:hAnsi="Arial"/>
                  <w:b w:val="false"/>
                  <w:bCs w:val="false"/>
                  <w:sz w:val="12"/>
                  <w:szCs w:val="12"/>
                </w:rPr>
                <w:t xml:space="preserve">[#6447]</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NEU CP (commercial paper)</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Programme</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up to 600.0m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Variable/short-term</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&lt;1 year</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Issuance +EUR262.1m in 2025; Rated Prime-3 by Moody's since 10-Apr-2025 (another URD passage calls it unrated) </w:t>
            </w:r>
            <w:hyperlink w:history="1" r:id="rIdc45avltrkzsyx8s4tmgrl">
              <w:r>
                <w:rPr>
                  <w:rFonts w:ascii="Arial" w:cs="Arial" w:eastAsia="Arial" w:hAnsi="Arial"/>
                  <w:b w:val="false"/>
                  <w:bCs w:val="false"/>
                  <w:sz w:val="12"/>
                  <w:szCs w:val="12"/>
                </w:rPr>
                <w:t xml:space="preserve">[#6097]</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NEU MTN</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Programme since 2021-0</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up to 200.0m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18 months - 3 years</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Issuance EUR80.0m in 2025; Rated Prime-3 by Moody's since 10-Apr-2025 (another passage: unrated) </w:t>
            </w:r>
            <w:hyperlink w:history="1" r:id="rIdcmllkpqojf9rmsowym6tp">
              <w:r>
                <w:rPr>
                  <w:rFonts w:ascii="Arial" w:cs="Arial" w:eastAsia="Arial" w:hAnsi="Arial"/>
                  <w:b w:val="false"/>
                  <w:bCs w:val="false"/>
                  <w:sz w:val="12"/>
                  <w:szCs w:val="12"/>
                </w:rPr>
                <w:t xml:space="preserve">[#6094]</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Trade receivables securitisation (France)</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2023-06-12</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up to 200.0m (drawn 200.0m at 31-Dec-2025; 199.9m 2024; 177.5m 2023) EUR</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Variable (only significant var</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5-year programme; show</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Outstanding;  </w:t>
            </w:r>
            <w:hyperlink w:history="1" r:id="rIdqxt2yvoa-giiyhq7axmhd">
              <w:r>
                <w:rPr>
                  <w:rFonts w:ascii="Arial" w:cs="Arial" w:eastAsia="Arial" w:hAnsi="Arial"/>
                  <w:b w:val="false"/>
                  <w:bCs w:val="false"/>
                  <w:sz w:val="12"/>
                  <w:szCs w:val="12"/>
                </w:rPr>
                <w:t xml:space="preserve">[#6108]</w:t>
              </w:r>
            </w:hyperlink>
          </w:p>
        </w:tc>
      </w:tr>
      <w:tr>
        <w:trPr>
          <w:cantSplit/>
        </w:trPr>
        <w:tc>
          <w:tcPr>
            <w:tcW w:type="dxa" w:w="23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Bridge facility (Berendsen)</w:t>
            </w:r>
          </w:p>
        </w:tc>
        <w:tc>
          <w:tcPr>
            <w:tcW w:type="dxa" w:w="125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2017-09</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2,000m EUR</w:t>
            </w:r>
          </w:p>
        </w:tc>
        <w:tc>
          <w:tcPr>
            <w:tcW w:type="dxa" w:w="9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104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336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Refinanced in under 4 months;  </w:t>
            </w:r>
            <w:hyperlink w:history="1" r:id="rIdmt7f9idnggxll4ulfyd1o">
              <w:r>
                <w:rPr>
                  <w:rFonts w:ascii="Arial" w:cs="Arial" w:eastAsia="Arial" w:hAnsi="Arial"/>
                  <w:b w:val="false"/>
                  <w:bCs w:val="false"/>
                  <w:sz w:val="12"/>
                  <w:szCs w:val="12"/>
                </w:rPr>
                <w:t xml:space="preserve">[#1982]</w:t>
              </w:r>
            </w:hyperlink>
          </w:p>
        </w:tc>
      </w:tr>
      <w:tr>
        <w:trPr>
          <w:cantSplit/>
        </w:trPr>
        <w:tc>
          <w:tcPr>
            <w:tcW w:type="dxa" w:w="23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Financial covenant (RCF, USPP)</w:t>
            </w:r>
          </w:p>
        </w:tc>
        <w:tc>
          <w:tcPr>
            <w:tcW w:type="dxa" w:w="125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n/a n/a</w:t>
            </w:r>
          </w:p>
        </w:tc>
        <w:tc>
          <w:tcPr>
            <w:tcW w:type="dxa" w:w="9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n/a</w:t>
            </w:r>
          </w:p>
        </w:tc>
        <w:tc>
          <w:tcPr>
            <w:tcW w:type="dxa" w:w="104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Half-yearly tests</w:t>
            </w:r>
          </w:p>
        </w:tc>
        <w:tc>
          <w:tcPr>
            <w:tcW w:type="dxa" w:w="336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1.75x at 31-Dec-2025; 2.09x at 30-Jun-2026 (Elis leverage ratio); Total net leverage (net debt as defined / pro forma EBITDA after synergies) &lt;3.75x; negative pledge; cro </w:t>
            </w:r>
            <w:hyperlink w:history="1" r:id="rIdvkc01lctqcdrvphjhrxln">
              <w:r>
                <w:rPr>
                  <w:rFonts w:ascii="Arial" w:cs="Arial" w:eastAsia="Arial" w:hAnsi="Arial"/>
                  <w:b w:val="false"/>
                  <w:bCs w:val="false"/>
                  <w:sz w:val="12"/>
                  <w:szCs w:val="12"/>
                </w:rPr>
                <w:t xml:space="preserve">[#6796]</w:t>
              </w:r>
            </w:hyperlink>
          </w:p>
        </w:tc>
      </w:tr>
    </w:tbl>
    <w:p>
      <w:pPr>
        <w:spacing w:after="140" w:before="40"/>
      </w:pPr>
      <w:r>
        <w:rPr>
          <w:rFonts w:ascii="Arial" w:cs="Arial" w:eastAsia="Arial" w:hAnsi="Arial"/>
          <w:color w:val="898781"/>
          <w:sz w:val="14"/>
          <w:szCs w:val="14"/>
        </w:rPr>
        <w:t xml:space="preserve">Source: Elis URD 2025 and H1 2026 report via ProntoNLP (worker C, model/C_debt_instruments.csv). Note: sources disagree on which 2026 bond was refinanced early (€350m Feb-2026 per the FY2025 call vs "€600m" in the SR).</w:t>
      </w:r>
    </w:p>
    <w:p>
      <w:pPr>
        <w:pStyle w:val="Heading2"/>
        <w:keepNext/>
        <w:keepLines/>
        <w:spacing w:after="80" w:before="180"/>
      </w:pPr>
      <w:r>
        <w:rPr>
          <w:rFonts w:ascii="Arial" w:cs="Arial" w:eastAsia="Arial" w:hAnsi="Arial"/>
          <w:b/>
          <w:bCs/>
          <w:color w:val="13213F"/>
          <w:sz w:val="24"/>
          <w:szCs w:val="24"/>
        </w:rPr>
        <w:t xml:space="preserve">Maturities, covenants, cost and liquidity</w:t>
      </w:r>
    </w:p>
    <w:p>
      <w:pPr>
        <w:pStyle w:val="ListParagraph"/>
        <w:numPr>
          <w:ilvl w:val="0"/>
          <w:numId w:val="2"/>
        </w:numPr>
        <w:spacing w:after="60" w:line="252"/>
      </w:pPr>
      <w:r>
        <w:rPr>
          <w:rFonts w:ascii="Arial" w:cs="Arial" w:eastAsia="Arial" w:hAnsi="Arial"/>
          <w:b/>
          <w:bCs/>
          <w:sz w:val="19"/>
          <w:szCs w:val="19"/>
        </w:rPr>
        <w:t xml:space="preserve">Maturity profile</w:t>
      </w:r>
      <w:r>
        <w:rPr>
          <w:rFonts w:ascii="Arial" w:cs="Arial" w:eastAsia="Arial" w:hAnsi="Arial"/>
          <w:sz w:val="19"/>
          <w:szCs w:val="19"/>
        </w:rPr>
        <w:t xml:space="preserve"> (bonds/USPP): 2027 €300m (4.125%, pre-funded by the March-2026 bond); 2028 €550m (1.625%); 2029 €300m USPP + $40m and the €380m OCEANE; 2030 €400m (3.75%); 2031 €350m (3.375%); 2032 €600m (3.875%) and USD USPP; 2035 USD USPP (5.21% EUR-swapped). Short-term: NEU CP (up to €600m), NEU MTN and a €200m receivables securitisation.</w:t>
      </w:r>
    </w:p>
    <w:p>
      <w:pPr>
        <w:pStyle w:val="ListParagraph"/>
        <w:numPr>
          <w:ilvl w:val="0"/>
          <w:numId w:val="2"/>
        </w:numPr>
        <w:spacing w:after="60" w:line="252"/>
      </w:pPr>
      <w:r>
        <w:rPr>
          <w:rFonts w:ascii="Arial" w:cs="Arial" w:eastAsia="Arial" w:hAnsi="Arial"/>
          <w:b/>
          <w:bCs/>
          <w:sz w:val="19"/>
          <w:szCs w:val="19"/>
        </w:rPr>
        <w:t xml:space="preserve">Covenant:</w:t>
      </w:r>
      <w:r>
        <w:rPr>
          <w:rFonts w:ascii="Arial" w:cs="Arial" w:eastAsia="Arial" w:hAnsi="Arial"/>
          <w:sz w:val="19"/>
          <w:szCs w:val="19"/>
        </w:rPr>
        <w:t xml:space="preserve"> a single total-net-leverage covenant (&lt;3.75x, tested half-yearly) on the RCF and USPP; headroom is ample at 2.09x </w:t>
      </w:r>
      <w:hyperlink w:history="1" r:id="rIdugm_jnaznpcwvr6_ljy2a">
        <w:r>
          <w:rPr>
            <w:rFonts w:ascii="Arial" w:cs="Arial" w:eastAsia="Arial" w:hAnsi="Arial"/>
            <w:color w:val="1C5CAB"/>
            <w:sz w:val="15"/>
            <w:szCs w:val="15"/>
          </w:rPr>
          <w:t xml:space="preserve">[#6796]</w:t>
        </w:r>
      </w:hyperlink>
      <w:r>
        <w:rPr>
          <w:rFonts w:ascii="Arial" w:cs="Arial" w:eastAsia="Arial" w:hAnsi="Arial"/>
          <w:sz w:val="19"/>
          <w:szCs w:val="19"/>
        </w:rPr>
        <w:t xml:space="preserve">.</w:t>
      </w:r>
    </w:p>
    <w:p>
      <w:pPr>
        <w:pStyle w:val="ListParagraph"/>
        <w:numPr>
          <w:ilvl w:val="0"/>
          <w:numId w:val="2"/>
        </w:numPr>
        <w:spacing w:after="60" w:line="252"/>
      </w:pPr>
      <w:r>
        <w:rPr>
          <w:rFonts w:ascii="Arial" w:cs="Arial" w:eastAsia="Arial" w:hAnsi="Arial"/>
          <w:b/>
          <w:bCs/>
          <w:sz w:val="19"/>
          <w:szCs w:val="19"/>
        </w:rPr>
        <w:t xml:space="preserve">Cost of debt:</w:t>
      </w:r>
      <w:r>
        <w:rPr>
          <w:rFonts w:ascii="Arial" w:cs="Arial" w:eastAsia="Arial" w:hAnsi="Arial"/>
          <w:sz w:val="19"/>
          <w:szCs w:val="19"/>
        </w:rPr>
        <w:t xml:space="preserve"> the cheap 2019–21 bonds (1.6–2.7%) are being replaced at 3.4–3.9%; net financial expense rose from €88m (2020) to ~€131m (2025) and €73.9m in H1 2026 alone (+€9m YoY). Guided net interest paid ~€90m for 2026.</w:t>
      </w:r>
    </w:p>
    <w:p>
      <w:pPr>
        <w:pStyle w:val="ListParagraph"/>
        <w:numPr>
          <w:ilvl w:val="0"/>
          <w:numId w:val="2"/>
        </w:numPr>
        <w:spacing w:after="60" w:line="252"/>
      </w:pPr>
      <w:r>
        <w:rPr>
          <w:rFonts w:ascii="Arial" w:cs="Arial" w:eastAsia="Arial" w:hAnsi="Arial"/>
          <w:b/>
          <w:bCs/>
          <w:sz w:val="19"/>
          <w:szCs w:val="19"/>
        </w:rPr>
        <w:t xml:space="preserve">OCEANE 2029:</w:t>
      </w:r>
      <w:r>
        <w:rPr>
          <w:rFonts w:ascii="Arial" w:cs="Arial" w:eastAsia="Arial" w:hAnsi="Arial"/>
          <w:sz w:val="19"/>
          <w:szCs w:val="19"/>
        </w:rPr>
        <w:t xml:space="preserve"> €380m, conversion ratio 6,256.86 shares per €100k (≈€15.98 per share; 23.8m shares). Soft call from 13-Oct-2026 if the share price exceeds 130% of the conversion price (~€20.8) [calc]; management intends to call and settle with treasury shares. If the stock stays below the trigger, the leverage target slips by ~0.2x [e] and the holder put on 22-Sep-2027 becomes relevant.</w:t>
      </w:r>
    </w:p>
    <w:p>
      <w:pPr>
        <w:pStyle w:val="ListParagraph"/>
        <w:numPr>
          <w:ilvl w:val="0"/>
          <w:numId w:val="2"/>
        </w:numPr>
        <w:spacing w:after="60" w:line="252"/>
      </w:pPr>
      <w:r>
        <w:rPr>
          <w:rFonts w:ascii="Arial" w:cs="Arial" w:eastAsia="Arial" w:hAnsi="Arial"/>
          <w:b/>
          <w:bCs/>
          <w:sz w:val="19"/>
          <w:szCs w:val="19"/>
        </w:rPr>
        <w:t xml:space="preserve">Ratings:</w:t>
      </w:r>
      <w:r>
        <w:rPr>
          <w:rFonts w:ascii="Arial" w:cs="Arial" w:eastAsia="Arial" w:hAnsi="Arial"/>
          <w:sz w:val="19"/>
          <w:szCs w:val="19"/>
        </w:rPr>
        <w:t xml:space="preserve"> S&amp;P BB+ → BBB- (Nov-2023); Moody's Ba1 → Baa3 (Nov-2024); Morningstar DBRS BBB. Keeping investment grade is an explicit policy constraint.</w:t>
      </w:r>
    </w:p>
    <w:p>
      <w:pPr>
        <w:pStyle w:val="ListParagraph"/>
        <w:numPr>
          <w:ilvl w:val="0"/>
          <w:numId w:val="2"/>
        </w:numPr>
        <w:spacing w:after="60" w:line="252"/>
      </w:pPr>
      <w:r>
        <w:rPr>
          <w:rFonts w:ascii="Arial" w:cs="Arial" w:eastAsia="Arial" w:hAnsi="Arial"/>
          <w:b/>
          <w:bCs/>
          <w:sz w:val="19"/>
          <w:szCs w:val="19"/>
        </w:rPr>
        <w:t xml:space="preserve">Liquidity:</w:t>
      </w:r>
      <w:r>
        <w:rPr>
          <w:rFonts w:ascii="Arial" w:cs="Arial" w:eastAsia="Arial" w:hAnsi="Arial"/>
          <w:sz w:val="19"/>
          <w:szCs w:val="19"/>
        </w:rPr>
        <w:t xml:space="preserve"> €447m cash plus an undrawn €900m sustainability-linked RCF (€870m from Nov-2027 to Nov-2028) cover all maturities to 2028.</w:t>
      </w:r>
    </w:p>
    <w:p>
      <w:pPr>
        <w:spacing w:after="60"/>
      </w:pPr>
    </w:p>
    <w:p>
      <w:pPr>
        <w:keepNext w:val="false"/>
        <w:spacing w:after="40"/>
        <w:jc w:val="center"/>
      </w:pPr>
      <w:r>
        <w:drawing>
          <wp:inline distT="0" distB="0" distL="0" distR="0">
            <wp:extent cx="5667375" cy="2486025"/>
            <wp:effectExtent t="0" r="0" b="0" l="0"/>
            <wp:docPr id="1" name="hist_leverage.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86025"/>
                    </a:xfrm>
                    <a:prstGeom prst="rect">
                      <a:avLst/>
                    </a:prstGeom>
                  </pic:spPr>
                </pic:pic>
              </a:graphicData>
            </a:graphic>
          </wp:inline>
        </w:drawing>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11. Valuation: peers, history and regression</w:t>
      </w:r>
    </w:p>
    <w:p>
      <w:pPr>
        <w:pStyle w:val="Heading2"/>
        <w:keepNext/>
        <w:keepLines/>
        <w:spacing w:after="80" w:before="180"/>
      </w:pPr>
      <w:r>
        <w:rPr>
          <w:rFonts w:ascii="Arial" w:cs="Arial" w:eastAsia="Arial" w:hAnsi="Arial"/>
          <w:b/>
          <w:bCs/>
          <w:color w:val="13213F"/>
          <w:sz w:val="24"/>
          <w:szCs w:val="24"/>
        </w:rPr>
        <w:t xml:space="preserve">11.1 Competitors: listed and private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0"/>
        <w:gridCol w:w="1534"/>
        <w:gridCol w:w="1315"/>
        <w:gridCol w:w="4167"/>
      </w:tblGrid>
      <w:tr>
        <w:trPr>
          <w:cantSplit/>
          <w:tblHeader/>
        </w:trPr>
        <w:tc>
          <w:tcPr>
            <w:tcW w:type="dxa" w:w="285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Company</w:t>
            </w:r>
          </w:p>
        </w:tc>
        <w:tc>
          <w:tcPr>
            <w:tcW w:type="dxa" w:w="153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Ticker</w:t>
            </w:r>
          </w:p>
        </w:tc>
        <w:tc>
          <w:tcPr>
            <w:tcW w:type="dxa" w:w="131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Listed?</w:t>
            </w:r>
          </w:p>
        </w:tc>
        <w:tc>
          <w:tcPr>
            <w:tcW w:type="dxa" w:w="416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Relevance</w:t>
            </w:r>
          </w:p>
        </w:tc>
      </w:tr>
      <w:tr>
        <w:trPr>
          <w:cantSplit/>
        </w:trPr>
        <w:tc>
          <w:tcPr>
            <w:tcW w:type="dxa" w:w="28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3ypdmqro3hwj8dlyqrgtb">
              <w:r>
                <w:rPr>
                  <w:rFonts w:ascii="Arial" w:cs="Arial" w:eastAsia="Arial" w:hAnsi="Arial"/>
                  <w:b w:val="false"/>
                  <w:bCs w:val="false"/>
                  <w:sz w:val="14"/>
                  <w:szCs w:val="14"/>
                  <w:u w:val="single"/>
                </w:rPr>
                <w:t xml:space="preserve">Cintas Corporation</w:t>
              </w:r>
            </w:hyperlink>
          </w:p>
        </w:tc>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CTAS US</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(Nasdaq)</w:t>
            </w:r>
          </w:p>
        </w:tc>
        <w:tc>
          <w:tcPr>
            <w:tcW w:type="dxa" w:w="416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US #1 uniform rental; acquiring UniFirst</w:t>
            </w:r>
          </w:p>
        </w:tc>
      </w:tr>
      <w:tr>
        <w:trPr>
          <w:cantSplit/>
        </w:trPr>
        <w:tc>
          <w:tcPr>
            <w:tcW w:type="dxa" w:w="28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h4obqi86ieqv2hbdi_pmp">
              <w:r>
                <w:rPr>
                  <w:rFonts w:ascii="Arial" w:cs="Arial" w:eastAsia="Arial" w:hAnsi="Arial"/>
                  <w:b w:val="false"/>
                  <w:bCs w:val="false"/>
                  <w:sz w:val="14"/>
                  <w:szCs w:val="14"/>
                  <w:u w:val="single"/>
                </w:rPr>
                <w:t xml:space="preserve">UniFirst Corporation</w:t>
              </w:r>
            </w:hyperlink>
          </w:p>
        </w:tc>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UNF US</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(NYSE), being acquired</w:t>
            </w:r>
          </w:p>
        </w:tc>
        <w:tc>
          <w:tcPr>
            <w:tcW w:type="dxa" w:w="416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US uniform rental; Cintas deal $5.5bn</w:t>
            </w:r>
          </w:p>
        </w:tc>
      </w:tr>
      <w:tr>
        <w:trPr>
          <w:cantSplit/>
        </w:trPr>
        <w:tc>
          <w:tcPr>
            <w:tcW w:type="dxa" w:w="28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Vestis Corporation</w:t>
            </w:r>
          </w:p>
        </w:tc>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VSTS US</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(NYSE)</w:t>
            </w:r>
          </w:p>
        </w:tc>
        <w:tc>
          <w:tcPr>
            <w:tcW w:type="dxa" w:w="416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Ex-Aramark Uniform; received preliminary proposals (2024)</w:t>
            </w:r>
          </w:p>
        </w:tc>
      </w:tr>
      <w:tr>
        <w:trPr>
          <w:cantSplit/>
        </w:trPr>
        <w:tc>
          <w:tcPr>
            <w:tcW w:type="dxa" w:w="28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dkbsqw13drptqes6tccpm">
              <w:r>
                <w:rPr>
                  <w:rFonts w:ascii="Arial" w:cs="Arial" w:eastAsia="Arial" w:hAnsi="Arial"/>
                  <w:b w:val="false"/>
                  <w:bCs w:val="false"/>
                  <w:sz w:val="14"/>
                  <w:szCs w:val="14"/>
                  <w:u w:val="single"/>
                </w:rPr>
                <w:t xml:space="preserve">Johnson Service Group PLC</w:t>
              </w:r>
            </w:hyperlink>
          </w:p>
        </w:tc>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JSG LN</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(LSE)</w:t>
            </w:r>
          </w:p>
        </w:tc>
        <w:tc>
          <w:tcPr>
            <w:tcW w:type="dxa" w:w="416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UK linen &amp; workwear — closest direct competitor in the UK</w:t>
            </w:r>
          </w:p>
        </w:tc>
      </w:tr>
      <w:tr>
        <w:trPr>
          <w:cantSplit/>
        </w:trPr>
        <w:tc>
          <w:tcPr>
            <w:tcW w:type="dxa" w:w="28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isf3unrnsc40g6dbut2d8">
              <w:r>
                <w:rPr>
                  <w:rFonts w:ascii="Arial" w:cs="Arial" w:eastAsia="Arial" w:hAnsi="Arial"/>
                  <w:b w:val="false"/>
                  <w:bCs w:val="false"/>
                  <w:sz w:val="14"/>
                  <w:szCs w:val="14"/>
                  <w:u w:val="single"/>
                </w:rPr>
                <w:t xml:space="preserve">Rentokil Initial plc</w:t>
              </w:r>
            </w:hyperlink>
          </w:p>
        </w:tc>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RTO LN</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(LSE)</w:t>
            </w:r>
          </w:p>
        </w:tc>
        <w:tc>
          <w:tcPr>
            <w:tcW w:type="dxa" w:w="416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Hygiene &amp; pest control competitor</w:t>
            </w:r>
          </w:p>
        </w:tc>
      </w:tr>
      <w:tr>
        <w:trPr>
          <w:cantSplit/>
        </w:trPr>
        <w:tc>
          <w:tcPr>
            <w:tcW w:type="dxa" w:w="28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l9o90oumbgrdoyci0bk_u">
              <w:r>
                <w:rPr>
                  <w:rFonts w:ascii="Arial" w:cs="Arial" w:eastAsia="Arial" w:hAnsi="Arial"/>
                  <w:b w:val="false"/>
                  <w:bCs w:val="false"/>
                  <w:sz w:val="14"/>
                  <w:szCs w:val="14"/>
                  <w:u w:val="single"/>
                </w:rPr>
                <w:t xml:space="preserve">Sodexo S.A.</w:t>
              </w:r>
            </w:hyperlink>
          </w:p>
        </w:tc>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SW FP</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(Euronext)</w:t>
            </w:r>
          </w:p>
        </w:tc>
        <w:tc>
          <w:tcPr>
            <w:tcW w:type="dxa" w:w="416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Facility services; also an Elis customer</w:t>
            </w:r>
          </w:p>
        </w:tc>
      </w:tr>
      <w:tr>
        <w:trPr>
          <w:cantSplit/>
        </w:trPr>
        <w:tc>
          <w:tcPr>
            <w:tcW w:type="dxa" w:w="28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25lqpycdn3mrw7ghaubb1">
              <w:r>
                <w:rPr>
                  <w:rFonts w:ascii="Arial" w:cs="Arial" w:eastAsia="Arial" w:hAnsi="Arial"/>
                  <w:b w:val="false"/>
                  <w:bCs w:val="false"/>
                  <w:sz w:val="14"/>
                  <w:szCs w:val="14"/>
                  <w:u w:val="single"/>
                </w:rPr>
                <w:t xml:space="preserve">ISS A/S</w:t>
              </w:r>
            </w:hyperlink>
          </w:p>
        </w:tc>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ISS DC</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(Copenhagen)</w:t>
            </w:r>
          </w:p>
        </w:tc>
        <w:tc>
          <w:tcPr>
            <w:tcW w:type="dxa" w:w="416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Facility services (adjacent)</w:t>
            </w:r>
          </w:p>
        </w:tc>
      </w:tr>
      <w:tr>
        <w:trPr>
          <w:cantSplit/>
        </w:trPr>
        <w:tc>
          <w:tcPr>
            <w:tcW w:type="dxa" w:w="28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zsg4tzvnfedcpj9tjj8lp">
              <w:r>
                <w:rPr>
                  <w:rFonts w:ascii="Arial" w:cs="Arial" w:eastAsia="Arial" w:hAnsi="Arial"/>
                  <w:b w:val="false"/>
                  <w:bCs w:val="false"/>
                  <w:sz w:val="14"/>
                  <w:szCs w:val="14"/>
                  <w:u w:val="single"/>
                </w:rPr>
                <w:t xml:space="preserve">Aramark</w:t>
              </w:r>
            </w:hyperlink>
          </w:p>
        </w:tc>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ARMK US</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 (NYSE)</w:t>
            </w:r>
          </w:p>
        </w:tc>
        <w:tc>
          <w:tcPr>
            <w:tcW w:type="dxa" w:w="416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Food/facility services (adjacent)</w:t>
            </w:r>
          </w:p>
        </w:tc>
      </w:tr>
      <w:tr>
        <w:trPr>
          <w:cantSplit/>
        </w:trPr>
        <w:tc>
          <w:tcPr>
            <w:tcW w:type="dxa" w:w="28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Compass, ABM, Ecolab, Bunzl</w:t>
            </w:r>
          </w:p>
        </w:tc>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CPG LN, ABM US, ECL US, BNZL LN</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Listed</w:t>
            </w:r>
          </w:p>
        </w:tc>
        <w:tc>
          <w:tcPr>
            <w:tcW w:type="dxa" w:w="416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Broader business-services / hygiene comparables</w:t>
            </w:r>
          </w:p>
        </w:tc>
      </w:tr>
      <w:tr>
        <w:trPr>
          <w:cantSplit/>
        </w:trPr>
        <w:tc>
          <w:tcPr>
            <w:tcW w:type="dxa" w:w="28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Alsco</w:t>
            </w:r>
          </w:p>
        </w:tc>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Private</w:t>
            </w:r>
          </w:p>
        </w:tc>
        <w:tc>
          <w:tcPr>
            <w:tcW w:type="dxa" w:w="416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US/LatAm linen &amp; uniform rental; mentioned as a competitor in Brazil (worker C, I13)</w:t>
            </w:r>
          </w:p>
        </w:tc>
      </w:tr>
      <w:tr>
        <w:trPr>
          <w:cantSplit/>
        </w:trPr>
        <w:tc>
          <w:tcPr>
            <w:tcW w:type="dxa" w:w="285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Lindström, CWS (Haniel), Mewa, Salesianer Miettex</w:t>
            </w:r>
          </w:p>
        </w:tc>
        <w:tc>
          <w:tcPr>
            <w:tcW w:type="dxa" w:w="15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Private [u]</w:t>
            </w:r>
          </w:p>
        </w:tc>
        <w:tc>
          <w:tcPr>
            <w:tcW w:type="dxa" w:w="416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Large European textile-service groups; not mentioned in permitted sources — listed from general knowledge [u]</w:t>
            </w:r>
          </w:p>
        </w:tc>
      </w:tr>
      <w:tr>
        <w:trPr>
          <w:cantSplit/>
        </w:trPr>
        <w:tc>
          <w:tcPr>
            <w:tcW w:type="dxa" w:w="285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Local family laundries; in-house hospital laundries</w:t>
            </w:r>
          </w:p>
        </w:tc>
        <w:tc>
          <w:tcPr>
            <w:tcW w:type="dxa" w:w="15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Private</w:t>
            </w:r>
          </w:p>
        </w:tc>
        <w:tc>
          <w:tcPr>
            <w:tcW w:type="dxa" w:w="416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Main fragmented competition and bolt-on targets </w:t>
            </w:r>
            <w:hyperlink w:history="1" r:id="rIdfz2f3cmozadkni0enp163">
              <w:r>
                <w:rPr>
                  <w:rFonts w:ascii="Arial" w:cs="Arial" w:eastAsia="Arial" w:hAnsi="Arial"/>
                  <w:b w:val="false"/>
                  <w:bCs w:val="false"/>
                  <w:sz w:val="12"/>
                  <w:szCs w:val="12"/>
                </w:rPr>
                <w:t xml:space="preserve">[#1902]</w:t>
              </w:r>
            </w:hyperlink>
          </w:p>
        </w:tc>
      </w:tr>
    </w:tbl>
    <w:p>
      <w:pPr>
        <w:spacing w:after="100"/>
      </w:pPr>
    </w:p>
    <w:p>
      <w:pPr>
        <w:pStyle w:val="Heading2"/>
        <w:keepNext/>
        <w:keepLines/>
        <w:spacing w:after="80" w:before="180"/>
      </w:pPr>
      <w:r>
        <w:rPr>
          <w:rFonts w:ascii="Arial" w:cs="Arial" w:eastAsia="Arial" w:hAnsi="Arial"/>
          <w:b/>
          <w:bCs/>
          <w:color w:val="13213F"/>
          <w:sz w:val="24"/>
          <w:szCs w:val="24"/>
        </w:rPr>
        <w:t xml:space="preserve">11.2 Current multiples (LTM, S&amp;P-standardised)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3"/>
        <w:gridCol w:w="674"/>
        <w:gridCol w:w="1011"/>
        <w:gridCol w:w="674"/>
        <w:gridCol w:w="758"/>
        <w:gridCol w:w="674"/>
        <w:gridCol w:w="590"/>
        <w:gridCol w:w="758"/>
        <w:gridCol w:w="674"/>
        <w:gridCol w:w="674"/>
        <w:gridCol w:w="674"/>
        <w:gridCol w:w="682"/>
      </w:tblGrid>
      <w:tr>
        <w:trPr>
          <w:cantSplit/>
          <w:tblHeader/>
        </w:trPr>
        <w:tc>
          <w:tcPr>
            <w:tcW w:type="dxa" w:w="202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Company</w:t>
            </w:r>
          </w:p>
        </w:tc>
        <w:tc>
          <w:tcPr>
            <w:tcW w:type="dxa" w:w="67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Ticker</w:t>
            </w:r>
          </w:p>
        </w:tc>
        <w:tc>
          <w:tcPr>
            <w:tcW w:type="dxa" w:w="101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Group</w:t>
            </w:r>
          </w:p>
        </w:tc>
        <w:tc>
          <w:tcPr>
            <w:tcW w:type="dxa" w:w="67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EV/Sales</w:t>
            </w:r>
          </w:p>
        </w:tc>
        <w:tc>
          <w:tcPr>
            <w:tcW w:type="dxa" w:w="75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EV/EBITDA</w:t>
            </w:r>
          </w:p>
        </w:tc>
        <w:tc>
          <w:tcPr>
            <w:tcW w:type="dxa" w:w="67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EV/EBIT</w:t>
            </w:r>
          </w:p>
        </w:tc>
        <w:tc>
          <w:tcPr>
            <w:tcW w:type="dxa" w:w="59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P/E</w:t>
            </w:r>
          </w:p>
        </w:tc>
        <w:tc>
          <w:tcPr>
            <w:tcW w:type="dxa" w:w="75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ND/EBITDA</w:t>
            </w:r>
          </w:p>
        </w:tc>
        <w:tc>
          <w:tcPr>
            <w:tcW w:type="dxa" w:w="67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EBITDA m.</w:t>
            </w:r>
          </w:p>
        </w:tc>
        <w:tc>
          <w:tcPr>
            <w:tcW w:type="dxa" w:w="67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EBIT m.</w:t>
            </w:r>
          </w:p>
        </w:tc>
        <w:tc>
          <w:tcPr>
            <w:tcW w:type="dxa" w:w="67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Sales gr.</w:t>
            </w:r>
          </w:p>
        </w:tc>
        <w:tc>
          <w:tcPr>
            <w:tcW w:type="dxa" w:w="68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2"/>
                <w:szCs w:val="12"/>
              </w:rPr>
              <w:t xml:space="preserve">FCF yld</w:t>
            </w:r>
          </w:p>
        </w:tc>
      </w:tr>
      <w:tr>
        <w:trPr>
          <w:cantSplit/>
        </w:trPr>
        <w:tc>
          <w:tcPr>
            <w:tcW w:type="dxa" w:w="2023"/>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hyperlink w:history="1" r:id="rId3p81ilhwsg4dln39a5pbs">
              <w:r>
                <w:rPr>
                  <w:rFonts w:ascii="Arial" w:cs="Arial" w:eastAsia="Arial" w:hAnsi="Arial"/>
                  <w:b w:val="false"/>
                  <w:bCs w:val="false"/>
                  <w:sz w:val="12"/>
                  <w:szCs w:val="12"/>
                  <w:u w:val="single"/>
                </w:rPr>
                <w:t xml:space="preserve">Elis SA</w:t>
              </w:r>
            </w:hyperlink>
          </w:p>
        </w:tc>
        <w:tc>
          <w:tcPr>
            <w:tcW w:type="dxa" w:w="67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ELIS</w:t>
            </w:r>
          </w:p>
        </w:tc>
        <w:tc>
          <w:tcPr>
            <w:tcW w:type="dxa" w:w="1011"/>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Elis</w:t>
            </w:r>
          </w:p>
        </w:tc>
        <w:tc>
          <w:tcPr>
            <w:tcW w:type="dxa" w:w="67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1.82x</w:t>
            </w:r>
          </w:p>
        </w:tc>
        <w:tc>
          <w:tcPr>
            <w:tcW w:type="dxa" w:w="758"/>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5.9x</w:t>
            </w:r>
          </w:p>
        </w:tc>
        <w:tc>
          <w:tcPr>
            <w:tcW w:type="dxa" w:w="67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14.0x</w:t>
            </w:r>
          </w:p>
        </w:tc>
        <w:tc>
          <w:tcPr>
            <w:tcW w:type="dxa" w:w="590"/>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12.2x</w:t>
            </w:r>
          </w:p>
        </w:tc>
        <w:tc>
          <w:tcPr>
            <w:tcW w:type="dxa" w:w="758"/>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2.9x</w:t>
            </w:r>
          </w:p>
        </w:tc>
        <w:tc>
          <w:tcPr>
            <w:tcW w:type="dxa" w:w="67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31.1%</w:t>
            </w:r>
          </w:p>
        </w:tc>
        <w:tc>
          <w:tcPr>
            <w:tcW w:type="dxa" w:w="67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13.0%</w:t>
            </w:r>
          </w:p>
        </w:tc>
        <w:tc>
          <w:tcPr>
            <w:tcW w:type="dxa" w:w="674"/>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+4.9%</w:t>
            </w:r>
          </w:p>
        </w:tc>
        <w:tc>
          <w:tcPr>
            <w:tcW w:type="dxa" w:w="682"/>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12.4%</w:t>
            </w:r>
          </w:p>
        </w:tc>
      </w:tr>
      <w:tr>
        <w:trPr>
          <w:cantSplit/>
        </w:trPr>
        <w:tc>
          <w:tcPr>
            <w:tcW w:type="dxa" w:w="202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nmvjl78dmy6rfpam1sg1z">
              <w:r>
                <w:rPr>
                  <w:rFonts w:ascii="Arial" w:cs="Arial" w:eastAsia="Arial" w:hAnsi="Arial"/>
                  <w:b w:val="false"/>
                  <w:bCs w:val="false"/>
                  <w:sz w:val="12"/>
                  <w:szCs w:val="12"/>
                  <w:u w:val="single"/>
                </w:rPr>
                <w:t xml:space="preserve">Cintas Corporation</w:t>
              </w:r>
            </w:hyperlink>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CTAS</w:t>
            </w:r>
          </w:p>
        </w:tc>
        <w:tc>
          <w:tcPr>
            <w:tcW w:type="dxa" w:w="10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Direct – rental</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7.16x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26.6x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30.3x</w:t>
            </w:r>
          </w:p>
        </w:tc>
        <w:tc>
          <w:tcPr>
            <w:tcW w:type="dxa" w:w="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39.0x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0.8x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26.9%</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23.6%</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+8.9%</w:t>
            </w:r>
          </w:p>
        </w:tc>
        <w:tc>
          <w:tcPr>
            <w:tcW w:type="dxa" w:w="6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2.5%</w:t>
            </w:r>
          </w:p>
        </w:tc>
      </w:tr>
      <w:tr>
        <w:trPr>
          <w:cantSplit/>
        </w:trPr>
        <w:tc>
          <w:tcPr>
            <w:tcW w:type="dxa" w:w="202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wyzlu00mmdjsrxw0satxx">
              <w:r>
                <w:rPr>
                  <w:rFonts w:ascii="Arial" w:cs="Arial" w:eastAsia="Arial" w:hAnsi="Arial"/>
                  <w:b w:val="false"/>
                  <w:bCs w:val="false"/>
                  <w:sz w:val="12"/>
                  <w:szCs w:val="12"/>
                  <w:u w:val="single"/>
                </w:rPr>
                <w:t xml:space="preserve">UniFirst Corporation</w:t>
              </w:r>
            </w:hyperlink>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UNF</w:t>
            </w:r>
          </w:p>
        </w:tc>
        <w:tc>
          <w:tcPr>
            <w:tcW w:type="dxa" w:w="10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Direct – rental</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1.85x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15.7x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30.8x</w:t>
            </w:r>
          </w:p>
        </w:tc>
        <w:tc>
          <w:tcPr>
            <w:tcW w:type="dxa" w:w="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40.5x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-0.3x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11.7%</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6.0%</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+0.2%</w:t>
            </w:r>
          </w:p>
        </w:tc>
        <w:tc>
          <w:tcPr>
            <w:tcW w:type="dxa" w:w="6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1.9%</w:t>
            </w:r>
          </w:p>
        </w:tc>
      </w:tr>
      <w:tr>
        <w:trPr>
          <w:cantSplit/>
        </w:trPr>
        <w:tc>
          <w:tcPr>
            <w:tcW w:type="dxa" w:w="202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tavy32q79trid1ebnmfrg">
              <w:r>
                <w:rPr>
                  <w:rFonts w:ascii="Arial" w:cs="Arial" w:eastAsia="Arial" w:hAnsi="Arial"/>
                  <w:b w:val="false"/>
                  <w:bCs w:val="false"/>
                  <w:sz w:val="12"/>
                  <w:szCs w:val="12"/>
                  <w:u w:val="single"/>
                </w:rPr>
                <w:t xml:space="preserve">Vestis Corporation</w:t>
              </w:r>
            </w:hyperlink>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VSTS</w:t>
            </w:r>
          </w:p>
        </w:tc>
        <w:tc>
          <w:tcPr>
            <w:tcW w:type="dxa" w:w="10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Direct – rental</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1.14x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12.2x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27.4x</w:t>
            </w:r>
          </w:p>
        </w:tc>
        <w:tc>
          <w:tcPr>
            <w:tcW w:type="dxa" w:w="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n/m</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5.1x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9.3%</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4.2%</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-2.5%</w:t>
            </w:r>
          </w:p>
        </w:tc>
        <w:tc>
          <w:tcPr>
            <w:tcW w:type="dxa" w:w="6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7.6%</w:t>
            </w:r>
          </w:p>
        </w:tc>
      </w:tr>
      <w:tr>
        <w:trPr>
          <w:cantSplit/>
        </w:trPr>
        <w:tc>
          <w:tcPr>
            <w:tcW w:type="dxa" w:w="202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ebqa4wsltxyb7404hdj74">
              <w:r>
                <w:rPr>
                  <w:rFonts w:ascii="Arial" w:cs="Arial" w:eastAsia="Arial" w:hAnsi="Arial"/>
                  <w:b w:val="false"/>
                  <w:bCs w:val="false"/>
                  <w:sz w:val="12"/>
                  <w:szCs w:val="12"/>
                  <w:u w:val="single"/>
                </w:rPr>
                <w:t xml:space="preserve">Rentokil Initial plc</w:t>
              </w:r>
            </w:hyperlink>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RTO</w:t>
            </w:r>
          </w:p>
        </w:tc>
        <w:tc>
          <w:tcPr>
            <w:tcW w:type="dxa" w:w="10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Direct – hygiene</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1.96x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11.1x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15.2x</w:t>
            </w:r>
          </w:p>
        </w:tc>
        <w:tc>
          <w:tcPr>
            <w:tcW w:type="dxa" w:w="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21.5x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2.9x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17.6%</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12.9%</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+4.4%</w:t>
            </w:r>
          </w:p>
        </w:tc>
        <w:tc>
          <w:tcPr>
            <w:tcW w:type="dxa" w:w="6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7.5%</w:t>
            </w:r>
          </w:p>
        </w:tc>
      </w:tr>
      <w:tr>
        <w:trPr>
          <w:cantSplit/>
        </w:trPr>
        <w:tc>
          <w:tcPr>
            <w:tcW w:type="dxa" w:w="202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Johnson Service Group PLC</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JSG</w:t>
            </w:r>
          </w:p>
        </w:tc>
        <w:tc>
          <w:tcPr>
            <w:tcW w:type="dxa" w:w="10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Direct – rental</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1.29x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4.3x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10.4x</w:t>
            </w:r>
          </w:p>
        </w:tc>
        <w:tc>
          <w:tcPr>
            <w:tcW w:type="dxa" w:w="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13.4x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30.2%</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12.4%</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+4.3%</w:t>
            </w:r>
          </w:p>
        </w:tc>
        <w:tc>
          <w:tcPr>
            <w:tcW w:type="dxa" w:w="6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8.1%</w:t>
            </w:r>
          </w:p>
        </w:tc>
      </w:tr>
      <w:tr>
        <w:trPr>
          <w:cantSplit/>
        </w:trPr>
        <w:tc>
          <w:tcPr>
            <w:tcW w:type="dxa" w:w="202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mnw70dflosemmtey2ct-p">
              <w:r>
                <w:rPr>
                  <w:rFonts w:ascii="Arial" w:cs="Arial" w:eastAsia="Arial" w:hAnsi="Arial"/>
                  <w:b w:val="false"/>
                  <w:bCs w:val="false"/>
                  <w:sz w:val="12"/>
                  <w:szCs w:val="12"/>
                  <w:u w:val="single"/>
                </w:rPr>
                <w:t xml:space="preserve">Aramark</w:t>
              </w:r>
            </w:hyperlink>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ARMK</w:t>
            </w:r>
          </w:p>
        </w:tc>
        <w:tc>
          <w:tcPr>
            <w:tcW w:type="dxa" w:w="10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1.03x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14.2x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22.2x</w:t>
            </w:r>
          </w:p>
        </w:tc>
        <w:tc>
          <w:tcPr>
            <w:tcW w:type="dxa" w:w="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37.8x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4.1x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7.3%</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4.7%</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+6.4%</w:t>
            </w:r>
          </w:p>
        </w:tc>
        <w:tc>
          <w:tcPr>
            <w:tcW w:type="dxa" w:w="6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3.0%</w:t>
            </w:r>
          </w:p>
        </w:tc>
      </w:tr>
      <w:tr>
        <w:trPr>
          <w:cantSplit/>
        </w:trPr>
        <w:tc>
          <w:tcPr>
            <w:tcW w:type="dxa" w:w="202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Sodexo S.A.</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SW</w:t>
            </w:r>
          </w:p>
        </w:tc>
        <w:tc>
          <w:tcPr>
            <w:tcW w:type="dxa" w:w="10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0.53x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11.1x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15.0x</w:t>
            </w:r>
          </w:p>
        </w:tc>
        <w:tc>
          <w:tcPr>
            <w:tcW w:type="dxa" w:w="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18.6x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3.7x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4.8%</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3.5%</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w:t>
            </w:r>
          </w:p>
        </w:tc>
        <w:tc>
          <w:tcPr>
            <w:tcW w:type="dxa" w:w="6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7.5%</w:t>
            </w:r>
          </w:p>
        </w:tc>
      </w:tr>
      <w:tr>
        <w:trPr>
          <w:cantSplit/>
        </w:trPr>
        <w:tc>
          <w:tcPr>
            <w:tcW w:type="dxa" w:w="202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ISS A/S</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ISS</w:t>
            </w:r>
          </w:p>
        </w:tc>
        <w:tc>
          <w:tcPr>
            <w:tcW w:type="dxa" w:w="10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0.70x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12.9x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14.3x</w:t>
            </w:r>
          </w:p>
        </w:tc>
        <w:tc>
          <w:tcPr>
            <w:tcW w:type="dxa" w:w="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16.3x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3.3x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5.4%</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4.9%</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+1.1%</w:t>
            </w:r>
          </w:p>
        </w:tc>
        <w:tc>
          <w:tcPr>
            <w:tcW w:type="dxa" w:w="6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9.9%</w:t>
            </w:r>
          </w:p>
        </w:tc>
      </w:tr>
      <w:tr>
        <w:trPr>
          <w:cantSplit/>
        </w:trPr>
        <w:tc>
          <w:tcPr>
            <w:tcW w:type="dxa" w:w="202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Compass Group PLC</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CPG</w:t>
            </w:r>
          </w:p>
        </w:tc>
        <w:tc>
          <w:tcPr>
            <w:tcW w:type="dxa" w:w="10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1.21x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15.4x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18.3x</w:t>
            </w:r>
          </w:p>
        </w:tc>
        <w:tc>
          <w:tcPr>
            <w:tcW w:type="dxa" w:w="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24.8x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2.3x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7.9%</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6.6%</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+9.7%</w:t>
            </w:r>
          </w:p>
        </w:tc>
        <w:tc>
          <w:tcPr>
            <w:tcW w:type="dxa" w:w="6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5.9%</w:t>
            </w:r>
          </w:p>
        </w:tc>
      </w:tr>
      <w:tr>
        <w:trPr>
          <w:cantSplit/>
        </w:trPr>
        <w:tc>
          <w:tcPr>
            <w:tcW w:type="dxa" w:w="202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pj29t9-zerss9dil1guxu">
              <w:r>
                <w:rPr>
                  <w:rFonts w:ascii="Arial" w:cs="Arial" w:eastAsia="Arial" w:hAnsi="Arial"/>
                  <w:b w:val="false"/>
                  <w:bCs w:val="false"/>
                  <w:sz w:val="12"/>
                  <w:szCs w:val="12"/>
                  <w:u w:val="single"/>
                </w:rPr>
                <w:t xml:space="preserve">ABM Industries Incorporated</w:t>
              </w:r>
            </w:hyperlink>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ABM</w:t>
            </w:r>
          </w:p>
        </w:tc>
        <w:tc>
          <w:tcPr>
            <w:tcW w:type="dxa" w:w="10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0.51x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10.2x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13.5x</w:t>
            </w:r>
          </w:p>
        </w:tc>
        <w:tc>
          <w:tcPr>
            <w:tcW w:type="dxa" w:w="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17.5x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3.9x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5.0%</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3.8%</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+4.6%</w:t>
            </w:r>
          </w:p>
        </w:tc>
        <w:tc>
          <w:tcPr>
            <w:tcW w:type="dxa" w:w="6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10.7%</w:t>
            </w:r>
          </w:p>
        </w:tc>
      </w:tr>
      <w:tr>
        <w:trPr>
          <w:cantSplit/>
        </w:trPr>
        <w:tc>
          <w:tcPr>
            <w:tcW w:type="dxa" w:w="202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vnn08dnpoxkv6ktc3___5">
              <w:r>
                <w:rPr>
                  <w:rFonts w:ascii="Arial" w:cs="Arial" w:eastAsia="Arial" w:hAnsi="Arial"/>
                  <w:b w:val="false"/>
                  <w:bCs w:val="false"/>
                  <w:sz w:val="12"/>
                  <w:szCs w:val="12"/>
                  <w:u w:val="single"/>
                </w:rPr>
                <w:t xml:space="preserve">Ecolab Inc.</w:t>
              </w:r>
            </w:hyperlink>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ECL</w:t>
            </w:r>
          </w:p>
        </w:tc>
        <w:tc>
          <w:tcPr>
            <w:tcW w:type="dxa" w:w="101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5.21x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21.2x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28.3x</w:t>
            </w:r>
          </w:p>
        </w:tc>
        <w:tc>
          <w:tcPr>
            <w:tcW w:type="dxa" w:w="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37.3x</w:t>
            </w:r>
          </w:p>
        </w:tc>
        <w:tc>
          <w:tcPr>
            <w:tcW w:type="dxa" w:w="75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2.1x</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24.6%</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18.4%</w:t>
            </w:r>
          </w:p>
        </w:tc>
        <w:tc>
          <w:tcPr>
            <w:tcW w:type="dxa" w:w="67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+2.2%</w:t>
            </w:r>
          </w:p>
        </w:tc>
        <w:tc>
          <w:tcPr>
            <w:tcW w:type="dxa" w:w="68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2.4%</w:t>
            </w:r>
          </w:p>
        </w:tc>
      </w:tr>
      <w:tr>
        <w:trPr>
          <w:cantSplit/>
        </w:trPr>
        <w:tc>
          <w:tcPr>
            <w:tcW w:type="dxa" w:w="202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Bunzl plc</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BNZL</w:t>
            </w:r>
          </w:p>
        </w:tc>
        <w:tc>
          <w:tcPr>
            <w:tcW w:type="dxa" w:w="101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Broader</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0.89x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10.8x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13.4x</w:t>
            </w:r>
          </w:p>
        </w:tc>
        <w:tc>
          <w:tcPr>
            <w:tcW w:type="dxa" w:w="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17.3x</w:t>
            </w:r>
          </w:p>
        </w:tc>
        <w:tc>
          <w:tcPr>
            <w:tcW w:type="dxa" w:w="75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2.2x</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8.2%</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6.6%</w:t>
            </w:r>
          </w:p>
        </w:tc>
        <w:tc>
          <w:tcPr>
            <w:tcW w:type="dxa" w:w="67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+0.6%</w:t>
            </w:r>
          </w:p>
        </w:tc>
        <w:tc>
          <w:tcPr>
            <w:tcW w:type="dxa" w:w="68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2"/>
                <w:szCs w:val="12"/>
              </w:rPr>
              <w:t xml:space="preserve">11.2%</w:t>
            </w:r>
          </w:p>
        </w:tc>
      </w:tr>
    </w:tbl>
    <w:p>
      <w:pPr>
        <w:spacing w:after="140" w:before="40"/>
      </w:pPr>
      <w:r>
        <w:rPr>
          <w:rFonts w:ascii="Arial" w:cs="Arial" w:eastAsia="Arial" w:hAnsi="Arial"/>
          <w:color w:val="898781"/>
          <w:sz w:val="14"/>
          <w:szCs w:val="14"/>
        </w:rPr>
        <w:t xml:space="preserve">Source: S&amp;P Capital IQ LTM line items (revenue, S&amp;P EBITDA/EBIT, net income, net debt incl. leases, CFO, capex; company name links to the Capital IQ source document where returned) and ProntoNLP market capitalisation (getCompanies). Elis market cap = 215.9m shares × €21.26. EV = market cap + net debt + minorities [calc]. S&amp;P EBITDA is not company "adjusted EBITDA". Fiscal periods differ (e.g. Cintas Aug-26, Sodexo Feb-26). No forward consensus was retrievable for these peers.</w:t>
      </w:r>
    </w:p>
    <w:p>
      <w:pPr>
        <w:keepNext/>
        <w:spacing w:after="60" w:before="120"/>
      </w:pPr>
      <w:r>
        <w:rPr>
          <w:rFonts w:ascii="Arial" w:cs="Arial" w:eastAsia="Arial" w:hAnsi="Arial"/>
          <w:b/>
          <w:bCs/>
          <w:color w:val="13213F"/>
          <w:sz w:val="18"/>
          <w:szCs w:val="18"/>
        </w:rPr>
        <w:t xml:space="preserve">Elis versus peer medians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1370"/>
        <w:gridCol w:w="1781"/>
        <w:gridCol w:w="1781"/>
        <w:gridCol w:w="1370"/>
        <w:gridCol w:w="1372"/>
      </w:tblGrid>
      <w:tr>
        <w:trPr>
          <w:cantSplit/>
          <w:tblHeader/>
        </w:trPr>
        <w:tc>
          <w:tcPr>
            <w:tcW w:type="dxa" w:w="219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Metric</w:t>
            </w:r>
          </w:p>
        </w:tc>
        <w:tc>
          <w:tcPr>
            <w:tcW w:type="dxa" w:w="137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Elis</w:t>
            </w:r>
          </w:p>
        </w:tc>
        <w:tc>
          <w:tcPr>
            <w:tcW w:type="dxa" w:w="17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Direct-peer median</w:t>
            </w:r>
          </w:p>
        </w:tc>
        <w:tc>
          <w:tcPr>
            <w:tcW w:type="dxa" w:w="17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All-peer median</w:t>
            </w:r>
          </w:p>
        </w:tc>
        <w:tc>
          <w:tcPr>
            <w:tcW w:type="dxa" w:w="137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vs direct</w:t>
            </w:r>
          </w:p>
        </w:tc>
        <w:tc>
          <w:tcPr>
            <w:tcW w:type="dxa" w:w="137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5"/>
                <w:szCs w:val="15"/>
              </w:rPr>
              <w:t xml:space="preserve">vs all</w:t>
            </w:r>
          </w:p>
        </w:tc>
      </w:tr>
      <w:tr>
        <w:trPr>
          <w:cantSplit/>
        </w:trPr>
        <w:tc>
          <w:tcPr>
            <w:tcW w:type="dxa" w:w="219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EV/Sales</w:t>
            </w:r>
          </w:p>
        </w:tc>
        <w:tc>
          <w:tcPr>
            <w:tcW w:type="dxa" w:w="137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1.82x</w:t>
            </w:r>
          </w:p>
        </w:tc>
        <w:tc>
          <w:tcPr>
            <w:tcW w:type="dxa" w:w="17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1.85x</w:t>
            </w:r>
          </w:p>
        </w:tc>
        <w:tc>
          <w:tcPr>
            <w:tcW w:type="dxa" w:w="17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1.18x</w:t>
            </w:r>
          </w:p>
        </w:tc>
        <w:tc>
          <w:tcPr>
            <w:tcW w:type="dxa" w:w="137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+55%</w:t>
            </w:r>
          </w:p>
        </w:tc>
      </w:tr>
      <w:tr>
        <w:trPr>
          <w:cantSplit/>
        </w:trPr>
        <w:tc>
          <w:tcPr>
            <w:tcW w:type="dxa" w:w="219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EV/EBITDA</w:t>
            </w:r>
          </w:p>
        </w:tc>
        <w:tc>
          <w:tcPr>
            <w:tcW w:type="dxa" w:w="137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5.9x</w:t>
            </w:r>
          </w:p>
        </w:tc>
        <w:tc>
          <w:tcPr>
            <w:tcW w:type="dxa" w:w="17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12.2x</w:t>
            </w:r>
          </w:p>
        </w:tc>
        <w:tc>
          <w:tcPr>
            <w:tcW w:type="dxa" w:w="17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12.6x</w:t>
            </w:r>
          </w:p>
        </w:tc>
        <w:tc>
          <w:tcPr>
            <w:tcW w:type="dxa" w:w="137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-52%</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-53%</w:t>
            </w:r>
          </w:p>
        </w:tc>
      </w:tr>
      <w:tr>
        <w:trPr>
          <w:cantSplit/>
        </w:trPr>
        <w:tc>
          <w:tcPr>
            <w:tcW w:type="dxa" w:w="219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EV/EBIT</w:t>
            </w:r>
          </w:p>
        </w:tc>
        <w:tc>
          <w:tcPr>
            <w:tcW w:type="dxa" w:w="137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14.0x</w:t>
            </w:r>
          </w:p>
        </w:tc>
        <w:tc>
          <w:tcPr>
            <w:tcW w:type="dxa" w:w="17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27.4x</w:t>
            </w:r>
          </w:p>
        </w:tc>
        <w:tc>
          <w:tcPr>
            <w:tcW w:type="dxa" w:w="17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16.8x</w:t>
            </w:r>
          </w:p>
        </w:tc>
        <w:tc>
          <w:tcPr>
            <w:tcW w:type="dxa" w:w="137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-49%</w:t>
            </w: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-16%</w:t>
            </w:r>
          </w:p>
        </w:tc>
      </w:tr>
      <w:tr>
        <w:trPr>
          <w:cantSplit/>
        </w:trPr>
        <w:tc>
          <w:tcPr>
            <w:tcW w:type="dxa" w:w="219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P/E</w:t>
            </w:r>
          </w:p>
        </w:tc>
        <w:tc>
          <w:tcPr>
            <w:tcW w:type="dxa" w:w="137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12.2x</w:t>
            </w:r>
          </w:p>
        </w:tc>
        <w:tc>
          <w:tcPr>
            <w:tcW w:type="dxa" w:w="17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30.3x</w:t>
            </w:r>
          </w:p>
        </w:tc>
        <w:tc>
          <w:tcPr>
            <w:tcW w:type="dxa" w:w="17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21.5x</w:t>
            </w:r>
          </w:p>
        </w:tc>
        <w:tc>
          <w:tcPr>
            <w:tcW w:type="dxa" w:w="137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-60%</w:t>
            </w:r>
          </w:p>
        </w:tc>
        <w:tc>
          <w:tcPr>
            <w:tcW w:type="dxa" w:w="137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-43%</w:t>
            </w:r>
          </w:p>
        </w:tc>
      </w:tr>
      <w:tr>
        <w:trPr>
          <w:cantSplit/>
        </w:trPr>
        <w:tc>
          <w:tcPr>
            <w:tcW w:type="dxa" w:w="219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EBIT margin</w:t>
            </w:r>
          </w:p>
        </w:tc>
        <w:tc>
          <w:tcPr>
            <w:tcW w:type="dxa" w:w="137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13.0%</w:t>
            </w:r>
          </w:p>
        </w:tc>
        <w:tc>
          <w:tcPr>
            <w:tcW w:type="dxa" w:w="17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12.4%</w:t>
            </w:r>
          </w:p>
        </w:tc>
        <w:tc>
          <w:tcPr>
            <w:tcW w:type="dxa" w:w="17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5"/>
                <w:szCs w:val="15"/>
              </w:rPr>
              <w:t xml:space="preserve">6.3%</w:t>
            </w:r>
          </w:p>
        </w:tc>
        <w:tc>
          <w:tcPr>
            <w:tcW w:type="dxa" w:w="137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p>
        </w:tc>
        <w:tc>
          <w:tcPr>
            <w:tcW w:type="dxa" w:w="137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p>
        </w:tc>
      </w:tr>
    </w:tbl>
    <w:p>
      <w:pPr>
        <w:spacing w:after="100"/>
      </w:pPr>
    </w:p>
    <w:p>
      <w:pPr>
        <w:pStyle w:val="Heading2"/>
        <w:keepNext/>
        <w:keepLines/>
        <w:spacing w:after="80" w:before="180"/>
      </w:pPr>
      <w:r>
        <w:rPr>
          <w:rFonts w:ascii="Arial" w:cs="Arial" w:eastAsia="Arial" w:hAnsi="Arial"/>
          <w:b/>
          <w:bCs/>
          <w:color w:val="13213F"/>
          <w:sz w:val="24"/>
          <w:szCs w:val="24"/>
        </w:rPr>
        <w:t xml:space="preserve">11.3 Elis versus its own history</w:t>
      </w:r>
    </w:p>
    <w:p>
      <w:pPr>
        <w:keepNext w:val="false"/>
        <w:spacing w:after="40"/>
        <w:jc w:val="center"/>
      </w:pPr>
      <w:r>
        <w:drawing>
          <wp:inline distT="0" distB="0" distL="0" distR="0">
            <wp:extent cx="5762625" cy="2152650"/>
            <wp:effectExtent t="0" r="0" b="0" l="0"/>
            <wp:docPr id="1" name="valuation_history.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152650"/>
                    </a:xfrm>
                    <a:prstGeom prst="rect">
                      <a:avLst/>
                    </a:prstGeom>
                  </pic:spPr>
                </pic:pic>
              </a:graphicData>
            </a:graphic>
          </wp:inline>
        </w:drawing>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6"/>
        <w:gridCol w:w="986"/>
        <w:gridCol w:w="1233"/>
        <w:gridCol w:w="1109"/>
        <w:gridCol w:w="1356"/>
        <w:gridCol w:w="1109"/>
        <w:gridCol w:w="1109"/>
        <w:gridCol w:w="1238"/>
      </w:tblGrid>
      <w:tr>
        <w:trPr>
          <w:cantSplit/>
          <w:tblHeader/>
        </w:trPr>
        <w:tc>
          <w:tcPr>
            <w:tcW w:type="dxa" w:w="172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Year-end</w:t>
            </w:r>
          </w:p>
        </w:tc>
        <w:tc>
          <w:tcPr>
            <w:tcW w:type="dxa" w:w="98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Price €</w:t>
            </w:r>
          </w:p>
        </w:tc>
        <w:tc>
          <w:tcPr>
            <w:tcW w:type="dxa" w:w="123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EV €m</w:t>
            </w:r>
          </w:p>
        </w:tc>
        <w:tc>
          <w:tcPr>
            <w:tcW w:type="dxa" w:w="11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EV/Sales</w:t>
            </w:r>
          </w:p>
        </w:tc>
        <w:tc>
          <w:tcPr>
            <w:tcW w:type="dxa" w:w="135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EV/adj. EBITDA</w:t>
            </w:r>
          </w:p>
        </w:tc>
        <w:tc>
          <w:tcPr>
            <w:tcW w:type="dxa" w:w="11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EV/EBIT</w:t>
            </w:r>
          </w:p>
        </w:tc>
        <w:tc>
          <w:tcPr>
            <w:tcW w:type="dxa" w:w="11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P/E IFRS</w:t>
            </w:r>
          </w:p>
        </w:tc>
        <w:tc>
          <w:tcPr>
            <w:tcW w:type="dxa" w:w="123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4"/>
                <w:szCs w:val="14"/>
              </w:rPr>
              <w:t xml:space="preserve">P/E headline</w:t>
            </w:r>
          </w:p>
        </w:tc>
      </w:tr>
      <w:tr>
        <w:trPr>
          <w:cantSplit/>
        </w:trPr>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2021</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14.20</w:t>
            </w:r>
          </w:p>
        </w:tc>
        <w:tc>
          <w:tcPr>
            <w:tcW w:type="dxa" w:w="12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6,778</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2.22x</w:t>
            </w:r>
          </w:p>
        </w:tc>
        <w:tc>
          <w:tcPr>
            <w:tcW w:type="dxa" w:w="135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6.4x</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25.0x</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28.4x</w:t>
            </w:r>
          </w:p>
        </w:tc>
        <w:tc>
          <w:tcPr>
            <w:tcW w:type="dxa" w:w="12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r>
      <w:tr>
        <w:trPr>
          <w:cantSplit/>
        </w:trPr>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2022</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13.24</w:t>
            </w:r>
          </w:p>
        </w:tc>
        <w:tc>
          <w:tcPr>
            <w:tcW w:type="dxa" w:w="123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6,709</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1.76x</w:t>
            </w:r>
          </w:p>
        </w:tc>
        <w:tc>
          <w:tcPr>
            <w:tcW w:type="dxa" w:w="135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5.3x</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15.3x</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15.6x</w:t>
            </w:r>
          </w:p>
        </w:tc>
        <w:tc>
          <w:tcPr>
            <w:tcW w:type="dxa" w:w="12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r>
      <w:tr>
        <w:trPr>
          <w:cantSplit/>
        </w:trPr>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2023</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18.54</w:t>
            </w:r>
          </w:p>
        </w:tc>
        <w:tc>
          <w:tcPr>
            <w:tcW w:type="dxa" w:w="12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7,901</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1.83x</w:t>
            </w:r>
          </w:p>
        </w:tc>
        <w:tc>
          <w:tcPr>
            <w:tcW w:type="dxa" w:w="135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5.4x</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14.2x</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17.5x</w:t>
            </w:r>
          </w:p>
        </w:tc>
        <w:tc>
          <w:tcPr>
            <w:tcW w:type="dxa" w:w="12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n/a</w:t>
            </w:r>
          </w:p>
        </w:tc>
      </w:tr>
      <w:tr>
        <w:trPr>
          <w:cantSplit/>
        </w:trPr>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2024</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18.48</w:t>
            </w:r>
          </w:p>
        </w:tc>
        <w:tc>
          <w:tcPr>
            <w:tcW w:type="dxa" w:w="123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8,014</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1.75x</w:t>
            </w:r>
          </w:p>
        </w:tc>
        <w:tc>
          <w:tcPr>
            <w:tcW w:type="dxa" w:w="135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5.0x</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13.2x</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13.7x</w:t>
            </w:r>
          </w:p>
        </w:tc>
        <w:tc>
          <w:tcPr>
            <w:tcW w:type="dxa" w:w="12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10.5x</w:t>
            </w:r>
          </w:p>
        </w:tc>
      </w:tr>
      <w:tr>
        <w:trPr>
          <w:cantSplit/>
        </w:trPr>
        <w:tc>
          <w:tcPr>
            <w:tcW w:type="dxa" w:w="1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2025</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23.82</w:t>
            </w:r>
          </w:p>
        </w:tc>
        <w:tc>
          <w:tcPr>
            <w:tcW w:type="dxa" w:w="12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9,261</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1.93x</w:t>
            </w:r>
          </w:p>
        </w:tc>
        <w:tc>
          <w:tcPr>
            <w:tcW w:type="dxa" w:w="135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5.4x</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15.1x</w:t>
            </w:r>
          </w:p>
        </w:tc>
        <w:tc>
          <w:tcPr>
            <w:tcW w:type="dxa" w:w="11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16.3x</w:t>
            </w:r>
          </w:p>
        </w:tc>
        <w:tc>
          <w:tcPr>
            <w:tcW w:type="dxa" w:w="12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12.9x</w:t>
            </w:r>
          </w:p>
        </w:tc>
      </w:tr>
      <w:tr>
        <w:trPr>
          <w:cantSplit/>
        </w:trPr>
        <w:tc>
          <w:tcPr>
            <w:tcW w:type="dxa" w:w="1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Current (9-Oct-26)</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21.26</w:t>
            </w:r>
          </w:p>
        </w:tc>
        <w:tc>
          <w:tcPr>
            <w:tcW w:type="dxa" w:w="123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8,961</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1.82x</w:t>
            </w:r>
          </w:p>
        </w:tc>
        <w:tc>
          <w:tcPr>
            <w:tcW w:type="dxa" w:w="135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5.1x</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14.0x</w:t>
            </w:r>
          </w:p>
        </w:tc>
        <w:tc>
          <w:tcPr>
            <w:tcW w:type="dxa" w:w="11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13.9x</w:t>
            </w:r>
          </w:p>
        </w:tc>
        <w:tc>
          <w:tcPr>
            <w:tcW w:type="dxa" w:w="12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4"/>
                <w:szCs w:val="14"/>
              </w:rPr>
              <w:t xml:space="preserve">11.2x</w:t>
            </w:r>
          </w:p>
        </w:tc>
      </w:tr>
    </w:tbl>
    <w:p>
      <w:pPr>
        <w:spacing w:after="140" w:before="40"/>
      </w:pPr>
      <w:r>
        <w:rPr>
          <w:rFonts w:ascii="Arial" w:cs="Arial" w:eastAsia="Arial" w:hAnsi="Arial"/>
          <w:color w:val="898781"/>
          <w:sz w:val="14"/>
          <w:szCs w:val="14"/>
        </w:rPr>
        <w:t xml:space="preserve">Year-end ProntoNLP close × S&amp;P shares outstanding + S&amp;P net debt incl. leases; S&amp;P EBIT and diluted EPS; company adjusted EBITDA and headline EPS [calc]. Early-year prices are partly dividend-adjusted, slightly understating 2021–22 multiples. Management cited ~9.6x EV/EBITDA and P/E at the FY2024 call (company definitions).</w:t>
      </w:r>
    </w:p>
    <w:p>
      <w:pPr>
        <w:spacing w:after="100" w:before="0" w:line="264"/>
        <w:jc w:val="left"/>
      </w:pPr>
      <w:r>
        <w:rPr>
          <w:rFonts w:ascii="Arial" w:cs="Arial" w:eastAsia="Arial" w:hAnsi="Arial"/>
          <w:sz w:val="19"/>
          <w:szCs w:val="19"/>
        </w:rPr>
        <w:t xml:space="preserve">Verdict: cheap versus peers and at the low end of its own range, fair on returns.</w:t>
      </w:r>
      <w:r>
        <w:rPr>
          <w:rFonts w:ascii="Arial" w:cs="Arial" w:eastAsia="Arial" w:hAnsi="Arial"/>
          <w:sz w:val="19"/>
          <w:szCs w:val="19"/>
        </w:rPr>
        <w:t xml:space="preserve"> At 5.2x EV/adjusted EBITDA Elis is in the bottom half of its five-year range (5.0–6.4x) and ~20–25% below US/UK rental peers on EV/EBIT; on P/E (11x headline, 14x IFRS) it is roughly half the peer median. The discount is partly deserved — EBITDA is inflated by linen depreciation (capex ~18% of sales), ROIC is ~7% and growth has slowed — but on EV/EBIT and FCF yield (~8%) the stock still screens cheap.</w:t>
      </w:r>
    </w:p>
    <w:p>
      <w:pPr>
        <w:pStyle w:val="Heading2"/>
        <w:keepNext/>
        <w:keepLines/>
        <w:spacing w:after="80" w:before="180"/>
      </w:pPr>
      <w:r>
        <w:rPr>
          <w:rFonts w:ascii="Arial" w:cs="Arial" w:eastAsia="Arial" w:hAnsi="Arial"/>
          <w:b/>
          <w:bCs/>
          <w:color w:val="13213F"/>
          <w:sz w:val="24"/>
          <w:szCs w:val="24"/>
        </w:rPr>
        <w:t xml:space="preserve">11.4 Regression: EV/Sales versus EBIT margin</w:t>
      </w:r>
    </w:p>
    <w:p>
      <w:pPr>
        <w:keepNext w:val="false"/>
        <w:spacing w:after="40"/>
        <w:jc w:val="center"/>
      </w:pPr>
      <w:r>
        <w:drawing>
          <wp:inline distT="0" distB="0" distL="0" distR="0">
            <wp:extent cx="5943600" cy="2514600"/>
            <wp:effectExtent t="0" r="0" b="0" l="0"/>
            <wp:docPr id="1" name="regression.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514600"/>
                    </a:xfrm>
                    <a:prstGeom prst="rect">
                      <a:avLst/>
                    </a:prstGeom>
                  </pic:spPr>
                </pic:pic>
              </a:graphicData>
            </a:graphic>
          </wp:inline>
        </w:drawing>
      </w:r>
    </w:p>
    <w:p>
      <w:pPr>
        <w:spacing w:after="100" w:before="0" w:line="264"/>
        <w:jc w:val="left"/>
      </w:pPr>
      <w:r>
        <w:rPr>
          <w:rFonts w:ascii="Arial" w:cs="Arial" w:eastAsia="Arial" w:hAnsi="Arial"/>
          <w:sz w:val="19"/>
          <w:szCs w:val="19"/>
        </w:rPr>
        <w:t xml:space="preserve">Across 12 listed peers (ex-Elis) the OLS fit is </w:t>
      </w:r>
      <w:r>
        <w:rPr>
          <w:rFonts w:ascii="Arial" w:cs="Arial" w:eastAsia="Arial" w:hAnsi="Arial"/>
          <w:sz w:val="19"/>
          <w:szCs w:val="19"/>
        </w:rPr>
        <w:t xml:space="preserve">EV/Sales = -0.69 + 0.295 × EBIT margin (%)</w:t>
      </w:r>
      <w:r>
        <w:rPr>
          <w:rFonts w:ascii="Arial" w:cs="Arial" w:eastAsia="Arial" w:hAnsi="Arial"/>
          <w:sz w:val="19"/>
          <w:szCs w:val="19"/>
        </w:rPr>
        <w:t xml:space="preserve">, R² = 0.86 [calc]. At Elis's LTM S&amp;P EBIT margin of 13.0% the line implies </w:t>
      </w:r>
      <w:r>
        <w:rPr>
          <w:rFonts w:ascii="Arial" w:cs="Arial" w:eastAsia="Arial" w:hAnsi="Arial"/>
          <w:sz w:val="19"/>
          <w:szCs w:val="19"/>
        </w:rPr>
        <w:t xml:space="preserve">3.15x</w:t>
      </w:r>
      <w:r>
        <w:rPr>
          <w:rFonts w:ascii="Arial" w:cs="Arial" w:eastAsia="Arial" w:hAnsi="Arial"/>
          <w:sz w:val="19"/>
          <w:szCs w:val="19"/>
        </w:rPr>
        <w:t xml:space="preserve"> sales against an actual </w:t>
      </w:r>
      <w:r>
        <w:rPr>
          <w:rFonts w:ascii="Arial" w:cs="Arial" w:eastAsia="Arial" w:hAnsi="Arial"/>
          <w:sz w:val="19"/>
          <w:szCs w:val="19"/>
        </w:rPr>
        <w:t xml:space="preserve">1.82x</w:t>
      </w:r>
      <w:r>
        <w:rPr>
          <w:rFonts w:ascii="Arial" w:cs="Arial" w:eastAsia="Arial" w:hAnsi="Arial"/>
          <w:sz w:val="19"/>
          <w:szCs w:val="19"/>
        </w:rPr>
        <w:t xml:space="preserve"> — a ~42% discount, equivalent to ~€50 a share if fully closed [calc]. Caveats: the fit is pulled up by Cintas and Ecolab (high-margin, high-growth US compounders); among direct rental peers alone Elis sits next to Rentokil (1.96x at a similar margin) and above JSG (1.29x). We therefore treat the regression as evidence of relative cheapness, not a target.</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12. M&amp;A: the industry, Elis as a target, and Elis as an acquirer</w:t>
      </w:r>
    </w:p>
    <w:p>
      <w:pPr>
        <w:pStyle w:val="Heading2"/>
        <w:keepNext/>
        <w:keepLines/>
        <w:spacing w:after="80" w:before="180"/>
      </w:pPr>
      <w:r>
        <w:rPr>
          <w:rFonts w:ascii="Arial" w:cs="Arial" w:eastAsia="Arial" w:hAnsi="Arial"/>
          <w:b/>
          <w:bCs/>
          <w:color w:val="13213F"/>
          <w:sz w:val="24"/>
          <w:szCs w:val="24"/>
        </w:rPr>
        <w:t xml:space="preserve">12.1 Recent industry M&amp;A</w:t>
      </w:r>
    </w:p>
    <w:p>
      <w:pPr>
        <w:spacing w:after="100" w:before="0" w:line="264"/>
        <w:jc w:val="left"/>
      </w:pPr>
      <w:r>
        <w:rPr>
          <w:rFonts w:ascii="Arial" w:cs="Arial" w:eastAsia="Arial" w:hAnsi="Arial"/>
          <w:sz w:val="19"/>
          <w:szCs w:val="19"/>
        </w:rPr>
        <w:t xml:space="preserve">The defining deal is in the US: </w:t>
      </w:r>
      <w:r>
        <w:rPr>
          <w:rFonts w:ascii="Arial" w:cs="Arial" w:eastAsia="Arial" w:hAnsi="Arial"/>
          <w:sz w:val="19"/>
          <w:szCs w:val="19"/>
        </w:rPr>
        <w:t xml:space="preserve">Cintas agreed to buy UniFirst</w:t>
      </w:r>
      <w:r>
        <w:rPr>
          <w:rFonts w:ascii="Arial" w:cs="Arial" w:eastAsia="Arial" w:hAnsi="Arial"/>
          <w:sz w:val="19"/>
          <w:szCs w:val="19"/>
        </w:rPr>
        <w:t xml:space="preserve"> for $310 a share ($155 cash + 0.7720 Cintas shares), ~$5.5bn, after two rejected approaches; shareholders approved on 11-Jun-2026 and the FTC issued a Second Request, with closing no earlier than 11-Dec-2026. At ~$5.5bn against UniFirst's S&amp;P LTM EBITDA of ~$293m, the price is ~19x EBITDA (~2.2x sales) [calc], justified by ~$375m of targeted cost synergies. </w:t>
      </w:r>
      <w:r>
        <w:rPr>
          <w:rFonts w:ascii="Arial" w:cs="Arial" w:eastAsia="Arial" w:hAnsi="Arial"/>
          <w:sz w:val="19"/>
          <w:szCs w:val="19"/>
        </w:rPr>
        <w:t xml:space="preserve">Vestis</w:t>
      </w:r>
      <w:r>
        <w:rPr>
          <w:rFonts w:ascii="Arial" w:cs="Arial" w:eastAsia="Arial" w:hAnsi="Arial"/>
          <w:sz w:val="19"/>
          <w:szCs w:val="19"/>
        </w:rPr>
        <w:t xml:space="preserve"> (spun out of Aramark in 2023) received preliminary acquisition proposals in 2024 and was one of the two US companies Elis held exploratory talks with in Q3 2024. In Europe, activity is bolt-on: Johnson Service Group bought Celtic Linen (£31.5m) and Regency Laundry; Rentokil bought Terminix (2022); Elis itself is the main consolidator.</w:t>
      </w:r>
    </w:p>
    <w:p>
      <w:pPr>
        <w:keepNext/>
        <w:spacing w:after="60" w:before="120"/>
      </w:pPr>
      <w:r>
        <w:rPr>
          <w:rFonts w:ascii="Arial" w:cs="Arial" w:eastAsia="Arial" w:hAnsi="Arial"/>
          <w:b/>
          <w:bCs/>
          <w:color w:val="13213F"/>
          <w:sz w:val="18"/>
          <w:szCs w:val="18"/>
        </w:rPr>
        <w:t xml:space="preserve">Comparable transactions (2021–2026)</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7"/>
        <w:gridCol w:w="1221"/>
        <w:gridCol w:w="1409"/>
        <w:gridCol w:w="1315"/>
        <w:gridCol w:w="1409"/>
        <w:gridCol w:w="1879"/>
        <w:gridCol w:w="1506"/>
      </w:tblGrid>
      <w:tr>
        <w:trPr>
          <w:cantSplit/>
          <w:tblHeader/>
        </w:trPr>
        <w:tc>
          <w:tcPr>
            <w:tcW w:type="dxa" w:w="112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Date</w:t>
            </w:r>
          </w:p>
        </w:tc>
        <w:tc>
          <w:tcPr>
            <w:tcW w:type="dxa" w:w="122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Acquirer</w:t>
            </w:r>
          </w:p>
        </w:tc>
        <w:tc>
          <w:tcPr>
            <w:tcW w:type="dxa" w:w="14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Target</w:t>
            </w:r>
          </w:p>
        </w:tc>
        <w:tc>
          <w:tcPr>
            <w:tcW w:type="dxa" w:w="131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Type</w:t>
            </w:r>
          </w:p>
        </w:tc>
        <w:tc>
          <w:tcPr>
            <w:tcW w:type="dxa" w:w="14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Value</w:t>
            </w:r>
          </w:p>
        </w:tc>
        <w:tc>
          <w:tcPr>
            <w:tcW w:type="dxa" w:w="187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Multiples</w:t>
            </w:r>
          </w:p>
        </w:tc>
        <w:tc>
          <w:tcPr>
            <w:tcW w:type="dxa" w:w="150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Status</w:t>
            </w:r>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2025-01 (rejected) / 2025-03 (…</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Cintas Corporation</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UniFirst Corporation</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Unsolicited proposal</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USD275 per share in cash</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Rejected by UniFirst board (Jan-2025); Cintas terminated discussions (… </w:t>
            </w:r>
            <w:hyperlink w:history="1" r:id="rId5zpalgt9y6sbvimm7dui5">
              <w:r>
                <w:rPr>
                  <w:rFonts w:ascii="Arial" w:cs="Arial" w:eastAsia="Arial" w:hAnsi="Arial"/>
                  <w:b w:val="false"/>
                  <w:bCs w:val="false"/>
                  <w:sz w:val="12"/>
                  <w:szCs w:val="12"/>
                </w:rPr>
                <w:t xml:space="preserve">[#20]</w:t>
              </w:r>
            </w:hyperlink>
          </w:p>
        </w:tc>
      </w:tr>
      <w:tr>
        <w:trPr>
          <w:cantSplit/>
        </w:trPr>
        <w:tc>
          <w:tcPr>
            <w:tcW w:type="dxa" w:w="112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2026-03-10 (signed) / 2026-03-…</w:t>
            </w:r>
          </w:p>
        </w:tc>
        <w:tc>
          <w:tcPr>
            <w:tcW w:type="dxa" w:w="12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Cintas Corporation</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UniFirst Corporation</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Definitive merger agreement (cash + stoc…</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USD310.00 per share = USD155.00 cash + 0.7720 Cintas shares; EV c.USD5…</w:t>
            </w:r>
          </w:p>
        </w:tc>
        <w:tc>
          <w:tcPr>
            <w:tcW w:type="dxa" w:w="18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c.USD375m operating cost synergies within four years [calc] EV/Revenue FY2025 (Aug-30-2025, USD2432.4m) = 2.26…</w:t>
            </w:r>
          </w:p>
        </w:tc>
        <w:tc>
          <w:tcPr>
            <w:tcW w:type="dxa" w:w="15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UniFirst shareholders approved 2026-06-11; in US antitrust 'second req… </w:t>
            </w:r>
            <w:hyperlink w:history="1" r:id="rIdg8revuxirzoy6nwnjrf_g">
              <w:r>
                <w:rPr>
                  <w:rFonts w:ascii="Arial" w:cs="Arial" w:eastAsia="Arial" w:hAnsi="Arial"/>
                  <w:b w:val="false"/>
                  <w:bCs w:val="false"/>
                  <w:sz w:val="12"/>
                  <w:szCs w:val="12"/>
                </w:rPr>
                <w:t xml:space="preserve">[#822]</w:t>
              </w:r>
            </w:hyperlink>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FY2023 (Vestis 10-K for FY end…</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Aramark</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Vestis Corporation (Aramark Uniform segm…</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Tax-free spin-off (pro rata distribution…</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w:t>
            </w:r>
            <w:hyperlink w:history="1" r:id="rIdj8m5wxnpdjy_dky2_-u2p">
              <w:r>
                <w:rPr>
                  <w:rFonts w:ascii="Arial" w:cs="Arial" w:eastAsia="Arial" w:hAnsi="Arial"/>
                  <w:b w:val="false"/>
                  <w:bCs w:val="false"/>
                  <w:sz w:val="12"/>
                  <w:szCs w:val="12"/>
                </w:rPr>
                <w:t xml:space="preserve">[#32]</w:t>
              </w:r>
            </w:hyperlink>
          </w:p>
        </w:tc>
      </w:tr>
      <w:tr>
        <w:trPr>
          <w:cantSplit/>
        </w:trPr>
        <w:tc>
          <w:tcPr>
            <w:tcW w:type="dxa" w:w="112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2024-11-21 (disclosed)</w:t>
            </w:r>
          </w:p>
        </w:tc>
        <w:tc>
          <w:tcPr>
            <w:tcW w:type="dxa" w:w="12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Undisclosed bidder(s)</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Vestis Corporation</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Preliminary acquisition proposals; strat…</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w:t>
            </w:r>
          </w:p>
        </w:tc>
        <w:tc>
          <w:tcPr>
            <w:tcW w:type="dxa" w:w="18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LTM to 3-Jul-2026: revenue USD2696.5m, EBITDA USD251.9m (no transaction to compute multiples)</w:t>
            </w:r>
          </w:p>
        </w:tc>
        <w:tc>
          <w:tcPr>
            <w:tcW w:type="dxa" w:w="15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 transaction announced in retrieved data; analysts asked for updates… </w:t>
            </w:r>
            <w:hyperlink w:history="1" r:id="rIdd3mwmyr_qfsvns3hxb8nu">
              <w:r>
                <w:rPr>
                  <w:rFonts w:ascii="Arial" w:cs="Arial" w:eastAsia="Arial" w:hAnsi="Arial"/>
                  <w:b w:val="false"/>
                  <w:bCs w:val="false"/>
                  <w:sz w:val="12"/>
                  <w:szCs w:val="12"/>
                </w:rPr>
                <w:t xml:space="preserve">[#127]</w:t>
              </w:r>
            </w:hyperlink>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2022-10-12 (closed)</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Rentokil Initial plc</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Terminix Global Holdings, Inc.</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Acquisition (100%)</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Consideration 4,110m = Rentokil ADSs 3,007m + cash 1,087m + replacemen…</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Synergy guidance raised (FY2022 AR)</w:t>
            </w: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w:t>
            </w:r>
            <w:hyperlink w:history="1" r:id="rIdfgamdwfyoyypp9kopukqd">
              <w:r>
                <w:rPr>
                  <w:rFonts w:ascii="Arial" w:cs="Arial" w:eastAsia="Arial" w:hAnsi="Arial"/>
                  <w:b w:val="false"/>
                  <w:bCs w:val="false"/>
                  <w:sz w:val="12"/>
                  <w:szCs w:val="12"/>
                </w:rPr>
                <w:t xml:space="preserve">[#3565]</w:t>
              </w:r>
            </w:hyperlink>
          </w:p>
        </w:tc>
      </w:tr>
      <w:tr>
        <w:trPr>
          <w:cantSplit/>
        </w:trPr>
        <w:tc>
          <w:tcPr>
            <w:tcW w:type="dxa" w:w="112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2023-02-13</w:t>
            </w:r>
          </w:p>
        </w:tc>
        <w:tc>
          <w:tcPr>
            <w:tcW w:type="dxa" w:w="12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Johnson Service Group PLC</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Regency Laundry Limited</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Acquisition (100%)</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5.75 million cash, debt free / cash free (currency symbol garbled in s…</w:t>
            </w:r>
          </w:p>
        </w:tc>
        <w:tc>
          <w:tcPr>
            <w:tcW w:type="dxa" w:w="18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w:t>
            </w:r>
            <w:hyperlink w:history="1" r:id="rId1rc95rkvxdagj2mnrixhk">
              <w:r>
                <w:rPr>
                  <w:rFonts w:ascii="Arial" w:cs="Arial" w:eastAsia="Arial" w:hAnsi="Arial"/>
                  <w:b w:val="false"/>
                  <w:bCs w:val="false"/>
                  <w:sz w:val="12"/>
                  <w:szCs w:val="12"/>
                </w:rPr>
                <w:t xml:space="preserve">[#1072]</w:t>
              </w:r>
            </w:hyperlink>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2023-08-31</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Johnson Service Group PLC</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Celtic Linen (Harkglade Ltd, Celtic Line…</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Acquisition</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31.5 million, debt free / cash free</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w:t>
            </w:r>
            <w:hyperlink w:history="1" r:id="rIdkv6ggd1whcevrjzx5ixur">
              <w:r>
                <w:rPr>
                  <w:rFonts w:ascii="Arial" w:cs="Arial" w:eastAsia="Arial" w:hAnsi="Arial"/>
                  <w:b w:val="false"/>
                  <w:bCs w:val="false"/>
                  <w:sz w:val="12"/>
                  <w:szCs w:val="12"/>
                </w:rPr>
                <w:t xml:space="preserve">[#25]</w:t>
              </w:r>
            </w:hyperlink>
          </w:p>
        </w:tc>
      </w:tr>
      <w:tr>
        <w:trPr>
          <w:cantSplit/>
        </w:trPr>
        <w:tc>
          <w:tcPr>
            <w:tcW w:type="dxa" w:w="112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w:t>
            </w:r>
          </w:p>
        </w:tc>
        <w:tc>
          <w:tcPr>
            <w:tcW w:type="dxa" w:w="12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Johnson Service Group PLC</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Empire Linen Services Limited</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Acquisition</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available in S&amp;P/ProntoNLP retrieved text</w:t>
            </w:r>
          </w:p>
        </w:tc>
        <w:tc>
          <w:tcPr>
            <w:tcW w:type="dxa" w:w="18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(key audit matter in JSG FY2024 AR) </w:t>
            </w:r>
            <w:hyperlink w:history="1" r:id="rIdllmdaww8zbapxkfc-1z2v">
              <w:r>
                <w:rPr>
                  <w:rFonts w:ascii="Arial" w:cs="Arial" w:eastAsia="Arial" w:hAnsi="Arial"/>
                  <w:b w:val="false"/>
                  <w:bCs w:val="false"/>
                  <w:sz w:val="12"/>
                  <w:szCs w:val="12"/>
                </w:rPr>
                <w:t xml:space="preserve">[#2064]</w:t>
              </w:r>
            </w:hyperlink>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Announced Apr-2023; listed 202…</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Sodexo S.A.</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Pluxee N.V. (Benefits &amp; Rewards Services…</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Full spin-off and listing (Euronext Pari…</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Pluxee shares EUR21.45 (end FY2024) -&gt; EUR17.40 (end FY2025… </w:t>
            </w:r>
            <w:hyperlink w:history="1" r:id="rIdemyjy6arjmmbuydq8wvfh">
              <w:r>
                <w:rPr>
                  <w:rFonts w:ascii="Arial" w:cs="Arial" w:eastAsia="Arial" w:hAnsi="Arial"/>
                  <w:b w:val="false"/>
                  <w:bCs w:val="false"/>
                  <w:sz w:val="12"/>
                  <w:szCs w:val="12"/>
                </w:rPr>
                <w:t xml:space="preserve">[#63]</w:t>
              </w:r>
            </w:hyperlink>
          </w:p>
        </w:tc>
      </w:tr>
      <w:tr>
        <w:trPr>
          <w:cantSplit/>
        </w:trPr>
        <w:tc>
          <w:tcPr>
            <w:tcW w:type="dxa" w:w="112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2020-2024</w:t>
            </w:r>
          </w:p>
        </w:tc>
        <w:tc>
          <w:tcPr>
            <w:tcW w:type="dxa" w:w="12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ISS A/S</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Various non-core units</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Divestment programme</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available in S&amp;P/ProntoNLP retrieved text</w:t>
            </w:r>
          </w:p>
        </w:tc>
        <w:tc>
          <w:tcPr>
            <w:tcW w:type="dxa" w:w="18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Programme run 2020-2022; 2024 net acquisitions/divestments mainly adju… </w:t>
            </w:r>
            <w:hyperlink w:history="1" r:id="rIdj41oqtszgjm2rxzzsmh51">
              <w:r>
                <w:rPr>
                  <w:rFonts w:ascii="Arial" w:cs="Arial" w:eastAsia="Arial" w:hAnsi="Arial"/>
                  <w:b w:val="false"/>
                  <w:bCs w:val="false"/>
                  <w:sz w:val="12"/>
                  <w:szCs w:val="12"/>
                </w:rPr>
                <w:t xml:space="preserve">[#50]</w:t>
              </w:r>
            </w:hyperlink>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2021-2025</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Bunzl plc</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Various (e.g. Nisbets in FY2024)</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Serial bolt-on acquisitions</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Committed-spend tables not indexed in ProntoNLP</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Ongoing </w:t>
            </w:r>
            <w:hyperlink w:history="1" r:id="rIdfkmd711baohv6z6kcdvk6">
              <w:r>
                <w:rPr>
                  <w:rFonts w:ascii="Arial" w:cs="Arial" w:eastAsia="Arial" w:hAnsi="Arial"/>
                  <w:b w:val="false"/>
                  <w:bCs w:val="false"/>
                  <w:sz w:val="12"/>
                  <w:szCs w:val="12"/>
                </w:rPr>
                <w:t xml:space="preserve">[#552]</w:t>
              </w:r>
            </w:hyperlink>
          </w:p>
        </w:tc>
      </w:tr>
      <w:tr>
        <w:trPr>
          <w:cantSplit/>
        </w:trPr>
        <w:tc>
          <w:tcPr>
            <w:tcW w:type="dxa" w:w="112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2022-2026</w:t>
            </w:r>
          </w:p>
        </w:tc>
        <w:tc>
          <w:tcPr>
            <w:tcW w:type="dxa" w:w="122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Healthcare Services Group, Inc…</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Small targets (education niche, campus s…</w:t>
            </w:r>
          </w:p>
        </w:tc>
        <w:tc>
          <w:tcPr>
            <w:tcW w:type="dxa" w:w="13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Small bolt-ons / pipeline</w:t>
            </w:r>
          </w:p>
        </w:tc>
        <w:tc>
          <w:tcPr>
            <w:tcW w:type="dxa" w:w="14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8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Exploring acquisitions 'with greater intent' (Feb-2025); pipeline buil… </w:t>
            </w:r>
            <w:hyperlink w:history="1" r:id="rIdwdudjpoqiusscpw6aiy3k">
              <w:r>
                <w:rPr>
                  <w:rFonts w:ascii="Arial" w:cs="Arial" w:eastAsia="Arial" w:hAnsi="Arial"/>
                  <w:b w:val="false"/>
                  <w:bCs w:val="false"/>
                  <w:sz w:val="12"/>
                  <w:szCs w:val="12"/>
                </w:rPr>
                <w:t xml:space="preserve">[#347]</w:t>
              </w:r>
            </w:hyperlink>
          </w:p>
        </w:tc>
      </w:tr>
      <w:tr>
        <w:trPr>
          <w:cantSplit/>
        </w:trPr>
        <w:tc>
          <w:tcPr>
            <w:tcW w:type="dxa" w:w="112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2021-2026</w:t>
            </w:r>
          </w:p>
        </w:tc>
        <w:tc>
          <w:tcPr>
            <w:tcW w:type="dxa" w:w="122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Private equity / private playe…</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w:t>
            </w:r>
          </w:p>
        </w:tc>
        <w:tc>
          <w:tcPr>
            <w:tcW w:type="dxa" w:w="13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PE deals / private-player M&amp;A</w:t>
            </w:r>
          </w:p>
        </w:tc>
        <w:tc>
          <w:tcPr>
            <w:tcW w:type="dxa" w:w="14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available in S&amp;P/ProntoNLP</w:t>
            </w:r>
          </w:p>
        </w:tc>
        <w:tc>
          <w:tcPr>
            <w:tcW w:type="dxa" w:w="18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50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 PE transaction or PE-owned competitor found in searches </w:t>
            </w:r>
            <w:hyperlink w:history="1" r:id="rIdjcvw768keg357rergm1cb">
              <w:r>
                <w:rPr>
                  <w:rFonts w:ascii="Arial" w:cs="Arial" w:eastAsia="Arial" w:hAnsi="Arial"/>
                  <w:b w:val="false"/>
                  <w:bCs w:val="false"/>
                  <w:sz w:val="12"/>
                  <w:szCs w:val="12"/>
                </w:rPr>
                <w:t xml:space="preserve">[#413]</w:t>
              </w:r>
            </w:hyperlink>
          </w:p>
        </w:tc>
      </w:tr>
    </w:tbl>
    <w:p>
      <w:pPr>
        <w:spacing w:after="140" w:before="40"/>
      </w:pPr>
      <w:r>
        <w:rPr>
          <w:rFonts w:ascii="Arial" w:cs="Arial" w:eastAsia="Arial" w:hAnsi="Arial"/>
          <w:color w:val="898781"/>
          <w:sz w:val="14"/>
          <w:szCs w:val="14"/>
        </w:rPr>
        <w:t xml:space="preserve">Source: peers' filings and transcripts and Elis filings via ProntoNLP; S&amp;P Capital IQ (worker C, model/C_industry_deals.csv). Where multiples are not disclosed they are shown as unavailable rather than estimated.</w:t>
      </w:r>
    </w:p>
    <w:p>
      <w:pPr>
        <w:pStyle w:val="Heading2"/>
        <w:keepNext/>
        <w:keepLines/>
        <w:spacing w:after="80" w:before="180"/>
      </w:pPr>
      <w:r>
        <w:rPr>
          <w:rFonts w:ascii="Arial" w:cs="Arial" w:eastAsia="Arial" w:hAnsi="Arial"/>
          <w:b/>
          <w:bCs/>
          <w:color w:val="13213F"/>
          <w:sz w:val="24"/>
          <w:szCs w:val="24"/>
        </w:rPr>
        <w:t xml:space="preserve">12.2 Is Elis a takeover target?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3"/>
        <w:gridCol w:w="4933"/>
      </w:tblGrid>
      <w:tr>
        <w:trPr>
          <w:cantSplit/>
          <w:tblHeader/>
        </w:trPr>
        <w:tc>
          <w:tcPr>
            <w:tcW w:type="dxa" w:w="493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For a takeover</w:t>
            </w:r>
          </w:p>
        </w:tc>
        <w:tc>
          <w:tcPr>
            <w:tcW w:type="dxa" w:w="493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Impediments</w:t>
            </w:r>
          </w:p>
        </w:tc>
      </w:tr>
      <w:tr>
        <w:trPr>
          <w:cantSplit/>
        </w:trPr>
        <w:tc>
          <w:tcPr>
            <w:tcW w:type="dxa" w:w="49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 Valuation: ~5x EBITDA vs Cintas/UniFirst at ~19x; bolt-ons trade at ~5x EBITDA, Elis's own Indusal/Lavebras deals at 7–8x</w:t>
            </w:r>
          </w:p>
          <w:p>
            <w:pPr>
              <w:spacing w:after="0" w:before="0" w:line="228"/>
              <w:jc w:val="left"/>
            </w:pPr>
            <w:r>
              <w:rPr>
                <w:rFonts w:ascii="Arial" w:cs="Arial" w:eastAsia="Arial" w:hAnsi="Arial"/>
                <w:b w:val="false"/>
                <w:bCs w:val="false"/>
                <w:sz w:val="15"/>
                <w:szCs w:val="15"/>
              </w:rPr>
              <w:t xml:space="preserve">• Recurring, contracted, investment-grade cash flows suit infrastructure-style and private-equity buyers</w:t>
            </w:r>
          </w:p>
          <w:p>
            <w:pPr>
              <w:spacing w:after="0" w:before="0" w:line="228"/>
              <w:jc w:val="left"/>
            </w:pPr>
            <w:r>
              <w:rPr>
                <w:rFonts w:ascii="Arial" w:cs="Arial" w:eastAsia="Arial" w:hAnsi="Arial"/>
                <w:b w:val="false"/>
                <w:bCs w:val="false"/>
                <w:sz w:val="15"/>
                <w:szCs w:val="15"/>
              </w:rPr>
              <w:t xml:space="preserve">• No controlling shareholder; CPP Investments (former anchor) has sold down below 5%</w:t>
            </w:r>
          </w:p>
          <w:p>
            <w:pPr>
              <w:spacing w:after="0" w:before="0" w:line="228"/>
              <w:jc w:val="left"/>
            </w:pPr>
            <w:r>
              <w:rPr>
                <w:rFonts w:ascii="Arial" w:cs="Arial" w:eastAsia="Arial" w:hAnsi="Arial"/>
                <w:b w:val="false"/>
                <w:bCs w:val="false"/>
                <w:sz w:val="15"/>
                <w:szCs w:val="15"/>
              </w:rPr>
              <w:t xml:space="preserve">• Strategic logic for a US player seeking Europe/LatAm scale (Cintas has no European business) [u]</w:t>
            </w:r>
          </w:p>
          <w:p>
            <w:pPr>
              <w:spacing w:after="0" w:before="0" w:line="228"/>
              <w:jc w:val="left"/>
            </w:pPr>
            <w:r>
              <w:rPr>
                <w:rFonts w:ascii="Arial" w:cs="Arial" w:eastAsia="Arial" w:hAnsi="Arial"/>
                <w:b w:val="false"/>
                <w:bCs w:val="false"/>
                <w:sz w:val="15"/>
                <w:szCs w:val="15"/>
              </w:rPr>
              <w:t xml:space="preserve">• Shares 25% below July high; management incentives include relative TSR</w:t>
            </w:r>
          </w:p>
        </w:tc>
        <w:tc>
          <w:tcPr>
            <w:tcW w:type="dxa" w:w="493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 </w:t>
            </w:r>
            <w:r>
              <w:rPr>
                <w:rFonts w:ascii="Arial" w:cs="Arial" w:eastAsia="Arial" w:hAnsi="Arial"/>
                <w:b w:val="false"/>
                <w:bCs w:val="false"/>
                <w:sz w:val="15"/>
                <w:szCs w:val="15"/>
              </w:rPr>
              <w:t xml:space="preserve">BWSA/Moreira Salles (~18–20%)</w:t>
            </w:r>
            <w:r>
              <w:rPr>
                <w:rFonts w:ascii="Arial" w:cs="Arial" w:eastAsia="Arial" w:hAnsi="Arial"/>
                <w:b w:val="false"/>
                <w:bCs w:val="false"/>
                <w:sz w:val="15"/>
                <w:szCs w:val="15"/>
              </w:rPr>
              <w:t xml:space="preserve"> holds a blocking-size stake, two Supervisory Board seats and a 25% standstill for 10 years (from 2023) — any bid needs its support</w:t>
            </w:r>
          </w:p>
          <w:p>
            <w:pPr>
              <w:spacing w:after="0" w:before="0" w:line="228"/>
              <w:jc w:val="left"/>
            </w:pPr>
            <w:r>
              <w:rPr>
                <w:rFonts w:ascii="Arial" w:cs="Arial" w:eastAsia="Arial" w:hAnsi="Arial"/>
                <w:b w:val="false"/>
                <w:bCs w:val="false"/>
                <w:sz w:val="15"/>
                <w:szCs w:val="15"/>
              </w:rPr>
              <w:t xml:space="preserve">• </w:t>
            </w:r>
            <w:r>
              <w:rPr>
                <w:rFonts w:ascii="Arial" w:cs="Arial" w:eastAsia="Arial" w:hAnsi="Arial"/>
                <w:b w:val="false"/>
                <w:bCs w:val="false"/>
                <w:sz w:val="15"/>
                <w:szCs w:val="15"/>
              </w:rPr>
              <w:t xml:space="preserve">Double voting rights</w:t>
            </w:r>
            <w:r>
              <w:rPr>
                <w:rFonts w:ascii="Arial" w:cs="Arial" w:eastAsia="Arial" w:hAnsi="Arial"/>
                <w:b w:val="false"/>
                <w:bCs w:val="false"/>
                <w:sz w:val="15"/>
                <w:szCs w:val="15"/>
              </w:rPr>
              <w:t xml:space="preserve"> for shares registered ≥2 years raise the weight of long-term holders</w:t>
            </w:r>
          </w:p>
          <w:p>
            <w:pPr>
              <w:spacing w:after="0" w:before="0" w:line="228"/>
              <w:jc w:val="left"/>
            </w:pPr>
            <w:r>
              <w:rPr>
                <w:rFonts w:ascii="Arial" w:cs="Arial" w:eastAsia="Arial" w:hAnsi="Arial"/>
                <w:b w:val="false"/>
                <w:bCs w:val="false"/>
                <w:sz w:val="15"/>
                <w:szCs w:val="15"/>
              </w:rPr>
              <w:t xml:space="preserve">• Size: EV ~€9bn; an LBO at 6.5–7.5x would need ~€8–9bn of debt on a capex-heavy business</w:t>
            </w:r>
          </w:p>
          <w:p>
            <w:pPr>
              <w:spacing w:after="0" w:before="0" w:line="228"/>
              <w:jc w:val="left"/>
            </w:pPr>
            <w:r>
              <w:rPr>
                <w:rFonts w:ascii="Arial" w:cs="Arial" w:eastAsia="Arial" w:hAnsi="Arial"/>
                <w:b w:val="false"/>
                <w:bCs w:val="false"/>
                <w:sz w:val="15"/>
                <w:szCs w:val="15"/>
              </w:rPr>
              <w:t xml:space="preserve">• Antitrust: dominant positions (e.g. France hospitality &gt;50%) would constrain a European strategic buyer</w:t>
            </w:r>
          </w:p>
          <w:p>
            <w:pPr>
              <w:spacing w:after="0" w:before="0" w:line="228"/>
              <w:jc w:val="left"/>
            </w:pPr>
            <w:r>
              <w:rPr>
                <w:rFonts w:ascii="Arial" w:cs="Arial" w:eastAsia="Arial" w:hAnsi="Arial"/>
                <w:b w:val="false"/>
                <w:bCs w:val="false"/>
                <w:sz w:val="15"/>
                <w:szCs w:val="15"/>
              </w:rPr>
              <w:t xml:space="preserve">• Change-of-control clauses in bonds and the RCF; French political sensitivity (strategic employer, 58k staff)</w:t>
            </w:r>
          </w:p>
          <w:p>
            <w:pPr>
              <w:spacing w:after="0" w:before="0" w:line="228"/>
              <w:jc w:val="left"/>
            </w:pPr>
            <w:r>
              <w:rPr>
                <w:rFonts w:ascii="Arial" w:cs="Arial" w:eastAsia="Arial" w:hAnsi="Arial"/>
                <w:b w:val="false"/>
                <w:bCs w:val="false"/>
                <w:sz w:val="15"/>
                <w:szCs w:val="15"/>
              </w:rPr>
              <w:t xml:space="preserve">• Two-tier governance with long-tenured management</w:t>
            </w:r>
          </w:p>
        </w:tc>
      </w:tr>
    </w:tbl>
    <w:p>
      <w:pPr>
        <w:spacing w:after="100"/>
      </w:pPr>
    </w:p>
    <w:p>
      <w:pPr>
        <w:spacing w:after="100" w:before="0" w:line="264"/>
        <w:jc w:val="left"/>
      </w:pPr>
      <w:r>
        <w:rPr>
          <w:rFonts w:ascii="Arial" w:cs="Arial" w:eastAsia="Arial" w:hAnsi="Arial"/>
          <w:sz w:val="19"/>
          <w:szCs w:val="19"/>
        </w:rPr>
        <w:t xml:space="preserve">Potential takeout multiples and value.</w:t>
      </w:r>
      <w:r>
        <w:rPr>
          <w:rFonts w:ascii="Arial" w:cs="Arial" w:eastAsia="Arial" w:hAnsi="Arial"/>
          <w:sz w:val="19"/>
          <w:szCs w:val="19"/>
        </w:rPr>
        <w:t xml:space="preserve"> Applying 6.5–7.5x LTM adjusted EBITDA (€1,740m) — between Elis's own large-deal multiples (7–8x) and its bolt-on pricing (~5x), and far below Cintas/UniFirst — gives an EV of €11.3–13.1bn; less net debt (€3.67bn), leases (€0.70bn) and plus the OCEANE debt that converts (€0.36bn) on 239.7m post-conversion shares, that is </w:t>
      </w:r>
      <w:r>
        <w:rPr>
          <w:rFonts w:ascii="Arial" w:cs="Arial" w:eastAsia="Arial" w:hAnsi="Arial"/>
          <w:sz w:val="19"/>
          <w:szCs w:val="19"/>
        </w:rPr>
        <w:t xml:space="preserve">€30–38 a share (+41% to +79%)</w:t>
      </w:r>
      <w:r>
        <w:rPr>
          <w:rFonts w:ascii="Arial" w:cs="Arial" w:eastAsia="Arial" w:hAnsi="Arial"/>
          <w:sz w:val="19"/>
          <w:szCs w:val="19"/>
        </w:rPr>
        <w:t xml:space="preserve"> [calc]. We assign a low probability (&lt;10% over 12 months) given BWSA's position and the capital required; the more likely "event" is BWSA continuing to creep towards its 25% cap.</w:t>
      </w:r>
    </w:p>
    <w:p>
      <w:pPr>
        <w:pStyle w:val="Heading2"/>
        <w:keepNext/>
        <w:keepLines/>
        <w:spacing w:after="80" w:before="180"/>
      </w:pPr>
      <w:r>
        <w:rPr>
          <w:rFonts w:ascii="Arial" w:cs="Arial" w:eastAsia="Arial" w:hAnsi="Arial"/>
          <w:b/>
          <w:bCs/>
          <w:color w:val="13213F"/>
          <w:sz w:val="24"/>
          <w:szCs w:val="24"/>
        </w:rPr>
        <w:t xml:space="preserve">12.3 Elis's own acquisitions, 2016–2026</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1"/>
        <w:gridCol w:w="1775"/>
        <w:gridCol w:w="986"/>
        <w:gridCol w:w="1677"/>
        <w:gridCol w:w="1381"/>
        <w:gridCol w:w="1677"/>
        <w:gridCol w:w="1779"/>
      </w:tblGrid>
      <w:tr>
        <w:trPr>
          <w:cantSplit/>
          <w:tblHeader/>
        </w:trPr>
        <w:tc>
          <w:tcPr>
            <w:tcW w:type="dxa" w:w="59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Year</w:t>
            </w:r>
          </w:p>
        </w:tc>
        <w:tc>
          <w:tcPr>
            <w:tcW w:type="dxa" w:w="177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Target</w:t>
            </w:r>
          </w:p>
        </w:tc>
        <w:tc>
          <w:tcPr>
            <w:tcW w:type="dxa" w:w="98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Country</w:t>
            </w:r>
          </w:p>
        </w:tc>
        <w:tc>
          <w:tcPr>
            <w:tcW w:type="dxa" w:w="167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Consideration / EV</w:t>
            </w:r>
          </w:p>
        </w:tc>
        <w:tc>
          <w:tcPr>
            <w:tcW w:type="dxa" w:w="138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Revenue acquired</w:t>
            </w:r>
          </w:p>
        </w:tc>
        <w:tc>
          <w:tcPr>
            <w:tcW w:type="dxa" w:w="167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Multiples</w:t>
            </w:r>
          </w:p>
        </w:tc>
        <w:tc>
          <w:tcPr>
            <w:tcW w:type="dxa" w:w="177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Notes</w:t>
            </w:r>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2016</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Indusal (Compania Navarra de Servicios Integrales SL)</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Spain</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EV EUR170m for 100% of capital</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2015 net revenue EUR83m; 2016e c.EUR90m</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7x 2016e EBITDA pre-synergies; 5x post-synergies [calc] EV/2016e sales = 170/90 = 1.89x; E…</w:t>
            </w: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Integration 'went well' (2018 AR, management remuneration review) </w:t>
            </w:r>
            <w:hyperlink w:history="1" r:id="rIdaa3sfk3_f_jbcm93sta4r">
              <w:r>
                <w:rPr>
                  <w:rFonts w:ascii="Arial" w:cs="Arial" w:eastAsia="Arial" w:hAnsi="Arial"/>
                  <w:b w:val="false"/>
                  <w:bCs w:val="false"/>
                  <w:sz w:val="12"/>
                  <w:szCs w:val="12"/>
                </w:rPr>
                <w:t xml:space="preserve">[#261]</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2017</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Lavebras Gestao de Texteis SA</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Brazil</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EV BRL1,300m (EUR360m at 3.60 BRL/EUR); price for 100% BRL1,230m (EUR3…</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2015 net revenue BRL276m (EUR77m); 2016e c.BRL370m (EUR103m)…</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18x 2016e EBIT pre-synergies; 8x 2016e EBIT post-synergies (post figure deducts PV of expe…</w:t>
            </w: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Brazil EBITDA margin from nearly 22% (2016) to nearly 36% (2021); 10 acquisition… </w:t>
            </w:r>
            <w:hyperlink w:history="1" r:id="rIdvpyh2iyxddj9iysyiusq3">
              <w:r>
                <w:rPr>
                  <w:rFonts w:ascii="Arial" w:cs="Arial" w:eastAsia="Arial" w:hAnsi="Arial"/>
                  <w:b w:val="false"/>
                  <w:bCs w:val="false"/>
                  <w:sz w:val="12"/>
                  <w:szCs w:val="12"/>
                </w:rPr>
                <w:t xml:space="preserve">[#3117]</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2017</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Berendsen plc</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UK (operations UK, Scandi…</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GBP2.2bn (EUR2.4bn) total; cash for c.43.4% / shares for c.56.6% of Be…</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Berendsen 2016 revenue EUR1.4bn (15,700 employees); Jan-Aug …</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None stated as EV multiple in retrieved text [calc] equity price/2016 revenue = 2.4/1.4 = …</w:t>
            </w: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Synergy target &gt;=EUR80m p.a. by 2020 incl. EUR50m in 2018 (EUR60m opex + EUR20m … </w:t>
            </w:r>
            <w:hyperlink w:history="1" r:id="rId6xmlbkwaga-oimnf_loxh">
              <w:r>
                <w:rPr>
                  <w:rFonts w:ascii="Arial" w:cs="Arial" w:eastAsia="Arial" w:hAnsi="Arial"/>
                  <w:b w:val="false"/>
                  <w:bCs w:val="false"/>
                  <w:sz w:val="12"/>
                  <w:szCs w:val="12"/>
                </w:rPr>
                <w:t xml:space="preserve">[#305]</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2016</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2016 acquisitions in aggregate (incl. Indusal; Colombia entr…</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Spain, Colombia, other</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FY2016: EUR-217.0m (S&amp;P Capital IQ (C_27989), so…</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since acquisition EUR27.3m; full-year pro forma…</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Entry into Colombia (SIL) </w:t>
            </w:r>
            <w:hyperlink w:history="1" r:id="rIdighlafezdud_k9tpxyzyq">
              <w:r>
                <w:rPr>
                  <w:rFonts w:ascii="Arial" w:cs="Arial" w:eastAsia="Arial" w:hAnsi="Arial"/>
                  <w:b w:val="false"/>
                  <w:bCs w:val="false"/>
                  <w:sz w:val="12"/>
                  <w:szCs w:val="12"/>
                </w:rPr>
                <w:t xml:space="preserve">[#3515]</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2017</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2017 acquisitions in aggregate (Berendsen, Lavebras, others)</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Multiple</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FY2017: EUR-1362.9m</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since acquisition EUR523.1m; full-year pro form…</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Revenue went from c.EUR1.5bn to &gt;EUR3bn after Indusal, Lavebras and Berendsen (F… </w:t>
            </w:r>
            <w:hyperlink w:history="1" r:id="rIduw97ndfokat6kwrcrhhgs">
              <w:r>
                <w:rPr>
                  <w:rFonts w:ascii="Arial" w:cs="Arial" w:eastAsia="Arial" w:hAnsi="Arial"/>
                  <w:b w:val="false"/>
                  <w:bCs w:val="false"/>
                  <w:sz w:val="12"/>
                  <w:szCs w:val="12"/>
                </w:rPr>
                <w:t xml:space="preserve">[#3460]</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2018</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2018 bolt-ons (10 small acquisitions in 7 countries, 3 in fo…</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Multiple</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FY2018: EUR-62.2m; CFO: acquisitions and debt ta…</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EUR31.6m; full-year pro forma additional EUR20.…</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Expected &gt;2% revenue impact on 2019 from secured deals </w:t>
            </w:r>
            <w:hyperlink w:history="1" r:id="rIdfbwubi8c1uo6mfboy4cgp">
              <w:r>
                <w:rPr>
                  <w:rFonts w:ascii="Arial" w:cs="Arial" w:eastAsia="Arial" w:hAnsi="Arial"/>
                  <w:b w:val="false"/>
                  <w:bCs w:val="false"/>
                  <w:sz w:val="12"/>
                  <w:szCs w:val="12"/>
                </w:rPr>
                <w:t xml:space="preserve">[#290]</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2019</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2019 bolt-ons (net of Clinical Solutions disposal)</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Multiple</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EUR120m of M&amp;A activity net of Clinical Solutions disposal (CFO); S&amp;P …</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EUR46.5m; full-year pro forma additional EUR14.…</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Stable debt year-on-year with full utilisation of FCF </w:t>
            </w:r>
            <w:hyperlink w:history="1" r:id="rIdse4d8z4cv_hefik-huy_-">
              <w:r>
                <w:rPr>
                  <w:rFonts w:ascii="Arial" w:cs="Arial" w:eastAsia="Arial" w:hAnsi="Arial"/>
                  <w:b w:val="false"/>
                  <w:bCs w:val="false"/>
                  <w:sz w:val="12"/>
                  <w:szCs w:val="12"/>
                </w:rPr>
                <w:t xml:space="preserve">[#320]</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 bolt-ons: Kings Laundry (Ireland No.2), Central Laundry…</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Ireland, UK, Germany, Cze…</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FY2020: EUR-87.6m</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EUR31.0m; full-year pro forma additional EUR25.…</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M&amp;A subdued in H1 2020 (Covid), resumed from H2 </w:t>
            </w:r>
            <w:hyperlink w:history="1" r:id="rId8s5txenogdeabcxajeisb">
              <w:r>
                <w:rPr>
                  <w:rFonts w:ascii="Arial" w:cs="Arial" w:eastAsia="Arial" w:hAnsi="Arial"/>
                  <w:b w:val="false"/>
                  <w:bCs w:val="false"/>
                  <w:sz w:val="12"/>
                  <w:szCs w:val="12"/>
                </w:rPr>
                <w:t xml:space="preserve">[#192]</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 small bolt-ons (e.g. MAB Industria e Comercio and Norte…</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Brazil, Spain, Sweden, ot…</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FY2021: EUR-86.8m</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EUR22.1m; full-year pro forma additional EUR23.…</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 </w:t>
            </w:r>
            <w:hyperlink w:history="1" r:id="rIdhequjdgvs3q_dgd_4yknl">
              <w:r>
                <w:rPr>
                  <w:rFonts w:ascii="Arial" w:cs="Arial" w:eastAsia="Arial" w:hAnsi="Arial"/>
                  <w:b w:val="false"/>
                  <w:bCs w:val="false"/>
                  <w:sz w:val="12"/>
                  <w:szCs w:val="12"/>
                </w:rPr>
                <w:t xml:space="preserve">[#3577]</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Lavartex (century-old family group; Mexican market leader; o…</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Mexico</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Initial invested amount for 100% not disclosed in retrieved text; earn…</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 revenue EUR74m (as announced Mar-2022) / c.EUR85m at Ju…</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5.0x 2021 EBITDA and 10.7x 2021 EBIT on initial invested amount (MXN23.6/EUR, Mar-2022) [H…</w:t>
            </w: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Accretive to region margin; Americas scope effect +24.4% in 2022; lower Mexico e… </w:t>
            </w:r>
            <w:hyperlink w:history="1" r:id="rIdp28fk4hosfkny-yjqktct">
              <w:r>
                <w:rPr>
                  <w:rFonts w:ascii="Arial" w:cs="Arial" w:eastAsia="Arial" w:hAnsi="Arial"/>
                  <w:b w:val="false"/>
                  <w:bCs w:val="false"/>
                  <w:sz w:val="12"/>
                  <w:szCs w:val="12"/>
                </w:rPr>
                <w:t xml:space="preserve">[#3382]</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 bolt-ons: Joeckel (Germany healthcare, c.EUR20m revenue…</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Germany, Chile, Denmark, …</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FY2022: EUR-221.7m</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All 2022 deals: contribution EUR86.6m; full-year pro forma a…</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Debt nearly stable at EUR3,178m despite Mexico </w:t>
            </w:r>
            <w:hyperlink w:history="1" r:id="rIdegs8pfgeq1qeumfynlso7">
              <w:r>
                <w:rPr>
                  <w:rFonts w:ascii="Arial" w:cs="Arial" w:eastAsia="Arial" w:hAnsi="Arial"/>
                  <w:b w:val="false"/>
                  <w:bCs w:val="false"/>
                  <w:sz w:val="12"/>
                  <w:szCs w:val="12"/>
                </w:rPr>
                <w:t xml:space="preserve">[#129]</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 bolt-ons: Gruppo Indaco (Italy), Compania de Tratamient…</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Italy, Spain, other</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FY2023: EUR-82.1m</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Contribution EUR13.7m; full-year pro forma additional EUR11.…</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 </w:t>
            </w:r>
            <w:hyperlink w:history="1" r:id="rIdq0okzvsvbh2lc1slhk53d">
              <w:r>
                <w:rPr>
                  <w:rFonts w:ascii="Arial" w:cs="Arial" w:eastAsia="Arial" w:hAnsi="Arial"/>
                  <w:b w:val="false"/>
                  <w:bCs w:val="false"/>
                  <w:sz w:val="12"/>
                  <w:szCs w:val="12"/>
                </w:rPr>
                <w:t xml:space="preserve">[#3794]</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Moderna</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Netherlands</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 in retrieved text</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c.EUR50m revenue</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Integration 'perfectly on track' (H1 2024 call) </w:t>
            </w:r>
            <w:hyperlink w:history="1" r:id="rIdjlzn-pfpmt6sfvxzfbv9v">
              <w:r>
                <w:rPr>
                  <w:rFonts w:ascii="Arial" w:cs="Arial" w:eastAsia="Arial" w:hAnsi="Arial"/>
                  <w:b w:val="false"/>
                  <w:bCs w:val="false"/>
                  <w:sz w:val="12"/>
                  <w:szCs w:val="12"/>
                </w:rPr>
                <w:t xml:space="preserve">[#108]</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One Way</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Malaysia</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 revenue close to EUR5m</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Reinforce global cleanroom position; strong Malaysian cleanroom momentum </w:t>
            </w:r>
            <w:hyperlink w:history="1" r:id="rIdkfjbcofv1oonctbh88zdk">
              <w:r>
                <w:rPr>
                  <w:rFonts w:ascii="Arial" w:cs="Arial" w:eastAsia="Arial" w:hAnsi="Arial"/>
                  <w:b w:val="false"/>
                  <w:bCs w:val="false"/>
                  <w:sz w:val="12"/>
                  <w:szCs w:val="12"/>
                </w:rPr>
                <w:t xml:space="preserve">[#168]</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Carsan Renting &amp; Laundry SL and Alquitex Renting Textil SL (…</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Spain</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 revenue EUR9.7m</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Bolt-on </w:t>
            </w:r>
            <w:hyperlink w:history="1" r:id="rIdv3_gdlyguv__qdeyav539">
              <w:r>
                <w:rPr>
                  <w:rFonts w:ascii="Arial" w:cs="Arial" w:eastAsia="Arial" w:hAnsi="Arial"/>
                  <w:b w:val="false"/>
                  <w:bCs w:val="false"/>
                  <w:sz w:val="12"/>
                  <w:szCs w:val="12"/>
                </w:rPr>
                <w:t xml:space="preserve">[#5717]</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 other bolt-ons (Les Tapis Boland BE; Los Carruajes de l…</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Multiple</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cash acquisitions FY2024: EUR-183.3m (all 2024 deals)</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All 2024 deals: contribution EUR50.5m; full-year pro forma a…</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Jan-2024: Group acquired the 50% non-controlling interests in Casbu SL (Spain) </w:t>
            </w:r>
            <w:hyperlink w:history="1" r:id="rIdkb-wabbyc9yqx9gssy_at">
              <w:r>
                <w:rPr>
                  <w:rFonts w:ascii="Arial" w:cs="Arial" w:eastAsia="Arial" w:hAnsi="Arial"/>
                  <w:b w:val="false"/>
                  <w:bCs w:val="false"/>
                  <w:sz w:val="12"/>
                  <w:szCs w:val="12"/>
                </w:rPr>
                <w:t xml:space="preserve">[#5723]</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Waescherei Bodensee AG</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Switzerland</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c.EUR27m revenue</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Typical bolt-on </w:t>
            </w:r>
            <w:hyperlink w:history="1" r:id="rId0gvgpmw6psk5vplhmm-0c">
              <w:r>
                <w:rPr>
                  <w:rFonts w:ascii="Arial" w:cs="Arial" w:eastAsia="Arial" w:hAnsi="Arial"/>
                  <w:b w:val="false"/>
                  <w:bCs w:val="false"/>
                  <w:sz w:val="12"/>
                  <w:szCs w:val="12"/>
                </w:rPr>
                <w:t xml:space="preserve">[#5666]</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Two bolt-ons consolidated from 1-Jan-2025: Spanish hospitali…</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Spain; Germany</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c.EUR10m; c.EUR19m</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Spain acquisition added +3.2% to Southern Europe growth in H1 2025 </w:t>
            </w:r>
            <w:hyperlink w:history="1" r:id="rIdcf9byld-cithwtkibz7bh">
              <w:r>
                <w:rPr>
                  <w:rFonts w:ascii="Arial" w:cs="Arial" w:eastAsia="Arial" w:hAnsi="Arial"/>
                  <w:b w:val="false"/>
                  <w:bCs w:val="false"/>
                  <w:sz w:val="12"/>
                  <w:szCs w:val="12"/>
                </w:rPr>
                <w:t xml:space="preserve">[#168]</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Lavanderia Hospitalar Acqua Flash Ltda</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Brazil (Brasilia)</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 earn-out with no maximum, payable 2027-2028 on a multip…</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c.EUR7.7m 2025 revenue</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Bolt-on </w:t>
            </w:r>
            <w:hyperlink w:history="1" r:id="rIdmrhnibj--vbkb_swtz_x3">
              <w:r>
                <w:rPr>
                  <w:rFonts w:ascii="Arial" w:cs="Arial" w:eastAsia="Arial" w:hAnsi="Arial"/>
                  <w:b w:val="false"/>
                  <w:bCs w:val="false"/>
                  <w:sz w:val="12"/>
                  <w:szCs w:val="12"/>
                </w:rPr>
                <w:t xml:space="preserve">[#5681]</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Muller</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France (Grand-Est)</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c.EUR7m annual revenue</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Bolt-on </w:t>
            </w:r>
            <w:hyperlink w:history="1" r:id="rIdgtxbwswpohsidlkmxvra1">
              <w:r>
                <w:rPr>
                  <w:rFonts w:ascii="Arial" w:cs="Arial" w:eastAsia="Arial" w:hAnsi="Arial"/>
                  <w:b w:val="false"/>
                  <w:bCs w:val="false"/>
                  <w:sz w:val="12"/>
                  <w:szCs w:val="12"/>
                </w:rPr>
                <w:t xml:space="preserve">[#102]</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 bolt-on programme in aggregate (22 acquisitions; incl. …</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Multiple</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EUR108m paid for EUR91m annualised revenue; c.EUR139m M&amp;A cash (sum of…</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EUR91m annualised revenue; contribution EUR44.0m; full-year …</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Slightly below 1.2x revenue; c.5x EBITDA before synergies, as low as 2.5x after synergies …</w:t>
            </w: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'Record year' (22 deals); +0.6% carry-over into 2026; O.C.L. agreement signed 7-… </w:t>
            </w:r>
            <w:hyperlink w:history="1" r:id="rIdednjqar_cv_emrcyfmomc">
              <w:r>
                <w:rPr>
                  <w:rFonts w:ascii="Arial" w:cs="Arial" w:eastAsia="Arial" w:hAnsi="Arial"/>
                  <w:b w:val="false"/>
                  <w:bCs w:val="false"/>
                  <w:sz w:val="12"/>
                  <w:szCs w:val="12"/>
                </w:rPr>
                <w:t xml:space="preserve">[#108]</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Adrett</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Germany (Schuby, near Dan…</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EUR12m 2025 revenue</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Bolt-on </w:t>
            </w:r>
            <w:hyperlink w:history="1" r:id="rIdyjlfnipas-zx8nqhznl9m">
              <w:r>
                <w:rPr>
                  <w:rFonts w:ascii="Arial" w:cs="Arial" w:eastAsia="Arial" w:hAnsi="Arial"/>
                  <w:b w:val="false"/>
                  <w:bCs w:val="false"/>
                  <w:sz w:val="12"/>
                  <w:szCs w:val="12"/>
                </w:rPr>
                <w:t xml:space="preserve">[#159]</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Waesche Perle; RS10; ServBrasil</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Switzerland (Interlaken);…</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EUR13.5m; EUR5.5m; n/a</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Bolt-ons; H1 2026 M&amp;A contribution +1.1% to revenue </w:t>
            </w:r>
            <w:hyperlink w:history="1" r:id="rId3hpwrhrrtw0ueivnwh_cz">
              <w:r>
                <w:rPr>
                  <w:rFonts w:ascii="Arial" w:cs="Arial" w:eastAsia="Arial" w:hAnsi="Arial"/>
                  <w:b w:val="false"/>
                  <w:bCs w:val="false"/>
                  <w:sz w:val="12"/>
                  <w:szCs w:val="12"/>
                </w:rPr>
                <w:t xml:space="preserve">[#159]</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Saniservice BV; SARL Julien Travers (AHS) assets; Genesis Sp…</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Netherlands; France; Chil…</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disclosed</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c.EUR1.2m; EUR0.2m; c.EUR0.7m</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Pest-control build-out / consolidation </w:t>
            </w:r>
            <w:hyperlink w:history="1" r:id="rId1zalqj0fcxrrnuc5fyemu">
              <w:r>
                <w:rPr>
                  <w:rFonts w:ascii="Arial" w:cs="Arial" w:eastAsia="Arial" w:hAnsi="Arial"/>
                  <w:b w:val="false"/>
                  <w:bCs w:val="false"/>
                  <w:sz w:val="12"/>
                  <w:szCs w:val="12"/>
                </w:rPr>
                <w:t xml:space="preserve">[#5737]</w:t>
              </w:r>
            </w:hyperlink>
          </w:p>
        </w:tc>
      </w:tr>
      <w:tr>
        <w:trPr>
          <w:cantSplit/>
        </w:trPr>
        <w:tc>
          <w:tcPr>
            <w:tcW w:type="dxa" w:w="59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2019</w:t>
            </w:r>
          </w:p>
        </w:tc>
        <w:tc>
          <w:tcPr>
            <w:tcW w:type="dxa" w:w="177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DISPOSAL: Clinical Solutions business (split in two)</w:t>
            </w:r>
          </w:p>
        </w:tc>
        <w:tc>
          <w:tcPr>
            <w:tcW w:type="dxa" w:w="98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w:t>
            </w: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divestitures FY2019 EUR30.0m</w:t>
            </w:r>
          </w:p>
        </w:tc>
        <w:tc>
          <w:tcPr>
            <w:tcW w:type="dxa" w:w="138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6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Netted against 2019 M&amp;A (EUR120m net) </w:t>
            </w:r>
            <w:hyperlink w:history="1" r:id="rIdv501r_1vi43vkgbmb8jdf">
              <w:r>
                <w:rPr>
                  <w:rFonts w:ascii="Arial" w:cs="Arial" w:eastAsia="Arial" w:hAnsi="Arial"/>
                  <w:b w:val="false"/>
                  <w:bCs w:val="false"/>
                  <w:sz w:val="12"/>
                  <w:szCs w:val="12"/>
                </w:rPr>
                <w:t xml:space="preserve">[#2416]</w:t>
              </w:r>
            </w:hyperlink>
          </w:p>
        </w:tc>
      </w:tr>
      <w:tr>
        <w:trPr>
          <w:cantSplit/>
        </w:trPr>
        <w:tc>
          <w:tcPr>
            <w:tcW w:type="dxa" w:w="59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w:t>
            </w:r>
          </w:p>
        </w:tc>
        <w:tc>
          <w:tcPr>
            <w:tcW w:type="dxa" w:w="177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A DISPOSAL: Russia (limited business)</w:t>
            </w:r>
          </w:p>
        </w:tc>
        <w:tc>
          <w:tcPr>
            <w:tcW w:type="dxa" w:w="98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Russia</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Goodwill impairment EUR58.7m at 30-Jun-2022 (WACC 26.3% vs 11.4%)</w:t>
            </w:r>
          </w:p>
        </w:tc>
        <w:tc>
          <w:tcPr>
            <w:tcW w:type="dxa" w:w="138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 revenue EUR25.6m</w:t>
            </w:r>
          </w:p>
        </w:tc>
        <w:tc>
          <w:tcPr>
            <w:tcW w:type="dxa" w:w="16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c>
          <w:tcPr>
            <w:tcW w:type="dxa" w:w="17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Net non-current assets EUR17.8m (end-2022) and EUR16.0m (end-2023) </w:t>
            </w:r>
            <w:hyperlink w:history="1" r:id="rIdpdpwnkdnlptln184fwaaj">
              <w:r>
                <w:rPr>
                  <w:rFonts w:ascii="Arial" w:cs="Arial" w:eastAsia="Arial" w:hAnsi="Arial"/>
                  <w:b w:val="false"/>
                  <w:bCs w:val="false"/>
                  <w:sz w:val="12"/>
                  <w:szCs w:val="12"/>
                </w:rPr>
                <w:t xml:space="preserve">[#249]</w:t>
              </w:r>
            </w:hyperlink>
          </w:p>
        </w:tc>
      </w:tr>
    </w:tbl>
    <w:p>
      <w:pPr>
        <w:spacing w:after="140" w:before="40"/>
      </w:pPr>
      <w:r>
        <w:rPr>
          <w:rFonts w:ascii="Arial" w:cs="Arial" w:eastAsia="Arial" w:hAnsi="Arial"/>
          <w:color w:val="898781"/>
          <w:sz w:val="14"/>
          <w:szCs w:val="14"/>
        </w:rPr>
        <w:t xml:space="preserve">Source: Elis annual reports, calls and the Berendsen documents via ProntoNLP; S&amp;P Capital IQ cash acquisitions (worker C, model/C_acquisitions.csv).</w:t>
      </w:r>
    </w:p>
    <w:p>
      <w:pPr>
        <w:spacing w:after="100" w:before="0" w:line="264"/>
        <w:jc w:val="left"/>
      </w:pPr>
      <w:r>
        <w:rPr>
          <w:rFonts w:ascii="Arial" w:cs="Arial" w:eastAsia="Arial" w:hAnsi="Arial"/>
          <w:sz w:val="19"/>
          <w:szCs w:val="19"/>
        </w:rPr>
        <w:t xml:space="preserve">Assessment.</w:t>
      </w:r>
      <w:r>
        <w:rPr>
          <w:rFonts w:ascii="Arial" w:cs="Arial" w:eastAsia="Arial" w:hAnsi="Arial"/>
          <w:sz w:val="19"/>
          <w:szCs w:val="19"/>
        </w:rPr>
        <w:t xml:space="preserve"> The transformational deals (Berendsen 2017, ~£2.2bn; Lavebras and Indusal at 7–8x EBITDA) doubled the group but loaded the balance sheet with €4bn of goodwill and depressed ROIC; the UK margin was rebuilt from ~23% to &gt;32% and Southern Europe from 27% to 34%, which justifies them operationally. Bolt-ons since 2018 (€60–220m a year, ~1.2x sales and ~5x EBITDA) are clearly value-accretive. The two failures were the 2024 US talks (−21% share-price reaction, terminated) and the abandoned Irish OCL deal (June 2026, competition review).</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13. Management assessment</w:t>
      </w:r>
    </w:p>
    <w:p>
      <w:pPr>
        <w:spacing w:after="100" w:before="0" w:line="264"/>
        <w:jc w:val="left"/>
      </w:pPr>
      <w:r>
        <w:rPr>
          <w:rFonts w:ascii="Arial" w:cs="Arial" w:eastAsia="Arial" w:hAnsi="Arial"/>
          <w:sz w:val="19"/>
          <w:szCs w:val="19"/>
        </w:rPr>
        <w:t xml:space="preserve">Elis has a two-tier structure: a </w:t>
      </w:r>
      <w:r>
        <w:rPr>
          <w:rFonts w:ascii="Arial" w:cs="Arial" w:eastAsia="Arial" w:hAnsi="Arial"/>
          <w:sz w:val="19"/>
          <w:szCs w:val="19"/>
        </w:rPr>
        <w:t xml:space="preserve">Management Board</w:t>
      </w:r>
      <w:r>
        <w:rPr>
          <w:rFonts w:ascii="Arial" w:cs="Arial" w:eastAsia="Arial" w:hAnsi="Arial"/>
          <w:sz w:val="19"/>
          <w:szCs w:val="19"/>
        </w:rPr>
        <w:t xml:space="preserve"> (executive) supervised by a </w:t>
      </w:r>
      <w:r>
        <w:rPr>
          <w:rFonts w:ascii="Arial" w:cs="Arial" w:eastAsia="Arial" w:hAnsi="Arial"/>
          <w:sz w:val="19"/>
          <w:szCs w:val="19"/>
        </w:rPr>
        <w:t xml:space="preserve">Supervisory Board</w:t>
      </w:r>
      <w:r>
        <w:rPr>
          <w:rFonts w:ascii="Arial" w:cs="Arial" w:eastAsia="Arial" w:hAnsi="Arial"/>
          <w:sz w:val="19"/>
          <w:szCs w:val="19"/>
        </w:rPr>
        <w:t xml:space="preserve">. The Management Board was renewed for four years from 5-Sep-2026: Xavier Martiré (Chairman/CEO), Louis Guyot (CFO) and, new, Yann Michel (Group COO); Matthieu Lecharny did not seek reappointment </w:t>
      </w:r>
      <w:hyperlink w:history="1" r:id="rIdxj7pt08biugfg9ikyao5o">
        <w:r>
          <w:rPr>
            <w:rFonts w:ascii="Arial" w:cs="Arial" w:eastAsia="Arial" w:hAnsi="Arial"/>
            <w:sz w:val="15"/>
            <w:szCs w:val="15"/>
          </w:rPr>
          <w:t xml:space="preserve">[#139]</w:t>
        </w:r>
      </w:hyperlink>
      <w:r>
        <w:rPr>
          <w:rFonts w:ascii="Arial" w:cs="Arial" w:eastAsia="Arial" w:hAnsi="Arial"/>
          <w:sz w:val="19"/>
          <w:szCs w:val="19"/>
        </w:rPr>
        <w:t xml:space="preserve"> </w:t>
      </w:r>
      <w:hyperlink w:history="1" r:id="rIdijbqfrbn1mdkjyrfrgjfh">
        <w:r>
          <w:rPr>
            <w:rFonts w:ascii="Arial" w:cs="Arial" w:eastAsia="Arial" w:hAnsi="Arial"/>
            <w:sz w:val="15"/>
            <w:szCs w:val="15"/>
          </w:rPr>
          <w:t xml:space="preserve">[#140]</w:t>
        </w:r>
      </w:hyperlink>
      <w:r>
        <w:rPr>
          <w:rFonts w:ascii="Arial" w:cs="Arial" w:eastAsia="Arial" w:hAnsi="Arial"/>
          <w:sz w:val="19"/>
          <w:szCs w:val="19"/>
        </w:rPr>
        <w:t xml:space="preserve"> </w:t>
      </w:r>
      <w:hyperlink w:history="1" r:id="rId_b62yoxnw6xqgtsx3f8_i">
        <w:r>
          <w:rPr>
            <w:rFonts w:ascii="Arial" w:cs="Arial" w:eastAsia="Arial" w:hAnsi="Arial"/>
            <w:sz w:val="15"/>
            <w:szCs w:val="15"/>
          </w:rPr>
          <w:t xml:space="preserve">[#143]</w:t>
        </w:r>
      </w:hyperlink>
      <w:r>
        <w:rPr>
          <w:rFonts w:ascii="Arial" w:cs="Arial" w:eastAsia="Arial" w:hAnsi="Arial"/>
          <w:sz w:val="19"/>
          <w:szCs w:val="19"/>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9"/>
        <w:gridCol w:w="2099"/>
        <w:gridCol w:w="3568"/>
        <w:gridCol w:w="2730"/>
      </w:tblGrid>
      <w:tr>
        <w:trPr>
          <w:cantSplit/>
          <w:tblHeader/>
        </w:trPr>
        <w:tc>
          <w:tcPr>
            <w:tcW w:type="dxa" w:w="146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Executive</w:t>
            </w:r>
          </w:p>
        </w:tc>
        <w:tc>
          <w:tcPr>
            <w:tcW w:type="dxa" w:w="209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Role / tenure</w:t>
            </w:r>
          </w:p>
        </w:tc>
        <w:tc>
          <w:tcPr>
            <w:tcW w:type="dxa" w:w="356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Track record</w:t>
            </w:r>
          </w:p>
        </w:tc>
        <w:tc>
          <w:tcPr>
            <w:tcW w:type="dxa" w:w="273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Skin in the game &amp; pay</w:t>
            </w:r>
          </w:p>
        </w:tc>
      </w:tr>
      <w:tr>
        <w:trPr>
          <w:cantSplit/>
        </w:trPr>
        <w:tc>
          <w:tcPr>
            <w:tcW w:type="dxa" w:w="14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Xavier Martiré</w:t>
            </w:r>
          </w:p>
        </w:tc>
        <w:tc>
          <w:tcPr>
            <w:tcW w:type="dxa" w:w="209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Chairman of the Management Board (CEO) since 2008; at Elis since 1999 (~27 years); reappointed to 2030</w:t>
            </w:r>
          </w:p>
        </w:tc>
        <w:tc>
          <w:tcPr>
            <w:tcW w:type="dxa" w:w="35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Led the 2015 IPO, the Berendsen (2017), Lavebras, Indusal and Lavartex deals; tripled revenue from ~€1.5bn to €4.8bn; rebuilt UK and German margins; navigated Covid and the 2022 energy shock (unhedged); pivoted to capital returns in 2025. Ex-SNCF; Polytechnique/Ponts</w:t>
            </w:r>
          </w:p>
        </w:tc>
        <w:tc>
          <w:tcPr>
            <w:tcW w:type="dxa" w:w="27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Variable pay target 100% (cap 170%); LTI = 2.25x pay (121,741 performance shares granted 2025); say-on-pay 93.65% (2025) but only 70% support for the 2025 policy. </w:t>
            </w:r>
            <w:r>
              <w:rPr>
                <w:rFonts w:ascii="Arial" w:cs="Arial" w:eastAsia="Arial" w:hAnsi="Arial"/>
                <w:b w:val="false"/>
                <w:bCs w:val="false"/>
                <w:sz w:val="14"/>
                <w:szCs w:val="14"/>
              </w:rPr>
              <w:t xml:space="preserve">Sold 92,825 shares (~€2.3m) in Jan-2026</w:t>
            </w:r>
            <w:r>
              <w:rPr>
                <w:rFonts w:ascii="Arial" w:cs="Arial" w:eastAsia="Arial" w:hAnsi="Arial"/>
                <w:b w:val="false"/>
                <w:bCs w:val="false"/>
                <w:sz w:val="14"/>
                <w:szCs w:val="14"/>
              </w:rPr>
              <w:t xml:space="preserve"> while the company was buying back [calc]. Holding not retrievable (&lt;1% for all board members)</w:t>
            </w:r>
          </w:p>
        </w:tc>
      </w:tr>
      <w:tr>
        <w:trPr>
          <w:cantSplit/>
        </w:trPr>
        <w:tc>
          <w:tcPr>
            <w:tcW w:type="dxa" w:w="14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Louis Guyot</w:t>
            </w:r>
          </w:p>
        </w:tc>
        <w:tc>
          <w:tcPr>
            <w:tcW w:type="dxa" w:w="209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CFO since 2013, Management Board since 2014; reappointed to 2030</w:t>
            </w:r>
          </w:p>
        </w:tc>
        <w:tc>
          <w:tcPr>
            <w:tcW w:type="dxa" w:w="35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Architect of the refinancing from BB to investment grade (BBB-/Baa3), the OCEANE, capital-allocation policy and buybacks. Ex-French Treasury, Dalkia, Korian</w:t>
            </w:r>
          </w:p>
        </w:tc>
        <w:tc>
          <w:tcPr>
            <w:tcW w:type="dxa" w:w="27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Target 100% (cap 170%); LTI 1.75x pay; repeated share and FCPE sales in 2025</w:t>
            </w:r>
          </w:p>
        </w:tc>
      </w:tr>
      <w:tr>
        <w:trPr>
          <w:cantSplit/>
        </w:trPr>
        <w:tc>
          <w:tcPr>
            <w:tcW w:type="dxa" w:w="146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Yann Michel</w:t>
            </w:r>
          </w:p>
        </w:tc>
        <w:tc>
          <w:tcPr>
            <w:tcW w:type="dxa" w:w="209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Group COO from 1-Jul-2026; Management Board from Sep-2026; &gt;15 years at Elis</w:t>
            </w:r>
          </w:p>
        </w:tc>
        <w:tc>
          <w:tcPr>
            <w:tcW w:type="dxa" w:w="35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Ran France, UK &amp; Ireland as Deputy COO — the two regions with the strongest margin gains</w:t>
            </w:r>
          </w:p>
        </w:tc>
        <w:tc>
          <w:tcPr>
            <w:tcW w:type="dxa" w:w="27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Not disclosed</w:t>
            </w:r>
          </w:p>
        </w:tc>
      </w:tr>
      <w:tr>
        <w:trPr>
          <w:cantSplit/>
        </w:trPr>
        <w:tc>
          <w:tcPr>
            <w:tcW w:type="dxa" w:w="146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Matthieu Lecharny (leaving end-2026)</w:t>
            </w:r>
          </w:p>
        </w:tc>
        <w:tc>
          <w:tcPr>
            <w:tcW w:type="dxa" w:w="209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Deputy COO Southern Europe &amp; LatAm, head of M&amp;A; Board 2014–2026</w:t>
            </w:r>
          </w:p>
        </w:tc>
        <w:tc>
          <w:tcPr>
            <w:tcW w:type="dxa" w:w="35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Built LatAm (Brazil, Mexico) and Southern Europe; LatAm margin reversal in 2025–26 and Mexico tender loss happened on his watch</w:t>
            </w:r>
          </w:p>
        </w:tc>
        <w:tc>
          <w:tcPr>
            <w:tcW w:type="dxa" w:w="27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Target 70% (cap 119%)</w:t>
            </w:r>
          </w:p>
        </w:tc>
      </w:tr>
    </w:tbl>
    <w:p>
      <w:pPr>
        <w:spacing w:after="140" w:before="40"/>
      </w:pPr>
      <w:r>
        <w:rPr>
          <w:rFonts w:ascii="Arial" w:cs="Arial" w:eastAsia="Arial" w:hAnsi="Arial"/>
          <w:color w:val="898781"/>
          <w:sz w:val="14"/>
          <w:szCs w:val="14"/>
        </w:rPr>
        <w:t xml:space="preserve">Source: Elis FY2025 URD and H1 2026 report via ProntoNLP (worker B, model/B_management.json). Euro amounts of pay and individual holdings are in non-indexed tables and could not be retrieved.</w:t>
      </w:r>
    </w:p>
    <w:p>
      <w:pPr>
        <w:pStyle w:val="Heading2"/>
        <w:keepNext/>
        <w:keepLines/>
        <w:spacing w:after="80" w:before="180"/>
      </w:pPr>
      <w:r>
        <w:rPr>
          <w:rFonts w:ascii="Arial" w:cs="Arial" w:eastAsia="Arial" w:hAnsi="Arial"/>
          <w:b/>
          <w:bCs/>
          <w:color w:val="13213F"/>
          <w:sz w:val="24"/>
          <w:szCs w:val="24"/>
        </w:rPr>
        <w:t xml:space="preserve">Capital allocation and returns under this management</w:t>
      </w:r>
    </w:p>
    <w:p>
      <w:pPr>
        <w:keepNext w:val="false"/>
        <w:spacing w:after="40"/>
        <w:jc w:val="center"/>
      </w:pPr>
      <w:r>
        <w:drawing>
          <wp:inline distT="0" distB="0" distL="0" distR="0">
            <wp:extent cx="5486400" cy="2409825"/>
            <wp:effectExtent t="0" r="0" b="0" l="0"/>
            <wp:docPr id="1" name="hist_returns.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409825"/>
                    </a:xfrm>
                    <a:prstGeom prst="rect">
                      <a:avLst/>
                    </a:prstGeom>
                  </pic:spPr>
                </pic:pic>
              </a:graphicData>
            </a:graphic>
          </wp:inline>
        </w:drawing>
      </w:r>
    </w:p>
    <w:p>
      <w:pPr>
        <w:pStyle w:val="ListParagraph"/>
        <w:numPr>
          <w:ilvl w:val="0"/>
          <w:numId w:val="2"/>
        </w:numPr>
        <w:spacing w:after="60" w:line="252"/>
      </w:pPr>
      <w:r>
        <w:rPr>
          <w:rFonts w:ascii="Arial" w:cs="Arial" w:eastAsia="Arial" w:hAnsi="Arial"/>
          <w:b/>
          <w:bCs/>
          <w:sz w:val="19"/>
          <w:szCs w:val="19"/>
        </w:rPr>
        <w:t xml:space="preserve">ROE</w:t>
      </w:r>
      <w:r>
        <w:rPr>
          <w:rFonts w:ascii="Arial" w:cs="Arial" w:eastAsia="Arial" w:hAnsi="Arial"/>
          <w:sz w:val="19"/>
          <w:szCs w:val="19"/>
        </w:rPr>
        <w:t xml:space="preserve"> rose from 3.9% (2021) to 9.9% (2025); </w:t>
      </w:r>
      <w:r>
        <w:rPr>
          <w:rFonts w:ascii="Arial" w:cs="Arial" w:eastAsia="Arial" w:hAnsi="Arial"/>
          <w:b/>
          <w:bCs/>
          <w:sz w:val="19"/>
          <w:szCs w:val="19"/>
        </w:rPr>
        <w:t xml:space="preserve">ROIC</w:t>
      </w:r>
      <w:r>
        <w:rPr>
          <w:rFonts w:ascii="Arial" w:cs="Arial" w:eastAsia="Arial" w:hAnsi="Arial"/>
          <w:sz w:val="19"/>
          <w:szCs w:val="19"/>
        </w:rPr>
        <w:t xml:space="preserve"> (EBITA after tax / equity + net debt incl. leases) from 3.6% to 7.0% [calc] — improving but still around the cost of capital because ~€4bn of goodwill from Berendsen and LatAm sits in the base. Company pre-tax ROCE (excl. goodwill effects) is 14.7%.</w:t>
      </w:r>
    </w:p>
    <w:p>
      <w:pPr>
        <w:pStyle w:val="ListParagraph"/>
        <w:numPr>
          <w:ilvl w:val="0"/>
          <w:numId w:val="2"/>
        </w:numPr>
        <w:spacing w:after="60" w:line="252"/>
      </w:pPr>
      <w:r>
        <w:rPr>
          <w:rFonts w:ascii="Arial" w:cs="Arial" w:eastAsia="Arial" w:hAnsi="Arial"/>
          <w:b/>
          <w:bCs/>
          <w:sz w:val="19"/>
          <w:szCs w:val="19"/>
        </w:rPr>
        <w:t xml:space="preserve">Good:</w:t>
      </w:r>
      <w:r>
        <w:rPr>
          <w:rFonts w:ascii="Arial" w:cs="Arial" w:eastAsia="Arial" w:hAnsi="Arial"/>
          <w:sz w:val="19"/>
          <w:szCs w:val="19"/>
        </w:rPr>
        <w:t xml:space="preserve"> disciplined bolt-ons (~1.2x sales, ~5x EBITDA); investment-grade rating; €616m of buybacks in 2025–26 at €22.87 and €26.25; energy hedging adopted after 2022.</w:t>
      </w:r>
    </w:p>
    <w:p>
      <w:pPr>
        <w:pStyle w:val="ListParagraph"/>
        <w:numPr>
          <w:ilvl w:val="0"/>
          <w:numId w:val="2"/>
        </w:numPr>
        <w:spacing w:after="60" w:line="252"/>
      </w:pPr>
      <w:r>
        <w:rPr>
          <w:rFonts w:ascii="Arial" w:cs="Arial" w:eastAsia="Arial" w:hAnsi="Arial"/>
          <w:b/>
          <w:bCs/>
          <w:sz w:val="19"/>
          <w:szCs w:val="19"/>
        </w:rPr>
        <w:t xml:space="preserve">Questionable:</w:t>
      </w:r>
      <w:r>
        <w:rPr>
          <w:rFonts w:ascii="Arial" w:cs="Arial" w:eastAsia="Arial" w:hAnsi="Arial"/>
          <w:sz w:val="19"/>
          <w:szCs w:val="19"/>
        </w:rPr>
        <w:t xml:space="preserve"> Berendsen (2017) at a full price (equity ~£2.2bn) produced years of low returns; the 2024 US talks; buying back €467m at €26.25 just before the shares fell 19% (and funding it with debt while insiders sold).</w:t>
      </w:r>
    </w:p>
    <w:p>
      <w:pPr>
        <w:pStyle w:val="ListParagraph"/>
        <w:numPr>
          <w:ilvl w:val="0"/>
          <w:numId w:val="2"/>
        </w:numPr>
        <w:spacing w:after="60" w:line="252"/>
      </w:pPr>
      <w:r>
        <w:rPr>
          <w:rFonts w:ascii="Arial" w:cs="Arial" w:eastAsia="Arial" w:hAnsi="Arial"/>
          <w:b/>
          <w:bCs/>
          <w:sz w:val="19"/>
          <w:szCs w:val="19"/>
        </w:rPr>
        <w:t xml:space="preserve">Archetype:</w:t>
      </w:r>
      <w:r>
        <w:rPr>
          <w:rFonts w:ascii="Arial" w:cs="Arial" w:eastAsia="Arial" w:hAnsi="Arial"/>
          <w:sz w:val="19"/>
          <w:szCs w:val="19"/>
        </w:rPr>
        <w:t xml:space="preserve"> professional, long-tenured insider managers, not founders. Strength: deep operational know-how and continuity; risk: little pressure to rethink the capital-intensive model, and succession now centres on an internal COO.</w:t>
      </w:r>
    </w:p>
    <w:p>
      <w:pPr>
        <w:spacing w:after="60"/>
      </w:pPr>
    </w:p>
    <w:p>
      <w:pPr>
        <w:pStyle w:val="Heading3"/>
        <w:keepNext/>
        <w:keepLines/>
        <w:spacing w:after="80" w:before="180"/>
      </w:pPr>
      <w:r>
        <w:rPr>
          <w:rFonts w:ascii="Arial" w:cs="Arial" w:eastAsia="Arial" w:hAnsi="Arial"/>
          <w:b/>
          <w:bCs/>
          <w:color w:val="2A78D6"/>
          <w:sz w:val="20"/>
          <w:szCs w:val="20"/>
        </w:rPr>
        <w:t xml:space="preserve">Red flags reviewed</w:t>
      </w:r>
    </w:p>
    <w:p>
      <w:pPr>
        <w:pStyle w:val="ListParagraph"/>
        <w:numPr>
          <w:ilvl w:val="0"/>
          <w:numId w:val="2"/>
        </w:numPr>
        <w:spacing w:after="60" w:line="252"/>
      </w:pPr>
      <w:r>
        <w:rPr>
          <w:rFonts w:ascii="Arial" w:cs="Arial" w:eastAsia="Arial" w:hAnsi="Arial"/>
          <w:sz w:val="19"/>
          <w:szCs w:val="19"/>
        </w:rPr>
        <w:t xml:space="preserve">Related-party: the Aug-2025 EMTN mandate to HSBC Continental Europe, where the CEO sits on the board and chairs the compensation committee (approved under the related-party procedure) </w:t>
      </w:r>
      <w:hyperlink w:history="1" r:id="rIdnnbnbd3dmkddagjeajz2p">
        <w:r>
          <w:rPr>
            <w:rFonts w:ascii="Arial" w:cs="Arial" w:eastAsia="Arial" w:hAnsi="Arial"/>
            <w:color w:val="1C5CAB"/>
            <w:sz w:val="15"/>
            <w:szCs w:val="15"/>
          </w:rPr>
          <w:t xml:space="preserve">[#1303]</w:t>
        </w:r>
      </w:hyperlink>
      <w:r>
        <w:rPr>
          <w:rFonts w:ascii="Arial" w:cs="Arial" w:eastAsia="Arial" w:hAnsi="Arial"/>
          <w:sz w:val="19"/>
          <w:szCs w:val="19"/>
        </w:rPr>
        <w:t xml:space="preserve">. No other related-party transactions found.</w:t>
      </w:r>
    </w:p>
    <w:p>
      <w:pPr>
        <w:pStyle w:val="ListParagraph"/>
        <w:numPr>
          <w:ilvl w:val="0"/>
          <w:numId w:val="2"/>
        </w:numPr>
        <w:spacing w:after="60" w:line="252"/>
      </w:pPr>
      <w:r>
        <w:rPr>
          <w:rFonts w:ascii="Arial" w:cs="Arial" w:eastAsia="Arial" w:hAnsi="Arial"/>
          <w:sz w:val="19"/>
          <w:szCs w:val="19"/>
        </w:rPr>
        <w:t xml:space="preserve">Pay: Supervisory Board chair fee more than doubled (€186k → €400k); only 70% approval of the 2025 Management Board pay policy </w:t>
      </w:r>
      <w:hyperlink w:history="1" r:id="rIdqk0ebj2rna_ntephtp19f">
        <w:r>
          <w:rPr>
            <w:rFonts w:ascii="Arial" w:cs="Arial" w:eastAsia="Arial" w:hAnsi="Arial"/>
            <w:color w:val="1C5CAB"/>
            <w:sz w:val="15"/>
            <w:szCs w:val="15"/>
          </w:rPr>
          <w:t xml:space="preserve">[#1378]</w:t>
        </w:r>
      </w:hyperlink>
      <w:r>
        <w:rPr>
          <w:rFonts w:ascii="Arial" w:cs="Arial" w:eastAsia="Arial" w:hAnsi="Arial"/>
          <w:sz w:val="19"/>
          <w:szCs w:val="19"/>
        </w:rPr>
        <w:t xml:space="preserve">; 2020 variable-pay criteria changed retrospectively (Covid).</w:t>
      </w:r>
    </w:p>
    <w:p>
      <w:pPr>
        <w:pStyle w:val="ListParagraph"/>
        <w:numPr>
          <w:ilvl w:val="0"/>
          <w:numId w:val="2"/>
        </w:numPr>
        <w:spacing w:after="60" w:line="252"/>
      </w:pPr>
      <w:r>
        <w:rPr>
          <w:rFonts w:ascii="Arial" w:cs="Arial" w:eastAsia="Arial" w:hAnsi="Arial"/>
          <w:sz w:val="19"/>
          <w:szCs w:val="19"/>
        </w:rPr>
        <w:t xml:space="preserve">Insider selling during the buyback (above). No loans to executives; severance within AFEP-MEDEF norms; auditors unchanged (PwC since 2007, Forvis Mazars since 2011).</w:t>
      </w:r>
    </w:p>
    <w:p>
      <w:pPr>
        <w:pStyle w:val="ListParagraph"/>
        <w:numPr>
          <w:ilvl w:val="0"/>
          <w:numId w:val="2"/>
        </w:numPr>
        <w:spacing w:after="60" w:line="252"/>
      </w:pPr>
      <w:r>
        <w:rPr>
          <w:rFonts w:ascii="Arial" w:cs="Arial" w:eastAsia="Arial" w:hAnsi="Arial"/>
          <w:sz w:val="19"/>
          <w:szCs w:val="19"/>
        </w:rPr>
        <w:t xml:space="preserve">No frequent strategy pivots; the 2025 shift to shareholder returns is the only material change. Messaging is factual rather than promotional, although March-2026 guidance on LatAm margins was reversed within five months.</w:t>
      </w:r>
    </w:p>
    <w:p>
      <w:pPr>
        <w:spacing w:after="6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14. Supervisory Board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1295"/>
        <w:gridCol w:w="1295"/>
        <w:gridCol w:w="896"/>
        <w:gridCol w:w="1096"/>
        <w:gridCol w:w="3590"/>
      </w:tblGrid>
      <w:tr>
        <w:trPr>
          <w:cantSplit/>
          <w:tblHeader/>
        </w:trPr>
        <w:tc>
          <w:tcPr>
            <w:tcW w:type="dxa" w:w="169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Member</w:t>
            </w:r>
          </w:p>
        </w:tc>
        <w:tc>
          <w:tcPr>
            <w:tcW w:type="dxa" w:w="129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Role</w:t>
            </w:r>
          </w:p>
        </w:tc>
        <w:tc>
          <w:tcPr>
            <w:tcW w:type="dxa" w:w="129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Independence</w:t>
            </w:r>
          </w:p>
        </w:tc>
        <w:tc>
          <w:tcPr>
            <w:tcW w:type="dxa" w:w="89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Since</w:t>
            </w:r>
          </w:p>
        </w:tc>
        <w:tc>
          <w:tcPr>
            <w:tcW w:type="dxa" w:w="109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Term to</w:t>
            </w:r>
          </w:p>
        </w:tc>
        <w:tc>
          <w:tcPr>
            <w:tcW w:type="dxa" w:w="359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Background and other affiliations</w:t>
            </w:r>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Thierry Morin</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Chairman of the Supervisory Board</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2014-06-23</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 2027 (May 2027)</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CEO/Chairman of TM France (industrial holding specialising in restructuring distressed companies); career Burroughs (1977), Schlumberger (1978-86), Thomson Consumer Electronics (1986), Valeo from 1989 incl. CFO and Chairman &amp; CEO … </w:t>
            </w:r>
            <w:hyperlink w:history="1" r:id="rIdxyvhsnvmnrfx3lnuz9fdu">
              <w:r>
                <w:rPr>
                  <w:rFonts w:ascii="Arial" w:cs="Arial" w:eastAsia="Arial" w:hAnsi="Arial"/>
                  <w:b w:val="false"/>
                  <w:bCs w:val="false"/>
                  <w:sz w:val="12"/>
                  <w:szCs w:val="12"/>
                </w:rPr>
                <w:t xml:space="preserve">[#902]</w:t>
              </w:r>
            </w:hyperlink>
          </w:p>
        </w:tc>
      </w:tr>
      <w:tr>
        <w:trPr>
          <w:cantSplit/>
        </w:trPr>
        <w:tc>
          <w:tcPr>
            <w:tcW w:type="dxa" w:w="16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Fabrice Barthélemy</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Vice-Chairman of the Supervisory Board (since…</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2020-06-30</w:t>
            </w:r>
          </w:p>
        </w:tc>
        <w:tc>
          <w:tcPr>
            <w:tcW w:type="dxa" w:w="10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 2028 (May 2028)</w:t>
            </w:r>
          </w:p>
        </w:tc>
        <w:tc>
          <w:tcPr>
            <w:tcW w:type="dxa" w:w="3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Chairman of the Management Board of Tarkett SA since January 2019 (joined Tarkett 2008 as CFO) </w:t>
            </w:r>
            <w:hyperlink w:history="1" r:id="rIdwyxu0tgm4y0jsxjc4ynjp">
              <w:r>
                <w:rPr>
                  <w:rFonts w:ascii="Arial" w:cs="Arial" w:eastAsia="Arial" w:hAnsi="Arial"/>
                  <w:b w:val="false"/>
                  <w:bCs w:val="false"/>
                  <w:sz w:val="12"/>
                  <w:szCs w:val="12"/>
                </w:rPr>
                <w:t xml:space="preserve">[#902]</w:t>
              </w:r>
            </w:hyperlink>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Kelly Becker</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May 2028 (3-year term)</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President, Schneider Electric UK &amp; Ireland, Belgium &amp; Netherlands (aged 47); Schneider Electric since 2011; earlier Danaher (Videojet) and TAC; Darden MBA </w:t>
            </w:r>
            <w:hyperlink w:history="1" r:id="rId8o-gehaqwqcqoz8crngua">
              <w:r>
                <w:rPr>
                  <w:rFonts w:ascii="Arial" w:cs="Arial" w:eastAsia="Arial" w:hAnsi="Arial"/>
                  <w:b w:val="false"/>
                  <w:bCs w:val="false"/>
                  <w:sz w:val="12"/>
                  <w:szCs w:val="12"/>
                </w:rPr>
                <w:t xml:space="preserve">[#970]</w:t>
              </w:r>
            </w:hyperlink>
          </w:p>
        </w:tc>
      </w:tr>
      <w:tr>
        <w:trPr>
          <w:cantSplit/>
        </w:trPr>
        <w:tc>
          <w:tcPr>
            <w:tcW w:type="dxa" w:w="16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Antoine Burel</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2019-02-20</w:t>
            </w:r>
          </w:p>
        </w:tc>
        <w:tc>
          <w:tcPr>
            <w:tcW w:type="dxa" w:w="10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 approving FY2029 accou…</w:t>
            </w:r>
          </w:p>
        </w:tc>
        <w:tc>
          <w:tcPr>
            <w:tcW w:type="dxa" w:w="3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Deputy Chief Operating Officer of Legrand; Legrand Group CFO (in charge of risk management) from 2008, Deputy CEO &amp; EVP Group Operations from 2019; Director and Chairman of the Board of Legrand France; began in audit 1986 (Fiducia… </w:t>
            </w:r>
            <w:hyperlink w:history="1" r:id="rIdx3c3hr828pa2fhhy7onqc">
              <w:r>
                <w:rPr>
                  <w:rFonts w:ascii="Arial" w:cs="Arial" w:eastAsia="Arial" w:hAnsi="Arial"/>
                  <w:b w:val="false"/>
                  <w:bCs w:val="false"/>
                  <w:sz w:val="12"/>
                  <w:szCs w:val="12"/>
                </w:rPr>
                <w:t xml:space="preserve">[#980]</w:t>
              </w:r>
            </w:hyperlink>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BW Gestão de Investimentos Ltda (BWGI), permanent representative Cécil…</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 (legal entity)</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independent (represents Kaon E / Kaon V f…</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2023-12-14 (co-opted t…</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 approving FY2026 accou…</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BWGI: Sao Paulo asset manager of Kaon E (sub-fund of Kaon Investment Fund ICAV, Ireland); 99.96% subsidiary of BWSA. Helme-Guizon: PwC from 1987 (audit, then corporate finance); Executive Director of IFA 2018-2019; independent dir… </w:t>
            </w:r>
            <w:hyperlink w:history="1" r:id="rId4j9fqn-c5dkyohlsv9g_t">
              <w:r>
                <w:rPr>
                  <w:rFonts w:ascii="Arial" w:cs="Arial" w:eastAsia="Arial" w:hAnsi="Arial"/>
                  <w:b w:val="false"/>
                  <w:bCs w:val="false"/>
                  <w:sz w:val="12"/>
                  <w:szCs w:val="12"/>
                </w:rPr>
                <w:t xml:space="preserve">[#6732]</w:t>
              </w:r>
            </w:hyperlink>
          </w:p>
        </w:tc>
      </w:tr>
      <w:tr>
        <w:trPr>
          <w:cantSplit/>
        </w:trPr>
        <w:tc>
          <w:tcPr>
            <w:tcW w:type="dxa" w:w="16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Brasil Warrant Administração de Bens e Empresas SA (BWSA), permanent r…</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 (legal entity)</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independent (represents Kaon E / Kaon V &gt;…</w:t>
            </w:r>
          </w:p>
        </w:tc>
        <w:tc>
          <w:tcPr>
            <w:tcW w:type="dxa" w:w="8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 (Martineau …</w:t>
            </w:r>
          </w:p>
        </w:tc>
        <w:tc>
          <w:tcPr>
            <w:tcW w:type="dxa" w:w="10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May 2029 (4-year term)</w:t>
            </w:r>
          </w:p>
        </w:tc>
        <w:tc>
          <w:tcPr>
            <w:tcW w:type="dxa" w:w="3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BWSA: Brazilian holding company of the Moreira Salles family (seven decades). Martineau: Carlyle 2000-2011 (European LBOs), CVC Managing Director (set up CVC Latam office 2016), BWGI since 2019 as Head of Strategic Investments in … </w:t>
            </w:r>
            <w:hyperlink w:history="1" r:id="rId4g4_0hcrfagzq0rff_6yi">
              <w:r>
                <w:rPr>
                  <w:rFonts w:ascii="Arial" w:cs="Arial" w:eastAsia="Arial" w:hAnsi="Arial"/>
                  <w:b w:val="false"/>
                  <w:bCs w:val="false"/>
                  <w:sz w:val="12"/>
                  <w:szCs w:val="12"/>
                </w:rPr>
                <w:t xml:space="preserve">[#1000]</w:t>
              </w:r>
            </w:hyperlink>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Anne-Laure Commault-Tingry</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2017-05-19</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May 2029</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EVP Smart Mobility &amp; Services, Orange Business; previously Chief Digital &amp; Omnichannel Officer, Orange France (2020-2024); CEO of Générale de Téléphone (2016-2019); Orange since 2002 </w:t>
            </w:r>
            <w:hyperlink w:history="1" r:id="rIdg9bttuii84c_qutp5jnq7">
              <w:r>
                <w:rPr>
                  <w:rFonts w:ascii="Arial" w:cs="Arial" w:eastAsia="Arial" w:hAnsi="Arial"/>
                  <w:b w:val="false"/>
                  <w:bCs w:val="false"/>
                  <w:sz w:val="12"/>
                  <w:szCs w:val="12"/>
                </w:rPr>
                <w:t xml:space="preserve">[#1013]</w:t>
              </w:r>
            </w:hyperlink>
          </w:p>
        </w:tc>
      </w:tr>
      <w:tr>
        <w:trPr>
          <w:cantSplit/>
        </w:trPr>
        <w:tc>
          <w:tcPr>
            <w:tcW w:type="dxa" w:w="16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Philippe Delleur</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2015-06-24</w:t>
            </w:r>
          </w:p>
        </w:tc>
        <w:tc>
          <w:tcPr>
            <w:tcW w:type="dxa" w:w="10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 2027 (May 2027)</w:t>
            </w:r>
          </w:p>
        </w:tc>
        <w:tc>
          <w:tcPr>
            <w:tcW w:type="dxa" w:w="3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SVP Public Affairs, Alstom (joined 2006; President Alstom International 2011-2015); 23 years at French Ministry of Economy &amp; Finance; no offices outside the Group </w:t>
            </w:r>
            <w:hyperlink w:history="1" r:id="rIdfcwriuhm8if2-v2s-059w">
              <w:r>
                <w:rPr>
                  <w:rFonts w:ascii="Arial" w:cs="Arial" w:eastAsia="Arial" w:hAnsi="Arial"/>
                  <w:b w:val="false"/>
                  <w:bCs w:val="false"/>
                  <w:sz w:val="12"/>
                  <w:szCs w:val="12"/>
                </w:rPr>
                <w:t xml:space="preserve">[#1021]</w:t>
              </w:r>
            </w:hyperlink>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Michel Plantevin</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 per SB review of 10-Mar-2026 (CPP…</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2023-04-24/25 (co-opte…</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May 2029</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Angel investor; Managing Director, Bain Capital Private Equity Apr-2003 to Dec-2020 (London, then Boston), industry &amp; services focus </w:t>
            </w:r>
            <w:hyperlink w:history="1" r:id="rIddw9tbblglqpolq8tsnzh6">
              <w:r>
                <w:rPr>
                  <w:rFonts w:ascii="Arial" w:cs="Arial" w:eastAsia="Arial" w:hAnsi="Arial"/>
                  <w:b w:val="false"/>
                  <w:bCs w:val="false"/>
                  <w:sz w:val="12"/>
                  <w:szCs w:val="12"/>
                </w:rPr>
                <w:t xml:space="preserve">[#1034]</w:t>
              </w:r>
            </w:hyperlink>
          </w:p>
        </w:tc>
      </w:tr>
      <w:tr>
        <w:trPr>
          <w:cantSplit/>
        </w:trPr>
        <w:tc>
          <w:tcPr>
            <w:tcW w:type="dxa" w:w="16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Isabelle Wege (Adelt)</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independent</w:t>
            </w:r>
          </w:p>
        </w:tc>
        <w:tc>
          <w:tcPr>
            <w:tcW w:type="dxa" w:w="8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w:t>
            </w:r>
          </w:p>
        </w:tc>
        <w:tc>
          <w:tcPr>
            <w:tcW w:type="dxa" w:w="10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2028 (3-year term)</w:t>
            </w:r>
          </w:p>
        </w:tc>
        <w:tc>
          <w:tcPr>
            <w:tcW w:type="dxa" w:w="3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CFO and Executive Board member of Straumann Group since 1-Jul-2025; previously CFO of Fuchs (from 2022), Schenck Process (2019-2020), Zeiss (2012-2019), EY (2008) </w:t>
            </w:r>
            <w:hyperlink w:history="1" r:id="rIdrevtvr37_xyhulm301ug-">
              <w:r>
                <w:rPr>
                  <w:rFonts w:ascii="Arial" w:cs="Arial" w:eastAsia="Arial" w:hAnsi="Arial"/>
                  <w:b w:val="false"/>
                  <w:bCs w:val="false"/>
                  <w:sz w:val="12"/>
                  <w:szCs w:val="12"/>
                </w:rPr>
                <w:t xml:space="preserve">[#1041]</w:t>
              </w:r>
            </w:hyperlink>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Valérie Gandré</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 representing employees</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employee representative (not counted)</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2020-11-02</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2028</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Employee of the Group (details not indexed) </w:t>
            </w:r>
            <w:hyperlink w:history="1" r:id="rIdrickjedhwixd7ylw3wsuv">
              <w:r>
                <w:rPr>
                  <w:rFonts w:ascii="Arial" w:cs="Arial" w:eastAsia="Arial" w:hAnsi="Arial"/>
                  <w:b w:val="false"/>
                  <w:bCs w:val="false"/>
                  <w:sz w:val="12"/>
                  <w:szCs w:val="12"/>
                </w:rPr>
                <w:t xml:space="preserve">[#902]</w:t>
              </w:r>
            </w:hyperlink>
          </w:p>
        </w:tc>
      </w:tr>
      <w:tr>
        <w:trPr>
          <w:cantSplit/>
        </w:trPr>
        <w:tc>
          <w:tcPr>
            <w:tcW w:type="dxa" w:w="16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Philippe Beaudoux</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Member representing employees</w:t>
            </w:r>
          </w:p>
        </w:tc>
        <w:tc>
          <w:tcPr>
            <w:tcW w:type="dxa" w:w="129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employee representative (not counted)</w:t>
            </w:r>
          </w:p>
        </w:tc>
        <w:tc>
          <w:tcPr>
            <w:tcW w:type="dxa" w:w="8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2020-11-02</w:t>
            </w:r>
          </w:p>
        </w:tc>
        <w:tc>
          <w:tcPr>
            <w:tcW w:type="dxa" w:w="109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November 2028</w:t>
            </w:r>
          </w:p>
        </w:tc>
        <w:tc>
          <w:tcPr>
            <w:tcW w:type="dxa" w:w="359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Head of Human Resources at Elis (joined 1994 as HR manager for two production sites) </w:t>
            </w:r>
            <w:hyperlink w:history="1" r:id="rIdwe0vnctsjni-gyr_qde3n">
              <w:r>
                <w:rPr>
                  <w:rFonts w:ascii="Arial" w:cs="Arial" w:eastAsia="Arial" w:hAnsi="Arial"/>
                  <w:b w:val="false"/>
                  <w:bCs w:val="false"/>
                  <w:sz w:val="12"/>
                  <w:szCs w:val="12"/>
                </w:rPr>
                <w:t xml:space="preserve">[#963]</w:t>
              </w:r>
            </w:hyperlink>
          </w:p>
        </w:tc>
      </w:tr>
      <w:tr>
        <w:trPr>
          <w:cantSplit/>
        </w:trPr>
        <w:tc>
          <w:tcPr>
            <w:tcW w:type="dxa" w:w="16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Juan Gomez</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Censor (non-voting member)</w:t>
            </w:r>
          </w:p>
        </w:tc>
        <w:tc>
          <w:tcPr>
            <w:tcW w:type="dxa" w:w="129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 (non-voting)</w:t>
            </w:r>
          </w:p>
        </w:tc>
        <w:tc>
          <w:tcPr>
            <w:tcW w:type="dxa" w:w="8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2026-03-10</w:t>
            </w:r>
          </w:p>
        </w:tc>
        <w:tc>
          <w:tcPr>
            <w:tcW w:type="dxa" w:w="109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four-year term from 2026-0…</w:t>
            </w:r>
          </w:p>
        </w:tc>
        <w:tc>
          <w:tcPr>
            <w:tcW w:type="dxa" w:w="359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Background not indexed </w:t>
            </w:r>
            <w:hyperlink w:history="1" r:id="rIdzgcaofz3bql1njskvz1h7">
              <w:r>
                <w:rPr>
                  <w:rFonts w:ascii="Arial" w:cs="Arial" w:eastAsia="Arial" w:hAnsi="Arial"/>
                  <w:b w:val="false"/>
                  <w:bCs w:val="false"/>
                  <w:sz w:val="12"/>
                  <w:szCs w:val="12"/>
                </w:rPr>
                <w:t xml:space="preserve">[#929]</w:t>
              </w:r>
            </w:hyperlink>
          </w:p>
        </w:tc>
      </w:tr>
    </w:tbl>
    <w:p>
      <w:pPr>
        <w:spacing w:after="140" w:before="40"/>
      </w:pPr>
      <w:r>
        <w:rPr>
          <w:rFonts w:ascii="Arial" w:cs="Arial" w:eastAsia="Arial" w:hAnsi="Arial"/>
          <w:color w:val="898781"/>
          <w:sz w:val="14"/>
          <w:szCs w:val="14"/>
        </w:rPr>
        <w:t xml:space="preserve">Source: Elis URD 2025 and H1 2026 report via ProntoNLP (worker B, model/B_board.csv).</w:t>
      </w:r>
    </w:p>
    <w:p>
      <w:pPr>
        <w:pStyle w:val="Heading2"/>
        <w:keepNext/>
        <w:keepLines/>
        <w:spacing w:after="80" w:before="180"/>
      </w:pPr>
      <w:r>
        <w:rPr>
          <w:rFonts w:ascii="Arial" w:cs="Arial" w:eastAsia="Arial" w:hAnsi="Arial"/>
          <w:b/>
          <w:bCs/>
          <w:color w:val="13213F"/>
          <w:sz w:val="24"/>
          <w:szCs w:val="24"/>
        </w:rPr>
        <w:t xml:space="preserve">Changes over the last five years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9"/>
        <w:gridCol w:w="2436"/>
        <w:gridCol w:w="3654"/>
        <w:gridCol w:w="2437"/>
      </w:tblGrid>
      <w:tr>
        <w:trPr>
          <w:cantSplit/>
          <w:tblHeader/>
        </w:trPr>
        <w:tc>
          <w:tcPr>
            <w:tcW w:type="dxa" w:w="133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Date</w:t>
            </w:r>
          </w:p>
        </w:tc>
        <w:tc>
          <w:tcPr>
            <w:tcW w:type="dxa" w:w="243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Body</w:t>
            </w:r>
          </w:p>
        </w:tc>
        <w:tc>
          <w:tcPr>
            <w:tcW w:type="dxa" w:w="365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Who</w:t>
            </w:r>
          </w:p>
        </w:tc>
        <w:tc>
          <w:tcPr>
            <w:tcW w:type="dxa" w:w="243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Change</w:t>
            </w:r>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2021-05-20</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Anne-Laure Commault; Joy Verlé (CPPIB, Vice-Chair)</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 </w:t>
            </w:r>
            <w:hyperlink w:history="1" r:id="rIdjpcb8hezzocbkxgxrpx0o">
              <w:r>
                <w:rPr>
                  <w:rFonts w:ascii="Arial" w:cs="Arial" w:eastAsia="Arial" w:hAnsi="Arial"/>
                  <w:b w:val="false"/>
                  <w:bCs w:val="false"/>
                  <w:sz w:val="12"/>
                  <w:szCs w:val="12"/>
                </w:rPr>
                <w:t xml:space="preserve">[#527]</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2022-03-08</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 -&gt; Management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Xavier Martiré (Chairman), Louis Guyot, Matthieu Lecharny</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 decided </w:t>
            </w:r>
            <w:hyperlink w:history="1" r:id="rIdoyz6qpmxg36ej5dv68ovb">
              <w:r>
                <w:rPr>
                  <w:rFonts w:ascii="Arial" w:cs="Arial" w:eastAsia="Arial" w:hAnsi="Arial"/>
                  <w:b w:val="false"/>
                  <w:bCs w:val="false"/>
                  <w:sz w:val="12"/>
                  <w:szCs w:val="12"/>
                </w:rPr>
                <w:t xml:space="preserve">[#415]</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2022-05-19</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Antoine Burel</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 </w:t>
            </w:r>
            <w:hyperlink w:history="1" r:id="rIdd44itphxlfkejnk-svkms">
              <w:r>
                <w:rPr>
                  <w:rFonts w:ascii="Arial" w:cs="Arial" w:eastAsia="Arial" w:hAnsi="Arial"/>
                  <w:b w:val="false"/>
                  <w:bCs w:val="false"/>
                  <w:sz w:val="12"/>
                  <w:szCs w:val="12"/>
                </w:rPr>
                <w:t xml:space="preserve">[#121]</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2022-08-30</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Joy Verlé (CPPIB)</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resignation </w:t>
            </w:r>
            <w:hyperlink w:history="1" r:id="rIdi8w7jvcpzezxnfwv7tu2j">
              <w:r>
                <w:rPr>
                  <w:rFonts w:ascii="Arial" w:cs="Arial" w:eastAsia="Arial" w:hAnsi="Arial"/>
                  <w:b w:val="false"/>
                  <w:bCs w:val="false"/>
                  <w:sz w:val="12"/>
                  <w:szCs w:val="12"/>
                </w:rPr>
                <w:t xml:space="preserve">[#735]</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2022-09-05</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Management Board</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Martiré, Guyot, Lecharny</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new terms start </w:t>
            </w:r>
            <w:hyperlink w:history="1" r:id="rIdug0lkl4qgloqgrhuj4abp">
              <w:r>
                <w:rPr>
                  <w:rFonts w:ascii="Arial" w:cs="Arial" w:eastAsia="Arial" w:hAnsi="Arial"/>
                  <w:b w:val="false"/>
                  <w:bCs w:val="false"/>
                  <w:sz w:val="12"/>
                  <w:szCs w:val="12"/>
                </w:rPr>
                <w:t xml:space="preserve">[#415]</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2022-12-15</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Censor position; Antoine Burel</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censor created; committee change </w:t>
            </w:r>
            <w:hyperlink w:history="1" r:id="rIdqdela4rbbqcyfejmblbmm">
              <w:r>
                <w:rPr>
                  <w:rFonts w:ascii="Arial" w:cs="Arial" w:eastAsia="Arial" w:hAnsi="Arial"/>
                  <w:b w:val="false"/>
                  <w:bCs w:val="false"/>
                  <w:sz w:val="12"/>
                  <w:szCs w:val="12"/>
                </w:rPr>
                <w:t xml:space="preserve">[#735]</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2023-01</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Bpifrance Investissement</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censor </w:t>
            </w:r>
            <w:hyperlink w:history="1" r:id="rIdxfyb9rzn1ltcju9ymhpaq">
              <w:r>
                <w:rPr>
                  <w:rFonts w:ascii="Arial" w:cs="Arial" w:eastAsia="Arial" w:hAnsi="Arial"/>
                  <w:b w:val="false"/>
                  <w:bCs w:val="false"/>
                  <w:sz w:val="12"/>
                  <w:szCs w:val="12"/>
                </w:rPr>
                <w:t xml:space="preserve">[#133]</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2023-03-07</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Fabrice Barthélemy</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appointed Vice-Chairman </w:t>
            </w:r>
            <w:hyperlink w:history="1" r:id="rIdz5ga-vnd_ju3yra43qrg9">
              <w:r>
                <w:rPr>
                  <w:rFonts w:ascii="Arial" w:cs="Arial" w:eastAsia="Arial" w:hAnsi="Arial"/>
                  <w:b w:val="false"/>
                  <w:bCs w:val="false"/>
                  <w:sz w:val="12"/>
                  <w:szCs w:val="12"/>
                </w:rPr>
                <w:t xml:space="preserve">[#132]</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2023-04-25</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Michel Plantevin (CPPIB)</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co-optation </w:t>
            </w:r>
            <w:hyperlink w:history="1" r:id="rIdqwpq7cagjpmqrcdh7d3e7">
              <w:r>
                <w:rPr>
                  <w:rFonts w:ascii="Arial" w:cs="Arial" w:eastAsia="Arial" w:hAnsi="Arial"/>
                  <w:b w:val="false"/>
                  <w:bCs w:val="false"/>
                  <w:sz w:val="12"/>
                  <w:szCs w:val="12"/>
                </w:rPr>
                <w:t xml:space="preserve">[#134]</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2023-05-25</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Thierry Morin; Magali Chessé; Philippe Delleur; Bpifrance Investissement (Paul-Philippe Be…</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reappointments; appointment </w:t>
            </w:r>
            <w:hyperlink w:history="1" r:id="rIdky-ta3ntkskwd5c8tynk1">
              <w:r>
                <w:rPr>
                  <w:rFonts w:ascii="Arial" w:cs="Arial" w:eastAsia="Arial" w:hAnsi="Arial"/>
                  <w:b w:val="false"/>
                  <w:bCs w:val="false"/>
                  <w:sz w:val="12"/>
                  <w:szCs w:val="12"/>
                </w:rPr>
                <w:t xml:space="preserve">[#133]</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2023-10-26</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Alexis Martineau (BWGI)</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censor (inferred) </w:t>
            </w:r>
            <w:hyperlink w:history="1" r:id="rIdi1lhjmw6ntgr1xwc4ktsh">
              <w:r>
                <w:rPr>
                  <w:rFonts w:ascii="Arial" w:cs="Arial" w:eastAsia="Arial" w:hAnsi="Arial"/>
                  <w:b w:val="false"/>
                  <w:bCs w:val="false"/>
                  <w:sz w:val="12"/>
                  <w:szCs w:val="12"/>
                </w:rPr>
                <w:t xml:space="preserve">[#902]</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2023-12-14</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BWGI (Cécile Helme-Guizon) replacing Predica (Magali Chessé)</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co-optation </w:t>
            </w:r>
            <w:hyperlink w:history="1" r:id="rId6qadwu5ckkkjmipxa-5sv">
              <w:r>
                <w:rPr>
                  <w:rFonts w:ascii="Arial" w:cs="Arial" w:eastAsia="Arial" w:hAnsi="Arial"/>
                  <w:b w:val="false"/>
                  <w:bCs w:val="false"/>
                  <w:sz w:val="12"/>
                  <w:szCs w:val="12"/>
                </w:rPr>
                <w:t xml:space="preserve">[#6732]</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2024-05-23</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Amy Flikerski; Fabrice Barthélemy; BWGI</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reappointments; ratification </w:t>
            </w:r>
            <w:hyperlink w:history="1" r:id="rIdn6_iegg8obwo7261ayuuc">
              <w:r>
                <w:rPr>
                  <w:rFonts w:ascii="Arial" w:cs="Arial" w:eastAsia="Arial" w:hAnsi="Arial"/>
                  <w:b w:val="false"/>
                  <w:bCs w:val="false"/>
                  <w:sz w:val="12"/>
                  <w:szCs w:val="12"/>
                </w:rPr>
                <w:t xml:space="preserve">[#163]</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2024-10-16</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 (group works council)</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Valérie Gandré; Philippe Beaudoux</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renewal </w:t>
            </w:r>
            <w:hyperlink w:history="1" r:id="rIdxzeal5bp_-fe0hs0q6kpu">
              <w:r>
                <w:rPr>
                  <w:rFonts w:ascii="Arial" w:cs="Arial" w:eastAsia="Arial" w:hAnsi="Arial"/>
                  <w:b w:val="false"/>
                  <w:bCs w:val="false"/>
                  <w:sz w:val="12"/>
                  <w:szCs w:val="12"/>
                </w:rPr>
                <w:t xml:space="preserve">[#887]</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2024-12-17</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Thierry Morin (SB Chair pay); Management Board pay</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compensation decision </w:t>
            </w:r>
            <w:hyperlink w:history="1" r:id="rIdpfdn6aqm3h8rmmbknzirf">
              <w:r>
                <w:rPr>
                  <w:rFonts w:ascii="Arial" w:cs="Arial" w:eastAsia="Arial" w:hAnsi="Arial"/>
                  <w:b w:val="false"/>
                  <w:bCs w:val="false"/>
                  <w:sz w:val="12"/>
                  <w:szCs w:val="12"/>
                </w:rPr>
                <w:t xml:space="preserve">[#1543]</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Michel Plantevin; Anne-Laure Commault-Tingry</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 </w:t>
            </w:r>
            <w:hyperlink w:history="1" r:id="rIdrojinpuaw5be-rlci0-w4">
              <w:r>
                <w:rPr>
                  <w:rFonts w:ascii="Arial" w:cs="Arial" w:eastAsia="Arial" w:hAnsi="Arial"/>
                  <w:b w:val="false"/>
                  <w:bCs w:val="false"/>
                  <w:sz w:val="12"/>
                  <w:szCs w:val="12"/>
                </w:rPr>
                <w:t xml:space="preserve">[#921]</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BWSA (Alexis Martineau)</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appointment </w:t>
            </w:r>
            <w:hyperlink w:history="1" r:id="rId_elk_w7af1o2rax_gpfgg">
              <w:r>
                <w:rPr>
                  <w:rFonts w:ascii="Arial" w:cs="Arial" w:eastAsia="Arial" w:hAnsi="Arial"/>
                  <w:b w:val="false"/>
                  <w:bCs w:val="false"/>
                  <w:sz w:val="12"/>
                  <w:szCs w:val="12"/>
                </w:rPr>
                <w:t xml:space="preserve">[#921]</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Isabelle Wege (Adelt); Kelly Becker</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appointment </w:t>
            </w:r>
            <w:hyperlink w:history="1" r:id="rIdbdieavetsuesmr5bqjb-v">
              <w:r>
                <w:rPr>
                  <w:rFonts w:ascii="Arial" w:cs="Arial" w:eastAsia="Arial" w:hAnsi="Arial"/>
                  <w:b w:val="false"/>
                  <w:bCs w:val="false"/>
                  <w:sz w:val="12"/>
                  <w:szCs w:val="12"/>
                </w:rPr>
                <w:t xml:space="preserve">[#921]</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2025-05-22</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Florence Noblot</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non-reappointment </w:t>
            </w:r>
            <w:hyperlink w:history="1" r:id="rIdfyrr3pjexkuohe_wvzfbe">
              <w:r>
                <w:rPr>
                  <w:rFonts w:ascii="Arial" w:cs="Arial" w:eastAsia="Arial" w:hAnsi="Arial"/>
                  <w:b w:val="false"/>
                  <w:bCs w:val="false"/>
                  <w:sz w:val="12"/>
                  <w:szCs w:val="12"/>
                </w:rPr>
                <w:t xml:space="preserve">[#921]</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2025-06-05</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Bpifrance Investissement</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resignation </w:t>
            </w:r>
            <w:hyperlink w:history="1" r:id="rId_fsfxo2vjs3qnlw7bopmh">
              <w:r>
                <w:rPr>
                  <w:rFonts w:ascii="Arial" w:cs="Arial" w:eastAsia="Arial" w:hAnsi="Arial"/>
                  <w:b w:val="false"/>
                  <w:bCs w:val="false"/>
                  <w:sz w:val="12"/>
                  <w:szCs w:val="12"/>
                </w:rPr>
                <w:t xml:space="preserve">[#921]</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2026-02-18</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Amy Flikerski (CPPIB)</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resignation </w:t>
            </w:r>
            <w:hyperlink w:history="1" r:id="rIdymuzigstq_odlkfaaxqjj">
              <w:r>
                <w:rPr>
                  <w:rFonts w:ascii="Arial" w:cs="Arial" w:eastAsia="Arial" w:hAnsi="Arial"/>
                  <w:b w:val="false"/>
                  <w:bCs w:val="false"/>
                  <w:sz w:val="12"/>
                  <w:szCs w:val="12"/>
                </w:rPr>
                <w:t xml:space="preserve">[#6719]</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2026-03-10</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Juan Gomez</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censor appointed </w:t>
            </w:r>
            <w:hyperlink w:history="1" r:id="rIdyuj0tmvjw2irj1ppil_yj">
              <w:r>
                <w:rPr>
                  <w:rFonts w:ascii="Arial" w:cs="Arial" w:eastAsia="Arial" w:hAnsi="Arial"/>
                  <w:b w:val="false"/>
                  <w:bCs w:val="false"/>
                  <w:sz w:val="12"/>
                  <w:szCs w:val="12"/>
                </w:rPr>
                <w:t xml:space="preserve">[#929]</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2026-03-10</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Audit Committee</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Thierry Morin</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left committee </w:t>
            </w:r>
            <w:hyperlink w:history="1" r:id="rIdliefokiua3-psatr42v9_">
              <w:r>
                <w:rPr>
                  <w:rFonts w:ascii="Arial" w:cs="Arial" w:eastAsia="Arial" w:hAnsi="Arial"/>
                  <w:b w:val="false"/>
                  <w:bCs w:val="false"/>
                  <w:sz w:val="12"/>
                  <w:szCs w:val="12"/>
                </w:rPr>
                <w:t xml:space="preserve">[#921]</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2026-03-10</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 (independence review)</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Michel Plantevin</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reclassified independent </w:t>
            </w:r>
            <w:hyperlink w:history="1" r:id="rIdenuyospngighkg_1qr3c0">
              <w:r>
                <w:rPr>
                  <w:rFonts w:ascii="Arial" w:cs="Arial" w:eastAsia="Arial" w:hAnsi="Arial"/>
                  <w:b w:val="false"/>
                  <w:bCs w:val="false"/>
                  <w:sz w:val="12"/>
                  <w:szCs w:val="12"/>
                </w:rPr>
                <w:t xml:space="preserve">[#1065]</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2026-05-21</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AGM</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Antoine Burel</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 </w:t>
            </w:r>
            <w:hyperlink w:history="1" r:id="rId0vf1-2sud8tf1lyodujci">
              <w:r>
                <w:rPr>
                  <w:rFonts w:ascii="Arial" w:cs="Arial" w:eastAsia="Arial" w:hAnsi="Arial"/>
                  <w:b w:val="false"/>
                  <w:bCs w:val="false"/>
                  <w:sz w:val="12"/>
                  <w:szCs w:val="12"/>
                </w:rPr>
                <w:t xml:space="preserve">[#137]</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2026-06-03</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Supervisory Board -&gt; Management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Xavier Martiré; Louis Guyot; Yann Michel; Matthieu Lecharny</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reappointment / appointment / departure decided </w:t>
            </w:r>
            <w:hyperlink w:history="1" r:id="rId0_mijbqmkn0ga8gqtswig">
              <w:r>
                <w:rPr>
                  <w:rFonts w:ascii="Arial" w:cs="Arial" w:eastAsia="Arial" w:hAnsi="Arial"/>
                  <w:b w:val="false"/>
                  <w:bCs w:val="false"/>
                  <w:sz w:val="12"/>
                  <w:szCs w:val="12"/>
                </w:rPr>
                <w:t xml:space="preserve">[#139]</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2026-07-01</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Executive Committee</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Yann Michel; Otavio Carvalho; Bruno Komly; François-David Tourneur; Andreas Schneider</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reorganisation </w:t>
            </w:r>
            <w:hyperlink w:history="1" r:id="rIdouoyfifoibsakkmdzizmk">
              <w:r>
                <w:rPr>
                  <w:rFonts w:ascii="Arial" w:cs="Arial" w:eastAsia="Arial" w:hAnsi="Arial"/>
                  <w:b w:val="false"/>
                  <w:bCs w:val="false"/>
                  <w:sz w:val="12"/>
                  <w:szCs w:val="12"/>
                </w:rPr>
                <w:t xml:space="preserve">[#142]</w:t>
              </w:r>
            </w:hyperlink>
          </w:p>
        </w:tc>
      </w:tr>
      <w:tr>
        <w:trPr>
          <w:cantSplit/>
        </w:trPr>
        <w:tc>
          <w:tcPr>
            <w:tcW w:type="dxa" w:w="133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2026-09-05</w:t>
            </w:r>
          </w:p>
        </w:tc>
        <w:tc>
          <w:tcPr>
            <w:tcW w:type="dxa" w:w="24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Management Board</w:t>
            </w:r>
          </w:p>
        </w:tc>
        <w:tc>
          <w:tcPr>
            <w:tcW w:type="dxa" w:w="36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Martiré; Guyot; Yann Michel; Lecharny</w:t>
            </w:r>
          </w:p>
        </w:tc>
        <w:tc>
          <w:tcPr>
            <w:tcW w:type="dxa" w:w="24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new terms start / term ends </w:t>
            </w:r>
            <w:hyperlink w:history="1" r:id="rId-4h4xlkucq6u8wktijwk0">
              <w:r>
                <w:rPr>
                  <w:rFonts w:ascii="Arial" w:cs="Arial" w:eastAsia="Arial" w:hAnsi="Arial"/>
                  <w:b w:val="false"/>
                  <w:bCs w:val="false"/>
                  <w:sz w:val="12"/>
                  <w:szCs w:val="12"/>
                </w:rPr>
                <w:t xml:space="preserve">[#139]</w:t>
              </w:r>
            </w:hyperlink>
          </w:p>
        </w:tc>
      </w:tr>
      <w:tr>
        <w:trPr>
          <w:cantSplit/>
        </w:trPr>
        <w:tc>
          <w:tcPr>
            <w:tcW w:type="dxa" w:w="133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2026-12-31 (planned)</w:t>
            </w:r>
          </w:p>
        </w:tc>
        <w:tc>
          <w:tcPr>
            <w:tcW w:type="dxa" w:w="24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Group</w:t>
            </w:r>
          </w:p>
        </w:tc>
        <w:tc>
          <w:tcPr>
            <w:tcW w:type="dxa" w:w="36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Matthieu Lecharny</w:t>
            </w:r>
          </w:p>
        </w:tc>
        <w:tc>
          <w:tcPr>
            <w:tcW w:type="dxa" w:w="24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planned departure </w:t>
            </w:r>
            <w:hyperlink w:history="1" r:id="rIds56xs4xfcqvtjtokmgi_c">
              <w:r>
                <w:rPr>
                  <w:rFonts w:ascii="Arial" w:cs="Arial" w:eastAsia="Arial" w:hAnsi="Arial"/>
                  <w:b w:val="false"/>
                  <w:bCs w:val="false"/>
                  <w:sz w:val="12"/>
                  <w:szCs w:val="12"/>
                </w:rPr>
                <w:t xml:space="preserve">[#142]</w:t>
              </w:r>
            </w:hyperlink>
          </w:p>
        </w:tc>
      </w:tr>
    </w:tbl>
    <w:p>
      <w:pPr>
        <w:spacing w:after="100"/>
      </w:pPr>
    </w:p>
    <w:p>
      <w:pPr>
        <w:spacing w:after="100" w:before="0" w:line="264"/>
        <w:jc w:val="left"/>
      </w:pPr>
      <w:r>
        <w:rPr>
          <w:rFonts w:ascii="Arial" w:cs="Arial" w:eastAsia="Arial" w:hAnsi="Arial"/>
          <w:sz w:val="19"/>
          <w:szCs w:val="19"/>
        </w:rPr>
        <w:t xml:space="preserve">Read-across:</w:t>
      </w:r>
      <w:r>
        <w:rPr>
          <w:rFonts w:ascii="Arial" w:cs="Arial" w:eastAsia="Arial" w:hAnsi="Arial"/>
          <w:sz w:val="19"/>
          <w:szCs w:val="19"/>
        </w:rPr>
        <w:t xml:space="preserve"> the board has shifted from representatives of CPP Investments, Predica (Crédit Agricole) and Bpifrance to the Moreira Salles family (BWGI and BWSA hold two seats plus a censor), while CPPIB's last representative resigned in Feb-2026. Long tenures (Chair Thierry Morin since 2014, Philippe Delleur since 2015) are a governance watch-point; the 2025 additions (Isabelle Wege, CFO of Straumann; Kelly Becker of Schneider Electric) strengthened finance and international experience.</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15. Shareholders, activism and short interest</w:t>
      </w:r>
    </w:p>
    <w:p>
      <w:pPr>
        <w:spacing w:after="100" w:before="0" w:line="264"/>
        <w:jc w:val="left"/>
      </w:pPr>
      <w:r>
        <w:rPr>
          <w:rFonts w:ascii="Arial" w:cs="Arial" w:eastAsia="Arial" w:hAnsi="Arial"/>
          <w:sz w:val="19"/>
          <w:szCs w:val="19"/>
        </w:rPr>
        <w:t xml:space="preserve">Elis does not publish a full top-10 register in indexed text; the table below combines the last ownership table (30-Jun-2024), threshold declarations to the AMF through Jul-2026 and the Feb-2026 block trade [calc]. Share capital 232,848,588 shares; ~16.9m treasury shares at 30-Jun-2026 (7.3%) [calc].</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
        <w:gridCol w:w="2728"/>
        <w:gridCol w:w="1679"/>
        <w:gridCol w:w="2518"/>
        <w:gridCol w:w="2522"/>
      </w:tblGrid>
      <w:tr>
        <w:trPr>
          <w:cantSplit/>
          <w:tblHeader/>
        </w:trPr>
        <w:tc>
          <w:tcPr>
            <w:tcW w:type="dxa" w:w="41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center"/>
            </w:pPr>
            <w:r>
              <w:rPr>
                <w:rFonts w:ascii="Arial" w:cs="Arial" w:eastAsia="Arial" w:hAnsi="Arial"/>
                <w:b/>
                <w:bCs/>
                <w:color w:val="FFFFFF"/>
                <w:sz w:val="14"/>
                <w:szCs w:val="14"/>
              </w:rPr>
              <w:t xml:space="preserve">#</w:t>
            </w:r>
          </w:p>
        </w:tc>
        <w:tc>
          <w:tcPr>
            <w:tcW w:type="dxa" w:w="272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Holder</w:t>
            </w:r>
          </w:p>
        </w:tc>
        <w:tc>
          <w:tcPr>
            <w:tcW w:type="dxa" w:w="167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Type</w:t>
            </w:r>
          </w:p>
        </w:tc>
        <w:tc>
          <w:tcPr>
            <w:tcW w:type="dxa" w:w="251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Latest indication</w:t>
            </w:r>
          </w:p>
        </w:tc>
        <w:tc>
          <w:tcPr>
            <w:tcW w:type="dxa" w:w="2522"/>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4"/>
                <w:szCs w:val="14"/>
              </w:rPr>
              <w:t xml:space="preserve">Change</w:t>
            </w:r>
          </w:p>
        </w:tc>
      </w:tr>
      <w:tr>
        <w:trPr>
          <w:cantSplit/>
        </w:trPr>
        <w:tc>
          <w:tcPr>
            <w:tcW w:type="dxa" w:w="41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1</w:t>
            </w:r>
          </w:p>
        </w:tc>
        <w:tc>
          <w:tcPr>
            <w:tcW w:type="dxa" w:w="2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BWSA / BWGI (Moreira Salles family, Brazil) via Kaon E and Kaon V funds</w:t>
            </w:r>
          </w:p>
        </w:tc>
        <w:tc>
          <w:tcPr>
            <w:tcW w:type="dxa" w:w="16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Strategic family holding; 2 SB seats</w:t>
            </w:r>
          </w:p>
        </w:tc>
        <w:tc>
          <w:tcPr>
            <w:tcW w:type="dxa" w:w="25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≥18.3% of capital; ~20% of voting rights (above 20% since 18-Jun-2026)</w:t>
            </w:r>
          </w:p>
        </w:tc>
        <w:tc>
          <w:tcPr>
            <w:tcW w:type="dxa" w:w="25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Entered Oct-2023 (bought Predica stake); bought 7.0m shares from CPPIB at €25.00 on 6-Feb-2026; 25% standstill for 10 years</w:t>
            </w:r>
          </w:p>
        </w:tc>
      </w:tr>
      <w:tr>
        <w:trPr>
          <w:cantSplit/>
        </w:trPr>
        <w:tc>
          <w:tcPr>
            <w:tcW w:type="dxa" w:w="41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2</w:t>
            </w:r>
          </w:p>
        </w:tc>
        <w:tc>
          <w:tcPr>
            <w:tcW w:type="dxa" w:w="2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Invesco Ltd</w:t>
            </w:r>
          </w:p>
        </w:tc>
        <w:tc>
          <w:tcPr>
            <w:tcW w:type="dxa" w:w="16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Institutional (asset manager)</w:t>
            </w:r>
          </w:p>
        </w:tc>
        <w:tc>
          <w:tcPr>
            <w:tcW w:type="dxa" w:w="25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&gt;10% of capital (16-Jul-2026)</w:t>
            </w:r>
          </w:p>
        </w:tc>
        <w:tc>
          <w:tcPr>
            <w:tcW w:type="dxa" w:w="25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Crossed 5% Nov-2025, 10% Jul-2026</w:t>
            </w:r>
          </w:p>
        </w:tc>
      </w:tr>
      <w:tr>
        <w:trPr>
          <w:cantSplit/>
        </w:trPr>
        <w:tc>
          <w:tcPr>
            <w:tcW w:type="dxa" w:w="41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3</w:t>
            </w:r>
          </w:p>
        </w:tc>
        <w:tc>
          <w:tcPr>
            <w:tcW w:type="dxa" w:w="2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Treasury shares (Elis)</w:t>
            </w:r>
          </w:p>
        </w:tc>
        <w:tc>
          <w:tcPr>
            <w:tcW w:type="dxa" w:w="16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Company</w:t>
            </w:r>
          </w:p>
        </w:tc>
        <w:tc>
          <w:tcPr>
            <w:tcW w:type="dxa" w:w="25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~16.9m (7.3%) at 30-Jun-2026</w:t>
            </w:r>
          </w:p>
        </w:tc>
        <w:tc>
          <w:tcPr>
            <w:tcW w:type="dxa" w:w="25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From the €500m 2026 buyback; earmarked for OCEANE conversion</w:t>
            </w:r>
          </w:p>
        </w:tc>
      </w:tr>
      <w:tr>
        <w:trPr>
          <w:cantSplit/>
        </w:trPr>
        <w:tc>
          <w:tcPr>
            <w:tcW w:type="dxa" w:w="41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4</w:t>
            </w:r>
          </w:p>
        </w:tc>
        <w:tc>
          <w:tcPr>
            <w:tcW w:type="dxa" w:w="2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Wellington Management</w:t>
            </w:r>
          </w:p>
        </w:tc>
        <w:tc>
          <w:tcPr>
            <w:tcW w:type="dxa" w:w="16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Institutional</w:t>
            </w:r>
          </w:p>
        </w:tc>
        <w:tc>
          <w:tcPr>
            <w:tcW w:type="dxa" w:w="25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~5% (around the threshold)</w:t>
            </w:r>
          </w:p>
        </w:tc>
        <w:tc>
          <w:tcPr>
            <w:tcW w:type="dxa" w:w="25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Crossed 5% up/down several times 2025–26</w:t>
            </w:r>
          </w:p>
        </w:tc>
      </w:tr>
      <w:tr>
        <w:trPr>
          <w:cantSplit/>
        </w:trPr>
        <w:tc>
          <w:tcPr>
            <w:tcW w:type="dxa" w:w="41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5</w:t>
            </w:r>
          </w:p>
        </w:tc>
        <w:tc>
          <w:tcPr>
            <w:tcW w:type="dxa" w:w="2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CPP Investments</w:t>
            </w:r>
          </w:p>
        </w:tc>
        <w:tc>
          <w:tcPr>
            <w:tcW w:type="dxa" w:w="16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Pension fund</w:t>
            </w:r>
          </w:p>
        </w:tc>
        <w:tc>
          <w:tcPr>
            <w:tcW w:type="dxa" w:w="25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&lt;5% (21-Jul-2026)</w:t>
            </w:r>
          </w:p>
        </w:tc>
        <w:tc>
          <w:tcPr>
            <w:tcW w:type="dxa" w:w="25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Anchor since 2017 (Berendsen financing); 11.9% in 2025 → exit in progress</w:t>
            </w:r>
          </w:p>
        </w:tc>
      </w:tr>
      <w:tr>
        <w:trPr>
          <w:cantSplit/>
        </w:trPr>
        <w:tc>
          <w:tcPr>
            <w:tcW w:type="dxa" w:w="41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6</w:t>
            </w:r>
          </w:p>
        </w:tc>
        <w:tc>
          <w:tcPr>
            <w:tcW w:type="dxa" w:w="272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Employees and executives (FCPE, direct, vested PS)</w:t>
            </w:r>
          </w:p>
        </w:tc>
        <w:tc>
          <w:tcPr>
            <w:tcW w:type="dxa" w:w="167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Insiders</w:t>
            </w:r>
          </w:p>
        </w:tc>
        <w:tc>
          <w:tcPr>
            <w:tcW w:type="dxa" w:w="251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~3.0% of capital</w:t>
            </w:r>
          </w:p>
        </w:tc>
        <w:tc>
          <w:tcPr>
            <w:tcW w:type="dxa" w:w="2522"/>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Stable; board &amp; management &lt;1%</w:t>
            </w:r>
          </w:p>
        </w:tc>
      </w:tr>
      <w:tr>
        <w:trPr>
          <w:cantSplit/>
        </w:trPr>
        <w:tc>
          <w:tcPr>
            <w:tcW w:type="dxa" w:w="41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4"/>
                <w:szCs w:val="14"/>
              </w:rPr>
              <w:t xml:space="preserve">7–10</w:t>
            </w:r>
          </w:p>
        </w:tc>
        <w:tc>
          <w:tcPr>
            <w:tcW w:type="dxa" w:w="272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Other institutions (e.g. Ameriprise, FMR in earlier registers)</w:t>
            </w:r>
          </w:p>
        </w:tc>
        <w:tc>
          <w:tcPr>
            <w:tcW w:type="dxa" w:w="167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Institutional</w:t>
            </w:r>
          </w:p>
        </w:tc>
        <w:tc>
          <w:tcPr>
            <w:tcW w:type="dxa" w:w="251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Below 5% — not disclosed</w:t>
            </w:r>
          </w:p>
        </w:tc>
        <w:tc>
          <w:tcPr>
            <w:tcW w:type="dxa" w:w="2522"/>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4"/>
                <w:szCs w:val="14"/>
              </w:rPr>
              <w:t xml:space="preserve">Bpifrance (Lac1) exited 2025</w:t>
            </w:r>
          </w:p>
        </w:tc>
      </w:tr>
    </w:tbl>
    <w:p>
      <w:pPr>
        <w:spacing w:after="140" w:before="40"/>
      </w:pPr>
      <w:r>
        <w:rPr>
          <w:rFonts w:ascii="Arial" w:cs="Arial" w:eastAsia="Arial" w:hAnsi="Arial"/>
          <w:color w:val="898781"/>
          <w:sz w:val="14"/>
          <w:szCs w:val="14"/>
        </w:rPr>
        <w:t xml:space="preserve">Source: Elis URD 2024/2025, H1 2026 report and AMF declarations as reported via ProntoNLP (worker B, model/B_shareholders.csv) — e.g. </w:t>
      </w:r>
      <w:hyperlink w:history="1" r:id="rIdngmnqk0tc2gcwqf5hsnv1">
        <w:r>
          <w:rPr>
            <w:rFonts w:ascii="Arial" w:cs="Arial" w:eastAsia="Arial" w:hAnsi="Arial"/>
            <w:color w:val="898781"/>
            <w:sz w:val="12"/>
            <w:szCs w:val="12"/>
          </w:rPr>
          <w:t xml:space="preserve">[#6701]</w:t>
        </w:r>
      </w:hyperlink>
      <w:r>
        <w:rPr>
          <w:rFonts w:ascii="Arial" w:cs="Arial" w:eastAsia="Arial" w:hAnsi="Arial"/>
          <w:color w:val="898781"/>
          <w:sz w:val="14"/>
          <w:szCs w:val="14"/>
        </w:rPr>
        <w:t xml:space="preserve"> </w:t>
      </w:r>
      <w:hyperlink w:history="1" r:id="rIdv4fyzbqof3kafcbfw8pac">
        <w:r>
          <w:rPr>
            <w:rFonts w:ascii="Arial" w:cs="Arial" w:eastAsia="Arial" w:hAnsi="Arial"/>
            <w:color w:val="898781"/>
            <w:sz w:val="12"/>
            <w:szCs w:val="12"/>
          </w:rPr>
          <w:t xml:space="preserve">[#166]</w:t>
        </w:r>
      </w:hyperlink>
      <w:r>
        <w:rPr>
          <w:rFonts w:ascii="Arial" w:cs="Arial" w:eastAsia="Arial" w:hAnsi="Arial"/>
          <w:color w:val="898781"/>
          <w:sz w:val="14"/>
          <w:szCs w:val="14"/>
        </w:rPr>
        <w:t xml:space="preserve"> </w:t>
      </w:r>
      <w:hyperlink w:history="1" r:id="rIdwg66tarbs9brwpds-xggl">
        <w:r>
          <w:rPr>
            <w:rFonts w:ascii="Arial" w:cs="Arial" w:eastAsia="Arial" w:hAnsi="Arial"/>
            <w:color w:val="898781"/>
            <w:sz w:val="12"/>
            <w:szCs w:val="12"/>
          </w:rPr>
          <w:t xml:space="preserve">[#167]</w:t>
        </w:r>
      </w:hyperlink>
      <w:r>
        <w:rPr>
          <w:rFonts w:ascii="Arial" w:cs="Arial" w:eastAsia="Arial" w:hAnsi="Arial"/>
          <w:color w:val="898781"/>
          <w:sz w:val="14"/>
          <w:szCs w:val="14"/>
        </w:rPr>
        <w:t xml:space="preserve">. A complete top-10 list with percentages is not available in permitted sources.</w:t>
      </w:r>
    </w:p>
    <w:p>
      <w:pPr>
        <w:pStyle w:val="Heading2"/>
        <w:keepNext/>
        <w:keepLines/>
        <w:spacing w:after="80" w:before="180"/>
      </w:pPr>
      <w:r>
        <w:rPr>
          <w:rFonts w:ascii="Arial" w:cs="Arial" w:eastAsia="Arial" w:hAnsi="Arial"/>
          <w:b/>
          <w:bCs/>
          <w:color w:val="13213F"/>
          <w:sz w:val="24"/>
          <w:szCs w:val="24"/>
        </w:rPr>
        <w:t xml:space="preserve">Activism</w:t>
      </w:r>
    </w:p>
    <w:p>
      <w:pPr>
        <w:spacing w:after="100" w:before="0" w:line="264"/>
        <w:jc w:val="left"/>
      </w:pPr>
      <w:r>
        <w:rPr>
          <w:rFonts w:ascii="Arial" w:cs="Arial" w:eastAsia="Arial" w:hAnsi="Arial"/>
          <w:sz w:val="19"/>
          <w:szCs w:val="19"/>
        </w:rPr>
        <w:t xml:space="preserve">No activist campaign has been launched against Elis</w:t>
      </w:r>
      <w:r>
        <w:rPr>
          <w:rFonts w:ascii="Arial" w:cs="Arial" w:eastAsia="Arial" w:hAnsi="Arial"/>
          <w:sz w:val="19"/>
          <w:szCs w:val="19"/>
        </w:rPr>
        <w:t xml:space="preserve"> in the period covered by permitted sources: searches of filings and transcripts for activist letters, shareholder proposals, contested resolutions and proxy fights returned nothing beyond the 70% vote on the 2025 executive pay policy. The closest thing to an "activist" is the strategic accumulation by BWSA/BWGI — a long-term family investor with board seats, not a campaign — and the company's own 2025 pivot to returning cash, which management framed around the "valuation disconnect" </w:t>
      </w:r>
      <w:hyperlink w:history="1" r:id="rIdxhir5xlg2zmv0hwrbnsxc">
        <w:r>
          <w:rPr>
            <w:rFonts w:ascii="Arial" w:cs="Arial" w:eastAsia="Arial" w:hAnsi="Arial"/>
            <w:sz w:val="15"/>
            <w:szCs w:val="15"/>
          </w:rPr>
          <w:t xml:space="preserve">[#358]</w:t>
        </w:r>
      </w:hyperlink>
      <w:r>
        <w:rPr>
          <w:rFonts w:ascii="Arial" w:cs="Arial" w:eastAsia="Arial" w:hAnsi="Arial"/>
          <w:sz w:val="19"/>
          <w:szCs w:val="19"/>
        </w:rPr>
        <w:t xml:space="preserve">.</w:t>
      </w:r>
    </w:p>
    <w:p>
      <w:pPr>
        <w:pStyle w:val="Heading2"/>
        <w:keepNext/>
        <w:keepLines/>
        <w:spacing w:after="80" w:before="180"/>
      </w:pPr>
      <w:r>
        <w:rPr>
          <w:rFonts w:ascii="Arial" w:cs="Arial" w:eastAsia="Arial" w:hAnsi="Arial"/>
          <w:b/>
          <w:bCs/>
          <w:color w:val="13213F"/>
          <w:sz w:val="24"/>
          <w:szCs w:val="24"/>
        </w:rPr>
        <w:t xml:space="preserve">Short interest</w:t>
      </w:r>
    </w:p>
    <w:p>
      <w:pPr>
        <w:spacing w:after="100" w:before="0" w:line="264"/>
        <w:jc w:val="left"/>
      </w:pPr>
      <w:r>
        <w:rPr>
          <w:rFonts w:ascii="Arial" w:cs="Arial" w:eastAsia="Arial" w:hAnsi="Arial"/>
          <w:sz w:val="19"/>
          <w:szCs w:val="19"/>
        </w:rPr>
        <w:t xml:space="preserve">Not available in S&amp;P Capital IQ or ProntoNLP.</w:t>
      </w:r>
      <w:r>
        <w:rPr>
          <w:rFonts w:ascii="Arial" w:cs="Arial" w:eastAsia="Arial" w:hAnsi="Arial"/>
          <w:sz w:val="19"/>
          <w:szCs w:val="19"/>
        </w:rPr>
        <w:t xml:space="preserve"> No disclosed net short positions or securities-lending data were found. Structurally, the OCEANE 2029 (€380m, 23.8m underlying shares) implies convertible-arbitrage short positions; these should unwind as the bond is called and converted. We recommend checking the AMF short-position register and lending data before sizing.</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16. Strategic initiatives over the last ten years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
        <w:gridCol w:w="1909"/>
        <w:gridCol w:w="2546"/>
        <w:gridCol w:w="3394"/>
        <w:gridCol w:w="1063"/>
      </w:tblGrid>
      <w:tr>
        <w:trPr>
          <w:cantSplit/>
          <w:tblHeader/>
        </w:trPr>
        <w:tc>
          <w:tcPr>
            <w:tcW w:type="dxa" w:w="95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Period</w:t>
            </w:r>
          </w:p>
        </w:tc>
        <w:tc>
          <w:tcPr>
            <w:tcW w:type="dxa" w:w="1909"/>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Initiative</w:t>
            </w:r>
          </w:p>
        </w:tc>
        <w:tc>
          <w:tcPr>
            <w:tcW w:type="dxa" w:w="254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Objective / targets</w:t>
            </w:r>
          </w:p>
        </w:tc>
        <w:tc>
          <w:tcPr>
            <w:tcW w:type="dxa" w:w="339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Outcome to date</w:t>
            </w:r>
          </w:p>
        </w:tc>
        <w:tc>
          <w:tcPr>
            <w:tcW w:type="dxa" w:w="106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Verdict</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2016-2017</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Transformational M&amp;A (Indusal, Lavebras, Berendsen)</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Pan-European + LatAm leadership; scale; diversification; Group revenue from c.EUR1.5bn to &gt;EUR3bn; combined &gt;EUR3bn revenue / EUR1bn EBITDA</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ROCE from 9% (2018, first year after the mergers) to nearly 14% in 2023 (FY2023 call chart); management: EPS growth every year 'including when we made some major acquisitions' (2016-17) </w:t>
            </w:r>
            <w:hyperlink w:history="1" r:id="rIdi5cfgfczdwgfjifwah0qr">
              <w:r>
                <w:rPr>
                  <w:rFonts w:ascii="Arial" w:cs="Arial" w:eastAsia="Arial" w:hAnsi="Arial"/>
                  <w:b w:val="false"/>
                  <w:bCs w:val="false"/>
                  <w:sz w:val="12"/>
                  <w:szCs w:val="12"/>
                </w:rPr>
                <w:t xml:space="preserve">[#203]</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Mixed</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2017-2020</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Berendsen integration and synergies</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Synergies &gt;=EUR80m p.a. by 2020; EUR60m opex + EUR20m capex; EUR50m in 2018</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EUR50m cumulative at end-2018; 'clear success' (Mar-2020); UK turnaround very well advanced, UK&amp;I margin +40bp in 2020; final 2020 synergy tally not found </w:t>
            </w:r>
            <w:hyperlink w:history="1" r:id="rId6a2sp278amd-qxckrledy">
              <w:r>
                <w:rPr>
                  <w:rFonts w:ascii="Arial" w:cs="Arial" w:eastAsia="Arial" w:hAnsi="Arial"/>
                  <w:b w:val="false"/>
                  <w:bCs w:val="false"/>
                  <w:sz w:val="12"/>
                  <w:szCs w:val="12"/>
                </w:rPr>
                <w:t xml:space="preserve">[#1050]</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2015-2026</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Bolt-on acquisition programme</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Network density, market share (link to margin), capacity, new services; Budget EUR50-150m per year; 2025: EUR108m for EUR91m revenue (&lt;1.2x sales, c.5x EBITDA pre-synergi…</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22 deals in 2025 ('record year'); little to no impact on leverage </w:t>
            </w:r>
            <w:hyperlink w:history="1" r:id="rId3k_cjtblnnobnenvkonu8">
              <w:r>
                <w:rPr>
                  <w:rFonts w:ascii="Arial" w:cs="Arial" w:eastAsia="Arial" w:hAnsi="Arial"/>
                  <w:b w:val="false"/>
                  <w:bCs w:val="false"/>
                  <w:sz w:val="12"/>
                  <w:szCs w:val="12"/>
                </w:rPr>
                <w:t xml:space="preserve">[#172]</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2014-2022</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Latin America expansion</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High-growth, low-outsourcing markets; Brazil EBITDA margin nearly 22% (2016) -&gt; nearly 36% (2021); Mexico 2021 EBITDA margin c.38%</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Brazil margin above group; Mexico accretive; H1-2026 Mexico volume loss </w:t>
            </w:r>
            <w:hyperlink w:history="1" r:id="rIdd7miblnywxqd1b_0brab6">
              <w:r>
                <w:rPr>
                  <w:rFonts w:ascii="Arial" w:cs="Arial" w:eastAsia="Arial" w:hAnsi="Arial"/>
                  <w:b w:val="false"/>
                  <w:bCs w:val="false"/>
                  <w:sz w:val="12"/>
                  <w:szCs w:val="12"/>
                </w:rPr>
                <w:t xml:space="preserve">[#220]</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 now volatile</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2019</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Disposal of Clinical Solutions</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Portfolio focus; S&amp;P divestitures FY2019 EUR30.0m</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Completed by 31-Dec-2019 </w:t>
            </w:r>
            <w:hyperlink w:history="1" r:id="rIdxdkhsyszd41gdtw4zyhrj">
              <w:r>
                <w:rPr>
                  <w:rFonts w:ascii="Arial" w:cs="Arial" w:eastAsia="Arial" w:hAnsi="Arial"/>
                  <w:b w:val="false"/>
                  <w:bCs w:val="false"/>
                  <w:sz w:val="12"/>
                  <w:szCs w:val="12"/>
                </w:rPr>
                <w:t xml:space="preserve">[#2416]</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Done</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Covid-19 crisis response</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Protect liquidity and cash; Organic revenue -15% H1-2020, -27% Q2-2020; liquidity EUR1.1bn (Apr-2020); one-offs EUR22m (Covid) + EUR33m (restructuring) + EUR5m (acquisiti…</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2020: EBITDA margin improved and record free cash flow (FY2020 call) </w:t>
            </w:r>
            <w:hyperlink w:history="1" r:id="rIdvqo-xsp1xazxyoeaoep7b">
              <w:r>
                <w:rPr>
                  <w:rFonts w:ascii="Arial" w:cs="Arial" w:eastAsia="Arial" w:hAnsi="Arial"/>
                  <w:b w:val="false"/>
                  <w:bCs w:val="false"/>
                  <w:sz w:val="12"/>
                  <w:szCs w:val="12"/>
                </w:rPr>
                <w:t xml:space="preserve">[#16]</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2021-2025</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Deleveraging and investment-grade ratings</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Investment grade; lower funding cost; Leverage 3.0x (2021) -&gt; 2.5x (2022) -&gt; 2.0x (2023) -&gt; 1.85x (2024) -&gt; 1.75x (2025); 2.09x (Jun-2026); ~1.65x target YE2026</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S&amp;P BBB- (Nov-2023); DBRS BBB (Mar-2024); Moody's Baa3 (Nov-2024) </w:t>
            </w:r>
            <w:hyperlink w:history="1" r:id="rIdye06hu7femmvzlqizisg5">
              <w:r>
                <w:rPr>
                  <w:rFonts w:ascii="Arial" w:cs="Arial" w:eastAsia="Arial" w:hAnsi="Arial"/>
                  <w:b w:val="false"/>
                  <w:bCs w:val="false"/>
                  <w:sz w:val="12"/>
                  <w:szCs w:val="12"/>
                </w:rPr>
                <w:t xml:space="preserve">[#19]</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2022-2026</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Pricing / inflation pass-through</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Offset cost inflation (energy, wages); Price rises Oct-2022 and Jan-2023; strongest in Germany and UK</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FY2025: pricing adjustments offset cost inflation; minimum-wage inflation harder to pass on immediately; exposure to spot energy price </w:t>
            </w:r>
            <w:hyperlink w:history="1" r:id="rId-juj7ksqfdb3pl7tmtakp">
              <w:r>
                <w:rPr>
                  <w:rFonts w:ascii="Arial" w:cs="Arial" w:eastAsia="Arial" w:hAnsi="Arial"/>
                  <w:b w:val="false"/>
                  <w:bCs w:val="false"/>
                  <w:sz w:val="12"/>
                  <w:szCs w:val="12"/>
                </w:rPr>
                <w:t xml:space="preserve">[#30]</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2022-2025</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GLAD route optimisation software</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Logistics productivity; 1-2% yearly savings on logistic costs where implemented; c.3,700 routes monitored by 2025</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Roll-out started Jan-2022 </w:t>
            </w:r>
            <w:hyperlink w:history="1" r:id="rIdtxzci8hj9znijjwnhaqhu">
              <w:r>
                <w:rPr>
                  <w:rFonts w:ascii="Arial" w:cs="Arial" w:eastAsia="Arial" w:hAnsi="Arial"/>
                  <w:b w:val="false"/>
                  <w:bCs w:val="false"/>
                  <w:sz w:val="12"/>
                  <w:szCs w:val="12"/>
                </w:rPr>
                <w:t xml:space="preserve">[#108]</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Ongoing</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2023-2030</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Climate / CSR targets (Special Call 4-Sep-2023)</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Decarbonisation; differentiation in tenders; Scope 1&amp;2 -47.5%, Scope 3 -28% by 2030; &gt;=1,000 EVs by 2030; absolute CO2 -17.5% 2019-2022 achieved; CO2/kg target -20% by 20…</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2030 climate goals factored into sustainability-linked RCF margin (Dec-2023); M&amp;A not blocked by CSR (screening only) </w:t>
            </w:r>
            <w:hyperlink w:history="1" r:id="rIdk_tjvzvcjv7gcjjkzm3wk">
              <w:r>
                <w:rPr>
                  <w:rFonts w:ascii="Arial" w:cs="Arial" w:eastAsia="Arial" w:hAnsi="Arial"/>
                  <w:b w:val="false"/>
                  <w:bCs w:val="false"/>
                  <w:sz w:val="12"/>
                  <w:szCs w:val="12"/>
                </w:rPr>
                <w:t xml:space="preserve">[#59]</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On track</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2023-2025</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Industrial productivity, automation, traceability</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Productivity and lower resource consumption; n/a</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Ongoing (CMD May-2025) </w:t>
            </w:r>
            <w:hyperlink w:history="1" r:id="rIduowpxrtx4axlx4lhaycqb">
              <w:r>
                <w:rPr>
                  <w:rFonts w:ascii="Arial" w:cs="Arial" w:eastAsia="Arial" w:hAnsi="Arial"/>
                  <w:b w:val="false"/>
                  <w:bCs w:val="false"/>
                  <w:sz w:val="12"/>
                  <w:szCs w:val="12"/>
                </w:rPr>
                <w:t xml:space="preserve">[#125]</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Ongoing</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2025-2028</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Capital Markets Day plan (27-May-2025)</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Growth + margin + cash returns; Total growth 5-6% (wrap-up: 5.5-6%) of which ~4% organic and +1-2% bolt-on M&amp;A; EBITDA margin ~+20bp p.a. on average; many countries can r…</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 leverage 1.75x; 2026 objectives confirmed at H1-2026 (29-Jul-2026) </w:t>
            </w:r>
            <w:hyperlink w:history="1" r:id="rIdozewd-tnkm6kuwrdffglx">
              <w:r>
                <w:rPr>
                  <w:rFonts w:ascii="Arial" w:cs="Arial" w:eastAsia="Arial" w:hAnsi="Arial"/>
                  <w:b w:val="false"/>
                  <w:bCs w:val="false"/>
                  <w:sz w:val="12"/>
                  <w:szCs w:val="12"/>
                </w:rPr>
                <w:t xml:space="preserve">[#3206]</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Behind on organic/EBIT</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2025-2026</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Capital allocation policy / shareholder returns</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Shareholder returns; EUR150m buyback (2025); EUR500m buyback (2026) completed 9-Jul-2026; OCANE soft call planned mid-Oct-2026</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Average basic share count expected -3.5% by YE2026, fully diluted c.-5% </w:t>
            </w:r>
            <w:hyperlink w:history="1" r:id="rIdrv7kg11tlztq_s2pyf3fl">
              <w:r>
                <w:rPr>
                  <w:rFonts w:ascii="Arial" w:cs="Arial" w:eastAsia="Arial" w:hAnsi="Arial"/>
                  <w:b w:val="false"/>
                  <w:bCs w:val="false"/>
                  <w:sz w:val="12"/>
                  <w:szCs w:val="12"/>
                </w:rPr>
                <w:t xml:space="preserve">[#277]</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Executed</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2024-2026</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Growth adjacencies: clean room and pest control</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Faster-growing niches; Clean room market +5-7% p.a.</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H1-2026: clean room EUR145m (+6%); pest control EUR45m (+16% volume growth) </w:t>
            </w:r>
            <w:hyperlink w:history="1" r:id="rIdiqxujcloz9obahykhm2ql">
              <w:r>
                <w:rPr>
                  <w:rFonts w:ascii="Arial" w:cs="Arial" w:eastAsia="Arial" w:hAnsi="Arial"/>
                  <w:b w:val="false"/>
                  <w:bCs w:val="false"/>
                  <w:sz w:val="12"/>
                  <w:szCs w:val="12"/>
                </w:rPr>
                <w:t xml:space="preserve">[#83]</w:t>
              </w:r>
            </w:hyperlink>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Success (small)</w:t>
            </w:r>
          </w:p>
        </w:tc>
      </w:tr>
      <w:tr>
        <w:trPr>
          <w:cantSplit/>
        </w:trPr>
        <w:tc>
          <w:tcPr>
            <w:tcW w:type="dxa" w:w="9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2022</w:t>
            </w:r>
          </w:p>
        </w:tc>
        <w:tc>
          <w:tcPr>
            <w:tcW w:type="dxa" w:w="1909"/>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Russia</w:t>
            </w:r>
          </w:p>
        </w:tc>
        <w:tc>
          <w:tcPr>
            <w:tcW w:type="dxa" w:w="254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 Revenue EUR25.6m (2022); goodwill impairment EUR58.7m (Jun-2022)</w:t>
            </w:r>
          </w:p>
        </w:tc>
        <w:tc>
          <w:tcPr>
            <w:tcW w:type="dxa" w:w="339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 exit found in retrieved data </w:t>
            </w:r>
            <w:hyperlink w:history="1" r:id="rIddnxylcktxvjj_7h8bl48e">
              <w:r>
                <w:rPr>
                  <w:rFonts w:ascii="Arial" w:cs="Arial" w:eastAsia="Arial" w:hAnsi="Arial"/>
                  <w:b w:val="false"/>
                  <w:bCs w:val="false"/>
                  <w:sz w:val="12"/>
                  <w:szCs w:val="12"/>
                </w:rPr>
                <w:t xml:space="preserve">[#249]</w:t>
              </w:r>
            </w:hyperlink>
          </w:p>
        </w:tc>
        <w:tc>
          <w:tcPr>
            <w:tcW w:type="dxa" w:w="106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Impaired; residual</w:t>
            </w:r>
          </w:p>
        </w:tc>
      </w:tr>
      <w:tr>
        <w:trPr>
          <w:cantSplit/>
        </w:trPr>
        <w:tc>
          <w:tcPr>
            <w:tcW w:type="dxa" w:w="9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2016-2026</w:t>
            </w:r>
          </w:p>
        </w:tc>
        <w:tc>
          <w:tcPr>
            <w:tcW w:type="dxa" w:w="1909"/>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North America</w:t>
            </w:r>
          </w:p>
        </w:tc>
        <w:tc>
          <w:tcPr>
            <w:tcW w:type="dxa" w:w="254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n/a; n/a</w:t>
            </w:r>
          </w:p>
        </w:tc>
        <w:tc>
          <w:tcPr>
            <w:tcW w:type="dxa" w:w="339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 US/North America entry found in Elis transcripts (searched) </w:t>
            </w:r>
          </w:p>
        </w:tc>
        <w:tc>
          <w:tcPr>
            <w:tcW w:type="dxa" w:w="106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Not pursued / blocked</w:t>
            </w:r>
          </w:p>
        </w:tc>
      </w:tr>
    </w:tbl>
    <w:p>
      <w:pPr>
        <w:spacing w:after="140" w:before="40"/>
      </w:pPr>
      <w:r>
        <w:rPr>
          <w:rFonts w:ascii="Arial" w:cs="Arial" w:eastAsia="Arial" w:hAnsi="Arial"/>
          <w:color w:val="898781"/>
          <w:sz w:val="14"/>
          <w:szCs w:val="14"/>
        </w:rPr>
        <w:t xml:space="preserve">Source: Elis filings and calls via ProntoNLP (worker C, model/C_strategic_initiatives.csv); verdicts are the analyst's.</w:t>
      </w:r>
    </w:p>
    <w:p>
      <w:pPr>
        <w:pStyle w:val="Heading1"/>
        <w:keepNext/>
        <w:keepLines/>
        <w:pBdr>
          <w:bottom w:val="single" w:color="13213F" w:sz="8" w:space="4"/>
        </w:pBdr>
        <w:spacing w:after="120" w:before="240"/>
      </w:pPr>
      <w:r>
        <w:rPr>
          <w:rFonts w:ascii="Arial" w:cs="Arial" w:eastAsia="Arial" w:hAnsi="Arial"/>
          <w:b/>
          <w:bCs/>
          <w:color w:val="13213F"/>
          <w:sz w:val="30"/>
          <w:szCs w:val="30"/>
        </w:rPr>
        <w:t xml:space="preserve">17. Stakes held in other companies</w:t>
      </w:r>
    </w:p>
    <w:p>
      <w:pPr>
        <w:spacing w:after="100" w:before="0" w:line="264"/>
        <w:jc w:val="left"/>
      </w:pPr>
      <w:r>
        <w:rPr>
          <w:rFonts w:ascii="Arial" w:cs="Arial" w:eastAsia="Arial" w:hAnsi="Arial"/>
          <w:sz w:val="19"/>
          <w:szCs w:val="19"/>
        </w:rPr>
        <w:t xml:space="preserve">Elis holds </w:t>
      </w:r>
      <w:r>
        <w:rPr>
          <w:rFonts w:ascii="Arial" w:cs="Arial" w:eastAsia="Arial" w:hAnsi="Arial"/>
          <w:sz w:val="19"/>
          <w:szCs w:val="19"/>
        </w:rPr>
        <w:t xml:space="preserve">no material stakes in listed or unlisted companies</w:t>
      </w:r>
      <w:r>
        <w:rPr>
          <w:rFonts w:ascii="Arial" w:cs="Arial" w:eastAsia="Arial" w:hAnsi="Arial"/>
          <w:sz w:val="19"/>
          <w:szCs w:val="19"/>
        </w:rPr>
        <w:t xml:space="preserve"> outside its consolidated subsidiaries: equity-accounted associates/JVs are immaterial (S&amp;P long-term investments €0.2m), it bought out the remaining 50% of Casbu (Spain) in Jan-2024, and its other exposures are minority put options and earn-outs (Lavartex in Mexico, Acqua Flash in Brazil). Strategically and financially these are negligible; the relevant cross-holdings run the other way (BWSA, Invesco and CPPIB in Elis).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5"/>
        <w:gridCol w:w="1930"/>
        <w:gridCol w:w="4504"/>
        <w:gridCol w:w="1717"/>
      </w:tblGrid>
      <w:tr>
        <w:trPr>
          <w:cantSplit/>
          <w:tblHeader/>
        </w:trPr>
        <w:tc>
          <w:tcPr>
            <w:tcW w:type="dxa" w:w="171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Item</w:t>
            </w:r>
          </w:p>
        </w:tc>
        <w:tc>
          <w:tcPr>
            <w:tcW w:type="dxa" w:w="193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Entity</w:t>
            </w:r>
          </w:p>
        </w:tc>
        <w:tc>
          <w:tcPr>
            <w:tcW w:type="dxa" w:w="450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Detail</w:t>
            </w:r>
          </w:p>
        </w:tc>
        <w:tc>
          <w:tcPr>
            <w:tcW w:type="dxa" w:w="171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2"/>
                <w:szCs w:val="12"/>
              </w:rPr>
              <w:t xml:space="preserve">Relevance</w:t>
            </w:r>
          </w:p>
        </w:tc>
      </w:tr>
      <w:tr>
        <w:trPr>
          <w:cantSplit/>
        </w:trPr>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Associates/JVs (Elis holdings)</w:t>
            </w:r>
          </w:p>
        </w:tc>
        <w:tc>
          <w:tcPr>
            <w:tcW w:type="dxa" w:w="19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Equity-accounted investments</w:t>
            </w:r>
          </w:p>
        </w:tc>
        <w:tc>
          <w:tcPr>
            <w:tcW w:type="dxa" w:w="45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Policy: associates and JVs accounted for under the equity method; no material associate or JV identified in retrieved text (subsidiary tables not indexed) </w:t>
            </w:r>
            <w:hyperlink w:history="1" r:id="rIdvxcwqlr5ei-yhwx_mp7a2">
              <w:r>
                <w:rPr>
                  <w:rFonts w:ascii="Arial" w:cs="Arial" w:eastAsia="Arial" w:hAnsi="Arial"/>
                  <w:b w:val="false"/>
                  <w:bCs w:val="false"/>
                  <w:sz w:val="12"/>
                  <w:szCs w:val="12"/>
                </w:rPr>
                <w:t xml:space="preserve">[#5652]</w:t>
              </w:r>
            </w:hyperlink>
          </w:p>
        </w:tc>
        <w:tc>
          <w:tcPr>
            <w:tcW w:type="dxa" w:w="1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Low</w:t>
            </w:r>
          </w:p>
        </w:tc>
      </w:tr>
      <w:tr>
        <w:trPr>
          <w:cantSplit/>
        </w:trPr>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Non-controlling interests</w:t>
            </w:r>
          </w:p>
        </w:tc>
        <w:tc>
          <w:tcPr>
            <w:tcW w:type="dxa" w:w="19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Casbu SL (Spain)</w:t>
            </w:r>
          </w:p>
        </w:tc>
        <w:tc>
          <w:tcPr>
            <w:tcW w:type="dxa" w:w="45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Group acquired the non-controlling interests (a 50% stake) in Casbu SL </w:t>
            </w:r>
            <w:hyperlink w:history="1" r:id="rIdf1tawmwqbkn7fq-zp_wre">
              <w:r>
                <w:rPr>
                  <w:rFonts w:ascii="Arial" w:cs="Arial" w:eastAsia="Arial" w:hAnsi="Arial"/>
                  <w:b w:val="false"/>
                  <w:bCs w:val="false"/>
                  <w:sz w:val="12"/>
                  <w:szCs w:val="12"/>
                </w:rPr>
                <w:t xml:space="preserve">[#5725]</w:t>
              </w:r>
            </w:hyperlink>
          </w:p>
        </w:tc>
        <w:tc>
          <w:tcPr>
            <w:tcW w:type="dxa" w:w="1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Low</w:t>
            </w:r>
          </w:p>
        </w:tc>
      </w:tr>
      <w:tr>
        <w:trPr>
          <w:cantSplit/>
        </w:trPr>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NCI put options / accounting</w:t>
            </w:r>
          </w:p>
        </w:tc>
        <w:tc>
          <w:tcPr>
            <w:tcW w:type="dxa" w:w="19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Minority repurchase commitments</w:t>
            </w:r>
          </w:p>
        </w:tc>
        <w:tc>
          <w:tcPr>
            <w:tcW w:type="dxa" w:w="45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Repurchase commitments to non-controlling interests are recognised as liabilities; NCI measured at fair value or proportionate share of net assets; H1-2026 equity statement has an 'Acquisition of NCI' line (amounts not indexed) </w:t>
            </w:r>
            <w:hyperlink w:history="1" r:id="rIdpfa0iuzaoe6dw5ejc4hhy">
              <w:r>
                <w:rPr>
                  <w:rFonts w:ascii="Arial" w:cs="Arial" w:eastAsia="Arial" w:hAnsi="Arial"/>
                  <w:b w:val="false"/>
                  <w:bCs w:val="false"/>
                  <w:sz w:val="12"/>
                  <w:szCs w:val="12"/>
                </w:rPr>
                <w:t xml:space="preserve">[#6145]</w:t>
              </w:r>
            </w:hyperlink>
          </w:p>
        </w:tc>
        <w:tc>
          <w:tcPr>
            <w:tcW w:type="dxa" w:w="1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Low</w:t>
            </w:r>
          </w:p>
        </w:tc>
      </w:tr>
      <w:tr>
        <w:trPr>
          <w:cantSplit/>
        </w:trPr>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Earn-outs (contingent consideration)</w:t>
            </w:r>
          </w:p>
        </w:tc>
        <w:tc>
          <w:tcPr>
            <w:tcW w:type="dxa" w:w="19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Lavartex (Mexico); Acqua Flash (Brazil)</w:t>
            </w:r>
          </w:p>
        </w:tc>
        <w:tc>
          <w:tcPr>
            <w:tcW w:type="dxa" w:w="45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Mexico earn-out (lower in 2025 vs 2024; accretion in financial expense); Acqua Flash earn-out with no maximum payable 2027-2028 on a multiple of EBIT increase vs EUR1.7m reference EBIT </w:t>
            </w:r>
            <w:hyperlink w:history="1" r:id="rId5qxcpcmg_yepstf5u3xx7">
              <w:r>
                <w:rPr>
                  <w:rFonts w:ascii="Arial" w:cs="Arial" w:eastAsia="Arial" w:hAnsi="Arial"/>
                  <w:b w:val="false"/>
                  <w:bCs w:val="false"/>
                  <w:sz w:val="12"/>
                  <w:szCs w:val="12"/>
                </w:rPr>
                <w:t xml:space="preserve">[#5370]</w:t>
              </w:r>
            </w:hyperlink>
          </w:p>
        </w:tc>
        <w:tc>
          <w:tcPr>
            <w:tcW w:type="dxa" w:w="1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Low</w:t>
            </w:r>
          </w:p>
        </w:tc>
      </w:tr>
      <w:tr>
        <w:trPr>
          <w:cantSplit/>
        </w:trPr>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Shareholder (Elis)</w:t>
            </w:r>
          </w:p>
        </w:tc>
        <w:tc>
          <w:tcPr>
            <w:tcW w:type="dxa" w:w="19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BWGI / BWSA (Kaon E and Kaon V funds)</w:t>
            </w:r>
          </w:p>
        </w:tc>
        <w:tc>
          <w:tcPr>
            <w:tcW w:type="dxa" w:w="45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Investment agreement 9-Oct-2023 after acquiring Predica's (Credit Agricole) entire stake; &gt;5% capital 11-Oct-2023; &gt;15% voting rights 16-Oct-2025; &gt;18% capital since 6-Feb-2026; crossed 20% of voting rights up 23-Feb-2026, down 17… </w:t>
            </w:r>
            <w:hyperlink w:history="1" r:id="rIdqfprpiqbh9vkppmkbjh7a">
              <w:r>
                <w:rPr>
                  <w:rFonts w:ascii="Arial" w:cs="Arial" w:eastAsia="Arial" w:hAnsi="Arial"/>
                  <w:b w:val="false"/>
                  <w:bCs w:val="false"/>
                  <w:sz w:val="12"/>
                  <w:szCs w:val="12"/>
                </w:rPr>
                <w:t xml:space="preserve">[#6726]</w:t>
              </w:r>
            </w:hyperlink>
          </w:p>
        </w:tc>
        <w:tc>
          <w:tcPr>
            <w:tcW w:type="dxa" w:w="1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High: largest holder, blocking-size voting stake; lock-up vs…</w:t>
            </w:r>
          </w:p>
        </w:tc>
      </w:tr>
      <w:tr>
        <w:trPr>
          <w:cantSplit/>
        </w:trPr>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Shareholder (Elis)</w:t>
            </w:r>
          </w:p>
        </w:tc>
        <w:tc>
          <w:tcPr>
            <w:tcW w:type="dxa" w:w="19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CPP Investments (CPPIB)</w:t>
            </w:r>
          </w:p>
        </w:tc>
        <w:tc>
          <w:tcPr>
            <w:tcW w:type="dxa" w:w="45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Investment Agreement 7-Jun-2017 (Berendsen financing: EUR200m at EUR19.74); anti-dilution right while &gt;=8%; board nominee at &gt;=8% (second at &gt;=15%); voting rights hovered around 20% in 2025 (AMF table: below 20% disclosed 17-Jun-2… </w:t>
            </w:r>
            <w:hyperlink w:history="1" r:id="rIdwnvolrp2ov6hfywinycs3">
              <w:r>
                <w:rPr>
                  <w:rFonts w:ascii="Arial" w:cs="Arial" w:eastAsia="Arial" w:hAnsi="Arial"/>
                  <w:b w:val="false"/>
                  <w:bCs w:val="false"/>
                  <w:sz w:val="12"/>
                  <w:szCs w:val="12"/>
                </w:rPr>
                <w:t xml:space="preserve">[#6716]</w:t>
              </w:r>
            </w:hyperlink>
          </w:p>
        </w:tc>
        <w:tc>
          <w:tcPr>
            <w:tcW w:type="dxa" w:w="1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High: anchor holder has largely exited (rights lapse below 8…</w:t>
            </w:r>
          </w:p>
        </w:tc>
      </w:tr>
      <w:tr>
        <w:trPr>
          <w:cantSplit/>
        </w:trPr>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Shareholder (Elis)</w:t>
            </w:r>
          </w:p>
        </w:tc>
        <w:tc>
          <w:tcPr>
            <w:tcW w:type="dxa" w:w="19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Invesco Ltd</w:t>
            </w:r>
          </w:p>
        </w:tc>
        <w:tc>
          <w:tcPr>
            <w:tcW w:type="dxa" w:w="45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Passed 5% of capital 14-Nov-2025; exceeded 10% of capital 16-Jul-2026 and 10% of voting rights 17-Jul-2026 </w:t>
            </w:r>
            <w:hyperlink w:history="1" r:id="rIdmqpl-grhmwh56usruk_gt">
              <w:r>
                <w:rPr>
                  <w:rFonts w:ascii="Arial" w:cs="Arial" w:eastAsia="Arial" w:hAnsi="Arial"/>
                  <w:b w:val="false"/>
                  <w:bCs w:val="false"/>
                  <w:sz w:val="12"/>
                  <w:szCs w:val="12"/>
                </w:rPr>
                <w:t xml:space="preserve">[#6707]</w:t>
              </w:r>
            </w:hyperlink>
          </w:p>
        </w:tc>
        <w:tc>
          <w:tcPr>
            <w:tcW w:type="dxa" w:w="1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Medium</w:t>
            </w:r>
          </w:p>
        </w:tc>
      </w:tr>
      <w:tr>
        <w:trPr>
          <w:cantSplit/>
        </w:trPr>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Shareholder (Elis)</w:t>
            </w:r>
          </w:p>
        </w:tc>
        <w:tc>
          <w:tcPr>
            <w:tcW w:type="dxa" w:w="19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Wellington Management; Lac1 SLP (Bpi)</w:t>
            </w:r>
          </w:p>
        </w:tc>
        <w:tc>
          <w:tcPr>
            <w:tcW w:type="dxa" w:w="45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Wellington &gt;5% capital (17-Apr-2025), &lt;5% (22-Jan-2026), &gt;5% (13-Feb-2026); Lac1 &gt;5% voting rights 5-Jun-2025 then &lt;5% 6-Jun-2025 </w:t>
            </w:r>
            <w:hyperlink w:history="1" r:id="rIdk-fpibrosm7broyfgjh3l">
              <w:r>
                <w:rPr>
                  <w:rFonts w:ascii="Arial" w:cs="Arial" w:eastAsia="Arial" w:hAnsi="Arial"/>
                  <w:b w:val="false"/>
                  <w:bCs w:val="false"/>
                  <w:sz w:val="12"/>
                  <w:szCs w:val="12"/>
                </w:rPr>
                <w:t xml:space="preserve">[#6707]</w:t>
              </w:r>
            </w:hyperlink>
          </w:p>
        </w:tc>
        <w:tc>
          <w:tcPr>
            <w:tcW w:type="dxa" w:w="1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Low</w:t>
            </w:r>
          </w:p>
        </w:tc>
      </w:tr>
      <w:tr>
        <w:trPr>
          <w:cantSplit/>
        </w:trPr>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Control / anti-takeover</w:t>
            </w:r>
          </w:p>
        </w:tc>
        <w:tc>
          <w:tcPr>
            <w:tcW w:type="dxa" w:w="19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Elis SA</w:t>
            </w:r>
          </w:p>
        </w:tc>
        <w:tc>
          <w:tcPr>
            <w:tcW w:type="dxa" w:w="45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No controlling shareholder; no agreements known that could lead to a change of control; bylaws contain no provisions that may have an effect on a change in control; dual-board (management board + supervisory board) structure since… </w:t>
            </w:r>
            <w:hyperlink w:history="1" r:id="rIdsl5qgfgop72zz25xehsd6">
              <w:r>
                <w:rPr>
                  <w:rFonts w:ascii="Arial" w:cs="Arial" w:eastAsia="Arial" w:hAnsi="Arial"/>
                  <w:b w:val="false"/>
                  <w:bCs w:val="false"/>
                  <w:sz w:val="12"/>
                  <w:szCs w:val="12"/>
                </w:rPr>
                <w:t xml:space="preserve">[#6695]</w:t>
              </w:r>
            </w:hyperlink>
          </w:p>
        </w:tc>
        <w:tc>
          <w:tcPr>
            <w:tcW w:type="dxa" w:w="1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Medium</w:t>
            </w:r>
          </w:p>
        </w:tc>
      </w:tr>
      <w:tr>
        <w:trPr>
          <w:cantSplit/>
        </w:trPr>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Double voting rights</w:t>
            </w:r>
          </w:p>
        </w:tc>
        <w:tc>
          <w:tcPr>
            <w:tcW w:type="dxa" w:w="19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Elis SA</w:t>
            </w:r>
          </w:p>
        </w:tc>
        <w:tc>
          <w:tcPr>
            <w:tcW w:type="dxa" w:w="45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Double voting rights for registered shares held &gt;=2 years (Article 9 of bylaws); 49,741,818 shares had double voting rights at 31-Dec-2025; lost on conversion to bearer or transfer </w:t>
            </w:r>
            <w:hyperlink w:history="1" r:id="rIdnl2v0rdea2wmnn8duiols">
              <w:r>
                <w:rPr>
                  <w:rFonts w:ascii="Arial" w:cs="Arial" w:eastAsia="Arial" w:hAnsi="Arial"/>
                  <w:b w:val="false"/>
                  <w:bCs w:val="false"/>
                  <w:sz w:val="12"/>
                  <w:szCs w:val="12"/>
                </w:rPr>
                <w:t xml:space="preserve">[#6608]</w:t>
              </w:r>
            </w:hyperlink>
          </w:p>
        </w:tc>
        <w:tc>
          <w:tcPr>
            <w:tcW w:type="dxa" w:w="1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High: raises voting weight of long-term registered holders (…</w:t>
            </w:r>
          </w:p>
        </w:tc>
      </w:tr>
      <w:tr>
        <w:trPr>
          <w:cantSplit/>
        </w:trPr>
        <w:tc>
          <w:tcPr>
            <w:tcW w:type="dxa" w:w="171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Treasury shares / dilution</w:t>
            </w:r>
          </w:p>
        </w:tc>
        <w:tc>
          <w:tcPr>
            <w:tcW w:type="dxa" w:w="19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Elis SA</w:t>
            </w:r>
          </w:p>
        </w:tc>
        <w:tc>
          <w:tcPr>
            <w:tcW w:type="dxa" w:w="45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18.3m treasury shares held at 28-Jul-2026; up to 23.8m shares deliverable on OCANE 2029 soft call; buyback authorisation ceiling EUR650m </w:t>
            </w:r>
            <w:hyperlink w:history="1" r:id="rIdrh4ljdynueyyz8yis39sa">
              <w:r>
                <w:rPr>
                  <w:rFonts w:ascii="Arial" w:cs="Arial" w:eastAsia="Arial" w:hAnsi="Arial"/>
                  <w:b w:val="false"/>
                  <w:bCs w:val="false"/>
                  <w:sz w:val="12"/>
                  <w:szCs w:val="12"/>
                </w:rPr>
                <w:t xml:space="preserve">[#296]</w:t>
              </w:r>
            </w:hyperlink>
          </w:p>
        </w:tc>
        <w:tc>
          <w:tcPr>
            <w:tcW w:type="dxa" w:w="171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Medium</w:t>
            </w:r>
          </w:p>
        </w:tc>
      </w:tr>
      <w:tr>
        <w:trPr>
          <w:cantSplit/>
        </w:trPr>
        <w:tc>
          <w:tcPr>
            <w:tcW w:type="dxa" w:w="171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Change-of-control clauses (debt)</w:t>
            </w:r>
          </w:p>
        </w:tc>
        <w:tc>
          <w:tcPr>
            <w:tcW w:type="dxa" w:w="19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RCF, OCANEs, EMTN bonds, USPP</w:t>
            </w:r>
          </w:p>
        </w:tc>
        <w:tc>
          <w:tcPr>
            <w:tcW w:type="dxa" w:w="45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Financing agreements would be amended or terminated on a change in control; lenders' change of control = acquisition by one or more persons acting in concert of &gt;50% of voting rights; OCANE holders may require early redemption at … </w:t>
            </w:r>
            <w:hyperlink w:history="1" r:id="rIdiollxko2fqkt5i36gotcc">
              <w:r>
                <w:rPr>
                  <w:rFonts w:ascii="Arial" w:cs="Arial" w:eastAsia="Arial" w:hAnsi="Arial"/>
                  <w:b w:val="false"/>
                  <w:bCs w:val="false"/>
                  <w:sz w:val="12"/>
                  <w:szCs w:val="12"/>
                </w:rPr>
                <w:t xml:space="preserve">[#6715]</w:t>
              </w:r>
            </w:hyperlink>
          </w:p>
        </w:tc>
        <w:tc>
          <w:tcPr>
            <w:tcW w:type="dxa" w:w="171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2"/>
                <w:szCs w:val="12"/>
              </w:rPr>
              <w:t xml:space="preserve">High: refinancing need on a takeover (gross debt c.EUR4.1bn …</w:t>
            </w:r>
          </w:p>
        </w:tc>
      </w:tr>
    </w:tbl>
    <w:p>
      <w:pPr>
        <w:spacing w:after="140" w:before="40"/>
      </w:pPr>
      <w:r>
        <w:rPr>
          <w:rFonts w:ascii="Arial" w:cs="Arial" w:eastAsia="Arial" w:hAnsi="Arial"/>
          <w:color w:val="898781"/>
          <w:sz w:val="14"/>
          <w:szCs w:val="14"/>
        </w:rPr>
        <w:t xml:space="preserve">Source: worker C (model/C_stakes.csv); S&amp;P Capital IQ balance sheet.</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18. Dividends, buybacks and treasury shares (last five years)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726"/>
        <w:gridCol w:w="934"/>
        <w:gridCol w:w="934"/>
        <w:gridCol w:w="1038"/>
        <w:gridCol w:w="830"/>
        <w:gridCol w:w="2077"/>
        <w:gridCol w:w="2393"/>
      </w:tblGrid>
      <w:tr>
        <w:trPr>
          <w:cantSplit/>
          <w:tblHeader/>
        </w:trPr>
        <w:tc>
          <w:tcPr>
            <w:tcW w:type="dxa" w:w="93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Fiscal year</w:t>
            </w:r>
          </w:p>
        </w:tc>
        <w:tc>
          <w:tcPr>
            <w:tcW w:type="dxa" w:w="72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DPS (€)</w:t>
            </w:r>
          </w:p>
        </w:tc>
        <w:tc>
          <w:tcPr>
            <w:tcW w:type="dxa" w:w="93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Paid (cash, €m)</w:t>
            </w:r>
          </w:p>
        </w:tc>
        <w:tc>
          <w:tcPr>
            <w:tcW w:type="dxa" w:w="93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Buyback (€m)</w:t>
            </w:r>
          </w:p>
        </w:tc>
        <w:tc>
          <w:tcPr>
            <w:tcW w:type="dxa" w:w="103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Shares bought</w:t>
            </w:r>
          </w:p>
        </w:tc>
        <w:tc>
          <w:tcPr>
            <w:tcW w:type="dxa" w:w="830"/>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right"/>
            </w:pPr>
            <w:r>
              <w:rPr>
                <w:rFonts w:ascii="Arial" w:cs="Arial" w:eastAsia="Arial" w:hAnsi="Arial"/>
                <w:b/>
                <w:bCs/>
                <w:color w:val="FFFFFF"/>
                <w:sz w:val="13"/>
                <w:szCs w:val="13"/>
              </w:rPr>
              <w:t xml:space="preserve">Avg price</w:t>
            </w:r>
          </w:p>
        </w:tc>
        <w:tc>
          <w:tcPr>
            <w:tcW w:type="dxa" w:w="207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Cancellations / treasury</w:t>
            </w:r>
          </w:p>
        </w:tc>
        <w:tc>
          <w:tcPr>
            <w:tcW w:type="dxa" w:w="2393"/>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Notes</w:t>
            </w:r>
          </w:p>
        </w:tc>
      </w:tr>
      <w:tr>
        <w:trPr>
          <w:cantSplit/>
        </w:trPr>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FY2020</w:t>
            </w:r>
          </w:p>
        </w:tc>
        <w:tc>
          <w:tcPr>
            <w:tcW w:type="dxa" w:w="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nil</w:t>
            </w:r>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qyl4-eeu8e-prxypx4wbs">
              <w:r>
                <w:rPr>
                  <w:rFonts w:ascii="Arial" w:cs="Arial" w:eastAsia="Arial" w:hAnsi="Arial"/>
                  <w:b w:val="false"/>
                  <w:bCs w:val="false"/>
                  <w:sz w:val="13"/>
                  <w:szCs w:val="13"/>
                  <w:u w:val="single"/>
                </w:rPr>
                <w:t xml:space="preserve">1.3</w:t>
              </w:r>
            </w:hyperlink>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n/a</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n/a</w:t>
            </w:r>
          </w:p>
        </w:tc>
        <w:tc>
          <w:tcPr>
            <w:tcW w:type="dxa" w:w="20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Liquidity contract only</w:t>
            </w:r>
          </w:p>
        </w:tc>
        <w:tc>
          <w:tcPr>
            <w:tcW w:type="dxa" w:w="23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FY2019 €0.39 dividend withdrawn (Covid)</w:t>
            </w:r>
          </w:p>
        </w:tc>
      </w:tr>
      <w:tr>
        <w:trPr>
          <w:cantSplit/>
        </w:trPr>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FY2021</w:t>
            </w:r>
          </w:p>
        </w:tc>
        <w:tc>
          <w:tcPr>
            <w:tcW w:type="dxa" w:w="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oehtazexwqnkhzaaxharv">
              <w:r>
                <w:rPr>
                  <w:rFonts w:ascii="Arial" w:cs="Arial" w:eastAsia="Arial" w:hAnsi="Arial"/>
                  <w:b w:val="false"/>
                  <w:bCs w:val="false"/>
                  <w:sz w:val="13"/>
                  <w:szCs w:val="13"/>
                  <w:u w:val="single"/>
                </w:rPr>
                <w:t xml:space="preserve">0.37</w:t>
              </w:r>
            </w:hyperlink>
          </w:p>
        </w:tc>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20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t>
            </w:r>
          </w:p>
        </w:tc>
        <w:tc>
          <w:tcPr>
            <w:tcW w:type="dxa" w:w="23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Reinstated; scrip option (paid 2022)</w:t>
            </w:r>
          </w:p>
        </w:tc>
      </w:tr>
      <w:tr>
        <w:trPr>
          <w:cantSplit/>
        </w:trPr>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FY2022</w:t>
            </w:r>
          </w:p>
        </w:tc>
        <w:tc>
          <w:tcPr>
            <w:tcW w:type="dxa" w:w="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_rbehkqmygvyyh8jd-f53">
              <w:r>
                <w:rPr>
                  <w:rFonts w:ascii="Arial" w:cs="Arial" w:eastAsia="Arial" w:hAnsi="Arial"/>
                  <w:b w:val="false"/>
                  <w:bCs w:val="false"/>
                  <w:sz w:val="13"/>
                  <w:szCs w:val="13"/>
                  <w:u w:val="single"/>
                </w:rPr>
                <w:t xml:space="preserve">0.41</w:t>
              </w:r>
            </w:hyperlink>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y7ku8_iaw2wcmlxebc3bg">
              <w:r>
                <w:rPr>
                  <w:rFonts w:ascii="Arial" w:cs="Arial" w:eastAsia="Arial" w:hAnsi="Arial"/>
                  <w:b w:val="false"/>
                  <w:bCs w:val="false"/>
                  <w:sz w:val="13"/>
                  <w:szCs w:val="13"/>
                  <w:u w:val="single"/>
                </w:rPr>
                <w:t xml:space="preserve">33.2</w:t>
              </w:r>
            </w:hyperlink>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0.1</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20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t>
            </w:r>
          </w:p>
        </w:tc>
        <w:tc>
          <w:tcPr>
            <w:tcW w:type="dxa" w:w="23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Scrip option; cash paid in year relates to FY2021</w:t>
            </w:r>
          </w:p>
        </w:tc>
      </w:tr>
      <w:tr>
        <w:trPr>
          <w:cantSplit/>
        </w:trPr>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FY2023</w:t>
            </w:r>
          </w:p>
        </w:tc>
        <w:tc>
          <w:tcPr>
            <w:tcW w:type="dxa" w:w="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3u58-rkfex4eczyz-2tzh">
              <w:r>
                <w:rPr>
                  <w:rFonts w:ascii="Arial" w:cs="Arial" w:eastAsia="Arial" w:hAnsi="Arial"/>
                  <w:b w:val="false"/>
                  <w:bCs w:val="false"/>
                  <w:sz w:val="13"/>
                  <w:szCs w:val="13"/>
                  <w:u w:val="single"/>
                </w:rPr>
                <w:t xml:space="preserve">0.43</w:t>
              </w:r>
            </w:hyperlink>
          </w:p>
        </w:tc>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5serf8zluaewkr-lk8l_d">
              <w:r>
                <w:rPr>
                  <w:rFonts w:ascii="Arial" w:cs="Arial" w:eastAsia="Arial" w:hAnsi="Arial"/>
                  <w:b w:val="false"/>
                  <w:bCs w:val="false"/>
                  <w:sz w:val="13"/>
                  <w:szCs w:val="13"/>
                  <w:u w:val="single"/>
                </w:rPr>
                <w:t xml:space="preserve">61.7</w:t>
              </w:r>
            </w:hyperlink>
          </w:p>
        </w:tc>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20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t>
            </w:r>
          </w:p>
        </w:tc>
        <w:tc>
          <w:tcPr>
            <w:tcW w:type="dxa" w:w="23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Paid in cash 2024</w:t>
            </w:r>
          </w:p>
        </w:tc>
      </w:tr>
      <w:tr>
        <w:trPr>
          <w:cantSplit/>
        </w:trPr>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FY2024</w:t>
            </w:r>
          </w:p>
        </w:tc>
        <w:tc>
          <w:tcPr>
            <w:tcW w:type="dxa" w:w="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sc-ujrqwehlyeah7eqvtp">
              <w:r>
                <w:rPr>
                  <w:rFonts w:ascii="Arial" w:cs="Arial" w:eastAsia="Arial" w:hAnsi="Arial"/>
                  <w:b w:val="false"/>
                  <w:bCs w:val="false"/>
                  <w:sz w:val="13"/>
                  <w:szCs w:val="13"/>
                  <w:u w:val="single"/>
                </w:rPr>
                <w:t xml:space="preserve">0.45</w:t>
              </w:r>
            </w:hyperlink>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hyperlink w:history="1" r:id="rIdhedflwpzkg-ycs70z7vmh">
              <w:r>
                <w:rPr>
                  <w:rFonts w:ascii="Arial" w:cs="Arial" w:eastAsia="Arial" w:hAnsi="Arial"/>
                  <w:b w:val="false"/>
                  <w:bCs w:val="false"/>
                  <w:sz w:val="13"/>
                  <w:szCs w:val="13"/>
                  <w:u w:val="single"/>
                </w:rPr>
                <w:t xml:space="preserve">101.3</w:t>
              </w:r>
            </w:hyperlink>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2.2</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20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t>
            </w:r>
          </w:p>
        </w:tc>
        <w:tc>
          <w:tcPr>
            <w:tcW w:type="dxa" w:w="23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Paid 28-May-2025</w:t>
            </w:r>
          </w:p>
        </w:tc>
      </w:tr>
      <w:tr>
        <w:trPr>
          <w:cantSplit/>
        </w:trPr>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FY2025</w:t>
            </w:r>
          </w:p>
        </w:tc>
        <w:tc>
          <w:tcPr>
            <w:tcW w:type="dxa" w:w="72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njm351r-mizz38iv9kzzq">
              <w:r>
                <w:rPr>
                  <w:rFonts w:ascii="Arial" w:cs="Arial" w:eastAsia="Arial" w:hAnsi="Arial"/>
                  <w:b w:val="false"/>
                  <w:bCs w:val="false"/>
                  <w:sz w:val="13"/>
                  <w:szCs w:val="13"/>
                  <w:u w:val="single"/>
                </w:rPr>
                <w:t xml:space="preserve">0.48</w:t>
              </w:r>
            </w:hyperlink>
          </w:p>
        </w:tc>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gx8pnoswhnt0crpisfzy6">
              <w:r>
                <w:rPr>
                  <w:rFonts w:ascii="Arial" w:cs="Arial" w:eastAsia="Arial" w:hAnsi="Arial"/>
                  <w:b w:val="false"/>
                  <w:bCs w:val="false"/>
                  <w:sz w:val="13"/>
                  <w:szCs w:val="13"/>
                  <w:u w:val="single"/>
                </w:rPr>
                <w:t xml:space="preserve">105.1</w:t>
              </w:r>
            </w:hyperlink>
          </w:p>
        </w:tc>
        <w:tc>
          <w:tcPr>
            <w:tcW w:type="dxa" w:w="93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hyperlink w:history="1" r:id="rIdmehm7xuhny1wdai31wdss">
              <w:r>
                <w:rPr>
                  <w:rFonts w:ascii="Arial" w:cs="Arial" w:eastAsia="Arial" w:hAnsi="Arial"/>
                  <w:b w:val="false"/>
                  <w:bCs w:val="false"/>
                  <w:sz w:val="13"/>
                  <w:szCs w:val="13"/>
                  <w:u w:val="single"/>
                </w:rPr>
                <w:t xml:space="preserve">153.8</w:t>
              </w:r>
            </w:hyperlink>
          </w:p>
        </w:tc>
        <w:tc>
          <w:tcPr>
            <w:tcW w:type="dxa" w:w="103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6,560,820</w:t>
            </w:r>
          </w:p>
        </w:tc>
        <w:tc>
          <w:tcPr>
            <w:tcW w:type="dxa" w:w="830"/>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€22.87</w:t>
            </w:r>
          </w:p>
        </w:tc>
        <w:tc>
          <w:tcPr>
            <w:tcW w:type="dxa" w:w="207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€109.1m of repurchased shares cancelled (shares 236.5m → 232.5m)</w:t>
            </w:r>
          </w:p>
        </w:tc>
        <w:tc>
          <w:tcPr>
            <w:tcW w:type="dxa" w:w="2393"/>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€150m programme from 6-Mar-2025; €0.48 = €0.26 return of reserves + €0.22 dividend, paid 28-May-2026</w:t>
            </w:r>
          </w:p>
        </w:tc>
      </w:tr>
      <w:tr>
        <w:trPr>
          <w:cantSplit/>
        </w:trPr>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 YTD</w:t>
            </w:r>
          </w:p>
        </w:tc>
        <w:tc>
          <w:tcPr>
            <w:tcW w:type="dxa" w:w="72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w:t>
            </w:r>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105.6 (H1)</w:t>
            </w:r>
          </w:p>
        </w:tc>
        <w:tc>
          <w:tcPr>
            <w:tcW w:type="dxa" w:w="93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466.8 (H1)</w:t>
            </w:r>
          </w:p>
        </w:tc>
        <w:tc>
          <w:tcPr>
            <w:tcW w:type="dxa" w:w="103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~17.8m [calc]</w:t>
            </w:r>
          </w:p>
        </w:tc>
        <w:tc>
          <w:tcPr>
            <w:tcW w:type="dxa" w:w="830"/>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right"/>
            </w:pPr>
            <w:r>
              <w:rPr>
                <w:rFonts w:ascii="Arial" w:cs="Arial" w:eastAsia="Arial" w:hAnsi="Arial"/>
                <w:b w:val="false"/>
                <w:bCs w:val="false"/>
                <w:sz w:val="13"/>
                <w:szCs w:val="13"/>
              </w:rPr>
              <w:t xml:space="preserve">€26.25</w:t>
            </w:r>
          </w:p>
        </w:tc>
        <w:tc>
          <w:tcPr>
            <w:tcW w:type="dxa" w:w="207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~16.9m treasury shares at 30-Jun-2026 (7.3%) [calc]; to settle OCEANE conversion</w:t>
            </w:r>
          </w:p>
        </w:tc>
        <w:tc>
          <w:tcPr>
            <w:tcW w:type="dxa" w:w="2393"/>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€500m programme 6-Jan to 9-Jul-2026</w:t>
            </w:r>
          </w:p>
        </w:tc>
      </w:tr>
    </w:tbl>
    <w:p>
      <w:pPr>
        <w:spacing w:after="140" w:before="40"/>
      </w:pPr>
      <w:r>
        <w:rPr>
          <w:rFonts w:ascii="Arial" w:cs="Arial" w:eastAsia="Arial" w:hAnsi="Arial"/>
          <w:color w:val="898781"/>
          <w:sz w:val="14"/>
          <w:szCs w:val="14"/>
        </w:rPr>
        <w:t xml:space="preserve">Source: S&amp;P Capital IQ (linked) and Elis FY2025 results/URD and H1 2026 report via ProntoNLP (</w:t>
      </w:r>
      <w:hyperlink w:history="1" r:id="rId_odrzsglqemrzou18wcng">
        <w:r>
          <w:rPr>
            <w:rFonts w:ascii="Arial" w:cs="Arial" w:eastAsia="Arial" w:hAnsi="Arial"/>
            <w:color w:val="898781"/>
            <w:sz w:val="12"/>
            <w:szCs w:val="12"/>
          </w:rPr>
          <w:t xml:space="preserve">[#663]</w:t>
        </w:r>
      </w:hyperlink>
      <w:r>
        <w:rPr>
          <w:rFonts w:ascii="Arial" w:cs="Arial" w:eastAsia="Arial" w:hAnsi="Arial"/>
          <w:color w:val="898781"/>
          <w:sz w:val="14"/>
          <w:szCs w:val="14"/>
        </w:rPr>
        <w:t xml:space="preserve"> </w:t>
      </w:r>
      <w:hyperlink w:history="1" r:id="rIdkkg8xjudibuhu9npegqof">
        <w:r>
          <w:rPr>
            <w:rFonts w:ascii="Arial" w:cs="Arial" w:eastAsia="Arial" w:hAnsi="Arial"/>
            <w:color w:val="898781"/>
            <w:sz w:val="12"/>
            <w:szCs w:val="12"/>
          </w:rPr>
          <w:t xml:space="preserve">[#695]</w:t>
        </w:r>
      </w:hyperlink>
      <w:r>
        <w:rPr>
          <w:rFonts w:ascii="Arial" w:cs="Arial" w:eastAsia="Arial" w:hAnsi="Arial"/>
          <w:color w:val="898781"/>
          <w:sz w:val="14"/>
          <w:szCs w:val="14"/>
        </w:rPr>
        <w:t xml:space="preserve"> </w:t>
      </w:r>
      <w:hyperlink w:history="1" r:id="rIdgjooddj-gc4uza8pbuzey">
        <w:r>
          <w:rPr>
            <w:rFonts w:ascii="Arial" w:cs="Arial" w:eastAsia="Arial" w:hAnsi="Arial"/>
            <w:color w:val="898781"/>
            <w:sz w:val="12"/>
            <w:szCs w:val="12"/>
          </w:rPr>
          <w:t xml:space="preserve">[#292]</w:t>
        </w:r>
      </w:hyperlink>
      <w:r>
        <w:rPr>
          <w:rFonts w:ascii="Arial" w:cs="Arial" w:eastAsia="Arial" w:hAnsi="Arial"/>
          <w:color w:val="898781"/>
          <w:sz w:val="14"/>
          <w:szCs w:val="14"/>
        </w:rPr>
        <w:t xml:space="preserve"> </w:t>
      </w:r>
      <w:hyperlink w:history="1" r:id="rIdv4jxq_wksq1mdcjpvwz7m">
        <w:r>
          <w:rPr>
            <w:rFonts w:ascii="Arial" w:cs="Arial" w:eastAsia="Arial" w:hAnsi="Arial"/>
            <w:color w:val="898781"/>
            <w:sz w:val="12"/>
            <w:szCs w:val="12"/>
          </w:rPr>
          <w:t xml:space="preserve">[#17]</w:t>
        </w:r>
      </w:hyperlink>
      <w:r>
        <w:rPr>
          <w:rFonts w:ascii="Arial" w:cs="Arial" w:eastAsia="Arial" w:hAnsi="Arial"/>
          <w:color w:val="898781"/>
          <w:sz w:val="14"/>
          <w:szCs w:val="14"/>
        </w:rPr>
        <w:t xml:space="preserve">); worker B (model/B_shareholder_returns.csv).</w:t>
      </w:r>
    </w:p>
    <w:p>
      <w:pPr>
        <w:keepNext w:val="false"/>
        <w:spacing w:after="40"/>
        <w:jc w:val="center"/>
      </w:pPr>
      <w:r>
        <w:drawing>
          <wp:inline distT="0" distB="0" distL="0" distR="0">
            <wp:extent cx="5667375" cy="2657475"/>
            <wp:effectExtent t="0" r="0" b="0" l="0"/>
            <wp:docPr id="1" name="hist_uses_of_cash.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657475"/>
                    </a:xfrm>
                    <a:prstGeom prst="rect">
                      <a:avLst/>
                    </a:prstGeom>
                  </pic:spPr>
                </pic:pic>
              </a:graphicData>
            </a:graphic>
          </wp:inline>
        </w:drawing>
      </w:r>
    </w:p>
    <w:p>
      <w:pPr>
        <w:spacing w:after="100" w:before="0" w:line="264"/>
        <w:jc w:val="left"/>
      </w:pPr>
      <w:r>
        <w:rPr>
          <w:rFonts w:ascii="Arial" w:cs="Arial" w:eastAsia="Arial" w:hAnsi="Arial"/>
          <w:sz w:val="19"/>
          <w:szCs w:val="19"/>
        </w:rPr>
        <w:t xml:space="preserve">Shareholder returns went from zero (2020–21) to ~€260m in 2025 and ~€570m in H1 2026 alone — 12% of today's market cap in eighteen months. The policy (bolt-ons €50–150m, leverage −0.1x a year, the rest to shareholders) implies ~€100–200m a year of buybacks from 2027 on our estimates.</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19. Adversarial analysis: bull case, bear case, pre-mortem and contrarian view</w:t>
      </w:r>
    </w:p>
    <w:p>
      <w:pPr>
        <w:pStyle w:val="Heading2"/>
        <w:keepNext/>
        <w:keepLines/>
        <w:spacing w:after="80" w:before="180"/>
      </w:pPr>
      <w:r>
        <w:rPr>
          <w:rFonts w:ascii="Arial" w:cs="Arial" w:eastAsia="Arial" w:hAnsi="Arial"/>
          <w:b/>
          <w:bCs/>
          <w:color w:val="13213F"/>
          <w:sz w:val="24"/>
          <w:szCs w:val="24"/>
        </w:rPr>
        <w:t xml:space="preserve">Bull case</w:t>
      </w:r>
    </w:p>
    <w:p>
      <w:pPr>
        <w:pStyle w:val="ListParagraph"/>
        <w:numPr>
          <w:ilvl w:val="0"/>
          <w:numId w:val="2"/>
        </w:numPr>
        <w:spacing w:after="60" w:line="252"/>
      </w:pPr>
      <w:r>
        <w:rPr>
          <w:rFonts w:ascii="Arial" w:cs="Arial" w:eastAsia="Arial" w:hAnsi="Arial"/>
          <w:b/>
          <w:bCs/>
          <w:sz w:val="19"/>
          <w:szCs w:val="19"/>
        </w:rPr>
        <w:t xml:space="preserve">Moat durability:</w:t>
      </w:r>
      <w:r>
        <w:rPr>
          <w:rFonts w:ascii="Arial" w:cs="Arial" w:eastAsia="Arial" w:hAnsi="Arial"/>
          <w:sz w:val="19"/>
          <w:szCs w:val="19"/>
        </w:rPr>
        <w:t xml:space="preserve"> local density, four-year contracts with residual-value exit fees and ~94% retention; #1 in more than half its positions; France at a 42.7% EBITDA margin shows what density delivers.</w:t>
      </w:r>
    </w:p>
    <w:p>
      <w:pPr>
        <w:pStyle w:val="ListParagraph"/>
        <w:numPr>
          <w:ilvl w:val="0"/>
          <w:numId w:val="2"/>
        </w:numPr>
        <w:spacing w:after="60" w:line="252"/>
      </w:pPr>
      <w:r>
        <w:rPr>
          <w:rFonts w:ascii="Arial" w:cs="Arial" w:eastAsia="Arial" w:hAnsi="Arial"/>
          <w:b/>
          <w:bCs/>
          <w:sz w:val="19"/>
          <w:szCs w:val="19"/>
        </w:rPr>
        <w:t xml:space="preserve">Growth levers:</w:t>
      </w:r>
      <w:r>
        <w:rPr>
          <w:rFonts w:ascii="Arial" w:cs="Arial" w:eastAsia="Arial" w:hAnsi="Arial"/>
          <w:sz w:val="19"/>
          <w:szCs w:val="19"/>
        </w:rPr>
        <w:t xml:space="preserve"> outsourcing conversion in LatAm (64% of Mexico's market still on-premise), care homes and workwear; cleanroom (+6–9% a year) and pest control (+16% volume); bolt-ons at ~5x EBITDA.</w:t>
      </w:r>
    </w:p>
    <w:p>
      <w:pPr>
        <w:pStyle w:val="ListParagraph"/>
        <w:numPr>
          <w:ilvl w:val="0"/>
          <w:numId w:val="2"/>
        </w:numPr>
        <w:spacing w:after="60" w:line="252"/>
      </w:pPr>
      <w:r>
        <w:rPr>
          <w:rFonts w:ascii="Arial" w:cs="Arial" w:eastAsia="Arial" w:hAnsi="Arial"/>
          <w:b/>
          <w:bCs/>
          <w:sz w:val="19"/>
          <w:szCs w:val="19"/>
        </w:rPr>
        <w:t xml:space="preserve">Earnings surprise potential:</w:t>
      </w:r>
      <w:r>
        <w:rPr>
          <w:rFonts w:ascii="Arial" w:cs="Arial" w:eastAsia="Arial" w:hAnsi="Arial"/>
          <w:sz w:val="19"/>
          <w:szCs w:val="19"/>
        </w:rPr>
        <w:t xml:space="preserve"> 2027 pricing from strong indices, energy normalisation (Middle East costs are mostly 2026), German healthcare contract, Mexico annualised — EPS growth could exceed 10% in 2027.</w:t>
      </w:r>
    </w:p>
    <w:p>
      <w:pPr>
        <w:pStyle w:val="ListParagraph"/>
        <w:numPr>
          <w:ilvl w:val="0"/>
          <w:numId w:val="2"/>
        </w:numPr>
        <w:spacing w:after="60" w:line="252"/>
      </w:pPr>
      <w:r>
        <w:rPr>
          <w:rFonts w:ascii="Arial" w:cs="Arial" w:eastAsia="Arial" w:hAnsi="Arial"/>
          <w:b/>
          <w:bCs/>
          <w:sz w:val="19"/>
          <w:szCs w:val="19"/>
        </w:rPr>
        <w:t xml:space="preserve">Capital allocation:</w:t>
      </w:r>
      <w:r>
        <w:rPr>
          <w:rFonts w:ascii="Arial" w:cs="Arial" w:eastAsia="Arial" w:hAnsi="Arial"/>
          <w:sz w:val="19"/>
          <w:szCs w:val="19"/>
        </w:rPr>
        <w:t xml:space="preserve"> €616m of buybacks in 18 months, investment-grade balance sheet, OCEANE conversion delivers ~0.2x of deleveraging without cash.</w:t>
      </w:r>
    </w:p>
    <w:p>
      <w:pPr>
        <w:pStyle w:val="ListParagraph"/>
        <w:numPr>
          <w:ilvl w:val="0"/>
          <w:numId w:val="2"/>
        </w:numPr>
        <w:spacing w:after="60" w:line="252"/>
      </w:pPr>
      <w:r>
        <w:rPr>
          <w:rFonts w:ascii="Arial" w:cs="Arial" w:eastAsia="Arial" w:hAnsi="Arial"/>
          <w:b/>
          <w:bCs/>
          <w:sz w:val="19"/>
          <w:szCs w:val="19"/>
        </w:rPr>
        <w:t xml:space="preserve">Valuation and holder base:</w:t>
      </w:r>
      <w:r>
        <w:rPr>
          <w:rFonts w:ascii="Arial" w:cs="Arial" w:eastAsia="Arial" w:hAnsi="Arial"/>
          <w:sz w:val="19"/>
          <w:szCs w:val="19"/>
        </w:rPr>
        <w:t xml:space="preserve"> 11x headline P/E and ~8% FCF yield; a ~20% family holder that paid €25 in February.</w:t>
      </w:r>
    </w:p>
    <w:p>
      <w:pPr>
        <w:spacing w:after="60"/>
      </w:pPr>
    </w:p>
    <w:p>
      <w:pPr>
        <w:pStyle w:val="Heading2"/>
        <w:keepNext/>
        <w:keepLines/>
        <w:spacing w:after="80" w:before="180"/>
      </w:pPr>
      <w:r>
        <w:rPr>
          <w:rFonts w:ascii="Arial" w:cs="Arial" w:eastAsia="Arial" w:hAnsi="Arial"/>
          <w:b/>
          <w:bCs/>
          <w:color w:val="13213F"/>
          <w:sz w:val="24"/>
          <w:szCs w:val="24"/>
        </w:rPr>
        <w:t xml:space="preserve">Bear case: three risks that could permanently impair the business</w:t>
      </w:r>
    </w:p>
    <w:p>
      <w:pPr>
        <w:pStyle w:val="ListParagraph"/>
        <w:numPr>
          <w:ilvl w:val="0"/>
          <w:numId w:val="2"/>
        </w:numPr>
        <w:spacing w:after="60" w:line="252"/>
      </w:pPr>
      <w:r>
        <w:rPr>
          <w:rFonts w:ascii="Arial" w:cs="Arial" w:eastAsia="Arial" w:hAnsi="Arial"/>
          <w:b/>
          <w:bCs/>
          <w:sz w:val="19"/>
          <w:szCs w:val="19"/>
        </w:rPr>
        <w:t xml:space="preserve">Structural organic slowdown + cost squeeze.</w:t>
      </w:r>
      <w:r>
        <w:rPr>
          <w:rFonts w:ascii="Arial" w:cs="Arial" w:eastAsia="Arial" w:hAnsi="Arial"/>
          <w:sz w:val="19"/>
          <w:szCs w:val="19"/>
        </w:rPr>
        <w:t xml:space="preserve"> With pricing normalised, organic growth has been below the 4% target for two years; if labour inflation (60% of costs, minimum wages +13–23% in LatAm) keeps outrunning 12-month-lagged indexation, margins stall at ~35% EBITDA / ~16% EBIT and EPS growth becomes buyback-driven.</w:t>
      </w:r>
    </w:p>
    <w:p>
      <w:pPr>
        <w:pStyle w:val="ListParagraph"/>
        <w:numPr>
          <w:ilvl w:val="0"/>
          <w:numId w:val="2"/>
        </w:numPr>
        <w:spacing w:after="60" w:line="252"/>
      </w:pPr>
      <w:r>
        <w:rPr>
          <w:rFonts w:ascii="Arial" w:cs="Arial" w:eastAsia="Arial" w:hAnsi="Arial"/>
          <w:b/>
          <w:bCs/>
          <w:sz w:val="19"/>
          <w:szCs w:val="19"/>
        </w:rPr>
        <w:t xml:space="preserve">Capital intensity hides low returns.</w:t>
      </w:r>
      <w:r>
        <w:rPr>
          <w:rFonts w:ascii="Arial" w:cs="Arial" w:eastAsia="Arial" w:hAnsi="Arial"/>
          <w:sz w:val="19"/>
          <w:szCs w:val="19"/>
        </w:rPr>
        <w:t xml:space="preserve"> Capex ~18% of sales and D&amp;A ~19.6% mean EBITDA overstates cash earnings: FCF after leases is only ~21% of EBITDA and ROIC ~7%. If rates stay higher, the equity is a low-growth, levered utility worth less than today.</w:t>
      </w:r>
    </w:p>
    <w:p>
      <w:pPr>
        <w:pStyle w:val="ListParagraph"/>
        <w:numPr>
          <w:ilvl w:val="0"/>
          <w:numId w:val="2"/>
        </w:numPr>
        <w:spacing w:after="60" w:line="252"/>
      </w:pPr>
      <w:r>
        <w:rPr>
          <w:rFonts w:ascii="Arial" w:cs="Arial" w:eastAsia="Arial" w:hAnsi="Arial"/>
          <w:b/>
          <w:bCs/>
          <w:sz w:val="19"/>
          <w:szCs w:val="19"/>
        </w:rPr>
        <w:t xml:space="preserve">Public-tender and political exposure.</w:t>
      </w:r>
      <w:r>
        <w:rPr>
          <w:rFonts w:ascii="Arial" w:cs="Arial" w:eastAsia="Arial" w:hAnsi="Arial"/>
          <w:sz w:val="19"/>
          <w:szCs w:val="19"/>
        </w:rPr>
        <w:t xml:space="preserve"> ~30% healthcare with price-only tenders (Germany) and multi-lot re-tenders (Mexico); Brazilian public-contract investigations (potential exclusion up to 10 years); French political risk (30% of revenue).</w:t>
      </w:r>
    </w:p>
    <w:p>
      <w:pPr>
        <w:pStyle w:val="ListParagraph"/>
        <w:numPr>
          <w:ilvl w:val="0"/>
          <w:numId w:val="2"/>
        </w:numPr>
        <w:spacing w:after="60" w:line="252"/>
      </w:pPr>
      <w:r>
        <w:rPr>
          <w:rFonts w:ascii="Arial" w:cs="Arial" w:eastAsia="Arial" w:hAnsi="Arial"/>
          <w:b/>
          <w:bCs/>
          <w:sz w:val="19"/>
          <w:szCs w:val="19"/>
        </w:rPr>
        <w:t xml:space="preserve">High expectations?</w:t>
      </w:r>
      <w:r>
        <w:rPr>
          <w:rFonts w:ascii="Arial" w:cs="Arial" w:eastAsia="Arial" w:hAnsi="Arial"/>
          <w:sz w:val="19"/>
          <w:szCs w:val="19"/>
        </w:rPr>
        <w:t xml:space="preserve"> Not on P/E — expectations look low. The risk is the opposite: a value trap if management redeploys cash into large M&amp;A.</w:t>
      </w:r>
    </w:p>
    <w:p>
      <w:pPr>
        <w:spacing w:after="60"/>
      </w:pPr>
    </w:p>
    <w:p>
      <w:pPr>
        <w:pStyle w:val="Heading2"/>
        <w:keepNext/>
        <w:keepLines/>
        <w:spacing w:after="80" w:before="180"/>
      </w:pPr>
      <w:r>
        <w:rPr>
          <w:rFonts w:ascii="Arial" w:cs="Arial" w:eastAsia="Arial" w:hAnsi="Arial"/>
          <w:b/>
          <w:bCs/>
          <w:color w:val="13213F"/>
          <w:sz w:val="24"/>
          <w:szCs w:val="24"/>
        </w:rPr>
        <w:t xml:space="preserve">Pre-mortem: it is October 2027 and the stock is €15 — what went wrong?</w:t>
      </w:r>
    </w:p>
    <w:p>
      <w:pPr>
        <w:pStyle w:val="ListParagraph"/>
        <w:numPr>
          <w:ilvl w:val="0"/>
          <w:numId w:val="2"/>
        </w:numPr>
        <w:spacing w:after="60" w:line="252"/>
      </w:pPr>
      <w:r>
        <w:rPr>
          <w:rFonts w:ascii="Arial" w:cs="Arial" w:eastAsia="Arial" w:hAnsi="Arial"/>
          <w:sz w:val="19"/>
          <w:szCs w:val="19"/>
        </w:rPr>
        <w:t xml:space="preserve">Q3/Q4 2026 organic growth printed below 3% as hospitality weakened and Mexico losses spread to other LatAm tenders; 2027 guidance only "around 3%".</w:t>
      </w:r>
    </w:p>
    <w:p>
      <w:pPr>
        <w:pStyle w:val="ListParagraph"/>
        <w:numPr>
          <w:ilvl w:val="0"/>
          <w:numId w:val="2"/>
        </w:numPr>
        <w:spacing w:after="60" w:line="252"/>
      </w:pPr>
      <w:r>
        <w:rPr>
          <w:rFonts w:ascii="Arial" w:cs="Arial" w:eastAsia="Arial" w:hAnsi="Arial"/>
          <w:sz w:val="19"/>
          <w:szCs w:val="19"/>
        </w:rPr>
        <w:t xml:space="preserve">The share price fell below the ~€20.8 soft-call trigger, the OCEANE was not converted, leverage stayed above 2x and buybacks were suspended.</w:t>
      </w:r>
    </w:p>
    <w:p>
      <w:pPr>
        <w:pStyle w:val="ListParagraph"/>
        <w:numPr>
          <w:ilvl w:val="0"/>
          <w:numId w:val="2"/>
        </w:numPr>
        <w:spacing w:after="60" w:line="252"/>
      </w:pPr>
      <w:r>
        <w:rPr>
          <w:rFonts w:ascii="Arial" w:cs="Arial" w:eastAsia="Arial" w:hAnsi="Arial"/>
          <w:sz w:val="19"/>
          <w:szCs w:val="19"/>
        </w:rPr>
        <w:t xml:space="preserve">Minimum-wage and energy pass-through failed in Germany and the UK; LatAm margin fell below 30% and Mexico/Chile goodwill was impaired.</w:t>
      </w:r>
    </w:p>
    <w:p>
      <w:pPr>
        <w:pStyle w:val="ListParagraph"/>
        <w:numPr>
          <w:ilvl w:val="0"/>
          <w:numId w:val="2"/>
        </w:numPr>
        <w:spacing w:after="60" w:line="252"/>
      </w:pPr>
      <w:r>
        <w:rPr>
          <w:rFonts w:ascii="Arial" w:cs="Arial" w:eastAsia="Arial" w:hAnsi="Arial"/>
          <w:sz w:val="19"/>
          <w:szCs w:val="19"/>
        </w:rPr>
        <w:t xml:space="preserve">Management launched a large (&gt;€1bn) acquisition to restart growth, funded with debt — repeating the 2024 sell-off.</w:t>
      </w:r>
    </w:p>
    <w:p>
      <w:pPr>
        <w:pStyle w:val="ListParagraph"/>
        <w:numPr>
          <w:ilvl w:val="0"/>
          <w:numId w:val="2"/>
        </w:numPr>
        <w:spacing w:after="60" w:line="252"/>
      </w:pPr>
      <w:r>
        <w:rPr>
          <w:rFonts w:ascii="Arial" w:cs="Arial" w:eastAsia="Arial" w:hAnsi="Arial"/>
          <w:sz w:val="19"/>
          <w:szCs w:val="19"/>
        </w:rPr>
        <w:t xml:space="preserve">BWSA stopped buying and CPPIB's exit overhang plus convert-arb unwind weighed on the shares.</w:t>
      </w:r>
    </w:p>
    <w:p>
      <w:pPr>
        <w:spacing w:after="60"/>
      </w:pPr>
    </w:p>
    <w:p>
      <w:pPr>
        <w:pStyle w:val="Heading2"/>
        <w:keepNext/>
        <w:keepLines/>
        <w:spacing w:after="80" w:before="180"/>
      </w:pPr>
      <w:r>
        <w:rPr>
          <w:rFonts w:ascii="Arial" w:cs="Arial" w:eastAsia="Arial" w:hAnsi="Arial"/>
          <w:b/>
          <w:bCs/>
          <w:color w:val="13213F"/>
          <w:sz w:val="24"/>
          <w:szCs w:val="24"/>
        </w:rPr>
        <w:t xml:space="preserve">Are valuation multiples too high?</w:t>
      </w:r>
    </w:p>
    <w:p>
      <w:pPr>
        <w:spacing w:after="100" w:before="0" w:line="264"/>
        <w:jc w:val="left"/>
      </w:pPr>
      <w:r>
        <w:rPr>
          <w:rFonts w:ascii="Arial" w:cs="Arial" w:eastAsia="Arial" w:hAnsi="Arial"/>
          <w:sz w:val="19"/>
          <w:szCs w:val="19"/>
        </w:rPr>
        <w:t xml:space="preserve">No. At 11x headline and ~14x IFRS earnings, 5.2x adjusted EBITDA and ~14x S&amp;P EBIT, Elis trades at the low end of its own history and at roughly half the peer median P/E. The market already prices low growth and low returns; the multiple would only look high if EPS fell — which our bear case (EPS flat at ~€1.91) still values at ~€17.</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none" w:color="FFFFFF" w:sz="0"/>
              <w:left w:val="single" w:color="13213F" w:sz="24"/>
              <w:bottom w:val="none" w:color="FFFFFF" w:sz="0"/>
              <w:right w:val="none" w:color="FFFFFF" w:sz="0"/>
            </w:tcBorders>
            <w:shd w:fill="EFF1F5" w:color="auto" w:val="clear"/>
            <w:tcMar>
              <w:top w:type="dxa" w:w="100"/>
              <w:left w:type="dxa" w:w="160"/>
              <w:bottom w:type="dxa" w:w="100"/>
              <w:right w:type="dxa" w:w="140"/>
            </w:tcMar>
          </w:tcPr>
          <w:p>
            <w:pPr>
              <w:spacing w:after="60"/>
            </w:pPr>
            <w:r>
              <w:rPr>
                <w:rFonts w:ascii="Arial" w:cs="Arial" w:eastAsia="Arial" w:hAnsi="Arial"/>
                <w:b/>
                <w:bCs/>
                <w:color w:val="13213F"/>
                <w:sz w:val="19"/>
                <w:szCs w:val="19"/>
              </w:rPr>
              <w:t xml:space="preserve">Contrarian view: what the market is refusing to see</w:t>
            </w:r>
          </w:p>
          <w:p>
            <w:pPr>
              <w:spacing w:after="60" w:line="252"/>
            </w:pPr>
            <w:r>
              <w:rPr>
                <w:rFonts w:ascii="Arial" w:cs="Arial" w:eastAsia="Arial" w:hAnsi="Arial"/>
                <w:sz w:val="18"/>
                <w:szCs w:val="18"/>
              </w:rPr>
              <w:t xml:space="preserve">The market is treating H1 2026 as a quality break. We think it was a timing problem: the €500m buyback ended, Mexico (0.3% of revenue) and a temporary energy spike hit the same half, and free cash flow was negative on capex phasing and working capital, not on economics. Meanwhile three things are under-appreciated: (1) the OCEANE conversion turns ~€362m of debt into equity using shares already bought, so leverage falls to ~1.65x without cash; (2) a sophisticated ~20% family holder bought in at €25 with a 25% standstill, putting a de facto floor of interest under the register; (3) Elis earns more EBITDA per euro of sales than any US uniform renter yet trades at a fifth of Cintas's multiple — consolidation in the US (Cintas–UniFirst at ~19x EBITDA) shows what scale assets in this industry are worth to strategic buyers.</w:t>
            </w:r>
          </w:p>
        </w:tc>
      </w:tr>
    </w:tbl>
    <w:p>
      <w:pPr>
        <w:spacing w:after="10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20. Scenario analysis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rPr>
          <w:cantSplit/>
          <w:tblHeader/>
        </w:trPr>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p>
        </w:tc>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Bear (25%)</w:t>
            </w:r>
          </w:p>
        </w:tc>
        <w:tc>
          <w:tcPr>
            <w:tcW w:type="dxa" w:w="246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Base (55%)</w:t>
            </w:r>
          </w:p>
        </w:tc>
        <w:tc>
          <w:tcPr>
            <w:tcW w:type="dxa" w:w="2468"/>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5"/>
                <w:szCs w:val="15"/>
              </w:rPr>
              <w:t xml:space="preserve">Bull (20%)</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Organic growth 2027E</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~2.0% (+0.5pt M&amp;A)</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3.8% (+1pt M&amp;A)</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~5.0% (+1pt M&amp;A)</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Adj. EBIT margin 2027E</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15.4%</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16.2%</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16.5%</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Headline EPS 2027E</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€1.91</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€2.14</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€2.27</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OCEANE</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Not converted; leverage &gt;2x</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Converted Q4-26; ~1.65x</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Converted; buybacks €200m+ a year</w:t>
            </w:r>
          </w:p>
        </w:tc>
      </w:tr>
      <w:tr>
        <w:trPr>
          <w:cantSplit/>
        </w:trPr>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Multiple applied</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9.0x P/E (≈4.5x EBITDA)</w:t>
            </w:r>
          </w:p>
        </w:tc>
        <w:tc>
          <w:tcPr>
            <w:tcW w:type="dxa" w:w="246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12.5x P/E / 5.5x EBITDA / 7% FCF yield</w:t>
            </w:r>
          </w:p>
        </w:tc>
        <w:tc>
          <w:tcPr>
            <w:tcW w:type="dxa" w:w="2468"/>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14.5x P/E (≈6.3x EBITDA)</w:t>
            </w:r>
          </w:p>
        </w:tc>
      </w:tr>
      <w:tr>
        <w:trPr>
          <w:cantSplit/>
        </w:trPr>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Value per share</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€17.2</w:t>
            </w:r>
          </w:p>
        </w:tc>
        <w:tc>
          <w:tcPr>
            <w:tcW w:type="dxa" w:w="246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€26.0</w:t>
            </w:r>
          </w:p>
        </w:tc>
        <w:tc>
          <w:tcPr>
            <w:tcW w:type="dxa" w:w="2468"/>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€33.0</w:t>
            </w:r>
          </w:p>
        </w:tc>
      </w:tr>
      <w:tr>
        <w:trPr>
          <w:cantSplit/>
        </w:trPr>
        <w:tc>
          <w:tcPr>
            <w:tcW w:type="dxa" w:w="2466"/>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Up/downside vs €21.26</w:t>
            </w:r>
          </w:p>
        </w:tc>
        <w:tc>
          <w:tcPr>
            <w:tcW w:type="dxa" w:w="2466"/>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−19%</w:t>
            </w:r>
          </w:p>
        </w:tc>
        <w:tc>
          <w:tcPr>
            <w:tcW w:type="dxa" w:w="2466"/>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+22%</w:t>
            </w:r>
          </w:p>
        </w:tc>
        <w:tc>
          <w:tcPr>
            <w:tcW w:type="dxa" w:w="2468"/>
            <w:tcBorders>
              <w:top w:val="single" w:color="D9D8D2" w:sz="2"/>
              <w:left w:val="none" w:color="FFFFFF" w:sz="0"/>
              <w:bottom w:val="single" w:color="D9D8D2" w:sz="2"/>
              <w:right w:val="none" w:color="FFFFFF" w:sz="0"/>
            </w:tcBorders>
            <w:shd w:fill="DCE6F7"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5"/>
                <w:szCs w:val="15"/>
              </w:rPr>
              <w:t xml:space="preserve">+55%</w:t>
            </w:r>
          </w:p>
        </w:tc>
      </w:tr>
    </w:tbl>
    <w:p>
      <w:pPr>
        <w:spacing w:after="140" w:before="40"/>
      </w:pPr>
      <w:r>
        <w:rPr>
          <w:rFonts w:ascii="Arial" w:cs="Arial" w:eastAsia="Arial" w:hAnsi="Arial"/>
          <w:color w:val="898781"/>
          <w:sz w:val="14"/>
          <w:szCs w:val="14"/>
        </w:rPr>
        <w:t xml:space="preserve">Analyst estimates [e]; model/main_forecast.py. Probability-weighted value ≈ €25 (+18%). Takeover value (6.5–7.5x LTM adj. EBITDA) €30–38 (Section 12).</w:t>
      </w:r>
    </w:p>
    <w:p>
      <w:pPr>
        <w:keepNext w:val="false"/>
        <w:spacing w:after="40"/>
        <w:jc w:val="center"/>
      </w:pPr>
      <w:r>
        <w:drawing>
          <wp:inline distT="0" distB="0" distL="0" distR="0">
            <wp:extent cx="5486400" cy="2571750"/>
            <wp:effectExtent t="0" r="0" b="0" l="0"/>
            <wp:docPr id="1" name="scenarios.png"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571750"/>
                    </a:xfrm>
                    <a:prstGeom prst="rect">
                      <a:avLst/>
                    </a:prstGeom>
                  </pic:spPr>
                </pic:pic>
              </a:graphicData>
            </a:graphic>
          </wp:inline>
        </w:drawing>
      </w:r>
    </w:p>
    <w:p>
      <w:pPr>
        <w:spacing w:after="100" w:before="0" w:line="264"/>
        <w:jc w:val="left"/>
      </w:pPr>
      <w:r>
        <w:rPr>
          <w:rFonts w:ascii="Arial" w:cs="Arial" w:eastAsia="Arial" w:hAnsi="Arial"/>
          <w:sz w:val="19"/>
          <w:szCs w:val="19"/>
        </w:rPr>
        <w:t xml:space="preserve">Asymmetry:</w:t>
      </w:r>
      <w:r>
        <w:rPr>
          <w:rFonts w:ascii="Arial" w:cs="Arial" w:eastAsia="Arial" w:hAnsi="Arial"/>
          <w:sz w:val="19"/>
          <w:szCs w:val="19"/>
        </w:rPr>
        <w:t xml:space="preserve"> downside to the bear case (−19%) is smaller than upside to the base (+22%) and bull (+55%) cases; the bear case still assumes no dividend cut and investment-grade financing. Key swing factors: organic growth (±1pt ≈ ±€1.5/share), EBIT margin (±50bp ≈ ±€1.9/share) and the P/E multiple (±1x ≈ ±€2.1/share) [calc].</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21. Fifteen questions for the CEO and the Chairman of the Supervisory Board</w:t>
      </w:r>
    </w:p>
    <w:p>
      <w:pPr>
        <w:spacing w:after="100" w:before="0" w:line="264"/>
        <w:jc w:val="left"/>
      </w:pPr>
      <w:r>
        <w:rPr>
          <w:rFonts w:ascii="Arial" w:cs="Arial" w:eastAsia="Arial" w:hAnsi="Arial"/>
          <w:sz w:val="19"/>
          <w:szCs w:val="19"/>
        </w:rPr>
        <w:t xml:space="preserve">Ordered by information value (most decision-relevant first).</w:t>
      </w:r>
    </w:p>
    <w:p>
      <w:pPr>
        <w:pStyle w:val="ListParagraph"/>
        <w:numPr>
          <w:ilvl w:val="0"/>
          <w:numId w:val="3"/>
        </w:numPr>
        <w:spacing w:after="60" w:line="252"/>
      </w:pPr>
      <w:r>
        <w:rPr>
          <w:rFonts w:ascii="Arial" w:cs="Arial" w:eastAsia="Arial" w:hAnsi="Arial"/>
          <w:sz w:val="19"/>
          <w:szCs w:val="19"/>
        </w:rPr>
        <w:t xml:space="preserve">If the share price is below the ~€20.8 trigger when you want to call the OCEANE, what is plan B for leverage, the 2027 buyback and the €300m 2027 maturity?</w:t>
      </w:r>
    </w:p>
    <w:p>
      <w:pPr>
        <w:pStyle w:val="ListParagraph"/>
        <w:numPr>
          <w:ilvl w:val="0"/>
          <w:numId w:val="3"/>
        </w:numPr>
        <w:spacing w:after="60" w:line="252"/>
      </w:pPr>
      <w:r>
        <w:rPr>
          <w:rFonts w:ascii="Arial" w:cs="Arial" w:eastAsia="Arial" w:hAnsi="Arial"/>
          <w:sz w:val="19"/>
          <w:szCs w:val="19"/>
        </w:rPr>
        <w:t xml:space="preserve">What organic growth do the record 2026 signings imply for 2027, and how much of it is price versus volume once the end-2026 index negotiations close?</w:t>
      </w:r>
    </w:p>
    <w:p>
      <w:pPr>
        <w:pStyle w:val="ListParagraph"/>
        <w:numPr>
          <w:ilvl w:val="0"/>
          <w:numId w:val="3"/>
        </w:numPr>
        <w:spacing w:after="60" w:line="252"/>
      </w:pPr>
      <w:r>
        <w:rPr>
          <w:rFonts w:ascii="Arial" w:cs="Arial" w:eastAsia="Arial" w:hAnsi="Arial"/>
          <w:sz w:val="19"/>
          <w:szCs w:val="19"/>
        </w:rPr>
        <w:t xml:space="preserve">Why did EBIT grow more slowly than revenue in both FY2025 and H1 2026 despite the CMD commitment — when does D&amp;A/sales actually turn down?</w:t>
      </w:r>
    </w:p>
    <w:p>
      <w:pPr>
        <w:pStyle w:val="ListParagraph"/>
        <w:numPr>
          <w:ilvl w:val="0"/>
          <w:numId w:val="3"/>
        </w:numPr>
        <w:spacing w:after="60" w:line="252"/>
      </w:pPr>
      <w:r>
        <w:rPr>
          <w:rFonts w:ascii="Arial" w:cs="Arial" w:eastAsia="Arial" w:hAnsi="Arial"/>
          <w:sz w:val="19"/>
          <w:szCs w:val="19"/>
        </w:rPr>
        <w:t xml:space="preserve">What is the full-cycle return on the €467m bought back at €26.25, and what share price or leverage level would stop future buybacks?</w:t>
      </w:r>
    </w:p>
    <w:p>
      <w:pPr>
        <w:pStyle w:val="ListParagraph"/>
        <w:numPr>
          <w:ilvl w:val="0"/>
          <w:numId w:val="3"/>
        </w:numPr>
        <w:spacing w:after="60" w:line="252"/>
      </w:pPr>
      <w:r>
        <w:rPr>
          <w:rFonts w:ascii="Arial" w:cs="Arial" w:eastAsia="Arial" w:hAnsi="Arial"/>
          <w:sz w:val="19"/>
          <w:szCs w:val="19"/>
        </w:rPr>
        <w:t xml:space="preserve">Under what conditions would you again pursue a large US or European acquisition, and what return hurdle and leverage ceiling would the Supervisory Board impose?</w:t>
      </w:r>
    </w:p>
    <w:p>
      <w:pPr>
        <w:pStyle w:val="ListParagraph"/>
        <w:numPr>
          <w:ilvl w:val="0"/>
          <w:numId w:val="3"/>
        </w:numPr>
        <w:spacing w:after="60" w:line="252"/>
      </w:pPr>
      <w:r>
        <w:rPr>
          <w:rFonts w:ascii="Arial" w:cs="Arial" w:eastAsia="Arial" w:hAnsi="Arial"/>
          <w:sz w:val="19"/>
          <w:szCs w:val="19"/>
        </w:rPr>
        <w:t xml:space="preserve">What is BWSA/BWGI's long-term intention for its ~20% stake, and how does the 25% standstill interact with any approach for the company?</w:t>
      </w:r>
    </w:p>
    <w:p>
      <w:pPr>
        <w:pStyle w:val="ListParagraph"/>
        <w:numPr>
          <w:ilvl w:val="0"/>
          <w:numId w:val="3"/>
        </w:numPr>
        <w:spacing w:after="60" w:line="252"/>
      </w:pPr>
      <w:r>
        <w:rPr>
          <w:rFonts w:ascii="Arial" w:cs="Arial" w:eastAsia="Arial" w:hAnsi="Arial"/>
          <w:sz w:val="19"/>
          <w:szCs w:val="19"/>
        </w:rPr>
        <w:t xml:space="preserve">What did the Mexico and Chile impairment-indicator tests show (headroom), and could the multi-lot tender model spread to Brazil or other public buyers?</w:t>
      </w:r>
    </w:p>
    <w:p>
      <w:pPr>
        <w:pStyle w:val="ListParagraph"/>
        <w:numPr>
          <w:ilvl w:val="0"/>
          <w:numId w:val="3"/>
        </w:numPr>
        <w:spacing w:after="60" w:line="252"/>
      </w:pPr>
      <w:r>
        <w:rPr>
          <w:rFonts w:ascii="Arial" w:cs="Arial" w:eastAsia="Arial" w:hAnsi="Arial"/>
          <w:sz w:val="19"/>
          <w:szCs w:val="19"/>
        </w:rPr>
        <w:t xml:space="preserve">How much of the 2026 minimum-wage increases in Germany, the UK and LatAm remains unrecovered, and by when do indexation clauses close the gap?</w:t>
      </w:r>
    </w:p>
    <w:p>
      <w:pPr>
        <w:pStyle w:val="ListParagraph"/>
        <w:numPr>
          <w:ilvl w:val="0"/>
          <w:numId w:val="3"/>
        </w:numPr>
        <w:spacing w:after="60" w:line="252"/>
      </w:pPr>
      <w:r>
        <w:rPr>
          <w:rFonts w:ascii="Arial" w:cs="Arial" w:eastAsia="Arial" w:hAnsi="Arial"/>
          <w:sz w:val="19"/>
          <w:szCs w:val="19"/>
        </w:rPr>
        <w:t xml:space="preserve">How much of 2026–27 energy is hedged at what price versus 2025, and what is the true energy bill including vehicle fuel?</w:t>
      </w:r>
    </w:p>
    <w:p>
      <w:pPr>
        <w:pStyle w:val="ListParagraph"/>
        <w:numPr>
          <w:ilvl w:val="0"/>
          <w:numId w:val="3"/>
        </w:numPr>
        <w:spacing w:after="60" w:line="252"/>
      </w:pPr>
      <w:r>
        <w:rPr>
          <w:rFonts w:ascii="Arial" w:cs="Arial" w:eastAsia="Arial" w:hAnsi="Arial"/>
          <w:sz w:val="19"/>
          <w:szCs w:val="19"/>
        </w:rPr>
        <w:t xml:space="preserve">What drove the H1 2026 working-capital outflow and DSO rise, and what FCF is required in H2 to meet the "mid-single-digit growth" guide?</w:t>
      </w:r>
    </w:p>
    <w:p>
      <w:pPr>
        <w:pStyle w:val="ListParagraph"/>
        <w:numPr>
          <w:ilvl w:val="0"/>
          <w:numId w:val="3"/>
        </w:numPr>
        <w:spacing w:after="60" w:line="252"/>
      </w:pPr>
      <w:r>
        <w:rPr>
          <w:rFonts w:ascii="Arial" w:cs="Arial" w:eastAsia="Arial" w:hAnsi="Arial"/>
          <w:sz w:val="19"/>
          <w:szCs w:val="19"/>
        </w:rPr>
        <w:t xml:space="preserve">Where are you losing share — UK, Scandinavia, German healthcare — and to whom?</w:t>
      </w:r>
    </w:p>
    <w:p>
      <w:pPr>
        <w:pStyle w:val="ListParagraph"/>
        <w:numPr>
          <w:ilvl w:val="0"/>
          <w:numId w:val="3"/>
        </w:numPr>
        <w:spacing w:after="60" w:line="252"/>
      </w:pPr>
      <w:r>
        <w:rPr>
          <w:rFonts w:ascii="Arial" w:cs="Arial" w:eastAsia="Arial" w:hAnsi="Arial"/>
          <w:sz w:val="19"/>
          <w:szCs w:val="19"/>
        </w:rPr>
        <w:t xml:space="preserve">What is the succession plan for the Management Board beyond Yann Michel, and why did the CEO sell €2.3m of shares while the company was buying back?</w:t>
      </w:r>
    </w:p>
    <w:p>
      <w:pPr>
        <w:pStyle w:val="ListParagraph"/>
        <w:numPr>
          <w:ilvl w:val="0"/>
          <w:numId w:val="3"/>
        </w:numPr>
        <w:spacing w:after="60" w:line="252"/>
      </w:pPr>
      <w:r>
        <w:rPr>
          <w:rFonts w:ascii="Arial" w:cs="Arial" w:eastAsia="Arial" w:hAnsi="Arial"/>
          <w:sz w:val="19"/>
          <w:szCs w:val="19"/>
        </w:rPr>
        <w:t xml:space="preserve">Should the capital-intensive linen model change (e.g. more customer-owned or leased linen, RFID-driven loss reduction) to lift ROIC above ~7%?</w:t>
      </w:r>
    </w:p>
    <w:p>
      <w:pPr>
        <w:pStyle w:val="ListParagraph"/>
        <w:numPr>
          <w:ilvl w:val="0"/>
          <w:numId w:val="3"/>
        </w:numPr>
        <w:spacing w:after="60" w:line="252"/>
      </w:pPr>
      <w:r>
        <w:rPr>
          <w:rFonts w:ascii="Arial" w:cs="Arial" w:eastAsia="Arial" w:hAnsi="Arial"/>
          <w:sz w:val="19"/>
          <w:szCs w:val="19"/>
        </w:rPr>
        <w:t xml:space="preserve">How large is the cleanroom and pest-control opportunity by 2030 and what margins do they earn relative to the group?</w:t>
      </w:r>
    </w:p>
    <w:p>
      <w:pPr>
        <w:pStyle w:val="ListParagraph"/>
        <w:numPr>
          <w:ilvl w:val="0"/>
          <w:numId w:val="3"/>
        </w:numPr>
        <w:spacing w:after="60" w:line="252"/>
      </w:pPr>
      <w:r>
        <w:rPr>
          <w:rFonts w:ascii="Arial" w:cs="Arial" w:eastAsia="Arial" w:hAnsi="Arial"/>
          <w:sz w:val="19"/>
          <w:szCs w:val="19"/>
        </w:rPr>
        <w:t xml:space="preserve">What would trigger a new Capital Markets Day or revised 2028 targets given organic growth below 4% for two years?</w:t>
      </w:r>
    </w:p>
    <w:p>
      <w:pPr>
        <w:spacing w:after="60"/>
      </w:pP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22. The short-seller's view and forensic accounting review</w:t>
      </w:r>
    </w:p>
    <w:p>
      <w:pPr>
        <w:pStyle w:val="Heading2"/>
        <w:keepNext/>
        <w:keepLines/>
        <w:spacing w:after="80" w:before="180"/>
      </w:pPr>
      <w:r>
        <w:rPr>
          <w:rFonts w:ascii="Arial" w:cs="Arial" w:eastAsia="Arial" w:hAnsi="Arial"/>
          <w:b/>
          <w:bCs/>
          <w:color w:val="13213F"/>
          <w:sz w:val="24"/>
          <w:szCs w:val="24"/>
        </w:rPr>
        <w:t xml:space="preserve">Dismantling the bull case</w:t>
      </w:r>
    </w:p>
    <w:p>
      <w:pPr>
        <w:pStyle w:val="ListParagraph"/>
        <w:numPr>
          <w:ilvl w:val="0"/>
          <w:numId w:val="2"/>
        </w:numPr>
        <w:spacing w:after="60" w:line="252"/>
      </w:pPr>
      <w:r>
        <w:rPr>
          <w:rFonts w:ascii="Arial" w:cs="Arial" w:eastAsia="Arial" w:hAnsi="Arial"/>
          <w:b/>
          <w:bCs/>
          <w:sz w:val="19"/>
          <w:szCs w:val="19"/>
        </w:rPr>
        <w:t xml:space="preserve">What could break the model?</w:t>
      </w:r>
      <w:r>
        <w:rPr>
          <w:rFonts w:ascii="Arial" w:cs="Arial" w:eastAsia="Arial" w:hAnsi="Arial"/>
          <w:sz w:val="19"/>
          <w:szCs w:val="19"/>
        </w:rPr>
        <w:t xml:space="preserve"> Labour is 60% of costs and indexation lags 12 months; a sustained wage shock (as in LatAm 2026) compresses margins faster than price can follow. A move to customer-owned linen or cheaper disposables in a recession would hit the capital-intensive rental model.</w:t>
      </w:r>
    </w:p>
    <w:p>
      <w:pPr>
        <w:pStyle w:val="ListParagraph"/>
        <w:numPr>
          <w:ilvl w:val="0"/>
          <w:numId w:val="2"/>
        </w:numPr>
        <w:spacing w:after="60" w:line="252"/>
      </w:pPr>
      <w:r>
        <w:rPr>
          <w:rFonts w:ascii="Arial" w:cs="Arial" w:eastAsia="Arial" w:hAnsi="Arial"/>
          <w:b/>
          <w:bCs/>
          <w:sz w:val="19"/>
          <w:szCs w:val="19"/>
        </w:rPr>
        <w:t xml:space="preserve">Concentration:</w:t>
      </w:r>
      <w:r>
        <w:rPr>
          <w:rFonts w:ascii="Arial" w:cs="Arial" w:eastAsia="Arial" w:hAnsi="Arial"/>
          <w:sz w:val="19"/>
          <w:szCs w:val="19"/>
        </w:rPr>
        <w:t xml:space="preserve"> low by customer (top-10 &lt;10%), but high by </w:t>
      </w:r>
      <w:r>
        <w:rPr>
          <w:rFonts w:ascii="Arial" w:cs="Arial" w:eastAsia="Arial" w:hAnsi="Arial"/>
          <w:b/>
          <w:bCs/>
          <w:sz w:val="19"/>
          <w:szCs w:val="19"/>
        </w:rPr>
        <w:t xml:space="preserve">geography and buyer type</w:t>
      </w:r>
      <w:r>
        <w:rPr>
          <w:rFonts w:ascii="Arial" w:cs="Arial" w:eastAsia="Arial" w:hAnsi="Arial"/>
          <w:sz w:val="19"/>
          <w:szCs w:val="19"/>
        </w:rPr>
        <w:t xml:space="preserve"> — France ~29% of revenue and ~35% of EBITDA [calc], public healthcare ~30% of sales. A French political or fiscal shock, or a wave of public re-tenders, hits the most profitable parts.</w:t>
      </w:r>
    </w:p>
    <w:p>
      <w:pPr>
        <w:pStyle w:val="ListParagraph"/>
        <w:numPr>
          <w:ilvl w:val="0"/>
          <w:numId w:val="2"/>
        </w:numPr>
        <w:spacing w:after="60" w:line="252"/>
      </w:pPr>
      <w:r>
        <w:rPr>
          <w:rFonts w:ascii="Arial" w:cs="Arial" w:eastAsia="Arial" w:hAnsi="Arial"/>
          <w:b/>
          <w:bCs/>
          <w:sz w:val="19"/>
          <w:szCs w:val="19"/>
        </w:rPr>
        <w:t xml:space="preserve">Moat weaker than bulls think:</w:t>
      </w:r>
      <w:r>
        <w:rPr>
          <w:rFonts w:ascii="Arial" w:cs="Arial" w:eastAsia="Arial" w:hAnsi="Arial"/>
          <w:sz w:val="19"/>
          <w:szCs w:val="19"/>
        </w:rPr>
        <w:t xml:space="preserve"> the UK (12% of sales) is margin-capped by competition; Scandinavian margins have fallen ~400bp since 2021; German hospital tenders are price-only; 6% annual customer loss means ~€290m of revenue must be resold every year.</w:t>
      </w:r>
    </w:p>
    <w:p>
      <w:pPr>
        <w:pStyle w:val="ListParagraph"/>
        <w:numPr>
          <w:ilvl w:val="0"/>
          <w:numId w:val="2"/>
        </w:numPr>
        <w:spacing w:after="60" w:line="252"/>
      </w:pPr>
      <w:r>
        <w:rPr>
          <w:rFonts w:ascii="Arial" w:cs="Arial" w:eastAsia="Arial" w:hAnsi="Arial"/>
          <w:b/>
          <w:bCs/>
          <w:sz w:val="19"/>
          <w:szCs w:val="19"/>
        </w:rPr>
        <w:t xml:space="preserve">Most dangerous competitor:</w:t>
      </w:r>
      <w:r>
        <w:rPr>
          <w:rFonts w:ascii="Arial" w:cs="Arial" w:eastAsia="Arial" w:hAnsi="Arial"/>
          <w:sz w:val="19"/>
          <w:szCs w:val="19"/>
        </w:rPr>
        <w:t xml:space="preserve"> not a big listed rival but </w:t>
      </w:r>
      <w:r>
        <w:rPr>
          <w:rFonts w:ascii="Arial" w:cs="Arial" w:eastAsia="Arial" w:hAnsi="Arial"/>
          <w:b/>
          <w:bCs/>
          <w:sz w:val="19"/>
          <w:szCs w:val="19"/>
        </w:rPr>
        <w:t xml:space="preserve">local family laundries and in-house hospital laundries</w:t>
      </w:r>
      <w:r>
        <w:rPr>
          <w:rFonts w:ascii="Arial" w:cs="Arial" w:eastAsia="Arial" w:hAnsi="Arial"/>
          <w:sz w:val="19"/>
          <w:szCs w:val="19"/>
        </w:rPr>
        <w:t xml:space="preserve"> in price-only public tenders — and, longer term, </w:t>
      </w:r>
      <w:r>
        <w:rPr>
          <w:rFonts w:ascii="Arial" w:cs="Arial" w:eastAsia="Arial" w:hAnsi="Arial"/>
          <w:b/>
          <w:bCs/>
          <w:sz w:val="19"/>
          <w:szCs w:val="19"/>
        </w:rPr>
        <w:t xml:space="preserve">Cintas</w:t>
      </w:r>
      <w:r>
        <w:rPr>
          <w:rFonts w:ascii="Arial" w:cs="Arial" w:eastAsia="Arial" w:hAnsi="Arial"/>
          <w:sz w:val="19"/>
          <w:szCs w:val="19"/>
        </w:rPr>
        <w:t xml:space="preserve">, which after UniFirst will have the scale, cash and ~19x EBITDA currency to buy European platforms (or Elis assets) if it chooses to expand.</w:t>
      </w:r>
    </w:p>
    <w:p>
      <w:pPr>
        <w:pStyle w:val="ListParagraph"/>
        <w:numPr>
          <w:ilvl w:val="0"/>
          <w:numId w:val="2"/>
        </w:numPr>
        <w:spacing w:after="60" w:line="252"/>
      </w:pPr>
      <w:r>
        <w:rPr>
          <w:rFonts w:ascii="Arial" w:cs="Arial" w:eastAsia="Arial" w:hAnsi="Arial"/>
          <w:b/>
          <w:bCs/>
          <w:sz w:val="19"/>
          <w:szCs w:val="19"/>
        </w:rPr>
        <w:t xml:space="preserve">Worst capital allocation:</w:t>
      </w:r>
      <w:r>
        <w:rPr>
          <w:rFonts w:ascii="Arial" w:cs="Arial" w:eastAsia="Arial" w:hAnsi="Arial"/>
          <w:sz w:val="19"/>
          <w:szCs w:val="19"/>
        </w:rPr>
        <w:t xml:space="preserve"> Berendsen at a full price (still ~€4bn of goodwill, ROIC ~7%); €467m of buybacks at €26.25 funded with debt just before a 19% fall, while the CEO sold shares; the 2024 attempt to buy a US player that would have doubled leverage.</w:t>
      </w:r>
    </w:p>
    <w:p>
      <w:pPr>
        <w:pStyle w:val="ListParagraph"/>
        <w:numPr>
          <w:ilvl w:val="0"/>
          <w:numId w:val="2"/>
        </w:numPr>
        <w:spacing w:after="60" w:line="252"/>
      </w:pPr>
      <w:r>
        <w:rPr>
          <w:rFonts w:ascii="Arial" w:cs="Arial" w:eastAsia="Arial" w:hAnsi="Arial"/>
          <w:b/>
          <w:bCs/>
          <w:sz w:val="19"/>
          <w:szCs w:val="19"/>
        </w:rPr>
        <w:t xml:space="preserve">Incentives:</w:t>
      </w:r>
      <w:r>
        <w:rPr>
          <w:rFonts w:ascii="Arial" w:cs="Arial" w:eastAsia="Arial" w:hAnsi="Arial"/>
          <w:sz w:val="19"/>
          <w:szCs w:val="19"/>
        </w:rPr>
        <w:t xml:space="preserve"> LTI conditions include revenue and EBIT versus plan — rewarding growth (and M&amp;A) rather than return on capital; 70% approval of the 2025 pay policy.</w:t>
      </w:r>
    </w:p>
    <w:p>
      <w:pPr>
        <w:pStyle w:val="ListParagraph"/>
        <w:numPr>
          <w:ilvl w:val="0"/>
          <w:numId w:val="2"/>
        </w:numPr>
        <w:spacing w:after="60" w:line="252"/>
      </w:pPr>
      <w:r>
        <w:rPr>
          <w:rFonts w:ascii="Arial" w:cs="Arial" w:eastAsia="Arial" w:hAnsi="Arial"/>
          <w:b/>
          <w:bCs/>
          <w:sz w:val="19"/>
          <w:szCs w:val="19"/>
        </w:rPr>
        <w:t xml:space="preserve">What must hold for today's price:</w:t>
      </w:r>
      <w:r>
        <w:rPr>
          <w:rFonts w:ascii="Arial" w:cs="Arial" w:eastAsia="Arial" w:hAnsi="Arial"/>
          <w:sz w:val="19"/>
          <w:szCs w:val="19"/>
        </w:rPr>
        <w:t xml:space="preserve"> roughly 3–4% organic growth, a stable ~35% EBITDA margin, capex ~18% and no large M&amp;A. That is not demanding.</w:t>
      </w:r>
    </w:p>
    <w:p>
      <w:pPr>
        <w:pStyle w:val="ListParagraph"/>
        <w:numPr>
          <w:ilvl w:val="0"/>
          <w:numId w:val="2"/>
        </w:numPr>
        <w:spacing w:after="60" w:line="252"/>
      </w:pPr>
      <w:r>
        <w:rPr>
          <w:rFonts w:ascii="Arial" w:cs="Arial" w:eastAsia="Arial" w:hAnsi="Arial"/>
          <w:b/>
          <w:bCs/>
          <w:sz w:val="19"/>
          <w:szCs w:val="19"/>
        </w:rPr>
        <w:t xml:space="preserve">If growth disappoints by 20–30%</w:t>
      </w:r>
      <w:r>
        <w:rPr>
          <w:rFonts w:ascii="Arial" w:cs="Arial" w:eastAsia="Arial" w:hAnsi="Arial"/>
          <w:sz w:val="19"/>
          <w:szCs w:val="19"/>
        </w:rPr>
        <w:t xml:space="preserve"> (organic ~2.7–3.0% rather than 3.8% in 2027, with 50bp less margin): EPS 2027E ~€1.95–2.00 and, at a de-rated 9–10x, the stock is worth €18–20 (−7% to −15%) [calc].</w:t>
      </w:r>
    </w:p>
    <w:p>
      <w:pPr>
        <w:pStyle w:val="ListParagraph"/>
        <w:numPr>
          <w:ilvl w:val="0"/>
          <w:numId w:val="2"/>
        </w:numPr>
        <w:spacing w:after="60" w:line="252"/>
      </w:pPr>
      <w:r>
        <w:rPr>
          <w:rFonts w:ascii="Arial" w:cs="Arial" w:eastAsia="Arial" w:hAnsi="Arial"/>
          <w:b/>
          <w:bCs/>
          <w:sz w:val="19"/>
          <w:szCs w:val="19"/>
        </w:rPr>
        <w:t xml:space="preserve">Single permanent-impairment scenario:</w:t>
      </w:r>
      <w:r>
        <w:rPr>
          <w:rFonts w:ascii="Arial" w:cs="Arial" w:eastAsia="Arial" w:hAnsi="Arial"/>
          <w:sz w:val="19"/>
          <w:szCs w:val="19"/>
        </w:rPr>
        <w:t xml:space="preserve"> a large, debt-funded acquisition at a full multiple combined with an end to buybacks; we put it at ~10–15% over three years given the 2024 precedent and the "significantly higher than usual" M&amp;A pipeline </w:t>
      </w:r>
      <w:hyperlink w:history="1" r:id="rIdeycf4o3frv90onp9y5w_s">
        <w:r>
          <w:rPr>
            <w:rFonts w:ascii="Arial" w:cs="Arial" w:eastAsia="Arial" w:hAnsi="Arial"/>
            <w:color w:val="1C5CAB"/>
            <w:sz w:val="15"/>
            <w:szCs w:val="15"/>
          </w:rPr>
          <w:t xml:space="preserve">[#568]</w:t>
        </w:r>
      </w:hyperlink>
      <w:r>
        <w:rPr>
          <w:rFonts w:ascii="Arial" w:cs="Arial" w:eastAsia="Arial" w:hAnsi="Arial"/>
          <w:sz w:val="19"/>
          <w:szCs w:val="19"/>
        </w:rPr>
        <w:t xml:space="preserve">.</w:t>
      </w:r>
    </w:p>
    <w:p>
      <w:pPr>
        <w:spacing w:after="60"/>
      </w:pPr>
    </w:p>
    <w:p>
      <w:pPr>
        <w:pStyle w:val="Heading2"/>
        <w:keepNext/>
        <w:keepLines/>
        <w:spacing w:after="80" w:before="180"/>
      </w:pPr>
      <w:r>
        <w:rPr>
          <w:rFonts w:ascii="Arial" w:cs="Arial" w:eastAsia="Arial" w:hAnsi="Arial"/>
          <w:b/>
          <w:bCs/>
          <w:color w:val="13213F"/>
          <w:sz w:val="24"/>
          <w:szCs w:val="24"/>
        </w:rPr>
        <w:t xml:space="preserve">Red flags and accounting risks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5"/>
        <w:gridCol w:w="6737"/>
        <w:gridCol w:w="1204"/>
      </w:tblGrid>
      <w:tr>
        <w:trPr>
          <w:cantSplit/>
          <w:tblHeader/>
        </w:trPr>
        <w:tc>
          <w:tcPr>
            <w:tcW w:type="dxa" w:w="192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Area</w:t>
            </w:r>
          </w:p>
        </w:tc>
        <w:tc>
          <w:tcPr>
            <w:tcW w:type="dxa" w:w="6737"/>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Observation</w:t>
            </w:r>
          </w:p>
        </w:tc>
        <w:tc>
          <w:tcPr>
            <w:tcW w:type="dxa" w:w="120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center"/>
            </w:pPr>
            <w:r>
              <w:rPr>
                <w:rFonts w:ascii="Arial" w:cs="Arial" w:eastAsia="Arial" w:hAnsi="Arial"/>
                <w:b/>
                <w:bCs/>
                <w:color w:val="FFFFFF"/>
                <w:sz w:val="13"/>
                <w:szCs w:val="13"/>
              </w:rPr>
              <w:t xml:space="preserve">Risk</w:t>
            </w:r>
          </w:p>
        </w:tc>
      </w:tr>
      <w:tr>
        <w:trPr>
          <w:cantSplit/>
        </w:trPr>
        <w:tc>
          <w:tcPr>
            <w:tcW w:type="dxa" w:w="19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Revenue recognition</w:t>
            </w:r>
          </w:p>
        </w:tc>
        <w:tc>
          <w:tcPr>
            <w:tcW w:type="dxa" w:w="67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Rental contracts treated as service agreements (substitution right), recognised over time; subscriptions invoiced in advance (contract liabilities) </w:t>
            </w:r>
            <w:hyperlink w:history="1" r:id="rId8rxj976xlmqeeu5y-eiuj">
              <w:r>
                <w:rPr>
                  <w:rFonts w:ascii="Arial" w:cs="Arial" w:eastAsia="Arial" w:hAnsi="Arial"/>
                  <w:b w:val="false"/>
                  <w:bCs w:val="false"/>
                  <w:sz w:val="12"/>
                  <w:szCs w:val="12"/>
                </w:rPr>
                <w:t xml:space="preserve">[#5620]</w:t>
              </w:r>
            </w:hyperlink>
            <w:r>
              <w:rPr>
                <w:rFonts w:ascii="Arial" w:cs="Arial" w:eastAsia="Arial" w:hAnsi="Arial"/>
                <w:b w:val="false"/>
                <w:bCs w:val="false"/>
                <w:sz w:val="13"/>
                <w:szCs w:val="13"/>
              </w:rPr>
              <w:t xml:space="preserve">. Unearned revenue increases boosted CFO by €59.9m in 2025 [calc, S&amp;P].</w:t>
            </w:r>
          </w:p>
        </w:tc>
        <w:tc>
          <w:tcPr>
            <w:tcW w:type="dxa" w:w="12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Low</w:t>
            </w:r>
          </w:p>
        </w:tc>
      </w:tr>
      <w:tr>
        <w:trPr>
          <w:cantSplit/>
        </w:trPr>
        <w:tc>
          <w:tcPr>
            <w:tcW w:type="dxa" w:w="19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Adjusted metrics</w:t>
            </w:r>
          </w:p>
        </w:tc>
        <w:tc>
          <w:tcPr>
            <w:tcW w:type="dxa" w:w="67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Headline EPS (€1.85) is 26% above IFRS diluted EPS (</w:t>
            </w:r>
            <w:hyperlink w:history="1" r:id="rIdjergblhexowb0l4hffpuq">
              <w:r>
                <w:rPr>
                  <w:rFonts w:ascii="Arial" w:cs="Arial" w:eastAsia="Arial" w:hAnsi="Arial"/>
                  <w:b w:val="false"/>
                  <w:bCs w:val="false"/>
                  <w:sz w:val="13"/>
                  <w:szCs w:val="13"/>
                  <w:u w:val="single"/>
                </w:rPr>
                <w:t xml:space="preserve">€1.46</w:t>
              </w:r>
            </w:hyperlink>
            <w:r>
              <w:rPr>
                <w:rFonts w:ascii="Arial" w:cs="Arial" w:eastAsia="Arial" w:hAnsi="Arial"/>
                <w:b w:val="false"/>
                <w:bCs w:val="false"/>
                <w:sz w:val="13"/>
                <w:szCs w:val="13"/>
              </w:rPr>
              <w:t xml:space="preserve">): excludes PPA amortisation (€85.7m), IFRS 2 (~€35m) and non-recurring items. SBC (</w:t>
            </w:r>
            <w:hyperlink w:history="1" r:id="rIddozqhyvz6rkdzrz50tkmm">
              <w:r>
                <w:rPr>
                  <w:rFonts w:ascii="Arial" w:cs="Arial" w:eastAsia="Arial" w:hAnsi="Arial"/>
                  <w:b w:val="false"/>
                  <w:bCs w:val="false"/>
                  <w:sz w:val="13"/>
                  <w:szCs w:val="13"/>
                  <w:u w:val="single"/>
                </w:rPr>
                <w:t xml:space="preserve">€34.7m</w:t>
              </w:r>
            </w:hyperlink>
            <w:r>
              <w:rPr>
                <w:rFonts w:ascii="Arial" w:cs="Arial" w:eastAsia="Arial" w:hAnsi="Arial"/>
                <w:b w:val="false"/>
                <w:bCs w:val="false"/>
                <w:sz w:val="13"/>
                <w:szCs w:val="13"/>
              </w:rPr>
              <w:t xml:space="preserve">) is a real cost equal to ~9% of IFRS net income.</w:t>
            </w:r>
          </w:p>
        </w:tc>
        <w:tc>
          <w:tcPr>
            <w:tcW w:type="dxa" w:w="12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One-offs</w:t>
            </w:r>
          </w:p>
        </w:tc>
        <w:tc>
          <w:tcPr>
            <w:tcW w:type="dxa" w:w="67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~€25m insurance compensation in FY2025 non-current income </w:t>
            </w:r>
            <w:hyperlink w:history="1" r:id="rIdtuvkhy8tk9nooxvvuqv-j">
              <w:r>
                <w:rPr>
                  <w:rFonts w:ascii="Arial" w:cs="Arial" w:eastAsia="Arial" w:hAnsi="Arial"/>
                  <w:b w:val="false"/>
                  <w:bCs w:val="false"/>
                  <w:sz w:val="12"/>
                  <w:szCs w:val="12"/>
                </w:rPr>
                <w:t xml:space="preserve">[#251]</w:t>
              </w:r>
            </w:hyperlink>
            <w:r>
              <w:rPr>
                <w:rFonts w:ascii="Arial" w:cs="Arial" w:eastAsia="Arial" w:hAnsi="Arial"/>
                <w:b w:val="false"/>
                <w:bCs w:val="false"/>
                <w:sz w:val="13"/>
                <w:szCs w:val="13"/>
              </w:rPr>
              <w:t xml:space="preserve"> and €25.3m gain on asset sales (S&amp;P) flattered IFRS net income growth (+8.6%).</w:t>
            </w:r>
          </w:p>
        </w:tc>
        <w:tc>
          <w:tcPr>
            <w:tcW w:type="dxa" w:w="12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Segment reporting</w:t>
            </w:r>
          </w:p>
        </w:tc>
        <w:tc>
          <w:tcPr>
            <w:tcW w:type="dxa" w:w="67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EBITDA only by segment; no segment EBIT, capex or assets in indexed data; "Other" includes manufacturing and holdings. Hard to see where capital earns its return.</w:t>
            </w:r>
          </w:p>
        </w:tc>
        <w:tc>
          <w:tcPr>
            <w:tcW w:type="dxa" w:w="12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Leases</w:t>
            </w:r>
          </w:p>
        </w:tc>
        <w:tc>
          <w:tcPr>
            <w:tcW w:type="dxa" w:w="67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IFRS 16 lease liabilities ~€700m excluded from company net debt and leverage; lease payments €91.1m in H1 2026 sit below EBITDA. Company EBITDA is post-IFRS 16, so EV/EBITDA must include leases.</w:t>
            </w:r>
          </w:p>
        </w:tc>
        <w:tc>
          <w:tcPr>
            <w:tcW w:type="dxa" w:w="12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Goodwill / intangibles</w:t>
            </w:r>
          </w:p>
        </w:tc>
        <w:tc>
          <w:tcPr>
            <w:tcW w:type="dxa" w:w="67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4v1au_qth98wkwytaj1x-">
              <w:r>
                <w:rPr>
                  <w:rFonts w:ascii="Arial" w:cs="Arial" w:eastAsia="Arial" w:hAnsi="Arial"/>
                  <w:b w:val="false"/>
                  <w:bCs w:val="false"/>
                  <w:sz w:val="13"/>
                  <w:szCs w:val="13"/>
                  <w:u w:val="single"/>
                </w:rPr>
                <w:t xml:space="preserve">Goodwill €4,039.6m</w:t>
              </w:r>
            </w:hyperlink>
            <w:r>
              <w:rPr>
                <w:rFonts w:ascii="Arial" w:cs="Arial" w:eastAsia="Arial" w:hAnsi="Arial"/>
                <w:b w:val="false"/>
                <w:bCs w:val="false"/>
                <w:sz w:val="13"/>
                <w:szCs w:val="13"/>
              </w:rPr>
              <w:t xml:space="preserve"> exceeds equity (€3,812.5m; €3,474m at Jun-26 after buybacks): tangible equity is negative. Impairment indicators in Mexico and Chile CGUs in H1 2026, no charge </w:t>
            </w:r>
            <w:hyperlink w:history="1" r:id="rIduuivpootixno5rf9v9ug8">
              <w:r>
                <w:rPr>
                  <w:rFonts w:ascii="Arial" w:cs="Arial" w:eastAsia="Arial" w:hAnsi="Arial"/>
                  <w:b w:val="false"/>
                  <w:bCs w:val="false"/>
                  <w:sz w:val="12"/>
                  <w:szCs w:val="12"/>
                </w:rPr>
                <w:t xml:space="preserve">[#329]</w:t>
              </w:r>
            </w:hyperlink>
            <w:r>
              <w:rPr>
                <w:rFonts w:ascii="Arial" w:cs="Arial" w:eastAsia="Arial" w:hAnsi="Arial"/>
                <w:b w:val="false"/>
                <w:bCs w:val="false"/>
                <w:sz w:val="13"/>
                <w:szCs w:val="13"/>
              </w:rPr>
              <w:t xml:space="preserve">; €58.7m Russia impairment in 2022.</w:t>
            </w:r>
          </w:p>
        </w:tc>
        <w:tc>
          <w:tcPr>
            <w:tcW w:type="dxa" w:w="12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9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Working capital / financing</w:t>
            </w:r>
          </w:p>
        </w:tc>
        <w:tc>
          <w:tcPr>
            <w:tcW w:type="dxa" w:w="67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Receivables securitisation (€294m sold, on balance sheet) and a supplier-finance programme (60-day terms) can flatter operating cash flow; utilisation of the supplier-finance programme not disclosed </w:t>
            </w:r>
            <w:hyperlink w:history="1" r:id="rIdsweiu1vtz9hzofpvml2pr">
              <w:r>
                <w:rPr>
                  <w:rFonts w:ascii="Arial" w:cs="Arial" w:eastAsia="Arial" w:hAnsi="Arial"/>
                  <w:b w:val="false"/>
                  <w:bCs w:val="false"/>
                  <w:sz w:val="12"/>
                  <w:szCs w:val="12"/>
                </w:rPr>
                <w:t xml:space="preserve">[#253]</w:t>
              </w:r>
            </w:hyperlink>
            <w:r>
              <w:rPr>
                <w:rFonts w:ascii="Arial" w:cs="Arial" w:eastAsia="Arial" w:hAnsi="Arial"/>
                <w:b w:val="false"/>
                <w:bCs w:val="false"/>
                <w:sz w:val="13"/>
                <w:szCs w:val="13"/>
              </w:rPr>
              <w:t xml:space="preserve">. DSO up 3 days YoY at Jun-26.</w:t>
            </w:r>
          </w:p>
        </w:tc>
        <w:tc>
          <w:tcPr>
            <w:tcW w:type="dxa" w:w="12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Capitalisation of linen</w:t>
            </w:r>
          </w:p>
        </w:tc>
        <w:tc>
          <w:tcPr>
            <w:tcW w:type="dxa" w:w="67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Linen purchases are capex (~two-thirds of capex maintains linen in circulation); useful-life assumptions drive D&amp;A of ~19.6% of revenue. Shortening lives would cut EBIT; lengthening them would flatter it.</w:t>
            </w:r>
          </w:p>
        </w:tc>
        <w:tc>
          <w:tcPr>
            <w:tcW w:type="dxa" w:w="12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Related parties</w:t>
            </w:r>
          </w:p>
        </w:tc>
        <w:tc>
          <w:tcPr>
            <w:tcW w:type="dxa" w:w="67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HSBC bond mandate (CEO on HSBC CE board); Predica-insured pension plan historically. Disclosed and approved.</w:t>
            </w:r>
          </w:p>
        </w:tc>
        <w:tc>
          <w:tcPr>
            <w:tcW w:type="dxa" w:w="12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Low</w:t>
            </w:r>
          </w:p>
        </w:tc>
      </w:tr>
      <w:tr>
        <w:trPr>
          <w:cantSplit/>
        </w:trPr>
        <w:tc>
          <w:tcPr>
            <w:tcW w:type="dxa" w:w="19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Contingencies</w:t>
            </w:r>
          </w:p>
        </w:tc>
        <w:tc>
          <w:tcPr>
            <w:tcW w:type="dxa" w:w="67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Brazil: Federal Police anti-corruption investigation (Lavatec/Lavebras) and São Paulo public-hospital contract probes, potential exclusion from public contracts up to 10 years </w:t>
            </w:r>
            <w:hyperlink w:history="1" r:id="rIdoc0kp-vkiftuevdsl_7d7">
              <w:r>
                <w:rPr>
                  <w:rFonts w:ascii="Arial" w:cs="Arial" w:eastAsia="Arial" w:hAnsi="Arial"/>
                  <w:b w:val="false"/>
                  <w:bCs w:val="false"/>
                  <w:sz w:val="12"/>
                  <w:szCs w:val="12"/>
                </w:rPr>
                <w:t xml:space="preserve">[#5931]</w:t>
              </w:r>
            </w:hyperlink>
            <w:r>
              <w:rPr>
                <w:rFonts w:ascii="Arial" w:cs="Arial" w:eastAsia="Arial" w:hAnsi="Arial"/>
                <w:b w:val="false"/>
                <w:bCs w:val="false"/>
                <w:sz w:val="13"/>
                <w:szCs w:val="13"/>
              </w:rPr>
              <w:t xml:space="preserve">; French competition decision (2007). Provisions not quantified in indexed text.</w:t>
            </w:r>
          </w:p>
        </w:tc>
        <w:tc>
          <w:tcPr>
            <w:tcW w:type="dxa" w:w="12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9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Restatements</w:t>
            </w:r>
          </w:p>
        </w:tc>
        <w:tc>
          <w:tcPr>
            <w:tcW w:type="dxa" w:w="6737"/>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2025 and FY2024 restated for IFRS 3 purchase-price allocations (Neutral, Carsan, Wasned, Ernst) </w:t>
            </w:r>
            <w:hyperlink w:history="1" r:id="rId7kcgfxtpoemblfzubjwpd">
              <w:r>
                <w:rPr>
                  <w:rFonts w:ascii="Arial" w:cs="Arial" w:eastAsia="Arial" w:hAnsi="Arial"/>
                  <w:b w:val="false"/>
                  <w:bCs w:val="false"/>
                  <w:sz w:val="12"/>
                  <w:szCs w:val="12"/>
                </w:rPr>
                <w:t xml:space="preserve">[#251]</w:t>
              </w:r>
            </w:hyperlink>
            <w:r>
              <w:rPr>
                <w:rFonts w:ascii="Arial" w:cs="Arial" w:eastAsia="Arial" w:hAnsi="Arial"/>
                <w:b w:val="false"/>
                <w:bCs w:val="false"/>
                <w:sz w:val="13"/>
                <w:szCs w:val="13"/>
              </w:rPr>
              <w:t xml:space="preserve">; small but recurring.</w:t>
            </w:r>
          </w:p>
        </w:tc>
        <w:tc>
          <w:tcPr>
            <w:tcW w:type="dxa" w:w="120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Low</w:t>
            </w:r>
          </w:p>
        </w:tc>
      </w:tr>
      <w:tr>
        <w:trPr>
          <w:cantSplit/>
        </w:trPr>
        <w:tc>
          <w:tcPr>
            <w:tcW w:type="dxa" w:w="19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Cash-flow statement</w:t>
            </w:r>
          </w:p>
        </w:tc>
        <w:tc>
          <w:tcPr>
            <w:tcW w:type="dxa" w:w="6737"/>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Dividend partly reclassified as "return of reserves" (€0.26 of €0.48 in 2026) — tax-driven, not economic. FCF after leases only ~21% of EBITDA; negative in H1 2026.</w:t>
            </w:r>
          </w:p>
        </w:tc>
        <w:tc>
          <w:tcPr>
            <w:tcW w:type="dxa" w:w="120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Low</w:t>
            </w:r>
          </w:p>
        </w:tc>
      </w:tr>
    </w:tbl>
    <w:p>
      <w:pPr>
        <w:spacing w:after="140" w:before="40"/>
      </w:pPr>
      <w:r>
        <w:rPr>
          <w:rFonts w:ascii="Arial" w:cs="Arial" w:eastAsia="Arial" w:hAnsi="Arial"/>
          <w:color w:val="898781"/>
          <w:sz w:val="14"/>
          <w:szCs w:val="14"/>
        </w:rPr>
        <w:t xml:space="preserve">Sources as cited; S&amp;P Capital IQ figures linked where available; analyst assessment.</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23. Timeline of key events and catalyst calendar</w:t>
      </w:r>
    </w:p>
    <w:p>
      <w:pPr>
        <w:pStyle w:val="Heading2"/>
        <w:keepNext/>
        <w:keepLines/>
        <w:spacing w:after="80" w:before="180"/>
      </w:pPr>
      <w:r>
        <w:rPr>
          <w:rFonts w:ascii="Arial" w:cs="Arial" w:eastAsia="Arial" w:hAnsi="Arial"/>
          <w:b/>
          <w:bCs/>
          <w:color w:val="13213F"/>
          <w:sz w:val="24"/>
          <w:szCs w:val="24"/>
        </w:rPr>
        <w:t xml:space="preserve">23.1 Key past events (2015 to today)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6"/>
        <w:gridCol w:w="5344"/>
        <w:gridCol w:w="1541"/>
        <w:gridCol w:w="1645"/>
      </w:tblGrid>
      <w:tr>
        <w:trPr>
          <w:cantSplit/>
          <w:tblHeader/>
        </w:trPr>
        <w:tc>
          <w:tcPr>
            <w:tcW w:type="dxa" w:w="133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Date</w:t>
            </w:r>
          </w:p>
        </w:tc>
        <w:tc>
          <w:tcPr>
            <w:tcW w:type="dxa" w:w="534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Event</w:t>
            </w:r>
          </w:p>
        </w:tc>
        <w:tc>
          <w:tcPr>
            <w:tcW w:type="dxa" w:w="154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Category</w:t>
            </w:r>
          </w:p>
        </w:tc>
        <w:tc>
          <w:tcPr>
            <w:tcW w:type="dxa" w:w="164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Source</w:t>
            </w:r>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2015-02-11</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IPO on Euronext Paris regulated market; EUR700m raised via new shares at EUR13 per share</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capital markets / IPO</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k-hxb0pvlppotcybslvcv">
              <w:r>
                <w:rPr>
                  <w:rFonts w:ascii="Arial" w:cs="Arial" w:eastAsia="Arial" w:hAnsi="Arial"/>
                  <w:b w:val="false"/>
                  <w:bCs w:val="false"/>
                  <w:sz w:val="12"/>
                  <w:szCs w:val="12"/>
                </w:rPr>
                <w:t xml:space="preserve">[#149]</w:t>
              </w:r>
            </w:hyperlink>
            <w:r>
              <w:rPr>
                <w:rFonts w:ascii="Arial" w:cs="Arial" w:eastAsia="Arial" w:hAnsi="Arial"/>
                <w:b w:val="false"/>
                <w:bCs w:val="false"/>
                <w:sz w:val="13"/>
                <w:szCs w:val="13"/>
              </w:rPr>
              <w:t xml:space="preserve"> </w:t>
            </w:r>
            <w:hyperlink w:history="1" r:id="rIdaoyoq0nxcrc7ifopsaddy">
              <w:r>
                <w:rPr>
                  <w:rFonts w:ascii="Arial" w:cs="Arial" w:eastAsia="Arial" w:hAnsi="Arial"/>
                  <w:b w:val="false"/>
                  <w:bCs w:val="false"/>
                  <w:sz w:val="12"/>
                  <w:szCs w:val="12"/>
                </w:rPr>
                <w:t xml:space="preserve">[#435]</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2015-04</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Post-IPO refinancing: successful notes offering in April 2015</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refinancing</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lqvwxqskht7tgfueil-hr">
              <w:r>
                <w:rPr>
                  <w:rFonts w:ascii="Arial" w:cs="Arial" w:eastAsia="Arial" w:hAnsi="Arial"/>
                  <w:b w:val="false"/>
                  <w:bCs w:val="false"/>
                  <w:sz w:val="12"/>
                  <w:szCs w:val="12"/>
                </w:rPr>
                <w:t xml:space="preserve">[#12]</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2016</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Indusal (Spain) acquisition</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rh8in9ldfxd3agm7_hxdi">
              <w:r>
                <w:rPr>
                  <w:rFonts w:ascii="Arial" w:cs="Arial" w:eastAsia="Arial" w:hAnsi="Arial"/>
                  <w:b w:val="false"/>
                  <w:bCs w:val="false"/>
                  <w:sz w:val="12"/>
                  <w:szCs w:val="12"/>
                </w:rPr>
                <w:t xml:space="preserve">[#81]</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2017-06-06</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Berendsen: agreement in principle on recommended offer (GBP5.40 cash + 0.403 new Elis shares per Berendsen share); Rule 2.7 announcement 12-Jun-2017</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o70d8exoayj8xpb0bsal9">
              <w:r>
                <w:rPr>
                  <w:rFonts w:ascii="Arial" w:cs="Arial" w:eastAsia="Arial" w:hAnsi="Arial"/>
                  <w:b w:val="false"/>
                  <w:bCs w:val="false"/>
                  <w:sz w:val="12"/>
                  <w:szCs w:val="12"/>
                </w:rPr>
                <w:t xml:space="preserve">[#821]</w:t>
              </w:r>
            </w:hyperlink>
            <w:r>
              <w:rPr>
                <w:rFonts w:ascii="Arial" w:cs="Arial" w:eastAsia="Arial" w:hAnsi="Arial"/>
                <w:b w:val="false"/>
                <w:bCs w:val="false"/>
                <w:sz w:val="13"/>
                <w:szCs w:val="13"/>
              </w:rPr>
              <w:t xml:space="preserve"> </w:t>
            </w:r>
            <w:hyperlink w:history="1" r:id="rIdqjkrspc0cn_zjvdjikwgw">
              <w:r>
                <w:rPr>
                  <w:rFonts w:ascii="Arial" w:cs="Arial" w:eastAsia="Arial" w:hAnsi="Arial"/>
                  <w:b w:val="false"/>
                  <w:bCs w:val="false"/>
                  <w:sz w:val="12"/>
                  <w:szCs w:val="12"/>
                </w:rPr>
                <w:t xml:space="preserve">[#341]</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2017-09-12</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Berendsen acquisition completed</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hejsco4xovgc2roi_hwub">
              <w:r>
                <w:rPr>
                  <w:rFonts w:ascii="Arial" w:cs="Arial" w:eastAsia="Arial" w:hAnsi="Arial"/>
                  <w:b w:val="false"/>
                  <w:bCs w:val="false"/>
                  <w:sz w:val="12"/>
                  <w:szCs w:val="12"/>
                </w:rPr>
                <w:t xml:space="preserve">[#3423]</w:t>
              </w:r>
            </w:hyperlink>
            <w:r>
              <w:rPr>
                <w:rFonts w:ascii="Arial" w:cs="Arial" w:eastAsia="Arial" w:hAnsi="Arial"/>
                <w:b w:val="false"/>
                <w:bCs w:val="false"/>
                <w:sz w:val="13"/>
                <w:szCs w:val="13"/>
              </w:rPr>
              <w:t xml:space="preserve"> </w:t>
            </w:r>
            <w:hyperlink w:history="1" r:id="rIduddxfb0qihxgz4mdvsv3h">
              <w:r>
                <w:rPr>
                  <w:rFonts w:ascii="Arial" w:cs="Arial" w:eastAsia="Arial" w:hAnsi="Arial"/>
                  <w:b w:val="false"/>
                  <w:bCs w:val="false"/>
                  <w:sz w:val="12"/>
                  <w:szCs w:val="12"/>
                </w:rPr>
                <w:t xml:space="preserve">[#3169]</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2018-01-30</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Investor Day (Capital Markets Day 2018)</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CMD</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p3qo3afh9-kch2z-ixbj">
              <w:r>
                <w:rPr>
                  <w:rFonts w:ascii="Arial" w:cs="Arial" w:eastAsia="Arial" w:hAnsi="Arial"/>
                  <w:b w:val="false"/>
                  <w:bCs w:val="false"/>
                  <w:sz w:val="13"/>
                  <w:szCs w:val="13"/>
                  <w:u w:val="single"/>
                </w:rPr>
                <w:t xml:space="preserve">Elis SA - Analyst/Investor Day</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2019</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Management: executive appointed Group CFO in 2008 became Deputy CEO &amp; EVP Group Operations in 2019; CFO Louis Guyot (joined the Group in 2013)</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management</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1osdj-jjkroepmnpih4b7">
              <w:r>
                <w:rPr>
                  <w:rFonts w:ascii="Arial" w:cs="Arial" w:eastAsia="Arial" w:hAnsi="Arial"/>
                  <w:b w:val="false"/>
                  <w:bCs w:val="false"/>
                  <w:sz w:val="12"/>
                  <w:szCs w:val="12"/>
                </w:rPr>
                <w:t xml:space="preserve">[#934]</w:t>
              </w:r>
            </w:hyperlink>
            <w:r>
              <w:rPr>
                <w:rFonts w:ascii="Arial" w:cs="Arial" w:eastAsia="Arial" w:hAnsi="Arial"/>
                <w:b w:val="false"/>
                <w:bCs w:val="false"/>
                <w:sz w:val="13"/>
                <w:szCs w:val="13"/>
              </w:rPr>
              <w:t xml:space="preserve"> </w:t>
            </w:r>
            <w:hyperlink w:history="1" r:id="rIdrd88hdzudtdcs3bt1wrqt">
              <w:r>
                <w:rPr>
                  <w:rFonts w:ascii="Arial" w:cs="Arial" w:eastAsia="Arial" w:hAnsi="Arial"/>
                  <w:b w:val="false"/>
                  <w:bCs w:val="false"/>
                  <w:sz w:val="12"/>
                  <w:szCs w:val="12"/>
                </w:rPr>
                <w:t xml:space="preserve">[#634]</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2020-03</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Covid-19 crash: weekly close EUR17.50 (week of 23-Dec-2019) to EUR7.26 (week of 30-Mar-2020), -58.5% [calc]; prior peak regained only in week of 10-Jul-2023 [calc]</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(Covid)</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2020-03-31</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FY2019 dividend (EUR0.39/share) withdrawn; M&amp;A put on hold (Covid)</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dividend suspension</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4jj309mjvefdu9rs0znhg">
              <w:r>
                <w:rPr>
                  <w:rFonts w:ascii="Arial" w:cs="Arial" w:eastAsia="Arial" w:hAnsi="Arial"/>
                  <w:b w:val="false"/>
                  <w:bCs w:val="false"/>
                  <w:sz w:val="12"/>
                  <w:szCs w:val="12"/>
                </w:rPr>
                <w:t xml:space="preserve">[#3252]</w:t>
              </w:r>
            </w:hyperlink>
            <w:r>
              <w:rPr>
                <w:rFonts w:ascii="Arial" w:cs="Arial" w:eastAsia="Arial" w:hAnsi="Arial"/>
                <w:b w:val="false"/>
                <w:bCs w:val="false"/>
                <w:sz w:val="13"/>
                <w:szCs w:val="13"/>
              </w:rPr>
              <w:t xml:space="preserve"> </w:t>
            </w:r>
            <w:hyperlink w:history="1" r:id="rIdvviuawbyikorkbzktx-sk">
              <w:r>
                <w:rPr>
                  <w:rFonts w:ascii="Arial" w:cs="Arial" w:eastAsia="Arial" w:hAnsi="Arial"/>
                  <w:b w:val="false"/>
                  <w:bCs w:val="false"/>
                  <w:sz w:val="12"/>
                  <w:szCs w:val="12"/>
                </w:rPr>
                <w:t xml:space="preserve">[#144]</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2022-02-10 to 2022-03-08</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Ukraine-war energy shock: share price -29.0% [calc]</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(energy)</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okwb4bfd0zxck6zeqtllc">
              <w:r>
                <w:rPr>
                  <w:rFonts w:ascii="Arial" w:cs="Arial" w:eastAsia="Arial" w:hAnsi="Arial"/>
                  <w:b w:val="false"/>
                  <w:bCs w:val="false"/>
                  <w:sz w:val="12"/>
                  <w:szCs w:val="12"/>
                </w:rPr>
                <w:t xml:space="preserve">[#3392]</w:t>
              </w:r>
            </w:hyperlink>
            <w:r>
              <w:rPr>
                <w:rFonts w:ascii="Arial" w:cs="Arial" w:eastAsia="Arial" w:hAnsi="Arial"/>
                <w:b w:val="false"/>
                <w:bCs w:val="false"/>
                <w:sz w:val="13"/>
                <w:szCs w:val="13"/>
              </w:rPr>
              <w:t xml:space="preserve"> </w:t>
            </w:r>
            <w:hyperlink w:history="1" r:id="rId4ntha-fjhl3-pz4siy_jk">
              <w:r>
                <w:rPr>
                  <w:rFonts w:ascii="Arial" w:cs="Arial" w:eastAsia="Arial" w:hAnsi="Arial"/>
                  <w:b w:val="false"/>
                  <w:bCs w:val="false"/>
                  <w:sz w:val="12"/>
                  <w:szCs w:val="12"/>
                </w:rPr>
                <w:t xml:space="preserve">[#424]</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2022-03-09</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FY2021 results: dividend reinstated (EUR0.37/share proposed, scrip option); 2022 EBITDA margin c.33.5% guidance with energy price pass-through; stock +8.5% [calc]</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dividend reinstatement / guidance</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pd-cs7balkoxun3tyk5d3">
              <w:r>
                <w:rPr>
                  <w:rFonts w:ascii="Arial" w:cs="Arial" w:eastAsia="Arial" w:hAnsi="Arial"/>
                  <w:b w:val="false"/>
                  <w:bCs w:val="false"/>
                  <w:sz w:val="12"/>
                  <w:szCs w:val="12"/>
                </w:rPr>
                <w:t xml:space="preserve">[#854]</w:t>
              </w:r>
            </w:hyperlink>
            <w:r>
              <w:rPr>
                <w:rFonts w:ascii="Arial" w:cs="Arial" w:eastAsia="Arial" w:hAnsi="Arial"/>
                <w:b w:val="false"/>
                <w:bCs w:val="false"/>
                <w:sz w:val="13"/>
                <w:szCs w:val="13"/>
              </w:rPr>
              <w:t xml:space="preserve"> </w:t>
            </w:r>
            <w:hyperlink w:history="1" r:id="rIduu7gghoyj0kldcrikl3wi">
              <w:r>
                <w:rPr>
                  <w:rFonts w:ascii="Arial" w:cs="Arial" w:eastAsia="Arial" w:hAnsi="Arial"/>
                  <w:b w:val="false"/>
                  <w:bCs w:val="false"/>
                  <w:sz w:val="12"/>
                  <w:szCs w:val="12"/>
                </w:rPr>
                <w:t xml:space="preserve">[#3444]</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Entry into Mexico via acquisition completed in 2022</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e691r2rmd219lu0znohyl">
              <w:r>
                <w:rPr>
                  <w:rFonts w:ascii="Arial" w:cs="Arial" w:eastAsia="Arial" w:hAnsi="Arial"/>
                  <w:b w:val="false"/>
                  <w:bCs w:val="false"/>
                  <w:sz w:val="12"/>
                  <w:szCs w:val="12"/>
                </w:rPr>
                <w:t xml:space="preserve">[#81]</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2022-07-27</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2022: FY guidance raised (organic +18-20% from +13-15%; EBIT &gt;EUR530m)</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guidance change</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ualern630ais3gaqhxbrw">
              <w:r>
                <w:rPr>
                  <w:rFonts w:ascii="Arial" w:cs="Arial" w:eastAsia="Arial" w:hAnsi="Arial"/>
                  <w:b w:val="false"/>
                  <w:bCs w:val="false"/>
                  <w:sz w:val="12"/>
                  <w:szCs w:val="12"/>
                </w:rPr>
                <w:t xml:space="preserve">[#20]</w:t>
              </w:r>
            </w:hyperlink>
            <w:r>
              <w:rPr>
                <w:rFonts w:ascii="Arial" w:cs="Arial" w:eastAsia="Arial" w:hAnsi="Arial"/>
                <w:b w:val="false"/>
                <w:bCs w:val="false"/>
                <w:sz w:val="13"/>
                <w:szCs w:val="13"/>
              </w:rPr>
              <w:t xml:space="preserve"> </w:t>
            </w:r>
            <w:hyperlink w:history="1" r:id="rIdvowis_y35tzam0blofrj2">
              <w:r>
                <w:rPr>
                  <w:rFonts w:ascii="Arial" w:cs="Arial" w:eastAsia="Arial" w:hAnsi="Arial"/>
                  <w:b w:val="false"/>
                  <w:bCs w:val="false"/>
                  <w:sz w:val="12"/>
                  <w:szCs w:val="12"/>
                </w:rPr>
                <w:t xml:space="preserve">[#302]</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2022-09-22</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OCEANE 2029 convertible issued: EUR380m, 2.25% coupon, maturity 22-Sep-2029, holder put 22-Sep-2027</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refinancing / convertible</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x1wqo2t3ywoph2lc_0uw_">
              <w:r>
                <w:rPr>
                  <w:rFonts w:ascii="Arial" w:cs="Arial" w:eastAsia="Arial" w:hAnsi="Arial"/>
                  <w:b w:val="false"/>
                  <w:bCs w:val="false"/>
                  <w:sz w:val="12"/>
                  <w:szCs w:val="12"/>
                </w:rPr>
                <w:t xml:space="preserve">[#861]</w:t>
              </w:r>
            </w:hyperlink>
            <w:r>
              <w:rPr>
                <w:rFonts w:ascii="Arial" w:cs="Arial" w:eastAsia="Arial" w:hAnsi="Arial"/>
                <w:b w:val="false"/>
                <w:bCs w:val="false"/>
                <w:sz w:val="13"/>
                <w:szCs w:val="13"/>
              </w:rPr>
              <w:t xml:space="preserve"> </w:t>
            </w:r>
            <w:hyperlink w:history="1" r:id="rIdawfoujtf61rbalnbcpnve">
              <w:r>
                <w:rPr>
                  <w:rFonts w:ascii="Arial" w:cs="Arial" w:eastAsia="Arial" w:hAnsi="Arial"/>
                  <w:b w:val="false"/>
                  <w:bCs w:val="false"/>
                  <w:sz w:val="12"/>
                  <w:szCs w:val="12"/>
                </w:rPr>
                <w:t xml:space="preserve">[#6435]</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2022-09-29</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5-year closing low EUR9.91 (ProntoNLP series) [calc]</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price</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2022-10-26</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Q3 2022: FY organic growth guidance raised to &gt;+20%</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guidance change</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werfld4x_5n_ipoezddm7">
              <w:r>
                <w:rPr>
                  <w:rFonts w:ascii="Arial" w:cs="Arial" w:eastAsia="Arial" w:hAnsi="Arial"/>
                  <w:b w:val="false"/>
                  <w:bCs w:val="false"/>
                  <w:sz w:val="12"/>
                  <w:szCs w:val="12"/>
                </w:rPr>
                <w:t xml:space="preserve">[#25]</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2023-03-08</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FY2022 results: 2023 guidance organic +11% to +13%, HNI &gt;EUR405m; FY2022 dividend EUR0.41 (scrip option) approved May-2023</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guidance / dividend</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l9pm5h6s4a5914gfx49se">
              <w:r>
                <w:rPr>
                  <w:rFonts w:ascii="Arial" w:cs="Arial" w:eastAsia="Arial" w:hAnsi="Arial"/>
                  <w:b w:val="false"/>
                  <w:bCs w:val="false"/>
                  <w:sz w:val="12"/>
                  <w:szCs w:val="12"/>
                </w:rPr>
                <w:t xml:space="preserve">[#403]</w:t>
              </w:r>
            </w:hyperlink>
            <w:r>
              <w:rPr>
                <w:rFonts w:ascii="Arial" w:cs="Arial" w:eastAsia="Arial" w:hAnsi="Arial"/>
                <w:b w:val="false"/>
                <w:bCs w:val="false"/>
                <w:sz w:val="13"/>
                <w:szCs w:val="13"/>
              </w:rPr>
              <w:t xml:space="preserve"> </w:t>
            </w:r>
            <w:hyperlink w:history="1" r:id="rIdv9oxena6p7iix_5tky2ar">
              <w:r>
                <w:rPr>
                  <w:rFonts w:ascii="Arial" w:cs="Arial" w:eastAsia="Arial" w:hAnsi="Arial"/>
                  <w:b w:val="false"/>
                  <w:bCs w:val="false"/>
                  <w:sz w:val="12"/>
                  <w:szCs w:val="12"/>
                </w:rPr>
                <w:t xml:space="preserve">[#412]</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2023-07-26</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2023: organic guidance specified at c.12%, HNI target raised</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guidance change</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ayziti19nxmxplbpm8bwf">
              <w:r>
                <w:rPr>
                  <w:rFonts w:ascii="Arial" w:cs="Arial" w:eastAsia="Arial" w:hAnsi="Arial"/>
                  <w:b w:val="false"/>
                  <w:bCs w:val="false"/>
                  <w:sz w:val="12"/>
                  <w:szCs w:val="12"/>
                </w:rPr>
                <w:t xml:space="preserve">[#366]</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2023-09-04</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Special call: climate/CSR roadmap (SBTi-based) plus recap of raised 2023 margin guidance (EBITDA margin c.+70bps vs +50bps)</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CSR / guidance</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geddjn6_z4unfreyf8ur">
              <w:r>
                <w:rPr>
                  <w:rFonts w:ascii="Arial" w:cs="Arial" w:eastAsia="Arial" w:hAnsi="Arial"/>
                  <w:b w:val="false"/>
                  <w:bCs w:val="false"/>
                  <w:sz w:val="12"/>
                  <w:szCs w:val="12"/>
                </w:rPr>
                <w:t xml:space="preserve">[#244]</w:t>
              </w:r>
            </w:hyperlink>
            <w:r>
              <w:rPr>
                <w:rFonts w:ascii="Arial" w:cs="Arial" w:eastAsia="Arial" w:hAnsi="Arial"/>
                <w:b w:val="false"/>
                <w:bCs w:val="false"/>
                <w:sz w:val="13"/>
                <w:szCs w:val="13"/>
              </w:rPr>
              <w:t xml:space="preserve"> </w:t>
            </w:r>
            <w:hyperlink w:history="1" r:id="rIdhns4pee_3s-_sjmwoxryo">
              <w:r>
                <w:rPr>
                  <w:rFonts w:ascii="Arial" w:cs="Arial" w:eastAsia="Arial" w:hAnsi="Arial"/>
                  <w:b w:val="false"/>
                  <w:bCs w:val="false"/>
                  <w:sz w:val="12"/>
                  <w:szCs w:val="12"/>
                </w:rPr>
                <w:t xml:space="preserve">[#428]</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2023-10 / 2023-11</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Moody's outlook to positive (Oct-2023); S&amp;P upgrade to investment grade BBB- (Nov-2023)</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credit rating</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f_wgmp-vur8wlkuawrd6j">
              <w:r>
                <w:rPr>
                  <w:rFonts w:ascii="Arial" w:cs="Arial" w:eastAsia="Arial" w:hAnsi="Arial"/>
                  <w:b w:val="false"/>
                  <w:bCs w:val="false"/>
                  <w:sz w:val="12"/>
                  <w:szCs w:val="12"/>
                </w:rPr>
                <w:t xml:space="preserve">[#231]</w:t>
              </w:r>
            </w:hyperlink>
            <w:r>
              <w:rPr>
                <w:rFonts w:ascii="Arial" w:cs="Arial" w:eastAsia="Arial" w:hAnsi="Arial"/>
                <w:b w:val="false"/>
                <w:bCs w:val="false"/>
                <w:sz w:val="13"/>
                <w:szCs w:val="13"/>
              </w:rPr>
              <w:t xml:space="preserve"> </w:t>
            </w:r>
            <w:hyperlink w:history="1" r:id="rIdnxxdr5uz0hsd6bwjnemoc">
              <w:r>
                <w:rPr>
                  <w:rFonts w:ascii="Arial" w:cs="Arial" w:eastAsia="Arial" w:hAnsi="Arial"/>
                  <w:b w:val="false"/>
                  <w:bCs w:val="false"/>
                  <w:sz w:val="12"/>
                  <w:szCs w:val="12"/>
                </w:rPr>
                <w:t xml:space="preserve">[#232]</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 (early)</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Moderna (Netherlands) acquisition (c.EUR50m revenue) - the main 2024 deal; EMTN refinancing in March 2024</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 / refinancing</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bxbhg-unttzytz_jwbgh0">
              <w:r>
                <w:rPr>
                  <w:rFonts w:ascii="Arial" w:cs="Arial" w:eastAsia="Arial" w:hAnsi="Arial"/>
                  <w:b w:val="false"/>
                  <w:bCs w:val="false"/>
                  <w:sz w:val="12"/>
                  <w:szCs w:val="12"/>
                </w:rPr>
                <w:t xml:space="preserve">[#269]</w:t>
              </w:r>
            </w:hyperlink>
            <w:r>
              <w:rPr>
                <w:rFonts w:ascii="Arial" w:cs="Arial" w:eastAsia="Arial" w:hAnsi="Arial"/>
                <w:b w:val="false"/>
                <w:bCs w:val="false"/>
                <w:sz w:val="13"/>
                <w:szCs w:val="13"/>
              </w:rPr>
              <w:t xml:space="preserve"> </w:t>
            </w:r>
            <w:hyperlink w:history="1" r:id="rIdczr5kzeovnjt7ystjyduy">
              <w:r>
                <w:rPr>
                  <w:rFonts w:ascii="Arial" w:cs="Arial" w:eastAsia="Arial" w:hAnsi="Arial"/>
                  <w:b w:val="false"/>
                  <w:bCs w:val="false"/>
                  <w:sz w:val="12"/>
                  <w:szCs w:val="12"/>
                </w:rPr>
                <w:t xml:space="preserve">[#1260]</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2024-05-23</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AGM: FY2023 dividend EUR0.43/share (cash)</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dividend</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2b9f9wrvkmkiqxqesk4wl">
              <w:r>
                <w:rPr>
                  <w:rFonts w:ascii="Arial" w:cs="Arial" w:eastAsia="Arial" w:hAnsi="Arial"/>
                  <w:b w:val="false"/>
                  <w:bCs w:val="false"/>
                  <w:sz w:val="12"/>
                  <w:szCs w:val="12"/>
                </w:rPr>
                <w:t xml:space="preserve">[#6196]</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2024-06-06 to 2024-06-28</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French snap election (National Assembly dissolved): -13.5% [calc]; management: 'stock price lost around 15% since the dissolution'</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(French politics)</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nr4is_v0xignon99wfikh">
              <w:r>
                <w:rPr>
                  <w:rFonts w:ascii="Arial" w:cs="Arial" w:eastAsia="Arial" w:hAnsi="Arial"/>
                  <w:b w:val="false"/>
                  <w:bCs w:val="false"/>
                  <w:sz w:val="12"/>
                  <w:szCs w:val="12"/>
                </w:rPr>
                <w:t xml:space="preserve">[#81]</w:t>
              </w:r>
            </w:hyperlink>
            <w:r>
              <w:rPr>
                <w:rFonts w:ascii="Arial" w:cs="Arial" w:eastAsia="Arial" w:hAnsi="Arial"/>
                <w:b w:val="false"/>
                <w:bCs w:val="false"/>
                <w:sz w:val="13"/>
                <w:szCs w:val="13"/>
              </w:rPr>
              <w:t xml:space="preserve"> </w:t>
            </w:r>
            <w:hyperlink w:history="1" r:id="rId2f5wm65ewlfa4ywz3gkv4">
              <w:r>
                <w:rPr>
                  <w:rFonts w:ascii="Arial" w:cs="Arial" w:eastAsia="Arial" w:hAnsi="Arial"/>
                  <w:b w:val="false"/>
                  <w:bCs w:val="false"/>
                  <w:sz w:val="12"/>
                  <w:szCs w:val="12"/>
                </w:rPr>
                <w:t xml:space="preserve">[#155]</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2024-07-01</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Wonway (Malaysia) acquisition - first operation in Asia</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at8t4urw454rseb_xend3">
              <w:r>
                <w:rPr>
                  <w:rFonts w:ascii="Arial" w:cs="Arial" w:eastAsia="Arial" w:hAnsi="Arial"/>
                  <w:b w:val="false"/>
                  <w:bCs w:val="false"/>
                  <w:sz w:val="12"/>
                  <w:szCs w:val="12"/>
                </w:rPr>
                <w:t xml:space="preserve">[#1]</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2024-09-05 to 2024-10-18</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Exploratory talks with two US market players (Vestis named by CEO at CMD) -&gt; -21.1% (5-10 Sep) [calc]; talks terminated at beginning of October -&gt; +17.0% (2-18 Oct) [calc]</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fob-fk5kimx1j09dcno0b">
              <w:r>
                <w:rPr>
                  <w:rFonts w:ascii="Arial" w:cs="Arial" w:eastAsia="Arial" w:hAnsi="Arial"/>
                  <w:b w:val="false"/>
                  <w:bCs w:val="false"/>
                  <w:sz w:val="12"/>
                  <w:szCs w:val="12"/>
                </w:rPr>
                <w:t xml:space="preserve">[#1]</w:t>
              </w:r>
            </w:hyperlink>
            <w:r>
              <w:rPr>
                <w:rFonts w:ascii="Arial" w:cs="Arial" w:eastAsia="Arial" w:hAnsi="Arial"/>
                <w:b w:val="false"/>
                <w:bCs w:val="false"/>
                <w:sz w:val="13"/>
                <w:szCs w:val="13"/>
              </w:rPr>
              <w:t xml:space="preserve"> </w:t>
            </w:r>
            <w:hyperlink w:history="1" r:id="rIdko8450tw1srnghgymgdaz">
              <w:r>
                <w:rPr>
                  <w:rFonts w:ascii="Arial" w:cs="Arial" w:eastAsia="Arial" w:hAnsi="Arial"/>
                  <w:b w:val="false"/>
                  <w:bCs w:val="false"/>
                  <w:sz w:val="12"/>
                  <w:szCs w:val="12"/>
                </w:rPr>
                <w:t xml:space="preserve">[#3277]</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2025-01-07</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Cintas's public proposal to buy UniFirst ($275/sh cash): UNF +20.9%, Elis +3.4% and +2.8% next day [calc]; Cintas terminated talks (announced 24-Mar-2025)</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M&amp;A</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zqtpfm6mobablzdx0xlot">
              <w:r>
                <w:rPr>
                  <w:rFonts w:ascii="Arial" w:cs="Arial" w:eastAsia="Arial" w:hAnsi="Arial"/>
                  <w:b w:val="false"/>
                  <w:bCs w:val="false"/>
                  <w:sz w:val="12"/>
                  <w:szCs w:val="12"/>
                </w:rPr>
                <w:t xml:space="preserve">[#110]</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2025-03-06</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FY2024 results + new capital allocation policy (bolt-ons EUR50-150m/yr, keep IG rating, leverage -0.1x/yr, rest to shareholders); EUR150m buyback; dividend EUR0.45; stock +9.05% [calc]</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capital allocation / buyback</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881qlyxcxyto8sltye-rr">
              <w:r>
                <w:rPr>
                  <w:rFonts w:ascii="Arial" w:cs="Arial" w:eastAsia="Arial" w:hAnsi="Arial"/>
                  <w:b w:val="false"/>
                  <w:bCs w:val="false"/>
                  <w:sz w:val="12"/>
                  <w:szCs w:val="12"/>
                </w:rPr>
                <w:t xml:space="preserve">[#133]</w:t>
              </w:r>
            </w:hyperlink>
            <w:r>
              <w:rPr>
                <w:rFonts w:ascii="Arial" w:cs="Arial" w:eastAsia="Arial" w:hAnsi="Arial"/>
                <w:b w:val="false"/>
                <w:bCs w:val="false"/>
                <w:sz w:val="13"/>
                <w:szCs w:val="13"/>
              </w:rPr>
              <w:t xml:space="preserve"> </w:t>
            </w:r>
            <w:hyperlink w:history="1" r:id="rIdh65-8nmxtujuwrakuiqjc">
              <w:r>
                <w:rPr>
                  <w:rFonts w:ascii="Arial" w:cs="Arial" w:eastAsia="Arial" w:hAnsi="Arial"/>
                  <w:b w:val="false"/>
                  <w:bCs w:val="false"/>
                  <w:sz w:val="12"/>
                  <w:szCs w:val="12"/>
                </w:rPr>
                <w:t xml:space="preserve">[#4]</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2025-05-22</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AGM: FY2024 dividend EUR0.45 (paid 28-May-2025)</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dividend</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cfrcs1jndl-kninkwlqcf">
              <w:r>
                <w:rPr>
                  <w:rFonts w:ascii="Arial" w:cs="Arial" w:eastAsia="Arial" w:hAnsi="Arial"/>
                  <w:b w:val="false"/>
                  <w:bCs w:val="false"/>
                  <w:sz w:val="12"/>
                  <w:szCs w:val="12"/>
                </w:rPr>
                <w:t xml:space="preserve">[#6197]</w:t>
              </w:r>
            </w:hyperlink>
            <w:r>
              <w:rPr>
                <w:rFonts w:ascii="Arial" w:cs="Arial" w:eastAsia="Arial" w:hAnsi="Arial"/>
                <w:b w:val="false"/>
                <w:bCs w:val="false"/>
                <w:sz w:val="13"/>
                <w:szCs w:val="13"/>
              </w:rPr>
              <w:t xml:space="preserve"> </w:t>
            </w:r>
            <w:hyperlink w:history="1" r:id="rId0sjknqgpyktn_g0-s-hvp">
              <w:r>
                <w:rPr>
                  <w:rFonts w:ascii="Arial" w:cs="Arial" w:eastAsia="Arial" w:hAnsi="Arial"/>
                  <w:b w:val="false"/>
                  <w:bCs w:val="false"/>
                  <w:sz w:val="12"/>
                  <w:szCs w:val="12"/>
                </w:rPr>
                <w:t xml:space="preserve">[#562]</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2025-05-27</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Capital Markets Day: 2025-2028 targets (revenue +5-6% p.a. at constant FX incl. c.+4% organic and +1-2% bolt-ons; EBITDA margin c.+20bps p.a.; FCF 35% higher over next 4 years vs last 4); Vestis 'not at all an option'</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CMD</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qfirbdtdfvpyjq8bg2rty">
              <w:r>
                <w:rPr>
                  <w:rFonts w:ascii="Arial" w:cs="Arial" w:eastAsia="Arial" w:hAnsi="Arial"/>
                  <w:b w:val="false"/>
                  <w:bCs w:val="false"/>
                  <w:sz w:val="12"/>
                  <w:szCs w:val="12"/>
                </w:rPr>
                <w:t xml:space="preserve">[#262]</w:t>
              </w:r>
            </w:hyperlink>
            <w:r>
              <w:rPr>
                <w:rFonts w:ascii="Arial" w:cs="Arial" w:eastAsia="Arial" w:hAnsi="Arial"/>
                <w:b w:val="false"/>
                <w:bCs w:val="false"/>
                <w:sz w:val="13"/>
                <w:szCs w:val="13"/>
              </w:rPr>
              <w:t xml:space="preserve"> </w:t>
            </w:r>
            <w:hyperlink w:history="1" r:id="rId29my6mknbquvnwkoeiyyr">
              <w:r>
                <w:rPr>
                  <w:rFonts w:ascii="Arial" w:cs="Arial" w:eastAsia="Arial" w:hAnsi="Arial"/>
                  <w:b w:val="false"/>
                  <w:bCs w:val="false"/>
                  <w:sz w:val="12"/>
                  <w:szCs w:val="12"/>
                </w:rPr>
                <w:t xml:space="preserve">[#3232]</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2025-06-11 to 2025-11-17</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Major-holder threshold disclosures: 20% voting-rights threshold crossed down/up/down (11-Jun, 3-Jul, 17-Nov-2025) and 15% threshold crossed upward (16-Oct-2025)</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shareholding</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0ucz3uevkl5ls60rpajox">
              <w:r>
                <w:rPr>
                  <w:rFonts w:ascii="Arial" w:cs="Arial" w:eastAsia="Arial" w:hAnsi="Arial"/>
                  <w:b w:val="false"/>
                  <w:bCs w:val="false"/>
                  <w:sz w:val="12"/>
                  <w:szCs w:val="12"/>
                </w:rPr>
                <w:t xml:space="preserve">[#6624]</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2025-08 (end)</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EUR350m 3.375% notes due Sep-2031 placed; Feb-2026 EUR350m bond redeemed early on 18-Nov-2025</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refinancing</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xy29vobbsbrlawuwjxrhs">
              <w:r>
                <w:rPr>
                  <w:rFonts w:ascii="Arial" w:cs="Arial" w:eastAsia="Arial" w:hAnsi="Arial"/>
                  <w:b w:val="false"/>
                  <w:bCs w:val="false"/>
                  <w:sz w:val="12"/>
                  <w:szCs w:val="12"/>
                </w:rPr>
                <w:t xml:space="preserve">[#5314]</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 (FY)</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2025 buyback executed: 6,560,820 shares for EUR150.0m (avg EUR22.87); EUR109.1m of repurchased shares cancelled</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buyback</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b3-dk4rc-s70onzhbm6ae">
              <w:r>
                <w:rPr>
                  <w:rFonts w:ascii="Arial" w:cs="Arial" w:eastAsia="Arial" w:hAnsi="Arial"/>
                  <w:b w:val="false"/>
                  <w:bCs w:val="false"/>
                  <w:sz w:val="12"/>
                  <w:szCs w:val="12"/>
                </w:rPr>
                <w:t xml:space="preserve">[#663]</w:t>
              </w:r>
            </w:hyperlink>
            <w:r>
              <w:rPr>
                <w:rFonts w:ascii="Arial" w:cs="Arial" w:eastAsia="Arial" w:hAnsi="Arial"/>
                <w:b w:val="false"/>
                <w:bCs w:val="false"/>
                <w:sz w:val="13"/>
                <w:szCs w:val="13"/>
              </w:rPr>
              <w:t xml:space="preserve"> </w:t>
            </w:r>
            <w:hyperlink w:history="1" r:id="rIduscr8xcj1_w6dokegb4q6">
              <w:r>
                <w:rPr>
                  <w:rFonts w:ascii="Arial" w:cs="Arial" w:eastAsia="Arial" w:hAnsi="Arial"/>
                  <w:b w:val="false"/>
                  <w:bCs w:val="false"/>
                  <w:sz w:val="12"/>
                  <w:szCs w:val="12"/>
                </w:rPr>
                <w:t xml:space="preserve">[#666]</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2026-01-06</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 share buyback (up to EUR500m) starts; completed mid-July 2026</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buyback</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wdwjhpby-59dfppxogitq">
              <w:r>
                <w:rPr>
                  <w:rFonts w:ascii="Arial" w:cs="Arial" w:eastAsia="Arial" w:hAnsi="Arial"/>
                  <w:b w:val="false"/>
                  <w:bCs w:val="false"/>
                  <w:sz w:val="12"/>
                  <w:szCs w:val="12"/>
                </w:rPr>
                <w:t xml:space="preserve">[#693]</w:t>
              </w:r>
            </w:hyperlink>
            <w:r>
              <w:rPr>
                <w:rFonts w:ascii="Arial" w:cs="Arial" w:eastAsia="Arial" w:hAnsi="Arial"/>
                <w:b w:val="false"/>
                <w:bCs w:val="false"/>
                <w:sz w:val="13"/>
                <w:szCs w:val="13"/>
              </w:rPr>
              <w:t xml:space="preserve"> </w:t>
            </w:r>
            <w:hyperlink w:history="1" r:id="rId_kyzowthlohhud0dqtr0b">
              <w:r>
                <w:rPr>
                  <w:rFonts w:ascii="Arial" w:cs="Arial" w:eastAsia="Arial" w:hAnsi="Arial"/>
                  <w:b w:val="false"/>
                  <w:bCs w:val="false"/>
                  <w:sz w:val="12"/>
                  <w:szCs w:val="12"/>
                </w:rPr>
                <w:t xml:space="preserve">[#695]</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2026-03-03</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Middle East (US/Israel/Iran) conflict energy shock: -5.8% day [calc]; gas/electricity spot +50% since start of conflict</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macro (geopolitics/energy)</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vrdxfitri4rppjj7ipkp-">
              <w:r>
                <w:rPr>
                  <w:rFonts w:ascii="Arial" w:cs="Arial" w:eastAsia="Arial" w:hAnsi="Arial"/>
                  <w:b w:val="false"/>
                  <w:bCs w:val="false"/>
                  <w:sz w:val="12"/>
                  <w:szCs w:val="12"/>
                </w:rPr>
                <w:t xml:space="preserve">[#424]</w:t>
              </w:r>
            </w:hyperlink>
            <w:r>
              <w:rPr>
                <w:rFonts w:ascii="Arial" w:cs="Arial" w:eastAsia="Arial" w:hAnsi="Arial"/>
                <w:b w:val="false"/>
                <w:bCs w:val="false"/>
                <w:sz w:val="13"/>
                <w:szCs w:val="13"/>
              </w:rPr>
              <w:t xml:space="preserve"> </w:t>
            </w:r>
            <w:hyperlink w:history="1" r:id="rIdxsv9in-iiptmqfrga3yk1">
              <w:r>
                <w:rPr>
                  <w:rFonts w:ascii="Arial" w:cs="Arial" w:eastAsia="Arial" w:hAnsi="Arial"/>
                  <w:b w:val="false"/>
                  <w:bCs w:val="false"/>
                  <w:sz w:val="12"/>
                  <w:szCs w:val="12"/>
                </w:rPr>
                <w:t xml:space="preserve">[#73]</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2026-03-10</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Cintas-UniFirst merger agreement ($5.5bn; $155 cash + 0.7720 CTAS shares per UNF share), announced 11-Mar-2026</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M&amp;A</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q-dfyutkhyi_pw8b_seiq">
              <w:r>
                <w:rPr>
                  <w:rFonts w:ascii="Arial" w:cs="Arial" w:eastAsia="Arial" w:hAnsi="Arial"/>
                  <w:b w:val="false"/>
                  <w:bCs w:val="false"/>
                  <w:sz w:val="12"/>
                  <w:szCs w:val="12"/>
                </w:rPr>
                <w:t xml:space="preserve">[#32]</w:t>
              </w:r>
            </w:hyperlink>
            <w:r>
              <w:rPr>
                <w:rFonts w:ascii="Arial" w:cs="Arial" w:eastAsia="Arial" w:hAnsi="Arial"/>
                <w:b w:val="false"/>
                <w:bCs w:val="false"/>
                <w:sz w:val="13"/>
                <w:szCs w:val="13"/>
              </w:rPr>
              <w:t xml:space="preserve"> </w:t>
            </w:r>
            <w:hyperlink w:history="1" r:id="rIdjcp02fut3dywjkz_yc1f9">
              <w:r>
                <w:rPr>
                  <w:rFonts w:ascii="Arial" w:cs="Arial" w:eastAsia="Arial" w:hAnsi="Arial"/>
                  <w:b w:val="false"/>
                  <w:bCs w:val="false"/>
                  <w:sz w:val="12"/>
                  <w:szCs w:val="12"/>
                </w:rPr>
                <w:t xml:space="preserve">[#16]</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2026-03-11</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FY2025 results: dividend EUR0.48 proposed; buyback up to EUR500m; 2026 guidance (EPS high single-digit growth)</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results / capital return</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tfvy5asinv4m2-sgfvnux">
              <w:r>
                <w:rPr>
                  <w:rFonts w:ascii="Arial" w:cs="Arial" w:eastAsia="Arial" w:hAnsi="Arial"/>
                  <w:b w:val="false"/>
                  <w:bCs w:val="false"/>
                  <w:sz w:val="12"/>
                  <w:szCs w:val="12"/>
                </w:rPr>
                <w:t xml:space="preserve">[#507]</w:t>
              </w:r>
            </w:hyperlink>
            <w:r>
              <w:rPr>
                <w:rFonts w:ascii="Arial" w:cs="Arial" w:eastAsia="Arial" w:hAnsi="Arial"/>
                <w:b w:val="false"/>
                <w:bCs w:val="false"/>
                <w:sz w:val="13"/>
                <w:szCs w:val="13"/>
              </w:rPr>
              <w:t xml:space="preserve"> </w:t>
            </w:r>
            <w:hyperlink w:history="1" r:id="rIdfijbkzmpwbw3hv7s4tz4p">
              <w:r>
                <w:rPr>
                  <w:rFonts w:ascii="Arial" w:cs="Arial" w:eastAsia="Arial" w:hAnsi="Arial"/>
                  <w:b w:val="false"/>
                  <w:bCs w:val="false"/>
                  <w:sz w:val="12"/>
                  <w:szCs w:val="12"/>
                </w:rPr>
                <w:t xml:space="preserve">[#519]</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2026-03-16</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EUR600m 6-year 3.875% EMTN placed - to refinance EUR300m bond due 24-May-2027 and fund buyback</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refinancing</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xr8dd8rl5ibcreqyd7ab_">
              <w:r>
                <w:rPr>
                  <w:rFonts w:ascii="Arial" w:cs="Arial" w:eastAsia="Arial" w:hAnsi="Arial"/>
                  <w:b w:val="false"/>
                  <w:bCs w:val="false"/>
                  <w:sz w:val="12"/>
                  <w:szCs w:val="12"/>
                </w:rPr>
                <w:t xml:space="preserve">[#267]</w:t>
              </w:r>
            </w:hyperlink>
            <w:r>
              <w:rPr>
                <w:rFonts w:ascii="Arial" w:cs="Arial" w:eastAsia="Arial" w:hAnsi="Arial"/>
                <w:b w:val="false"/>
                <w:bCs w:val="false"/>
                <w:sz w:val="13"/>
                <w:szCs w:val="13"/>
              </w:rPr>
              <w:t xml:space="preserve"> </w:t>
            </w:r>
            <w:hyperlink w:history="1" r:id="rIdfhhm8g-nhb6fv6awzr2po">
              <w:r>
                <w:rPr>
                  <w:rFonts w:ascii="Arial" w:cs="Arial" w:eastAsia="Arial" w:hAnsi="Arial"/>
                  <w:b w:val="false"/>
                  <w:bCs w:val="false"/>
                  <w:sz w:val="12"/>
                  <w:szCs w:val="12"/>
                </w:rPr>
                <w:t xml:space="preserve">[#269]</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2026-05-21</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AGM: FY2025 distribution EUR0.48/share paid 28-May-2026; OCEANE conversion ratio adjusted to 6,256.8564 shares per bond from 28-May-2026</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dividend / convertible</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ds2qg_1ug_7cyji9khruo">
              <w:r>
                <w:rPr>
                  <w:rFonts w:ascii="Arial" w:cs="Arial" w:eastAsia="Arial" w:hAnsi="Arial"/>
                  <w:b w:val="false"/>
                  <w:bCs w:val="false"/>
                  <w:sz w:val="12"/>
                  <w:szCs w:val="12"/>
                </w:rPr>
                <w:t xml:space="preserve">[#106]</w:t>
              </w:r>
            </w:hyperlink>
            <w:r>
              <w:rPr>
                <w:rFonts w:ascii="Arial" w:cs="Arial" w:eastAsia="Arial" w:hAnsi="Arial"/>
                <w:b w:val="false"/>
                <w:bCs w:val="false"/>
                <w:sz w:val="13"/>
                <w:szCs w:val="13"/>
              </w:rPr>
              <w:t xml:space="preserve"> </w:t>
            </w:r>
            <w:hyperlink w:history="1" r:id="rIdw3ouwf7zdl3mcckaktmtp">
              <w:r>
                <w:rPr>
                  <w:rFonts w:ascii="Arial" w:cs="Arial" w:eastAsia="Arial" w:hAnsi="Arial"/>
                  <w:b w:val="false"/>
                  <w:bCs w:val="false"/>
                  <w:sz w:val="12"/>
                  <w:szCs w:val="12"/>
                </w:rPr>
                <w:t xml:space="preserve">[#173]</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2026-06-11</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UniFirst holders approve Cintas deal; FTC Second Request received</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M&amp;A</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hyperlink w:history="1" r:id="rIdqyo1iiokeabgsx77hydxa">
              <w:r>
                <w:rPr>
                  <w:rFonts w:ascii="Arial" w:cs="Arial" w:eastAsia="Arial" w:hAnsi="Arial"/>
                  <w:b w:val="false"/>
                  <w:bCs w:val="false"/>
                  <w:sz w:val="12"/>
                  <w:szCs w:val="12"/>
                </w:rPr>
                <w:t xml:space="preserve">[#45]</w:t>
              </w:r>
            </w:hyperlink>
            <w:r>
              <w:rPr>
                <w:rFonts w:ascii="Arial" w:cs="Arial" w:eastAsia="Arial" w:hAnsi="Arial"/>
                <w:b w:val="false"/>
                <w:bCs w:val="false"/>
                <w:sz w:val="13"/>
                <w:szCs w:val="13"/>
              </w:rPr>
              <w:t xml:space="preserve"> </w:t>
            </w:r>
            <w:hyperlink w:history="1" r:id="rIdfqxrbcehgzwpdaav3w-ak">
              <w:r>
                <w:rPr>
                  <w:rFonts w:ascii="Arial" w:cs="Arial" w:eastAsia="Arial" w:hAnsi="Arial"/>
                  <w:b w:val="false"/>
                  <w:bCs w:val="false"/>
                  <w:sz w:val="12"/>
                  <w:szCs w:val="12"/>
                </w:rPr>
                <w:t xml:space="preserve">[#37]</w:t>
              </w:r>
            </w:hyperlink>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2026-06-19</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OCL Laundry Services (Ireland) acquisition abandoned (CCPC notification withdrawn)</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M&amp;A</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ufznw-xrnveorytkdme7o">
              <w:r>
                <w:rPr>
                  <w:rFonts w:ascii="Arial" w:cs="Arial" w:eastAsia="Arial" w:hAnsi="Arial"/>
                  <w:b w:val="false"/>
                  <w:bCs w:val="false"/>
                  <w:sz w:val="12"/>
                  <w:szCs w:val="12"/>
                </w:rPr>
                <w:t xml:space="preserve">[#433]</w:t>
              </w:r>
            </w:hyperlink>
            <w:r>
              <w:rPr>
                <w:rFonts w:ascii="Arial" w:cs="Arial" w:eastAsia="Arial" w:hAnsi="Arial"/>
                <w:b w:val="false"/>
                <w:bCs w:val="false"/>
                <w:sz w:val="13"/>
                <w:szCs w:val="13"/>
              </w:rPr>
              <w:t xml:space="preserve"> </w:t>
            </w:r>
            <w:hyperlink w:history="1" r:id="rIdbxzlbhsofurxu9onyv99e">
              <w:r>
                <w:rPr>
                  <w:rFonts w:ascii="Arial" w:cs="Arial" w:eastAsia="Arial" w:hAnsi="Arial"/>
                  <w:b w:val="false"/>
                  <w:bCs w:val="false"/>
                  <w:sz w:val="12"/>
                  <w:szCs w:val="12"/>
                </w:rPr>
                <w:t xml:space="preserve">[#434]</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2026-07-03</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Highest close in available data (since 2019): EUR28.20 [calc]</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price</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2026-07-29</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H1 2026 results: objectives confirmed (not raised), Mexico volume loss, negative H1 FCF, leverage 2.09x; stock -5.7% next day [calc]</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results / guidance</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oba8vvjcbgibp7ept_8zh">
              <w:r>
                <w:rPr>
                  <w:rFonts w:ascii="Arial" w:cs="Arial" w:eastAsia="Arial" w:hAnsi="Arial"/>
                  <w:b w:val="false"/>
                  <w:bCs w:val="false"/>
                  <w:sz w:val="12"/>
                  <w:szCs w:val="12"/>
                </w:rPr>
                <w:t xml:space="preserve">[#330]</w:t>
              </w:r>
            </w:hyperlink>
            <w:r>
              <w:rPr>
                <w:rFonts w:ascii="Arial" w:cs="Arial" w:eastAsia="Arial" w:hAnsi="Arial"/>
                <w:b w:val="false"/>
                <w:bCs w:val="false"/>
                <w:sz w:val="13"/>
                <w:szCs w:val="13"/>
              </w:rPr>
              <w:t xml:space="preserve"> </w:t>
            </w:r>
            <w:hyperlink w:history="1" r:id="rIdbhzclobcsvhkh23mgsezc">
              <w:r>
                <w:rPr>
                  <w:rFonts w:ascii="Arial" w:cs="Arial" w:eastAsia="Arial" w:hAnsi="Arial"/>
                  <w:b w:val="false"/>
                  <w:bCs w:val="false"/>
                  <w:sz w:val="12"/>
                  <w:szCs w:val="12"/>
                </w:rPr>
                <w:t xml:space="preserve">[#342]</w:t>
              </w:r>
            </w:hyperlink>
          </w:p>
        </w:tc>
      </w:tr>
      <w:tr>
        <w:trPr>
          <w:cantSplit/>
        </w:trPr>
        <w:tc>
          <w:tcPr>
            <w:tcW w:type="dxa" w:w="133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2026-09-21</w:t>
            </w:r>
          </w:p>
        </w:tc>
        <w:tc>
          <w:tcPr>
            <w:tcW w:type="dxa" w:w="534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Unexplained -6.4% day (close at session low EUR20.98), +5.6% next day [calc]</w:t>
            </w:r>
          </w:p>
        </w:tc>
        <w:tc>
          <w:tcPr>
            <w:tcW w:type="dxa" w:w="154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price</w:t>
            </w:r>
          </w:p>
        </w:tc>
        <w:tc>
          <w:tcPr>
            <w:tcW w:type="dxa" w:w="164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p>
        </w:tc>
      </w:tr>
      <w:tr>
        <w:trPr>
          <w:cantSplit/>
        </w:trPr>
        <w:tc>
          <w:tcPr>
            <w:tcW w:type="dxa" w:w="133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2026-10-02</w:t>
            </w:r>
          </w:p>
        </w:tc>
        <w:tc>
          <w:tcPr>
            <w:tcW w:type="dxa" w:w="534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Cintas/UniFirst FTC timing agreement - no closing before 11-Dec-2026 unless FTC closes investigation earlier</w:t>
            </w:r>
          </w:p>
        </w:tc>
        <w:tc>
          <w:tcPr>
            <w:tcW w:type="dxa" w:w="154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sector M&amp;A</w:t>
            </w:r>
          </w:p>
        </w:tc>
        <w:tc>
          <w:tcPr>
            <w:tcW w:type="dxa" w:w="164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hyperlink w:history="1" r:id="rIdkz0q8xa1g4nwz3iybuyp2">
              <w:r>
                <w:rPr>
                  <w:rFonts w:ascii="Arial" w:cs="Arial" w:eastAsia="Arial" w:hAnsi="Arial"/>
                  <w:b w:val="false"/>
                  <w:bCs w:val="false"/>
                  <w:sz w:val="12"/>
                  <w:szCs w:val="12"/>
                </w:rPr>
                <w:t xml:space="preserve">[#39]</w:t>
              </w:r>
            </w:hyperlink>
            <w:r>
              <w:rPr>
                <w:rFonts w:ascii="Arial" w:cs="Arial" w:eastAsia="Arial" w:hAnsi="Arial"/>
                <w:b w:val="false"/>
                <w:bCs w:val="false"/>
                <w:sz w:val="13"/>
                <w:szCs w:val="13"/>
              </w:rPr>
              <w:t xml:space="preserve"> </w:t>
            </w:r>
            <w:hyperlink w:history="1" r:id="rIdqs-hjxctz-fxkk7f0ark6">
              <w:r>
                <w:rPr>
                  <w:rFonts w:ascii="Arial" w:cs="Arial" w:eastAsia="Arial" w:hAnsi="Arial"/>
                  <w:b w:val="false"/>
                  <w:bCs w:val="false"/>
                  <w:sz w:val="12"/>
                  <w:szCs w:val="12"/>
                </w:rPr>
                <w:t xml:space="preserve">[#4]</w:t>
              </w:r>
            </w:hyperlink>
          </w:p>
        </w:tc>
      </w:tr>
    </w:tbl>
    <w:p>
      <w:pPr>
        <w:spacing w:after="140" w:before="40"/>
      </w:pPr>
      <w:r>
        <w:rPr>
          <w:rFonts w:ascii="Arial" w:cs="Arial" w:eastAsia="Arial" w:hAnsi="Arial"/>
          <w:color w:val="898781"/>
          <w:sz w:val="14"/>
          <w:szCs w:val="14"/>
        </w:rPr>
        <w:t xml:space="preserve">Source: Elis filings and transcripts via ProntoNLP; price moves from ProntoNLP prices [calc] (model/D_timeline.csv).</w:t>
      </w:r>
    </w:p>
    <w:p>
      <w:pPr>
        <w:pStyle w:val="Heading2"/>
        <w:keepNext/>
        <w:keepLines/>
        <w:spacing w:after="80" w:before="180"/>
      </w:pPr>
      <w:r>
        <w:rPr>
          <w:rFonts w:ascii="Arial" w:cs="Arial" w:eastAsia="Arial" w:hAnsi="Arial"/>
          <w:b/>
          <w:bCs/>
          <w:color w:val="13213F"/>
          <w:sz w:val="24"/>
          <w:szCs w:val="24"/>
        </w:rPr>
        <w:t xml:space="preserve">23.2 Upcoming catalysts (12-Oct-2026 to end-2027)</w:t>
      </w:r>
    </w:p>
    <w:p>
      <w:pPr>
        <w:spacing w:after="100" w:before="0" w:line="264"/>
        <w:jc w:val="left"/>
      </w:pPr>
      <w:r>
        <w:rPr>
          <w:rFonts w:ascii="Arial" w:cs="Arial" w:eastAsia="Arial" w:hAnsi="Arial"/>
          <w:sz w:val="19"/>
          <w:szCs w:val="19"/>
        </w:rPr>
        <w:t xml:space="preserve">Dates marked [e] are estimates from prior-year patterns; [u] = not verified in permitted sources. The most actionable near-term items are the </w:t>
      </w:r>
      <w:r>
        <w:rPr>
          <w:rFonts w:ascii="Arial" w:cs="Arial" w:eastAsia="Arial" w:hAnsi="Arial"/>
          <w:sz w:val="19"/>
          <w:szCs w:val="19"/>
        </w:rPr>
        <w:t xml:space="preserve">OCEANE 2029 soft call</w:t>
      </w:r>
      <w:r>
        <w:rPr>
          <w:rFonts w:ascii="Arial" w:cs="Arial" w:eastAsia="Arial" w:hAnsi="Arial"/>
          <w:sz w:val="19"/>
          <w:szCs w:val="19"/>
        </w:rPr>
        <w:t xml:space="preserve"> (exercisable from 13-Oct-2026), </w:t>
      </w:r>
      <w:r>
        <w:rPr>
          <w:rFonts w:ascii="Arial" w:cs="Arial" w:eastAsia="Arial" w:hAnsi="Arial"/>
          <w:sz w:val="19"/>
          <w:szCs w:val="19"/>
        </w:rPr>
        <w:t xml:space="preserve">Q3 2026 revenue on 28-Oct-2026</w:t>
      </w:r>
      <w:r>
        <w:rPr>
          <w:rFonts w:ascii="Arial" w:cs="Arial" w:eastAsia="Arial" w:hAnsi="Arial"/>
          <w:sz w:val="19"/>
          <w:szCs w:val="19"/>
        </w:rPr>
        <w:t xml:space="preserve">, the end-2026 </w:t>
      </w:r>
      <w:r>
        <w:rPr>
          <w:rFonts w:ascii="Arial" w:cs="Arial" w:eastAsia="Arial" w:hAnsi="Arial"/>
          <w:sz w:val="19"/>
          <w:szCs w:val="19"/>
        </w:rPr>
        <w:t xml:space="preserve">price/index negotiations</w:t>
      </w:r>
      <w:r>
        <w:rPr>
          <w:rFonts w:ascii="Arial" w:cs="Arial" w:eastAsia="Arial" w:hAnsi="Arial"/>
          <w:sz w:val="19"/>
          <w:szCs w:val="19"/>
        </w:rPr>
        <w:t xml:space="preserve"> and the </w:t>
      </w:r>
      <w:r>
        <w:rPr>
          <w:rFonts w:ascii="Arial" w:cs="Arial" w:eastAsia="Arial" w:hAnsi="Arial"/>
          <w:sz w:val="19"/>
          <w:szCs w:val="19"/>
        </w:rPr>
        <w:t xml:space="preserve">FY2026 results in early March 2027</w:t>
      </w:r>
      <w:r>
        <w:rPr>
          <w:rFonts w:ascii="Arial" w:cs="Arial" w:eastAsia="Arial" w:hAnsi="Arial"/>
          <w:sz w:val="19"/>
          <w:szCs w:val="19"/>
        </w:rPr>
        <w:t xml:space="preserve"> (2027 guidance, dividend, next buyback).</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5"/>
        <w:gridCol w:w="3254"/>
        <w:gridCol w:w="4271"/>
        <w:gridCol w:w="816"/>
      </w:tblGrid>
      <w:tr>
        <w:trPr>
          <w:cantSplit/>
          <w:tblHeader/>
        </w:trPr>
        <w:tc>
          <w:tcPr>
            <w:tcW w:type="dxa" w:w="1525"/>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When</w:t>
            </w:r>
          </w:p>
        </w:tc>
        <w:tc>
          <w:tcPr>
            <w:tcW w:type="dxa" w:w="3254"/>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Event</w:t>
            </w:r>
          </w:p>
        </w:tc>
        <w:tc>
          <w:tcPr>
            <w:tcW w:type="dxa" w:w="4271"/>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left"/>
            </w:pPr>
            <w:r>
              <w:rPr>
                <w:rFonts w:ascii="Arial" w:cs="Arial" w:eastAsia="Arial" w:hAnsi="Arial"/>
                <w:b/>
                <w:bCs/>
                <w:color w:val="FFFFFF"/>
                <w:sz w:val="13"/>
                <w:szCs w:val="13"/>
              </w:rPr>
              <w:t xml:space="preserve">Why it matters</w:t>
            </w:r>
          </w:p>
        </w:tc>
        <w:tc>
          <w:tcPr>
            <w:tcW w:type="dxa" w:w="816"/>
            <w:tcBorders>
              <w:top w:val="single" w:color="D9D8D2" w:sz="2"/>
              <w:left w:val="none" w:color="FFFFFF" w:sz="0"/>
              <w:bottom w:val="single" w:color="D9D8D2" w:sz="2"/>
              <w:right w:val="none" w:color="FFFFFF" w:sz="0"/>
            </w:tcBorders>
            <w:shd w:fill="13213F" w:color="auto" w:val="clear"/>
            <w:tcMar>
              <w:top w:type="dxa" w:w="40"/>
              <w:left w:type="dxa" w:w="70"/>
              <w:bottom w:type="dxa" w:w="40"/>
              <w:right w:type="dxa" w:w="70"/>
            </w:tcMar>
            <w:vAlign w:val="center"/>
          </w:tcPr>
          <w:p>
            <w:pPr>
              <w:spacing w:after="0" w:before="0" w:line="228"/>
              <w:jc w:val="center"/>
            </w:pPr>
            <w:r>
              <w:rPr>
                <w:rFonts w:ascii="Arial" w:cs="Arial" w:eastAsia="Arial" w:hAnsi="Arial"/>
                <w:b/>
                <w:bCs/>
                <w:color w:val="FFFFFF"/>
                <w:sz w:val="13"/>
                <w:szCs w:val="13"/>
              </w:rPr>
              <w:t xml:space="preserve">Impact</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2026-10-13 onwards</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OCEANE 2029 soft call becomes exercisable (redemption in full at par + accrued, subject to 130%-of-par market condition)</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Management called the soft-call exercise 'planned' (H1 2026) and said bought-back shares would be used to settle the convertible. EUR380m bonds; 6,256.8564 shares per bond from 28-May-2026 implies c.23.78m underlying shares and a … </w:t>
            </w:r>
            <w:hyperlink w:history="1" r:id="rIdllhxgxi7fybbphbhvqnhd">
              <w:r>
                <w:rPr>
                  <w:rFonts w:ascii="Arial" w:cs="Arial" w:eastAsia="Arial" w:hAnsi="Arial"/>
                  <w:b w:val="false"/>
                  <w:bCs w:val="false"/>
                  <w:sz w:val="12"/>
                  <w:szCs w:val="12"/>
                </w:rPr>
                <w:t xml:space="preserve">[#558]</w:t>
              </w:r>
            </w:hyperlink>
            <w:r>
              <w:rPr>
                <w:rFonts w:ascii="Arial" w:cs="Arial" w:eastAsia="Arial" w:hAnsi="Arial"/>
                <w:b w:val="false"/>
                <w:bCs w:val="false"/>
                <w:sz w:val="13"/>
                <w:szCs w:val="13"/>
              </w:rPr>
              <w:t xml:space="preserve"> </w:t>
            </w:r>
            <w:hyperlink w:history="1" r:id="rIdjtj4bti_lewcxwh9ypgzf">
              <w:r>
                <w:rPr>
                  <w:rFonts w:ascii="Arial" w:cs="Arial" w:eastAsia="Arial" w:hAnsi="Arial"/>
                  <w:b w:val="false"/>
                  <w:bCs w:val="false"/>
                  <w:sz w:val="12"/>
                  <w:szCs w:val="12"/>
                </w:rPr>
                <w:t xml:space="preserve">[#692]</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2026-10-21</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UniFirst FY2026 results call (16:30 UTC)</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Last UNF results before the pending Cintas merger closes; read-across on US demand and pricing. </w:t>
            </w:r>
            <w:hyperlink w:history="1" r:id="rIdstv6b_s6zt2hold2icc8j">
              <w:r>
                <w:rPr>
                  <w:rFonts w:ascii="Arial" w:cs="Arial" w:eastAsia="Arial" w:hAnsi="Arial"/>
                  <w:b w:val="false"/>
                  <w:bCs w:val="false"/>
                  <w:sz w:val="13"/>
                  <w:szCs w:val="13"/>
                  <w:u w:val="single"/>
                </w:rPr>
                <w:t xml:space="preserve">Fiscal Year 2026 Earnings Call</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2026-10-28</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Elis Q3 2026 revenue (call 16:40 UTC, after Paris close)</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Watch for: the H2 sequential organic improvement management promised, Mexico volumes, French activity, energy/fuel cost pass-through, and any soft-call decision. Prior-year pattern: Q3 2024 release on 29-Oct-2024; Q3 2023 call on … </w:t>
            </w:r>
            <w:hyperlink w:history="1" r:id="rIddba1p-kutxm5-tp3uwetb">
              <w:r>
                <w:rPr>
                  <w:rFonts w:ascii="Arial" w:cs="Arial" w:eastAsia="Arial" w:hAnsi="Arial"/>
                  <w:b w:val="false"/>
                  <w:bCs w:val="false"/>
                  <w:sz w:val="13"/>
                  <w:szCs w:val="13"/>
                  <w:u w:val="single"/>
                </w:rPr>
                <w:t xml:space="preserve">Q3 2026 Earnings Call</w:t>
              </w:r>
            </w:hyperlink>
            <w:r>
              <w:rPr>
                <w:rFonts w:ascii="Arial" w:cs="Arial" w:eastAsia="Arial" w:hAnsi="Arial"/>
                <w:b w:val="false"/>
                <w:bCs w:val="false"/>
                <w:sz w:val="13"/>
                <w:szCs w:val="13"/>
              </w:rPr>
              <w:t xml:space="preserve"> </w:t>
            </w:r>
            <w:hyperlink w:history="1" r:id="rId0vtmkt5nhaorkpz-utosd">
              <w:r>
                <w:rPr>
                  <w:rFonts w:ascii="Arial" w:cs="Arial" w:eastAsia="Arial" w:hAnsi="Arial"/>
                  <w:b w:val="false"/>
                  <w:bCs w:val="false"/>
                  <w:sz w:val="12"/>
                  <w:szCs w:val="12"/>
                </w:rPr>
                <w:t xml:space="preserve">[#334]</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2026-11-06</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Rentokil Initial Q3 2026 trading update</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Read-across for European hygiene/workwear services. </w:t>
            </w:r>
            <w:hyperlink w:history="1" r:id="rId0ob94hicn8auflzwphyjn">
              <w:r>
                <w:rPr>
                  <w:rFonts w:ascii="Arial" w:cs="Arial" w:eastAsia="Arial" w:hAnsi="Arial"/>
                  <w:b w:val="false"/>
                  <w:bCs w:val="false"/>
                  <w:sz w:val="13"/>
                  <w:szCs w:val="13"/>
                  <w:u w:val="single"/>
                </w:rPr>
                <w:t xml:space="preserve">Q3 2026 Earnings Call</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2026-11</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Settlement of the 'Elis for All 2026' employee share plan (small capital increase)</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Prior plans settled 14-Nov-2024 and 13-Nov-2025. </w:t>
            </w:r>
            <w:hyperlink w:history="1" r:id="rIdm8sf6e1razrnxqvsfz552">
              <w:r>
                <w:rPr>
                  <w:rFonts w:ascii="Arial" w:cs="Arial" w:eastAsia="Arial" w:hAnsi="Arial"/>
                  <w:b w:val="false"/>
                  <w:bCs w:val="false"/>
                  <w:sz w:val="12"/>
                  <w:szCs w:val="12"/>
                </w:rPr>
                <w:t xml:space="preserve">[#300]</w:t>
              </w:r>
            </w:hyperlink>
            <w:r>
              <w:rPr>
                <w:rFonts w:ascii="Arial" w:cs="Arial" w:eastAsia="Arial" w:hAnsi="Arial"/>
                <w:b w:val="false"/>
                <w:bCs w:val="false"/>
                <w:sz w:val="13"/>
                <w:szCs w:val="13"/>
              </w:rPr>
              <w:t xml:space="preserve"> </w:t>
            </w:r>
            <w:hyperlink w:history="1" r:id="rIduzeeqdpl0tkcdbzmaq5ft">
              <w:r>
                <w:rPr>
                  <w:rFonts w:ascii="Arial" w:cs="Arial" w:eastAsia="Arial" w:hAnsi="Arial"/>
                  <w:b w:val="false"/>
                  <w:bCs w:val="false"/>
                  <w:sz w:val="12"/>
                  <w:szCs w:val="12"/>
                </w:rPr>
                <w:t xml:space="preserve">[#5829]</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2026-11-27 (ProntoNLP date) / early Dec-2026 [e]</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Vestis FY2026 results</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Vestis cut guidance (May-2024), suspended its full-year guidance (May-2025) and is a turnaround story; Elis had little visible read-across on those days (0.0% and -2.1%) [calc]. The prior-year Q4 call was on 2-Dec-2025. </w:t>
            </w:r>
            <w:hyperlink w:history="1" r:id="rIdljqix86xazgawruxlrpcp">
              <w:r>
                <w:rPr>
                  <w:rFonts w:ascii="Arial" w:cs="Arial" w:eastAsia="Arial" w:hAnsi="Arial"/>
                  <w:b w:val="false"/>
                  <w:bCs w:val="false"/>
                  <w:sz w:val="13"/>
                  <w:szCs w:val="13"/>
                  <w:u w:val="single"/>
                </w:rPr>
                <w:t xml:space="preserve">Fiscal Year 2026 Earnings Call</w:t>
              </w:r>
            </w:hyperlink>
            <w:r>
              <w:rPr>
                <w:rFonts w:ascii="Arial" w:cs="Arial" w:eastAsia="Arial" w:hAnsi="Arial"/>
                <w:b w:val="false"/>
                <w:bCs w:val="false"/>
                <w:sz w:val="13"/>
                <w:szCs w:val="13"/>
              </w:rPr>
              <w:t xml:space="preserve"> </w:t>
            </w:r>
            <w:hyperlink w:history="1" r:id="rIdrirsliad6rrkgkgexfkz8">
              <w:r>
                <w:rPr>
                  <w:rFonts w:ascii="Arial" w:cs="Arial" w:eastAsia="Arial" w:hAnsi="Arial"/>
                  <w:b w:val="false"/>
                  <w:bCs w:val="false"/>
                  <w:sz w:val="13"/>
                  <w:szCs w:val="13"/>
                  <w:u w:val="single"/>
                </w:rPr>
                <w:t xml:space="preserve">Vestis Corporation, Q4 2025 Earnings Call, Dec 02, 2025</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2026-12-11 (earliest)</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Earliest closing date for Cintas-UniFirst ($5.5bn) under the FTC timing agreement, unless the FTC closes its investigation earlier; Cintas had expected closing in H2 cale…</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Consolidates the US uniform-rental market (CEO at CMD: Cintas, Vestis and UniFirst hold about 2/3 of the market). Valuation benchmark for Elis; possible FTC remedies or litigation [inference]. </w:t>
            </w:r>
            <w:hyperlink w:history="1" r:id="rIdr1hptbrz2muby9pdxysdu">
              <w:r>
                <w:rPr>
                  <w:rFonts w:ascii="Arial" w:cs="Arial" w:eastAsia="Arial" w:hAnsi="Arial"/>
                  <w:b w:val="false"/>
                  <w:bCs w:val="false"/>
                  <w:sz w:val="12"/>
                  <w:szCs w:val="12"/>
                </w:rPr>
                <w:t xml:space="preserve">[#39]</w:t>
              </w:r>
            </w:hyperlink>
            <w:r>
              <w:rPr>
                <w:rFonts w:ascii="Arial" w:cs="Arial" w:eastAsia="Arial" w:hAnsi="Arial"/>
                <w:b w:val="false"/>
                <w:bCs w:val="false"/>
                <w:sz w:val="13"/>
                <w:szCs w:val="13"/>
              </w:rPr>
              <w:t xml:space="preserve"> </w:t>
            </w:r>
            <w:hyperlink w:history="1" r:id="rId0xymnryhrf0a11kzctb73">
              <w:r>
                <w:rPr>
                  <w:rFonts w:ascii="Arial" w:cs="Arial" w:eastAsia="Arial" w:hAnsi="Arial"/>
                  <w:b w:val="false"/>
                  <w:bCs w:val="false"/>
                  <w:sz w:val="12"/>
                  <w:szCs w:val="12"/>
                </w:rPr>
                <w:t xml:space="preserve">[#4]</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Q4 2026 (year-end)</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Annual price/index negotiations with clients for 2027</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Management expects 'strong indexes' to support 'super nice price increase in 2027' and better organic growth in 2027. </w:t>
            </w:r>
            <w:hyperlink w:history="1" r:id="rIdsaqn4rmoq9kjb87pgbznb">
              <w:r>
                <w:rPr>
                  <w:rFonts w:ascii="Arial" w:cs="Arial" w:eastAsia="Arial" w:hAnsi="Arial"/>
                  <w:b w:val="false"/>
                  <w:bCs w:val="false"/>
                  <w:sz w:val="12"/>
                  <w:szCs w:val="12"/>
                </w:rPr>
                <w:t xml:space="preserve">[#472]</w:t>
              </w:r>
            </w:hyperlink>
            <w:r>
              <w:rPr>
                <w:rFonts w:ascii="Arial" w:cs="Arial" w:eastAsia="Arial" w:hAnsi="Arial"/>
                <w:b w:val="false"/>
                <w:bCs w:val="false"/>
                <w:sz w:val="13"/>
                <w:szCs w:val="13"/>
              </w:rPr>
              <w:t xml:space="preserve"> </w:t>
            </w:r>
            <w:hyperlink w:history="1" r:id="rIdv8o8vlw7l_pyrjqwlfklx">
              <w:r>
                <w:rPr>
                  <w:rFonts w:ascii="Arial" w:cs="Arial" w:eastAsia="Arial" w:hAnsi="Arial"/>
                  <w:b w:val="false"/>
                  <w:bCs w:val="false"/>
                  <w:sz w:val="12"/>
                  <w:szCs w:val="12"/>
                </w:rPr>
                <w:t xml:space="preserve">[#524]</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2026-12-15</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End of the authorized 2026 buyback window; the EUR500m programme was already completed in mid-July 2026</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 more buyback support until a 2027 decision (likely with FY2026 results) [inference]. </w:t>
            </w:r>
            <w:hyperlink w:history="1" r:id="rIdg5pyc2mf6_xk3uvwtoklt">
              <w:r>
                <w:rPr>
                  <w:rFonts w:ascii="Arial" w:cs="Arial" w:eastAsia="Arial" w:hAnsi="Arial"/>
                  <w:b w:val="false"/>
                  <w:bCs w:val="false"/>
                  <w:sz w:val="12"/>
                  <w:szCs w:val="12"/>
                </w:rPr>
                <w:t xml:space="preserve">[#695]</w:t>
              </w:r>
            </w:hyperlink>
            <w:r>
              <w:rPr>
                <w:rFonts w:ascii="Arial" w:cs="Arial" w:eastAsia="Arial" w:hAnsi="Arial"/>
                <w:b w:val="false"/>
                <w:bCs w:val="false"/>
                <w:sz w:val="13"/>
                <w:szCs w:val="13"/>
              </w:rPr>
              <w:t xml:space="preserve"> </w:t>
            </w:r>
            <w:hyperlink w:history="1" r:id="rIdahcekrydwvxgovvtdbzql">
              <w:r>
                <w:rPr>
                  <w:rFonts w:ascii="Arial" w:cs="Arial" w:eastAsia="Arial" w:hAnsi="Arial"/>
                  <w:b w:val="false"/>
                  <w:bCs w:val="false"/>
                  <w:sz w:val="12"/>
                  <w:szCs w:val="12"/>
                </w:rPr>
                <w:t xml:space="preserve">[#293]</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late Dec-2026 [e]</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Cintas Q2 FY2027 results</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Bellwether for US uniform demand and pricing. </w:t>
            </w:r>
            <w:hyperlink w:history="1" r:id="rIdrd0w4c6y_vlwfqbq4ciu8">
              <w:r>
                <w:rPr>
                  <w:rFonts w:ascii="Arial" w:cs="Arial" w:eastAsia="Arial" w:hAnsi="Arial"/>
                  <w:b w:val="false"/>
                  <w:bCs w:val="false"/>
                  <w:sz w:val="13"/>
                  <w:szCs w:val="13"/>
                  <w:u w:val="single"/>
                </w:rPr>
                <w:t xml:space="preserve">Cintas Corporation, Q1 2027 Earnings Call, Sep 23, 2026</w:t>
              </w:r>
            </w:hyperlink>
            <w:r>
              <w:rPr>
                <w:rFonts w:ascii="Arial" w:cs="Arial" w:eastAsia="Arial" w:hAnsi="Arial"/>
                <w:b w:val="false"/>
                <w:bCs w:val="false"/>
                <w:sz w:val="13"/>
                <w:szCs w:val="13"/>
              </w:rPr>
              <w:t xml:space="preserve"> </w:t>
            </w:r>
            <w:hyperlink w:history="1" r:id="rIdx9x-h2qlork2cpgi_sfrr">
              <w:r>
                <w:rPr>
                  <w:rFonts w:ascii="Arial" w:cs="Arial" w:eastAsia="Arial" w:hAnsi="Arial"/>
                  <w:b w:val="false"/>
                  <w:bCs w:val="false"/>
                  <w:sz w:val="13"/>
                  <w:szCs w:val="13"/>
                  <w:u w:val="single"/>
                </w:rPr>
                <w:t xml:space="preserve">Cintas Corporation, Q3 2025 Earnings Call, Mar 26, 2025</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2027-01-01 [e]</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 minimum-wage resets in Elis countries (e.g. Germany, France, Latin America; UK national living wage in April [u])</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 increases hurt margins where pass-through lags: Germany ('huge increase ... decided for 2026'), Colombia +23%, Mexico +13%, UK hard to pass through. 2027 levels are not in permitted sources. </w:t>
            </w:r>
            <w:hyperlink w:history="1" r:id="rIdshzmvhdlwbiwltdqux9so">
              <w:r>
                <w:rPr>
                  <w:rFonts w:ascii="Arial" w:cs="Arial" w:eastAsia="Arial" w:hAnsi="Arial"/>
                  <w:b w:val="false"/>
                  <w:bCs w:val="false"/>
                  <w:sz w:val="12"/>
                  <w:szCs w:val="12"/>
                </w:rPr>
                <w:t xml:space="preserve">[#740]</w:t>
              </w:r>
            </w:hyperlink>
            <w:r>
              <w:rPr>
                <w:rFonts w:ascii="Arial" w:cs="Arial" w:eastAsia="Arial" w:hAnsi="Arial"/>
                <w:b w:val="false"/>
                <w:bCs w:val="false"/>
                <w:sz w:val="13"/>
                <w:szCs w:val="13"/>
              </w:rPr>
              <w:t xml:space="preserve"> </w:t>
            </w:r>
            <w:hyperlink w:history="1" r:id="rIdzsuhramvm4zebuitpasu0">
              <w:r>
                <w:rPr>
                  <w:rFonts w:ascii="Arial" w:cs="Arial" w:eastAsia="Arial" w:hAnsi="Arial"/>
                  <w:b w:val="false"/>
                  <w:bCs w:val="false"/>
                  <w:sz w:val="12"/>
                  <w:szCs w:val="12"/>
                </w:rPr>
                <w:t xml:space="preserve">[#147]</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2027-01-01</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IFRS 18 first applied: new P&amp;L presentation (the net financial income/expense subtotal is eliminated)</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Affects how 2027 interim figures are presented and compared. </w:t>
            </w:r>
            <w:hyperlink w:history="1" r:id="rIdhbu9ti3l9njvc8d3zsnko">
              <w:r>
                <w:rPr>
                  <w:rFonts w:ascii="Arial" w:cs="Arial" w:eastAsia="Arial" w:hAnsi="Arial"/>
                  <w:b w:val="false"/>
                  <w:bCs w:val="false"/>
                  <w:sz w:val="12"/>
                  <w:szCs w:val="12"/>
                </w:rPr>
                <w:t xml:space="preserve">[#5563]</w:t>
              </w:r>
            </w:hyperlink>
            <w:r>
              <w:rPr>
                <w:rFonts w:ascii="Arial" w:cs="Arial" w:eastAsia="Arial" w:hAnsi="Arial"/>
                <w:b w:val="false"/>
                <w:bCs w:val="false"/>
                <w:sz w:val="13"/>
                <w:szCs w:val="13"/>
              </w:rPr>
              <w:t xml:space="preserve"> </w:t>
            </w:r>
            <w:hyperlink w:history="1" r:id="rId2e7z7iejduh4kkdlkspq2">
              <w:r>
                <w:rPr>
                  <w:rFonts w:ascii="Arial" w:cs="Arial" w:eastAsia="Arial" w:hAnsi="Arial"/>
                  <w:b w:val="false"/>
                  <w:bCs w:val="false"/>
                  <w:sz w:val="12"/>
                  <w:szCs w:val="12"/>
                </w:rPr>
                <w:t xml:space="preserve">[#243]</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early-mid Mar-2027 [e]</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FY2026 results: 2027 guidance, FY2026 dividend proposal, 2027 buyback decision</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The capital-allocation policy (leverage -0.1x a year, remaining cash to shareholders) points to another buyback or special distribution decision [inference]. 2026 guidance: EPS growth in the high single digits. </w:t>
            </w:r>
            <w:hyperlink w:history="1" r:id="rIdlwlptbldmetce_n4vnzqx">
              <w:r>
                <w:rPr>
                  <w:rFonts w:ascii="Arial" w:cs="Arial" w:eastAsia="Arial" w:hAnsi="Arial"/>
                  <w:b w:val="false"/>
                  <w:bCs w:val="false"/>
                  <w:sz w:val="13"/>
                  <w:szCs w:val="13"/>
                  <w:u w:val="single"/>
                </w:rPr>
                <w:t xml:space="preserve">Elis SA, 2025 Earnings Call, Mar 11, 2026</w:t>
              </w:r>
            </w:hyperlink>
            <w:r>
              <w:rPr>
                <w:rFonts w:ascii="Arial" w:cs="Arial" w:eastAsia="Arial" w:hAnsi="Arial"/>
                <w:b w:val="false"/>
                <w:bCs w:val="false"/>
                <w:sz w:val="13"/>
                <w:szCs w:val="13"/>
              </w:rPr>
              <w:t xml:space="preserve"> </w:t>
            </w:r>
            <w:hyperlink w:history="1" r:id="rIdqlxhjleq3aaedicvlv5-p">
              <w:r>
                <w:rPr>
                  <w:rFonts w:ascii="Arial" w:cs="Arial" w:eastAsia="Arial" w:hAnsi="Arial"/>
                  <w:b w:val="false"/>
                  <w:bCs w:val="false"/>
                  <w:sz w:val="13"/>
                  <w:szCs w:val="13"/>
                  <w:u w:val="single"/>
                </w:rPr>
                <w:t xml:space="preserve">Elis SA, 2024 Earnings Call, Mar 06, 2025</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Apr-May 2027 [u]</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French presidential election</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About 30% of revenue is in France. The snap election in Jun-2024 cost the stock about 15% (per management). Analysts asked about it on the H1 2026 call; the CEO noted 'super worry about French election in 27'. </w:t>
            </w:r>
            <w:hyperlink w:history="1" r:id="rIdhwfosq1wxgat9tnqs3mux">
              <w:r>
                <w:rPr>
                  <w:rFonts w:ascii="Arial" w:cs="Arial" w:eastAsia="Arial" w:hAnsi="Arial"/>
                  <w:b w:val="false"/>
                  <w:bCs w:val="false"/>
                  <w:sz w:val="12"/>
                  <w:szCs w:val="12"/>
                </w:rPr>
                <w:t xml:space="preserve">[#457]</w:t>
              </w:r>
            </w:hyperlink>
            <w:r>
              <w:rPr>
                <w:rFonts w:ascii="Arial" w:cs="Arial" w:eastAsia="Arial" w:hAnsi="Arial"/>
                <w:b w:val="false"/>
                <w:bCs w:val="false"/>
                <w:sz w:val="13"/>
                <w:szCs w:val="13"/>
              </w:rPr>
              <w:t xml:space="preserve"> </w:t>
            </w:r>
            <w:hyperlink w:history="1" r:id="rId0_ogge30cisuxutv7vbsi">
              <w:r>
                <w:rPr>
                  <w:rFonts w:ascii="Arial" w:cs="Arial" w:eastAsia="Arial" w:hAnsi="Arial"/>
                  <w:b w:val="false"/>
                  <w:bCs w:val="false"/>
                  <w:sz w:val="12"/>
                  <w:szCs w:val="12"/>
                </w:rPr>
                <w:t xml:space="preserve">[#476]</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early May-2027 [e]</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Elis Q1 2027 revenue</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Pattern from the provisional 2026 calendar (Q1 2026 revenue on 05/04/2026) and Q1 release documents dated 3-May-2026, 4-May-2025 and 5-May-2024. </w:t>
            </w:r>
            <w:hyperlink w:history="1" r:id="rId5ldeeclzb6f6v45isb_94">
              <w:r>
                <w:rPr>
                  <w:rFonts w:ascii="Arial" w:cs="Arial" w:eastAsia="Arial" w:hAnsi="Arial"/>
                  <w:b w:val="false"/>
                  <w:bCs w:val="false"/>
                  <w:sz w:val="12"/>
                  <w:szCs w:val="12"/>
                </w:rPr>
                <w:t xml:space="preserve">[#6794]</w:t>
              </w:r>
            </w:hyperlink>
            <w:r>
              <w:rPr>
                <w:rFonts w:ascii="Arial" w:cs="Arial" w:eastAsia="Arial" w:hAnsi="Arial"/>
                <w:b w:val="false"/>
                <w:bCs w:val="false"/>
                <w:sz w:val="13"/>
                <w:szCs w:val="13"/>
              </w:rPr>
              <w:t xml:space="preserve"> </w:t>
            </w:r>
            <w:hyperlink w:history="1" r:id="rIdgfcleej7kodjs0gykwsux">
              <w:r>
                <w:rPr>
                  <w:rFonts w:ascii="Arial" w:cs="Arial" w:eastAsia="Arial" w:hAnsi="Arial"/>
                  <w:b w:val="false"/>
                  <w:bCs w:val="false"/>
                  <w:sz w:val="13"/>
                  <w:szCs w:val="13"/>
                  <w:u w:val="single"/>
                </w:rPr>
                <w:t xml:space="preserve">Elis SA - FIN SUPP - 2026-03-31</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c.20-May-2027 [e]</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 AGM (FY2026 accounts and dividend; renewal of buyback authorization)</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Prior AGMs: 23-May-2024, 22-May-2025, 21-May-2026. </w:t>
            </w:r>
            <w:hyperlink w:history="1" r:id="rIddo4ozwpwba-uvspqugglr">
              <w:r>
                <w:rPr>
                  <w:rFonts w:ascii="Arial" w:cs="Arial" w:eastAsia="Arial" w:hAnsi="Arial"/>
                  <w:b w:val="false"/>
                  <w:bCs w:val="false"/>
                  <w:sz w:val="12"/>
                  <w:szCs w:val="12"/>
                </w:rPr>
                <w:t xml:space="preserve">[#6196]</w:t>
              </w:r>
            </w:hyperlink>
            <w:r>
              <w:rPr>
                <w:rFonts w:ascii="Arial" w:cs="Arial" w:eastAsia="Arial" w:hAnsi="Arial"/>
                <w:b w:val="false"/>
                <w:bCs w:val="false"/>
                <w:sz w:val="13"/>
                <w:szCs w:val="13"/>
              </w:rPr>
              <w:t xml:space="preserve"> </w:t>
            </w:r>
            <w:hyperlink w:history="1" r:id="rIdpxso-qpmf8jvyd6sf59an">
              <w:r>
                <w:rPr>
                  <w:rFonts w:ascii="Arial" w:cs="Arial" w:eastAsia="Arial" w:hAnsi="Arial"/>
                  <w:b w:val="false"/>
                  <w:bCs w:val="false"/>
                  <w:sz w:val="12"/>
                  <w:szCs w:val="12"/>
                </w:rPr>
                <w:t xml:space="preserve">[#6197]</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2027-05-24</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Maturity of the EUR300m bond, already pre-funded by the EUR600m 3.875% EMTN placed on 16-Mar-2026</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 refinancing risk. </w:t>
            </w:r>
            <w:hyperlink w:history="1" r:id="rIdg1t9gsrduf22xlm5fr1rx">
              <w:r>
                <w:rPr>
                  <w:rFonts w:ascii="Arial" w:cs="Arial" w:eastAsia="Arial" w:hAnsi="Arial"/>
                  <w:b w:val="false"/>
                  <w:bCs w:val="false"/>
                  <w:sz w:val="12"/>
                  <w:szCs w:val="12"/>
                </w:rPr>
                <w:t xml:space="preserve">[#269]</w:t>
              </w:r>
            </w:hyperlink>
            <w:r>
              <w:rPr>
                <w:rFonts w:ascii="Arial" w:cs="Arial" w:eastAsia="Arial" w:hAnsi="Arial"/>
                <w:b w:val="false"/>
                <w:bCs w:val="false"/>
                <w:sz w:val="13"/>
                <w:szCs w:val="13"/>
              </w:rPr>
              <w:t xml:space="preserve"> </w:t>
            </w:r>
            <w:hyperlink w:history="1" r:id="rIdbvtacfyeyphinyrmvrdv0">
              <w:r>
                <w:rPr>
                  <w:rFonts w:ascii="Arial" w:cs="Arial" w:eastAsia="Arial" w:hAnsi="Arial"/>
                  <w:b w:val="false"/>
                  <w:bCs w:val="false"/>
                  <w:sz w:val="12"/>
                  <w:szCs w:val="12"/>
                </w:rPr>
                <w:t xml:space="preserve">[#267]</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ex-date c.26-May-2027 / payment c.28-May-2027 [e]</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FY2026 dividend ex-date and payment (FY2025: EUR0.48)</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Payments were made on 28-May-2025 and 28-May-2026; the ex-date is assumed 2 business days before payment [e]. </w:t>
            </w:r>
            <w:hyperlink w:history="1" r:id="rId68gui2dfhl4uxvtsgz-cs">
              <w:r>
                <w:rPr>
                  <w:rFonts w:ascii="Arial" w:cs="Arial" w:eastAsia="Arial" w:hAnsi="Arial"/>
                  <w:b w:val="false"/>
                  <w:bCs w:val="false"/>
                  <w:sz w:val="12"/>
                  <w:szCs w:val="12"/>
                </w:rPr>
                <w:t xml:space="preserve">[#562]</w:t>
              </w:r>
            </w:hyperlink>
            <w:r>
              <w:rPr>
                <w:rFonts w:ascii="Arial" w:cs="Arial" w:eastAsia="Arial" w:hAnsi="Arial"/>
                <w:b w:val="false"/>
                <w:bCs w:val="false"/>
                <w:sz w:val="13"/>
                <w:szCs w:val="13"/>
              </w:rPr>
              <w:t xml:space="preserve"> </w:t>
            </w:r>
            <w:hyperlink w:history="1" r:id="rIdzamr49fev-b0zmfpfw7mj">
              <w:r>
                <w:rPr>
                  <w:rFonts w:ascii="Arial" w:cs="Arial" w:eastAsia="Arial" w:hAnsi="Arial"/>
                  <w:b w:val="false"/>
                  <w:bCs w:val="false"/>
                  <w:sz w:val="12"/>
                  <w:szCs w:val="12"/>
                </w:rPr>
                <w:t xml:space="preserve">[#106]</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late Jul-2027 [e]</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Elis H1 2027 results (after-close release; 16:00 UTC call)</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Pattern: calls on 24-Jul-2024, 30-Jul-2025 and 29-Jul-2026. </w:t>
            </w:r>
            <w:hyperlink w:history="1" r:id="rIdypwubhnndkvlts_t_a4vf">
              <w:r>
                <w:rPr>
                  <w:rFonts w:ascii="Arial" w:cs="Arial" w:eastAsia="Arial" w:hAnsi="Arial"/>
                  <w:b w:val="false"/>
                  <w:bCs w:val="false"/>
                  <w:sz w:val="13"/>
                  <w:szCs w:val="13"/>
                  <w:u w:val="single"/>
                </w:rPr>
                <w:t xml:space="preserve">Elis SA, H1 2026 Earnings Call, Jul 29, 2026</w:t>
              </w:r>
            </w:hyperlink>
            <w:r>
              <w:rPr>
                <w:rFonts w:ascii="Arial" w:cs="Arial" w:eastAsia="Arial" w:hAnsi="Arial"/>
                <w:b w:val="false"/>
                <w:bCs w:val="false"/>
                <w:sz w:val="13"/>
                <w:szCs w:val="13"/>
              </w:rPr>
              <w:t xml:space="preserve"> </w:t>
            </w:r>
            <w:hyperlink w:history="1" r:id="rIdlkdvgwqf4pyoaoqez7t__">
              <w:r>
                <w:rPr>
                  <w:rFonts w:ascii="Arial" w:cs="Arial" w:eastAsia="Arial" w:hAnsi="Arial"/>
                  <w:b w:val="false"/>
                  <w:bCs w:val="false"/>
                  <w:sz w:val="13"/>
                  <w:szCs w:val="13"/>
                  <w:u w:val="single"/>
                </w:rPr>
                <w:t xml:space="preserve">Elis SA, H1 2025 Earnings Call, Jul 30, 2025</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2027-09-22</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OCEANE 2029 holder put date (only relevant if the bonds are not called or converted before)</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 </w:t>
            </w:r>
            <w:hyperlink w:history="1" r:id="rIdushkwhmf7ufdp-bcqbtbw">
              <w:r>
                <w:rPr>
                  <w:rFonts w:ascii="Arial" w:cs="Arial" w:eastAsia="Arial" w:hAnsi="Arial"/>
                  <w:b w:val="false"/>
                  <w:bCs w:val="false"/>
                  <w:sz w:val="12"/>
                  <w:szCs w:val="12"/>
                </w:rPr>
                <w:t xml:space="preserve">[#173]</w:t>
              </w:r>
            </w:hyperlink>
            <w:r>
              <w:rPr>
                <w:rFonts w:ascii="Arial" w:cs="Arial" w:eastAsia="Arial" w:hAnsi="Arial"/>
                <w:b w:val="false"/>
                <w:bCs w:val="false"/>
                <w:sz w:val="13"/>
                <w:szCs w:val="13"/>
              </w:rPr>
              <w:t xml:space="preserve"> </w:t>
            </w:r>
            <w:hyperlink w:history="1" r:id="rIdcpnv8m71awvb6fljrertz">
              <w:r>
                <w:rPr>
                  <w:rFonts w:ascii="Arial" w:cs="Arial" w:eastAsia="Arial" w:hAnsi="Arial"/>
                  <w:b w:val="false"/>
                  <w:bCs w:val="false"/>
                  <w:sz w:val="12"/>
                  <w:szCs w:val="12"/>
                </w:rPr>
                <w:t xml:space="preserve">[#6435]</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late Oct-2027 [e]</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Elis Q3 2027 revenue</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Pattern: 26-Oct-2023, 29-Oct-2024, 28-Oct-2026. </w:t>
            </w:r>
            <w:hyperlink w:history="1" r:id="rIdqawqkac_--jariicmmow0">
              <w:r>
                <w:rPr>
                  <w:rFonts w:ascii="Arial" w:cs="Arial" w:eastAsia="Arial" w:hAnsi="Arial"/>
                  <w:b w:val="false"/>
                  <w:bCs w:val="false"/>
                  <w:sz w:val="13"/>
                  <w:szCs w:val="13"/>
                  <w:u w:val="single"/>
                </w:rPr>
                <w:t xml:space="preserve">Elis SA, Q3 2023 Sales/ Trading Statement Call, Oct 26, 2023</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 (Feb/May/Aug) [e]</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Vestis quarterly results</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2026 calls were on 10-Feb, 12-May and 11-Aug-2026. </w:t>
            </w:r>
            <w:hyperlink w:history="1" r:id="rIday5rn8_l7y8ngzgegna67">
              <w:r>
                <w:rPr>
                  <w:rFonts w:ascii="Arial" w:cs="Arial" w:eastAsia="Arial" w:hAnsi="Arial"/>
                  <w:b w:val="false"/>
                  <w:bCs w:val="false"/>
                  <w:sz w:val="13"/>
                  <w:szCs w:val="13"/>
                  <w:u w:val="single"/>
                </w:rPr>
                <w:t xml:space="preserve">Vestis Corporation, Q1 2026 Earnings Call, Feb 10, 2026</w:t>
              </w:r>
            </w:hyperlink>
            <w:r>
              <w:rPr>
                <w:rFonts w:ascii="Arial" w:cs="Arial" w:eastAsia="Arial" w:hAnsi="Arial"/>
                <w:b w:val="false"/>
                <w:bCs w:val="false"/>
                <w:sz w:val="13"/>
                <w:szCs w:val="13"/>
              </w:rPr>
              <w:t xml:space="preserve"> </w:t>
            </w:r>
            <w:hyperlink w:history="1" r:id="rId2noffat4fqn7p0p6uuvok">
              <w:r>
                <w:rPr>
                  <w:rFonts w:ascii="Arial" w:cs="Arial" w:eastAsia="Arial" w:hAnsi="Arial"/>
                  <w:b w:val="false"/>
                  <w:bCs w:val="false"/>
                  <w:sz w:val="13"/>
                  <w:szCs w:val="13"/>
                  <w:u w:val="single"/>
                </w:rPr>
                <w:t xml:space="preserve">Vestis Corporation, Q2 2026 Earnings Call, May 12, 2026</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 (ongoing)</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Bolt-on M&amp;A (EUR50-150m a year); no large (&gt;EUR200m) deal under discussion as of 29-Jul-2026; pipeline is in existing European countries</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The Irish OCL deal was abandoned in Jun-2026. No pending closings identified in permitted sources. </w:t>
            </w:r>
            <w:hyperlink w:history="1" r:id="rIdwbhlcces9wgc7qb7y4qlv">
              <w:r>
                <w:rPr>
                  <w:rFonts w:ascii="Arial" w:cs="Arial" w:eastAsia="Arial" w:hAnsi="Arial"/>
                  <w:b w:val="false"/>
                  <w:bCs w:val="false"/>
                  <w:sz w:val="12"/>
                  <w:szCs w:val="12"/>
                </w:rPr>
                <w:t xml:space="preserve">[#588]</w:t>
              </w:r>
            </w:hyperlink>
            <w:r>
              <w:rPr>
                <w:rFonts w:ascii="Arial" w:cs="Arial" w:eastAsia="Arial" w:hAnsi="Arial"/>
                <w:b w:val="false"/>
                <w:bCs w:val="false"/>
                <w:sz w:val="13"/>
                <w:szCs w:val="13"/>
              </w:rPr>
              <w:t xml:space="preserve"> </w:t>
            </w:r>
            <w:hyperlink w:history="1" r:id="rIdmldhxfqniak5zyi7h-mls">
              <w:r>
                <w:rPr>
                  <w:rFonts w:ascii="Arial" w:cs="Arial" w:eastAsia="Arial" w:hAnsi="Arial"/>
                  <w:b w:val="false"/>
                  <w:bCs w:val="false"/>
                  <w:sz w:val="12"/>
                  <w:szCs w:val="12"/>
                </w:rPr>
                <w:t xml:space="preserve">[#590]</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High</w:t>
            </w:r>
          </w:p>
        </w:tc>
      </w:tr>
      <w:tr>
        <w:trPr>
          <w:cantSplit/>
        </w:trPr>
        <w:tc>
          <w:tcPr>
            <w:tcW w:type="dxa" w:w="1525"/>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2027 (ongoing)</w:t>
            </w:r>
          </w:p>
        </w:tc>
        <w:tc>
          <w:tcPr>
            <w:tcW w:type="dxa" w:w="3254"/>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Mexico volume and LatAm margin recovery expected in 2027</w:t>
            </w:r>
          </w:p>
        </w:tc>
        <w:tc>
          <w:tcPr>
            <w:tcW w:type="dxa" w:w="4271"/>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 </w:t>
            </w:r>
            <w:hyperlink w:history="1" r:id="rIdhnnej-za-bbrujsdsrdns">
              <w:r>
                <w:rPr>
                  <w:rFonts w:ascii="Arial" w:cs="Arial" w:eastAsia="Arial" w:hAnsi="Arial"/>
                  <w:b w:val="false"/>
                  <w:bCs w:val="false"/>
                  <w:sz w:val="12"/>
                  <w:szCs w:val="12"/>
                </w:rPr>
                <w:t xml:space="preserve">[#559]</w:t>
              </w:r>
            </w:hyperlink>
          </w:p>
        </w:tc>
        <w:tc>
          <w:tcPr>
            <w:tcW w:type="dxa" w:w="816"/>
            <w:tcBorders>
              <w:top w:val="single" w:color="D9D8D2" w:sz="2"/>
              <w:left w:val="none" w:color="FFFFFF" w:sz="0"/>
              <w:bottom w:val="single" w:color="D9D8D2" w:sz="2"/>
              <w:right w:val="none" w:color="FFFFFF" w:sz="0"/>
            </w:tcBorders>
            <w:shd w:fill="F4F5F8"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r>
        <w:trPr>
          <w:cantSplit/>
        </w:trPr>
        <w:tc>
          <w:tcPr>
            <w:tcW w:type="dxa" w:w="1525"/>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through end-2028</w:t>
            </w:r>
          </w:p>
        </w:tc>
        <w:tc>
          <w:tcPr>
            <w:tcW w:type="dxa" w:w="3254"/>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Horizon of the CMD 2025-2028 targets (revenue +5-6% a year at constant FX; EBITDA margin c.+20bps a year)</w:t>
            </w:r>
          </w:p>
        </w:tc>
        <w:tc>
          <w:tcPr>
            <w:tcW w:type="dxa" w:w="4271"/>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left"/>
            </w:pPr>
            <w:r>
              <w:rPr>
                <w:rFonts w:ascii="Arial" w:cs="Arial" w:eastAsia="Arial" w:hAnsi="Arial"/>
                <w:b w:val="false"/>
                <w:bCs w:val="false"/>
                <w:sz w:val="13"/>
                <w:szCs w:val="13"/>
              </w:rPr>
              <w:t xml:space="preserve">No date for the next CMD found in permitted sources. </w:t>
            </w:r>
            <w:hyperlink w:history="1" r:id="rIdgej0svrl3tojgwdtknbiz">
              <w:r>
                <w:rPr>
                  <w:rFonts w:ascii="Arial" w:cs="Arial" w:eastAsia="Arial" w:hAnsi="Arial"/>
                  <w:b w:val="false"/>
                  <w:bCs w:val="false"/>
                  <w:sz w:val="12"/>
                  <w:szCs w:val="12"/>
                </w:rPr>
                <w:t xml:space="preserve">[#262]</w:t>
              </w:r>
            </w:hyperlink>
          </w:p>
        </w:tc>
        <w:tc>
          <w:tcPr>
            <w:tcW w:type="dxa" w:w="816"/>
            <w:tcBorders>
              <w:top w:val="single" w:color="D9D8D2" w:sz="2"/>
              <w:left w:val="none" w:color="FFFFFF" w:sz="0"/>
              <w:bottom w:val="single" w:color="D9D8D2" w:sz="2"/>
              <w:right w:val="none" w:color="FFFFFF" w:sz="0"/>
            </w:tcBorders>
            <w:shd w:fill="FFFFFF" w:color="auto" w:val="clear"/>
            <w:tcMar>
              <w:top w:type="dxa" w:w="40"/>
              <w:left w:type="dxa" w:w="70"/>
              <w:bottom w:type="dxa" w:w="40"/>
              <w:right w:type="dxa" w:w="70"/>
            </w:tcMar>
            <w:vAlign w:val="center"/>
          </w:tcPr>
          <w:p>
            <w:pPr>
              <w:spacing w:after="0" w:before="0" w:line="228"/>
              <w:jc w:val="center"/>
            </w:pPr>
            <w:r>
              <w:rPr>
                <w:rFonts w:ascii="Arial" w:cs="Arial" w:eastAsia="Arial" w:hAnsi="Arial"/>
                <w:b w:val="false"/>
                <w:bCs w:val="false"/>
                <w:sz w:val="13"/>
                <w:szCs w:val="13"/>
              </w:rPr>
              <w:t xml:space="preserve">Medium</w:t>
            </w:r>
          </w:p>
        </w:tc>
      </w:tr>
    </w:tbl>
    <w:p>
      <w:pPr>
        <w:spacing w:after="140" w:before="40"/>
      </w:pPr>
      <w:r>
        <w:rPr>
          <w:rFonts w:ascii="Arial" w:cs="Arial" w:eastAsia="Arial" w:hAnsi="Arial"/>
          <w:color w:val="898781"/>
          <w:sz w:val="14"/>
          <w:szCs w:val="14"/>
        </w:rPr>
        <w:t xml:space="preserve">Source: worker D catalyst calendar (model/D_catalyst_calendar.csv), ProntoNLP upcoming-event listings and Elis filings.</w:t>
      </w:r>
    </w:p>
    <w:p>
      <w:pPr>
        <w:pStyle w:val="Heading1"/>
        <w:keepNext/>
        <w:keepLines/>
        <w:pageBreakBefore/>
        <w:pBdr>
          <w:bottom w:val="single" w:color="13213F" w:sz="8" w:space="4"/>
        </w:pBdr>
        <w:spacing w:after="120" w:before="240"/>
      </w:pPr>
      <w:r>
        <w:rPr>
          <w:rFonts w:ascii="Arial" w:cs="Arial" w:eastAsia="Arial" w:hAnsi="Arial"/>
          <w:b/>
          <w:bCs/>
          <w:color w:val="13213F"/>
          <w:sz w:val="30"/>
          <w:szCs w:val="30"/>
        </w:rPr>
        <w:t xml:space="preserve">Appendix: sources, methodology and data gaps</w:t>
      </w:r>
    </w:p>
    <w:p>
      <w:pPr>
        <w:pStyle w:val="ListParagraph"/>
        <w:numPr>
          <w:ilvl w:val="0"/>
          <w:numId w:val="2"/>
        </w:numPr>
        <w:spacing w:after="60" w:line="252"/>
      </w:pPr>
      <w:r>
        <w:rPr>
          <w:rFonts w:ascii="Arial" w:cs="Arial" w:eastAsia="Arial" w:hAnsi="Arial"/>
          <w:b/>
          <w:bCs/>
          <w:sz w:val="19"/>
          <w:szCs w:val="19"/>
        </w:rPr>
        <w:t xml:space="preserve">Sources:</w:t>
      </w:r>
      <w:r>
        <w:rPr>
          <w:rFonts w:ascii="Arial" w:cs="Arial" w:eastAsia="Arial" w:hAnsi="Arial"/>
          <w:sz w:val="19"/>
          <w:szCs w:val="19"/>
        </w:rPr>
        <w:t xml:space="preserve"> only S&amp;P Global Capital IQ (S&amp;P Deterministic Retrieval connector: financial statements and line items, company info) and ProntoNLP (S&amp;P transcripts, Elis annual/semi-annual reports and releases, consensus, prices, peer graph, sentiment). No web browsing; the Financial Datasets connector was not used.</w:t>
      </w:r>
    </w:p>
    <w:p>
      <w:pPr>
        <w:pStyle w:val="ListParagraph"/>
        <w:numPr>
          <w:ilvl w:val="0"/>
          <w:numId w:val="2"/>
        </w:numPr>
        <w:spacing w:after="60" w:line="252"/>
      </w:pPr>
      <w:r>
        <w:rPr>
          <w:rFonts w:ascii="Arial" w:cs="Arial" w:eastAsia="Arial" w:hAnsi="Arial"/>
          <w:b/>
          <w:bCs/>
          <w:sz w:val="19"/>
          <w:szCs w:val="19"/>
        </w:rPr>
        <w:t xml:space="preserve">Hyperlinks:</w:t>
      </w:r>
      <w:r>
        <w:rPr>
          <w:rFonts w:ascii="Arial" w:cs="Arial" w:eastAsia="Arial" w:hAnsi="Arial"/>
          <w:sz w:val="19"/>
          <w:szCs w:val="19"/>
        </w:rPr>
        <w:t xml:space="preserve"> ProntoNLP sentence markers [#n] and document links open the source in ProntoNLP; S&amp;P figures link to the Capital IQ document viewer where the connector returned a link. Statement-level S&amp;P pulls returned no links — such figures are marked "S&amp;P, link n/a" or cited generally as S&amp;P Capital IQ.</w:t>
      </w:r>
    </w:p>
    <w:p>
      <w:pPr>
        <w:pStyle w:val="ListParagraph"/>
        <w:numPr>
          <w:ilvl w:val="0"/>
          <w:numId w:val="2"/>
        </w:numPr>
        <w:spacing w:after="60" w:line="252"/>
      </w:pPr>
      <w:r>
        <w:rPr>
          <w:rFonts w:ascii="Arial" w:cs="Arial" w:eastAsia="Arial" w:hAnsi="Arial"/>
          <w:b/>
          <w:bCs/>
          <w:sz w:val="19"/>
          <w:szCs w:val="19"/>
        </w:rPr>
        <w:t xml:space="preserve">Conventions:</w:t>
      </w:r>
      <w:r>
        <w:rPr>
          <w:rFonts w:ascii="Arial" w:cs="Arial" w:eastAsia="Arial" w:hAnsi="Arial"/>
          <w:sz w:val="19"/>
          <w:szCs w:val="19"/>
        </w:rPr>
        <w:t xml:space="preserve"> [calc] analyst calculation; [e] estimate; [u] unverified/background knowledge not found in permitted sources; [inferred] interpretation of garbled filing text. Fiscal year = calendar year for Elis; peers on their own fiscal years (LTM used).</w:t>
      </w:r>
    </w:p>
    <w:p>
      <w:pPr>
        <w:pStyle w:val="ListParagraph"/>
        <w:numPr>
          <w:ilvl w:val="0"/>
          <w:numId w:val="2"/>
        </w:numPr>
        <w:spacing w:after="60" w:line="252"/>
      </w:pPr>
      <w:r>
        <w:rPr>
          <w:rFonts w:ascii="Arial" w:cs="Arial" w:eastAsia="Arial" w:hAnsi="Arial"/>
          <w:b/>
          <w:bCs/>
          <w:sz w:val="19"/>
          <w:szCs w:val="19"/>
        </w:rPr>
        <w:t xml:space="preserve">Data gaps:</w:t>
      </w:r>
      <w:r>
        <w:rPr>
          <w:rFonts w:ascii="Arial" w:cs="Arial" w:eastAsia="Arial" w:hAnsi="Arial"/>
          <w:sz w:val="19"/>
          <w:szCs w:val="19"/>
        </w:rPr>
        <w:t xml:space="preserve"> forward consensus (EPS/EBITDA) for Elis and peers; full top-10 shareholder register; short interest; euro amounts of executive pay and holdings; full-year € segment revenue (non-indexed tables); supplier names; Q3 2025 standalone revenue; ProntoNLP price history before 2019 (series partly dividend-adjusted).</w:t>
      </w:r>
    </w:p>
    <w:p>
      <w:pPr>
        <w:pStyle w:val="ListParagraph"/>
        <w:numPr>
          <w:ilvl w:val="0"/>
          <w:numId w:val="2"/>
        </w:numPr>
        <w:spacing w:after="60" w:line="252"/>
      </w:pPr>
      <w:r>
        <w:rPr>
          <w:rFonts w:ascii="Arial" w:cs="Arial" w:eastAsia="Arial" w:hAnsi="Arial"/>
          <w:b/>
          <w:bCs/>
          <w:sz w:val="19"/>
          <w:szCs w:val="19"/>
        </w:rPr>
        <w:t xml:space="preserve">Process note:</w:t>
      </w:r>
      <w:r>
        <w:rPr>
          <w:rFonts w:ascii="Arial" w:cs="Arial" w:eastAsia="Arial" w:hAnsi="Arial"/>
          <w:sz w:val="19"/>
          <w:szCs w:val="19"/>
        </w:rPr>
        <w:t xml:space="preserve"> research was split across seven workers; four were stopped by an API rate limit after collecting and saving their raw data and structured files — the lead analyst completed their analysis (including the peer multiples and regression) from those saved files. Every connector call and raw response is listed in the separate data-provenance document.</w:t>
      </w:r>
    </w:p>
    <w:p>
      <w:pPr>
        <w:pStyle w:val="ListParagraph"/>
        <w:numPr>
          <w:ilvl w:val="0"/>
          <w:numId w:val="2"/>
        </w:numPr>
        <w:spacing w:after="60" w:line="252"/>
      </w:pPr>
      <w:r>
        <w:rPr>
          <w:rFonts w:ascii="Arial" w:cs="Arial" w:eastAsia="Arial" w:hAnsi="Arial"/>
          <w:b/>
          <w:bCs/>
          <w:sz w:val="19"/>
          <w:szCs w:val="19"/>
        </w:rPr>
        <w:t xml:space="preserve">Disclaimer:</w:t>
      </w:r>
      <w:r>
        <w:rPr>
          <w:rFonts w:ascii="Arial" w:cs="Arial" w:eastAsia="Arial" w:hAnsi="Arial"/>
          <w:sz w:val="19"/>
          <w:szCs w:val="19"/>
        </w:rPr>
        <w:t xml:space="preserve"> prepared for institutional investors for discussion purposes; not investment advice; estimates are subject to change.</w:t>
      </w:r>
    </w:p>
    <w:p>
      <w:pPr>
        <w:spacing w:after="60"/>
      </w:pPr>
    </w:p>
    <w:sectPr>
      <w:headerReference w:type="default" r:id="rId7"/>
      <w:footerReference w:type="default" r:id="rId8"/>
      <w:pgSz w:w="11906" w:h="16838" w:orient="portrait"/>
      <w:pgMar w:top="1020" w:right="1020" w:bottom="1020" w:left="102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Arial" w:cs="Arial" w:eastAsia="Arial" w:hAnsi="Arial"/>
        <w:color w:val="898781"/>
        <w:sz w:val="13"/>
        <w:szCs w:val="13"/>
      </w:rPr>
      <w:t xml:space="preserve">For institutional investors. Data: S&amp;P Capital IQ and ProntoNLP only. [calc] analyst calculation, [e] estimate, [u] unverified.</w:t>
    </w:r>
    <w:r>
      <w:rPr>
        <w:rFonts w:ascii="Arial" w:cs="Arial" w:eastAsia="Arial" w:hAnsi="Arial"/>
        <w:color w:val="898781"/>
        <w:sz w:val="13"/>
        <w:szCs w:val="13"/>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2" w:sz="2" w:space="4"/>
      </w:pBdr>
    </w:pPr>
    <w:r>
      <w:rPr>
        <w:rFonts w:ascii="Arial" w:cs="Arial" w:eastAsia="Arial" w:hAnsi="Arial"/>
        <w:color w:val="898781"/>
        <w:sz w:val="14"/>
        <w:szCs w:val="14"/>
      </w:rPr>
      <w:t xml:space="preserve">Elis SA (ELIS FP) | Institutional equity research | 12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A78D6"/>
      </w:rPr>
    </w:lvl>
    <w:lvl w:ilvl="1" w15:tentative="1">
      <w:start w:val="1"/>
      <w:numFmt w:val="bullet"/>
      <w:lvlText w:val="–"/>
      <w:lvlJc w:val="left"/>
      <w:pPr>
        <w:ind w:left="640" w:hanging="220"/>
      </w:pPr>
      <w:rPr>
        <w:rFonts w:ascii="Arial" w:cs="Arial" w:eastAsia="Arial" w:hAnsi="Arial"/>
        <w:color w:val="2A78D6"/>
      </w:rPr>
    </w:lvl>
    <w:lvl w:ilvl="2" w15:tentative="1">
      <w:start w:val="1"/>
      <w:numFmt w:val="bullet"/>
      <w:lvlText w:val="–"/>
      <w:lvlJc w:val="left"/>
      <w:pPr>
        <w:ind w:left="940" w:hanging="220"/>
      </w:pPr>
      <w:rPr>
        <w:rFonts w:ascii="Arial" w:cs="Arial" w:eastAsia="Arial" w:hAnsi="Arial"/>
        <w:color w:val="2A78D6"/>
      </w:r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decimal"/>
      <w:lvlText w:val="%2."/>
      <w:lvlJc w:val="left"/>
      <w:pPr>
        <w:ind w:left="7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3213F"/>
      <w:sz w:val="30"/>
      <w:szCs w:val="30"/>
    </w:rPr>
  </w:style>
  <w:style w:type="paragraph" w:styleId="Heading2">
    <w:name w:val="Heading 2"/>
    <w:basedOn w:val="Normal"/>
    <w:next w:val="Normal"/>
    <w:qFormat/>
    <w:pPr>
      <w:spacing w:after="80" w:before="180"/>
      <w:outlineLvl w:val="1"/>
    </w:pPr>
    <w:rPr>
      <w:rFonts w:ascii="Arial" w:cs="Arial" w:eastAsia="Arial" w:hAnsi="Arial"/>
      <w:b/>
      <w:bCs/>
      <w:color w:val="13213F"/>
      <w:sz w:val="24"/>
      <w:szCs w:val="24"/>
    </w:rPr>
  </w:style>
  <w:style w:type="paragraph" w:styleId="Heading3">
    <w:name w:val="Heading 3"/>
    <w:basedOn w:val="Normal"/>
    <w:next w:val="Normal"/>
    <w:qFormat/>
    <w:pPr>
      <w:spacing w:after="60" w:before="140"/>
      <w:outlineLvl w:val="2"/>
    </w:pPr>
    <w:rPr>
      <w:rFonts w:ascii="Arial" w:cs="Arial" w:eastAsia="Arial" w:hAnsi="Arial"/>
      <w:b/>
      <w:bCs/>
      <w:color w:val="2A78D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vvinvy-cgoo--qj12nmv" Type="http://schemas.openxmlformats.org/officeDocument/2006/relationships/hyperlink" Target="https://gam.prontonlp.com/#/ref/$DOCID_T000003774119_$GROUPBY_Scores_$KEY_Sentiment" TargetMode="External"/><Relationship Id="rIdvfvsmh7idbzvtcbvq78tj" Type="http://schemas.openxmlformats.org/officeDocument/2006/relationships/hyperlink" Target="https://gam.prontonlp.com/#/ref/$SENTID_T000003774119-292" TargetMode="External"/><Relationship Id="rIdcbst5xrcwpum4uikv_3h8" Type="http://schemas.openxmlformats.org/officeDocument/2006/relationships/hyperlink" Target="https://gam.prontonlp.com/#/ref/$SENTID_T000003676656-493" TargetMode="External"/><Relationship Id="rIdriunwb4jxowrazfsthzws" Type="http://schemas.openxmlformats.org/officeDocument/2006/relationships/hyperlink" Target="https://gam.prontonlp.com/#/ref/$SENTID_T000003676656-517" TargetMode="External"/><Relationship Id="rId2vj6fb0dmricv-o-crq-m" Type="http://schemas.openxmlformats.org/officeDocument/2006/relationships/hyperlink" Target="https://gam.prontonlp.com/#/ref/$SENTID_NONSEC000259591248-6728" TargetMode="External"/><Relationship Id="rIdj0dnxi8cou5vj9zk-g03y" Type="http://schemas.openxmlformats.org/officeDocument/2006/relationships/hyperlink" Target="https://gam.prontonlp.com/#/ref/$SENTID_T000003774119-472" TargetMode="External"/><Relationship Id="rIdvxbtr1whb9r3j_kcqxnzk" Type="http://schemas.openxmlformats.org/officeDocument/2006/relationships/hyperlink" Target="https://www.capitaliq.spglobal.com/apisv3/spg-webplatform-core/docviewer?mid=237899676&amp;uctSearch=4309.400000" TargetMode="External"/><Relationship Id="rId98oospk3xuwwd1nfhhs09" Type="http://schemas.openxmlformats.org/officeDocument/2006/relationships/hyperlink" Target="https://www.capitaliq.spglobal.com/apisv3/spg-webplatform-core/docviewer?mid=256665099&amp;uctSearch=4573.700000" TargetMode="External"/><Relationship Id="rId9vcvuz7ao7akwikoijxem" Type="http://schemas.openxmlformats.org/officeDocument/2006/relationships/hyperlink" Target="https://www.capitaliq.spglobal.com/apisv3/spg-webplatform-core/docviewer?mid=256665099&amp;uctSearch=4796.800000" TargetMode="External"/><Relationship Id="rIdmzexsm-eidu_4_bysdnzu" Type="http://schemas.openxmlformats.org/officeDocument/2006/relationships/hyperlink" Target="https://www.capitaliq.spglobal.com/apisv3/spg-webplatform-core/docviewer?mid=237899676" TargetMode="External"/><Relationship Id="rIdiia0hz8nis4guhl5jug3w" Type="http://schemas.openxmlformats.org/officeDocument/2006/relationships/hyperlink" Target="https://www.capitaliq.spglobal.com/apisv3/spg-webplatform-core/docviewer?mid=256665099" TargetMode="External"/><Relationship Id="rIdj9uym87wojdpgp1rcyyvo" Type="http://schemas.openxmlformats.org/officeDocument/2006/relationships/hyperlink" Target="https://www.capitaliq.spglobal.com/apisv3/spg-webplatform-core/docviewer?mid=256665099" TargetMode="External"/><Relationship Id="rIdk_smaa93xc9loqzn-pvzs" Type="http://schemas.openxmlformats.org/officeDocument/2006/relationships/hyperlink" Target="https://www.capitaliq.spglobal.com/apisv3/spg-webplatform-core/docviewer?mid=237899676" TargetMode="External"/><Relationship Id="rIdtkejztipqm3-rhxndikro" Type="http://schemas.openxmlformats.org/officeDocument/2006/relationships/hyperlink" Target="https://www.capitaliq.spglobal.com/apisv3/spg-webplatform-core/docviewer?mid=256665099" TargetMode="External"/><Relationship Id="rIdyut-vuaswoucoarnaesjo" Type="http://schemas.openxmlformats.org/officeDocument/2006/relationships/hyperlink" Target="https://www.capitaliq.spglobal.com/apisv3/spg-webplatform-core/docviewer?mid=256665099" TargetMode="External"/><Relationship Id="rIdjeijpxts8ogqkzlnjvlkb" Type="http://schemas.openxmlformats.org/officeDocument/2006/relationships/hyperlink" Target="https://gam.prontonlp.com/#/ref/$SENTID_NONSEC000259591248-145" TargetMode="External"/><Relationship Id="rIdp_9s8lyy3bq3asuohmmwy" Type="http://schemas.openxmlformats.org/officeDocument/2006/relationships/hyperlink" Target="https://gam.prontonlp.com/#/ref/$SENTID_NONSEC000259591248-147" TargetMode="External"/><Relationship Id="rIdczbnr-q9xnyywfmc07e0b" Type="http://schemas.openxmlformats.org/officeDocument/2006/relationships/hyperlink" Target="https://gam.prontonlp.com/#/ref/$SENTID_NONSEC000259591248-143" TargetMode="External"/><Relationship Id="rIdog1w541p6gm59hi5e-b8s" Type="http://schemas.openxmlformats.org/officeDocument/2006/relationships/hyperlink" Target="https://gam.prontonlp.com/#/ref/$SENTID_NONSEC000259591248-131" TargetMode="External"/><Relationship Id="rIdcxlpb6abps-pl3utaz3ed" Type="http://schemas.openxmlformats.org/officeDocument/2006/relationships/hyperlink" Target="https://gam.prontonlp.com/#/ref/$SENTID_NONSEC000259591248-133" TargetMode="External"/><Relationship Id="rIday1-vrfsz7lc5e77iqqy0" Type="http://schemas.openxmlformats.org/officeDocument/2006/relationships/hyperlink" Target="https://gam.prontonlp.com/#/ref/$SENTID_NONSEC000259591248-135" TargetMode="External"/><Relationship Id="rId4-_qxgsq7tdc26ykyzs8k" Type="http://schemas.openxmlformats.org/officeDocument/2006/relationships/hyperlink" Target="https://gam.prontonlp.com/#/ref/$SENTID_NONSEC000180181407-4455" TargetMode="External"/><Relationship Id="rIdpum2a_bjm8-yxfijnzcaq" Type="http://schemas.openxmlformats.org/officeDocument/2006/relationships/hyperlink" Target="https://gam.prontonlp.com/#/ref/$SENTID_NONSEC000180181407-3392" TargetMode="External"/><Relationship Id="rId-xwbhjo3ocxn9vupkmhbv" Type="http://schemas.openxmlformats.org/officeDocument/2006/relationships/hyperlink" Target="https://gam.prontonlp.com/#/ref/$SENTID_T000003676656-424" TargetMode="External"/><Relationship Id="rIdho8bbt0wpru1gjnm1hx1u" Type="http://schemas.openxmlformats.org/officeDocument/2006/relationships/hyperlink" Target="https://gam.prontonlp.com/#/ref/$SENTID_T000003774119-76" TargetMode="External"/><Relationship Id="rId_doi1-l5lr8xqtyvln96y" Type="http://schemas.openxmlformats.org/officeDocument/2006/relationships/hyperlink" Target="https://gam.prontonlp.com/#/ref/$SENTID_NONSEC000232051849-1" TargetMode="External"/><Relationship Id="rIdmu7cw_gditdh08pntggds" Type="http://schemas.openxmlformats.org/officeDocument/2006/relationships/hyperlink" Target="https://gam.prontonlp.com/#/ref/$DOCID_T000003468571" TargetMode="External"/><Relationship Id="rIdglhqbrdwipawga0740qdr" Type="http://schemas.openxmlformats.org/officeDocument/2006/relationships/hyperlink" Target="https://gam.prontonlp.com/#/ref/$SENTID_T000003468571-3277" TargetMode="External"/><Relationship Id="rIdrwwvtmxt-tfgqksur9ti1" Type="http://schemas.openxmlformats.org/officeDocument/2006/relationships/hyperlink" Target="https://gam.prontonlp.com/#/ref/$SENTID_NONSEC000257201966-4" TargetMode="External"/><Relationship Id="rIdtjnzibwwfpimz1nm8ixhh" Type="http://schemas.openxmlformats.org/officeDocument/2006/relationships/hyperlink" Target="https://gam.prontonlp.com/#/ref/$SENTID_NONSEC000257201966-133" TargetMode="External"/><Relationship Id="rIdtkyxq5kpf5-b60z8ypg1o" Type="http://schemas.openxmlformats.org/officeDocument/2006/relationships/hyperlink" Target="https://gam.prontonlp.com/#/ref/$SENTID_T000003194583-81" TargetMode="External"/><Relationship Id="rIdjj5s0f0v4iqamzx6mfe7r" Type="http://schemas.openxmlformats.org/officeDocument/2006/relationships/hyperlink" Target="https://gam.prontonlp.com/#/ref/$SENTID_NONSEC000227525215-155" TargetMode="External"/><Relationship Id="rId3jd0a9fs_mq0dx0qz66kn" Type="http://schemas.openxmlformats.org/officeDocument/2006/relationships/hyperlink" Target="https://gam.prontonlp.com/#/ref/$SENTID_NONSEC000264324010-17" TargetMode="External"/><Relationship Id="rIdve9o6blsv-j01yki7pfx8" Type="http://schemas.openxmlformats.org/officeDocument/2006/relationships/hyperlink" Target="https://gam.prontonlp.com/#/ref/$SENTID_T000003774119-342" TargetMode="External"/><Relationship Id="rIdtfky_ctlsjed-e_psl0my" Type="http://schemas.openxmlformats.org/officeDocument/2006/relationships/hyperlink" Target="https://gam.prontonlp.com/#/ref/$SENTID_T000003774119-330" TargetMode="External"/><Relationship Id="rIdi31m5nkw5qcjax78qfjd-" Type="http://schemas.openxmlformats.org/officeDocument/2006/relationships/hyperlink" Target="https://gam.prontonlp.com/#/ref/$SENTID_T000002606072-29" TargetMode="External"/><Relationship Id="rIdtgtfe8ybixx86nz46jbcn" Type="http://schemas.openxmlformats.org/officeDocument/2006/relationships/hyperlink" Target="https://gam.prontonlp.com/#/ref/$SENTID_NONSEC000180181407-3392" TargetMode="External"/><Relationship Id="rId1lecumpkco-cbzoqge2nr" Type="http://schemas.openxmlformats.org/officeDocument/2006/relationships/hyperlink" Target="https://gam.prontonlp.com/#/ref/$SENTID_NONSEC000180181407-2927" TargetMode="External"/><Relationship Id="rIdfvnuaxmrqgo7o-94syjps" Type="http://schemas.openxmlformats.org/officeDocument/2006/relationships/hyperlink" Target="https://gam.prontonlp.com/#/ref/$SENTID_NONSEC000180181407-3392" TargetMode="External"/><Relationship Id="rId4paxune_7m5o40h5zg1qf" Type="http://schemas.openxmlformats.org/officeDocument/2006/relationships/hyperlink" Target="https://gam.prontonlp.com/#/ref/$SENTID_NONSEC000180181407-2927" TargetMode="External"/><Relationship Id="rId2qgdlatn4ikrwzx0y-sz7" Type="http://schemas.openxmlformats.org/officeDocument/2006/relationships/hyperlink" Target="https://gam.prontonlp.com/#/ref/$SENTID_T000002606072-20" TargetMode="External"/><Relationship Id="rIdjfpjwhmj7b1a4_jn3-szk" Type="http://schemas.openxmlformats.org/officeDocument/2006/relationships/hyperlink" Target="https://gam.prontonlp.com/#/ref/$SENTID_T000002606072-302" TargetMode="External"/><Relationship Id="rIdd2ygddzkt8pdszhapftll" Type="http://schemas.openxmlformats.org/officeDocument/2006/relationships/hyperlink" Target="https://gam.prontonlp.com/#/ref/$SENTID_T000002606072-455" TargetMode="External"/><Relationship Id="rId4_abydsjrxswj6wgqbnla" Type="http://schemas.openxmlformats.org/officeDocument/2006/relationships/hyperlink" Target="https://gam.prontonlp.com/#/ref/$SENTID_T000002666115-19" TargetMode="External"/><Relationship Id="rIdm3ped0x5ety1qyykofka1" Type="http://schemas.openxmlformats.org/officeDocument/2006/relationships/hyperlink" Target="https://gam.prontonlp.com/#/ref/$SENTID_T000002606072-455" TargetMode="External"/><Relationship Id="rIdb3jumclafb-by2enlepfw" Type="http://schemas.openxmlformats.org/officeDocument/2006/relationships/hyperlink" Target="https://gam.prontonlp.com/#/ref/$SENTID_T000002666115-19" TargetMode="External"/><Relationship Id="rId3idxsqkqskabpjnrkc7qd" Type="http://schemas.openxmlformats.org/officeDocument/2006/relationships/hyperlink" Target="https://gam.prontonlp.com/#/ref/$SENTID_T000002666115-25" TargetMode="External"/><Relationship Id="rIdoi2eoa6q7_gt9rfsvfm8a" Type="http://schemas.openxmlformats.org/officeDocument/2006/relationships/hyperlink" Target="https://gam.prontonlp.com/#/ref/$SENTID_T000002666115-211" TargetMode="External"/><Relationship Id="rId9fn-uu3sp2yjmt0zhaesj" Type="http://schemas.openxmlformats.org/officeDocument/2006/relationships/hyperlink" Target="https://gam.prontonlp.com/#/ref/$SENTID_T000002725290-23" TargetMode="External"/><Relationship Id="rId116s2v8jkyrxne18azd0q" Type="http://schemas.openxmlformats.org/officeDocument/2006/relationships/hyperlink" Target="https://gam.prontonlp.com/#/ref/$SENTID_T000002859132-366" TargetMode="External"/><Relationship Id="rIdt2wumrsljehxjusemhinh" Type="http://schemas.openxmlformats.org/officeDocument/2006/relationships/hyperlink" Target="https://gam.prontonlp.com/#/ref/$SENTID_T000002901783-244" TargetMode="External"/><Relationship Id="rId_qvpzwcgx-4oubbn71_5j" Type="http://schemas.openxmlformats.org/officeDocument/2006/relationships/hyperlink" Target="https://gam.prontonlp.com/#/ref/$SENTID_T000002901783-428" TargetMode="External"/><Relationship Id="rIdocynfnkeebpeznvect0kl" Type="http://schemas.openxmlformats.org/officeDocument/2006/relationships/hyperlink" Target="https://gam.prontonlp.com/#/ref/$SENTID_T000002988271-293" TargetMode="External"/><Relationship Id="rIdfr9pxnubm9znmvjkprnzv" Type="http://schemas.openxmlformats.org/officeDocument/2006/relationships/hyperlink" Target="https://gam.prontonlp.com/#/ref/$SENTID_T000002988271-324" TargetMode="External"/><Relationship Id="rIddkmcunn_28cei3hsddakp" Type="http://schemas.openxmlformats.org/officeDocument/2006/relationships/hyperlink" Target="https://gam.prontonlp.com/#/ref/$SENTID_T000003007279-18" TargetMode="External"/><Relationship Id="rId7o5dlhsb-xciemotpjjbn" Type="http://schemas.openxmlformats.org/officeDocument/2006/relationships/hyperlink" Target="https://gam.prontonlp.com/#/ref/$SENTID_T000003054377-307" TargetMode="External"/><Relationship Id="rIdreo7nirxcuscju2t-vo93" Type="http://schemas.openxmlformats.org/officeDocument/2006/relationships/hyperlink" Target="https://gam.prontonlp.com/#/ref/$SENTID_T000003106889-191" TargetMode="External"/><Relationship Id="rIdnzqltwqcjiwyght_mhqyh" Type="http://schemas.openxmlformats.org/officeDocument/2006/relationships/hyperlink" Target="https://gam.prontonlp.com/#/ref/$SENTID_T000003194583-81" TargetMode="External"/><Relationship Id="rIdh5etdswo-phcmbfgd7m2l" Type="http://schemas.openxmlformats.org/officeDocument/2006/relationships/hyperlink" Target="https://gam.prontonlp.com/#/ref/$SENTID_NONSEC000227525215-155" TargetMode="External"/><Relationship Id="rIdrpnvgoa7ufex9gkjtswfk" Type="http://schemas.openxmlformats.org/officeDocument/2006/relationships/hyperlink" Target="https://gam.prontonlp.com/#/ref/$SENTID_NONSEC000232051849-1" TargetMode="External"/><Relationship Id="rIdjtavczbrx7ojr3fnt_4po" Type="http://schemas.openxmlformats.org/officeDocument/2006/relationships/hyperlink" Target="https://gam.prontonlp.com/#/ref/$SENTID_T000003468571-3277" TargetMode="External"/><Relationship Id="rIdk8cxllw65apbtsvbr1ja2" Type="http://schemas.openxmlformats.org/officeDocument/2006/relationships/hyperlink" Target="https://gam.prontonlp.com/#/ref/$SENTID_NONSEC000232051849-1" TargetMode="External"/><Relationship Id="rIdmxuog5cbt5joyheazits7" Type="http://schemas.openxmlformats.org/officeDocument/2006/relationships/hyperlink" Target="https://gam.prontonlp.com/#/ref/$SENTID_NONSEC000232051849-1" TargetMode="External"/><Relationship Id="rId2a5ogzm7r2eub8uz2grt9" Type="http://schemas.openxmlformats.org/officeDocument/2006/relationships/hyperlink" Target="https://gam.prontonlp.com/#/ref/$SENTID_T000003394029-407" TargetMode="External"/><Relationship Id="rIdcckaur75myzpawwv5bbde" Type="http://schemas.openxmlformats.org/officeDocument/2006/relationships/hyperlink" Target="https://gam.prontonlp.com/#/ref/$SENTID_NONSEC000232051849-1" TargetMode="External"/><Relationship Id="rIdedr1jqpvnsfpndqnoi1c8" Type="http://schemas.openxmlformats.org/officeDocument/2006/relationships/hyperlink" Target="https://gam.prontonlp.com/#/ref/$SENTID_NONSEC000257201966-4" TargetMode="External"/><Relationship Id="rId6yb4bpckjtnrbjtwws-cg" Type="http://schemas.openxmlformats.org/officeDocument/2006/relationships/hyperlink" Target="https://gam.prontonlp.com/#/ref/$SENTID_T000003394029-377" TargetMode="External"/><Relationship Id="rIdotwzohcc7pt7nop4j-po2" Type="http://schemas.openxmlformats.org/officeDocument/2006/relationships/hyperlink" Target="https://gam.prontonlp.com/#/ref/$SENTID_NONSEC000247046060-6" TargetMode="External"/><Relationship Id="rIdduc-3v5tpqwlshsw1ljgq" Type="http://schemas.openxmlformats.org/officeDocument/2006/relationships/hyperlink" Target="https://gam.prontonlp.com/#/ref/$SENTID_T000003468571-2993" TargetMode="External"/><Relationship Id="rIdxakmetwur6v9is7xrofh0" Type="http://schemas.openxmlformats.org/officeDocument/2006/relationships/hyperlink" Target="https://gam.prontonlp.com/#/ref/$SENTID_NONSEC000247046060-6" TargetMode="External"/><Relationship Id="rIdavjwzljwdaz1gki671ioi" Type="http://schemas.openxmlformats.org/officeDocument/2006/relationships/hyperlink" Target="https://gam.prontonlp.com/#/ref/$SENTID_T000003468571-2993" TargetMode="External"/><Relationship Id="rIdkixlw3teea-hs7ui3_d1_" Type="http://schemas.openxmlformats.org/officeDocument/2006/relationships/hyperlink" Target="https://gam.prontonlp.com/#/ref/$SENTID_NONSEC000256665099-693" TargetMode="External"/><Relationship Id="rIdqf_aslzrpqutyvwjlujce" Type="http://schemas.openxmlformats.org/officeDocument/2006/relationships/hyperlink" Target="https://gam.prontonlp.com/#/ref/$SENTID_NONSEC000256665099-695" TargetMode="External"/><Relationship Id="rIdce2gvdmcrchjfhslf77gi" Type="http://schemas.openxmlformats.org/officeDocument/2006/relationships/hyperlink" Target="https://gam.prontonlp.com/#/ref/$SENTID_T000003676656-424" TargetMode="External"/><Relationship Id="rIdje7vsndqcjtic3abyhql1" Type="http://schemas.openxmlformats.org/officeDocument/2006/relationships/hyperlink" Target="https://gam.prontonlp.com/#/ref/$SENTID_T000003676656-453" TargetMode="External"/><Relationship Id="rIdk79yjkw5-mibvbg6_w5ho" Type="http://schemas.openxmlformats.org/officeDocument/2006/relationships/hyperlink" Target="https://gam.prontonlp.com/#/ref/$SENTID_T000003774119-330" TargetMode="External"/><Relationship Id="rIdt_bbkhrrrtjiw4ciysjub" Type="http://schemas.openxmlformats.org/officeDocument/2006/relationships/hyperlink" Target="https://gam.prontonlp.com/#/ref/$SENTID_T000003774119-342" TargetMode="External"/><Relationship Id="rIdfxipp2zrzcpj0gdqlpwec" Type="http://schemas.openxmlformats.org/officeDocument/2006/relationships/hyperlink" Target="https://gam.prontonlp.com/#/ref/$SENTID_T000002606072-29" TargetMode="External"/><Relationship Id="rIdxbhnvtkejfgnxfkr2vxgy" Type="http://schemas.openxmlformats.org/officeDocument/2006/relationships/hyperlink" Target="https://gam.prontonlp.com/#/ref/$SENTID_NONSEC000180181407-3392" TargetMode="External"/><Relationship Id="rIddf5fjwkj-q16ozvcvw7io" Type="http://schemas.openxmlformats.org/officeDocument/2006/relationships/hyperlink" Target="https://gam.prontonlp.com/#/ref/$SENTID_NONSEC000180181407-2927" TargetMode="External"/><Relationship Id="rIds0qfhtg_9dk_jun3zjqwy" Type="http://schemas.openxmlformats.org/officeDocument/2006/relationships/hyperlink" Target="https://gam.prontonlp.com/#/ref/$SENTID_NONSEC000180181407-3392" TargetMode="External"/><Relationship Id="rIdj7drsb2wjz3_874qu0dek" Type="http://schemas.openxmlformats.org/officeDocument/2006/relationships/hyperlink" Target="https://gam.prontonlp.com/#/ref/$SENTID_NONSEC000180181407-2927" TargetMode="External"/><Relationship Id="rId-a83uszomhb3bb1cnfhak" Type="http://schemas.openxmlformats.org/officeDocument/2006/relationships/hyperlink" Target="https://gam.prontonlp.com/#/ref/$SENTID_NONSEC000180181407-3392" TargetMode="External"/><Relationship Id="rIdwqytchhwbxgbaea__w0gm" Type="http://schemas.openxmlformats.org/officeDocument/2006/relationships/hyperlink" Target="https://gam.prontonlp.com/#/ref/$SENTID_NONSEC000180181407-2927" TargetMode="External"/><Relationship Id="rIdby9368bgzz509zgho9amv" Type="http://schemas.openxmlformats.org/officeDocument/2006/relationships/hyperlink" Target="https://gam.prontonlp.com/#/ref/$SENTID_T000002606072-455" TargetMode="External"/><Relationship Id="rIdfj6v6ujabodigw58kd0f9" Type="http://schemas.openxmlformats.org/officeDocument/2006/relationships/hyperlink" Target="https://gam.prontonlp.com/#/ref/$SENTID_T000002666115-19" TargetMode="External"/><Relationship Id="rIdxbteqtbav-igkvho0l3hd" Type="http://schemas.openxmlformats.org/officeDocument/2006/relationships/hyperlink" Target="https://gam.prontonlp.com/#/ref/$SENTID_T000003194583-81" TargetMode="External"/><Relationship Id="rIdprozzykzuqundkgqfwa1b" Type="http://schemas.openxmlformats.org/officeDocument/2006/relationships/hyperlink" Target="https://gam.prontonlp.com/#/ref/$SENTID_NONSEC000227525215-155" TargetMode="External"/><Relationship Id="rIdw43dlrj_ytmildc7hfkkd" Type="http://schemas.openxmlformats.org/officeDocument/2006/relationships/hyperlink" Target="https://gam.prontonlp.com/#/ref/$SENTID_NONSEC000232051849-1" TargetMode="External"/><Relationship Id="rIdmbc4dhmjnulxzv5e3dajf" Type="http://schemas.openxmlformats.org/officeDocument/2006/relationships/hyperlink" Target="https://gam.prontonlp.com/#/ref/$SENTID_T000003468571-3277" TargetMode="External"/><Relationship Id="rIdur0ky5ttzv0rflbnkqy7k" Type="http://schemas.openxmlformats.org/officeDocument/2006/relationships/hyperlink" Target="https://gam.prontonlp.com/#/ref/$SENTID_NONSEC000232051849-1" TargetMode="External"/><Relationship Id="rIdjoatazlr30tsifvzv9t1i" Type="http://schemas.openxmlformats.org/officeDocument/2006/relationships/hyperlink" Target="https://gam.prontonlp.com/#/ref/$SENTID_NONSEC000257201966-4" TargetMode="External"/><Relationship Id="rIdb1b9fwtdfkxyzlhwfr1yo" Type="http://schemas.openxmlformats.org/officeDocument/2006/relationships/hyperlink" Target="https://gam.prontonlp.com/#/ref/$SENTID_T000003394029-377" TargetMode="External"/><Relationship Id="rIdooq3pba12wx6fzfids5f2" Type="http://schemas.openxmlformats.org/officeDocument/2006/relationships/hyperlink" Target="https://gam.prontonlp.com/#/ref/$SENTID_NONSEC000247046060-6" TargetMode="External"/><Relationship Id="rId7z_8oxj9m8r09uiv2p75o" Type="http://schemas.openxmlformats.org/officeDocument/2006/relationships/hyperlink" Target="https://gam.prontonlp.com/#/ref/$SENTID_T000003468571-2993" TargetMode="External"/><Relationship Id="rIdg-a-rv8vp2uibedvc7rbe" Type="http://schemas.openxmlformats.org/officeDocument/2006/relationships/hyperlink" Target="https://gam.prontonlp.com/#/ref/$SENTID_T000003676656-424" TargetMode="External"/><Relationship Id="rIdbdjmqp-ldcutj6no8zhv3" Type="http://schemas.openxmlformats.org/officeDocument/2006/relationships/hyperlink" Target="https://gam.prontonlp.com/#/ref/$SENTID_T000003676656-453" TargetMode="External"/><Relationship Id="rId4az1ycjfdknpjcr4-k2ww" Type="http://schemas.openxmlformats.org/officeDocument/2006/relationships/hyperlink" Target="https://gam.prontonlp.com/#/ref/$SENTID_T000003774119-330" TargetMode="External"/><Relationship Id="rIdzaodwbfqu7ob941c3ejtk" Type="http://schemas.openxmlformats.org/officeDocument/2006/relationships/hyperlink" Target="https://gam.prontonlp.com/#/ref/$SENTID_T000003774119-342" TargetMode="External"/><Relationship Id="rIdtbybqg_vkangtecrzvzdg" Type="http://schemas.openxmlformats.org/officeDocument/2006/relationships/hyperlink" Target="https://gam.prontonlp.com/#/ref/$SENTID_NONSEC000259591248-2625" TargetMode="External"/><Relationship Id="rIdvfqfwjc31q0cxkmty_iom" Type="http://schemas.openxmlformats.org/officeDocument/2006/relationships/hyperlink" Target="https://gam.prontonlp.com/#/ref/$SENTID_NONSEC000259591248-2431" TargetMode="External"/><Relationship Id="rId3rmrpygvy6lsnwycq7ubg" Type="http://schemas.openxmlformats.org/officeDocument/2006/relationships/hyperlink" Target="https://gam.prontonlp.com/#/ref/$SENTID_NONSEC000259591248-5620" TargetMode="External"/><Relationship Id="rIdgzo8vycsdjutcvuimkdqz" Type="http://schemas.openxmlformats.org/officeDocument/2006/relationships/hyperlink" Target="https://gam.prontonlp.com/#/ref/$SENTID_NONSEC000259591248-5757" TargetMode="External"/><Relationship Id="rIdj3kcvcy2yu5k4k3mlntgz" Type="http://schemas.openxmlformats.org/officeDocument/2006/relationships/hyperlink" Target="https://gam.prontonlp.com/#/ref/$SENTID_NONSEC000259591248-2031" TargetMode="External"/><Relationship Id="rIdxd9wdb2_ih2aiphthnmb4" Type="http://schemas.openxmlformats.org/officeDocument/2006/relationships/hyperlink" Target="https://gam.prontonlp.com/#/ref/$SENTID_NONSEC000259591248-3179" TargetMode="External"/><Relationship Id="rIdtct4agxl-mpjiat1nmtzu" Type="http://schemas.openxmlformats.org/officeDocument/2006/relationships/hyperlink" Target="https://gam.prontonlp.com/#/ref/$SENTID_T000003468571-286" TargetMode="External"/><Relationship Id="rIdn2lxs1swa3ova84foegeb" Type="http://schemas.openxmlformats.org/officeDocument/2006/relationships/hyperlink" Target="https://gam.prontonlp.com/#/ref/$SENTID_NONSEC000259591248-3097" TargetMode="External"/><Relationship Id="rIdwcud2sowi_cyoncfxz9aa" Type="http://schemas.openxmlformats.org/officeDocument/2006/relationships/hyperlink" Target="https://gam.prontonlp.com/#/ref/$SENTID_NONSEC000259591248-3180" TargetMode="External"/><Relationship Id="rIdgpas6wny2alm8cci9kfqt" Type="http://schemas.openxmlformats.org/officeDocument/2006/relationships/hyperlink" Target="https://www.capitaliq.spglobal.com/apisv3/spg-webplatform-core/docviewer?mid=256665099&amp;uctSearch=-864.000000" TargetMode="External"/><Relationship Id="rId5a8d88e-t2q2hu-9fmlgm" Type="http://schemas.openxmlformats.org/officeDocument/2006/relationships/hyperlink" Target="https://gam.prontonlp.com/#/ref/$SENTID_NONSEC000259591248-1866" TargetMode="External"/><Relationship Id="rIdybh5ygvscz-fys_n5i8a2" Type="http://schemas.openxmlformats.org/officeDocument/2006/relationships/hyperlink" Target="https://gam.prontonlp.com/#/ref/$SENTID_T000003468571-829" TargetMode="External"/><Relationship Id="rId3dxhdyck7rzkdtfp7__80" Type="http://schemas.openxmlformats.org/officeDocument/2006/relationships/hyperlink" Target="https://gam.prontonlp.com/#/ref/$SENTID_T000003468571-2848" TargetMode="External"/><Relationship Id="rIdtus9jzegm4iid3pu3gex7" Type="http://schemas.openxmlformats.org/officeDocument/2006/relationships/hyperlink" Target="https://gam.prontonlp.com/#/ref/$SENTID_T000002520475-565" TargetMode="External"/><Relationship Id="rId6ywyylqa2aqmcwrlet_k0" Type="http://schemas.openxmlformats.org/officeDocument/2006/relationships/hyperlink" Target="https://gam.prontonlp.com/#/ref/$SENTID_T000002606072-379" TargetMode="External"/><Relationship Id="rIdgs49fqockgv-cyso23no2" Type="http://schemas.openxmlformats.org/officeDocument/2006/relationships/hyperlink" Target="https://gam.prontonlp.com/#/ref/$SENTID_T000002760050-178" TargetMode="External"/><Relationship Id="rIdw5dhymy9odrdf664szbdh" Type="http://schemas.openxmlformats.org/officeDocument/2006/relationships/hyperlink" Target="https://gam.prontonlp.com/#/ref/$SENTID_T000003468571-1539" TargetMode="External"/><Relationship Id="rId-xomxy8toj_purb5klala" Type="http://schemas.openxmlformats.org/officeDocument/2006/relationships/hyperlink" Target="https://gam.prontonlp.com/#/ref/$SENTID_T000003676656-128" TargetMode="External"/><Relationship Id="rIdthey1n2b_hc0lbcvs5vel" Type="http://schemas.openxmlformats.org/officeDocument/2006/relationships/hyperlink" Target="https://gam.prontonlp.com/#/ref/$SENTID_T000003468571-3309" TargetMode="External"/><Relationship Id="rId7k2v-o4qvk76tfzeyq0re" Type="http://schemas.openxmlformats.org/officeDocument/2006/relationships/hyperlink" Target="https://gam.prontonlp.com/#/ref/$SENTID_T000003676656-614" TargetMode="External"/><Relationship Id="rIdbfrwwxt91zyapw06wapfn" Type="http://schemas.openxmlformats.org/officeDocument/2006/relationships/hyperlink" Target="https://gam.prontonlp.com/#/ref/$SENTID_NONSEC000259591248-1975" TargetMode="External"/><Relationship Id="rIdveg60exdmjzk3xspkgnd5" Type="http://schemas.openxmlformats.org/officeDocument/2006/relationships/hyperlink" Target="https://gam.prontonlp.com/#/ref/$SENTID_T000003468571-353" TargetMode="External"/><Relationship Id="rIdauqkntz6qldktpp5t_lv_" Type="http://schemas.openxmlformats.org/officeDocument/2006/relationships/hyperlink" Target="https://gam.prontonlp.com/#/ref/$SENTID_T000003468571-363" TargetMode="External"/><Relationship Id="rIdhuziiru67mk5mwj6z3jvv" Type="http://schemas.openxmlformats.org/officeDocument/2006/relationships/hyperlink" Target="https://gam.prontonlp.com/#/ref/$SENTID_T000003468571-2163" TargetMode="External"/><Relationship Id="rIdzkwui0jz4uweogo3sugo8" Type="http://schemas.openxmlformats.org/officeDocument/2006/relationships/hyperlink" Target="https://gam.prontonlp.com/#/ref/$SENTID_T000003468571-3349" TargetMode="External"/><Relationship Id="rIdcmleopqkutft1urqz7ndp" Type="http://schemas.openxmlformats.org/officeDocument/2006/relationships/hyperlink" Target="https://gam.prontonlp.com/#/ref/$SENTID_T000003676656-56" TargetMode="External"/><Relationship Id="rIdv0r8w2fm0k6ot4-jsuykm" Type="http://schemas.openxmlformats.org/officeDocument/2006/relationships/hyperlink" Target="https://gam.prontonlp.com/#/ref/$SENTID_NONSEC000259591248-4792" TargetMode="External"/><Relationship Id="rIdm2hbqmxdmj3ui7nb_i3m6" Type="http://schemas.openxmlformats.org/officeDocument/2006/relationships/hyperlink" Target="https://gam.prontonlp.com/#/ref/$SENTID_T000003468571-847" TargetMode="External"/><Relationship Id="rIdp_mrhkoerfcn-em7ymuye" Type="http://schemas.openxmlformats.org/officeDocument/2006/relationships/hyperlink" Target="https://gam.prontonlp.com/#/ref/$SENTID_NONSEC000259591248-2090" TargetMode="External"/><Relationship Id="rIdph9wk-qognqw1xeghp7bf" Type="http://schemas.openxmlformats.org/officeDocument/2006/relationships/hyperlink" Target="https://gam.prontonlp.com/#/ref/$SENTID_NONSEC000259591248-555" TargetMode="External"/><Relationship Id="rIda1vdkge1cnhtqxhnvycf4" Type="http://schemas.openxmlformats.org/officeDocument/2006/relationships/hyperlink" Target="https://gam.prontonlp.com/#/ref/$SENTID_NONSEC000259591248-58" TargetMode="External"/><Relationship Id="rIdsvtqufk4vijjledw2id5g" Type="http://schemas.openxmlformats.org/officeDocument/2006/relationships/hyperlink" Target="https://gam.prontonlp.com/#/ref/$SENTID_NONSEC000259591248-557" TargetMode="External"/><Relationship Id="rIdhpgc7dxflzhneuaidamla" Type="http://schemas.openxmlformats.org/officeDocument/2006/relationships/hyperlink" Target="https://gam.prontonlp.com/#/ref/$SENTID_T000003676656-129" TargetMode="External"/><Relationship Id="rIdeajbhj0lnytvmim_whxmd" Type="http://schemas.openxmlformats.org/officeDocument/2006/relationships/hyperlink" Target="https://gam.prontonlp.com/#/ref/$SENTID_T000003774119-84" TargetMode="External"/><Relationship Id="rIdisynhfelu3pin52aysz1e" Type="http://schemas.openxmlformats.org/officeDocument/2006/relationships/hyperlink" Target="https://gam.prontonlp.com/#/ref/$SENTID_T000003676656-133" TargetMode="External"/><Relationship Id="rIdbcujhehnwza46rwyjjxnx" Type="http://schemas.openxmlformats.org/officeDocument/2006/relationships/hyperlink" Target="https://gam.prontonlp.com/#/ref/$SENTID_T000003774119-88" TargetMode="External"/><Relationship Id="rIda4pvpevdfamvbaib_8z2_" Type="http://schemas.openxmlformats.org/officeDocument/2006/relationships/hyperlink" Target="https://gam.prontonlp.com/#/ref/$SENTID_NONSEC000259591248-4887" TargetMode="External"/><Relationship Id="rId_615nepe1j-xsogyk6fnz" Type="http://schemas.openxmlformats.org/officeDocument/2006/relationships/hyperlink" Target="https://gam.prontonlp.com/#/ref/$SENTID_NONSEC000259591248-1863" TargetMode="External"/><Relationship Id="rId3djj6y7t1_gcaek94_tin" Type="http://schemas.openxmlformats.org/officeDocument/2006/relationships/hyperlink" Target="https://gam.prontonlp.com/#/ref/$SENTID_NONSEC000259591248-5547" TargetMode="External"/><Relationship Id="rIdoytyph0nhkhk2h0looemf" Type="http://schemas.openxmlformats.org/officeDocument/2006/relationships/hyperlink" Target="https://gam.prontonlp.com/#/ref/$SENTID_T000003468571-1074" TargetMode="External"/><Relationship Id="rIdim-azpwsuuizaofsq-yov" Type="http://schemas.openxmlformats.org/officeDocument/2006/relationships/hyperlink" Target="https://gam.prontonlp.com/#/ref/$SENTID_T000003468571-1084" TargetMode="External"/><Relationship Id="rIdqssx5xgj5ix1vkhpcnud4" Type="http://schemas.openxmlformats.org/officeDocument/2006/relationships/hyperlink" Target="https://gam.prontonlp.com/#/ref/$SENTID_T000003468571-2487" TargetMode="External"/><Relationship Id="rIddsn6lz6wksqhb4h_jjwmi" Type="http://schemas.openxmlformats.org/officeDocument/2006/relationships/hyperlink" Target="https://gam.prontonlp.com/#/ref/$SENTID_T000003468571-2824" TargetMode="External"/><Relationship Id="rId3ru2btgj-5zfjkoues39e" Type="http://schemas.openxmlformats.org/officeDocument/2006/relationships/hyperlink" Target="https://gam.prontonlp.com/#/ref/$SENTID_NONSEC000259591248-1954" TargetMode="External"/><Relationship Id="rIdmga1cavllqugmb_t4f2mw" Type="http://schemas.openxmlformats.org/officeDocument/2006/relationships/hyperlink" Target="https://gam.prontonlp.com/#/ref/$SENTID_NONSEC000259591248-1955" TargetMode="External"/><Relationship Id="rIdhsfp1zc8h4spuyfiayiyv" Type="http://schemas.openxmlformats.org/officeDocument/2006/relationships/hyperlink" Target="https://gam.prontonlp.com/#/ref/$SENTID_T000003468571-1342" TargetMode="External"/><Relationship Id="rId_aad65rpwpb_y6mwesvya" Type="http://schemas.openxmlformats.org/officeDocument/2006/relationships/hyperlink" Target="https://gam.prontonlp.com/#/ref/$SENTID_T000003774119-108" TargetMode="External"/><Relationship Id="rIdnu6jywdx8t-uzkzpqyvsq" Type="http://schemas.openxmlformats.org/officeDocument/2006/relationships/hyperlink" Target="https://gam.prontonlp.com/#/ref/$SENTID_T000003007279-160" TargetMode="External"/><Relationship Id="rId-hezosejtbi6nvj5s98lv" Type="http://schemas.openxmlformats.org/officeDocument/2006/relationships/hyperlink" Target="https://gam.prontonlp.com/#/ref/$SENTID_T000003774119-137" TargetMode="External"/><Relationship Id="rIdpliffu6nwie83zmpwq5mj" Type="http://schemas.openxmlformats.org/officeDocument/2006/relationships/hyperlink" Target="https://gam.prontonlp.com/#/ref/$SENTID_T000003468571-2952" TargetMode="External"/><Relationship Id="rIdgedt1yyluiztk2dzecjwu" Type="http://schemas.openxmlformats.org/officeDocument/2006/relationships/hyperlink" Target="https://gam.prontonlp.com/#/ref/$SENTID_NONSEC000259591248-1995" TargetMode="External"/><Relationship Id="rIdfwtklo6qpkqo9nmvrcmao" Type="http://schemas.openxmlformats.org/officeDocument/2006/relationships/hyperlink" Target="https://gam.prontonlp.com/#/ref/$SENTID_NONSEC000259591248-4022" TargetMode="External"/><Relationship Id="rIdgyjnljxiyk6k4xtzqw3lh" Type="http://schemas.openxmlformats.org/officeDocument/2006/relationships/hyperlink" Target="https://gam.prontonlp.com/#/ref/$SENTID_NONSEC000259591248-4080" TargetMode="External"/><Relationship Id="rIdmlacbli30jvpgaqdf32uw" Type="http://schemas.openxmlformats.org/officeDocument/2006/relationships/hyperlink" Target="https://gam.prontonlp.com/#/ref/$SENTID_NONSEC000259591248-2946" TargetMode="External"/><Relationship Id="rIddcymfgh7sio-takqdgg6r" Type="http://schemas.openxmlformats.org/officeDocument/2006/relationships/hyperlink" Target="https://gam.prontonlp.com/#/ref/$SENTID_NONSEC000259591248-4026" TargetMode="External"/><Relationship Id="rIdfz_ruyswzomjyxlyuycuq" Type="http://schemas.openxmlformats.org/officeDocument/2006/relationships/hyperlink" Target="https://gam.prontonlp.com/#/ref/$SENTID_NONSEC000259591248-1975" TargetMode="External"/><Relationship Id="rIdxmhbdo0qyvpguxpoftjjz" Type="http://schemas.openxmlformats.org/officeDocument/2006/relationships/hyperlink" Target="https://gam.prontonlp.com/#/ref/$SENTID_NONSEC000259591248-1976" TargetMode="External"/><Relationship Id="rIdtkzcnljue18xmgg_cdxdv" Type="http://schemas.openxmlformats.org/officeDocument/2006/relationships/hyperlink" Target="https://gam.prontonlp.com/#/ref/$SENTID_NONSEC000259591248-4027" TargetMode="External"/><Relationship Id="rIdna8svmuiwo6vhowhdjn8h" Type="http://schemas.openxmlformats.org/officeDocument/2006/relationships/hyperlink" Target="https://gam.prontonlp.com/#/ref/$SENTID_NONSEC000259591248-5348" TargetMode="External"/><Relationship Id="rId4ljp7l-fctq_atvljrvqy" Type="http://schemas.openxmlformats.org/officeDocument/2006/relationships/hyperlink" Target="https://gam.prontonlp.com/#/ref/$SENTID_NONSEC000259591248-1902" TargetMode="External"/><Relationship Id="rIdaqpxt-xrewaeiwnwqhuwi" Type="http://schemas.openxmlformats.org/officeDocument/2006/relationships/hyperlink" Target="https://gam.prontonlp.com/#/ref/$SENTID_T000003676656-749" TargetMode="External"/><Relationship Id="rIdh4c1dhhyof0j6gxfgjupf" Type="http://schemas.openxmlformats.org/officeDocument/2006/relationships/hyperlink" Target="https://gam.prontonlp.com/#/ref/$SENTID_T000003468571-2488" TargetMode="External"/><Relationship Id="rIdgxpest0oywz-vis73a-jo" Type="http://schemas.openxmlformats.org/officeDocument/2006/relationships/hyperlink" Target="https://gam.prontonlp.com/#/ref/$SENTID_T000003468571-3092" TargetMode="External"/><Relationship Id="rIdfk8waloipklyb-zwlry6e" Type="http://schemas.openxmlformats.org/officeDocument/2006/relationships/hyperlink" Target="https://gam.prontonlp.com/#/ref/$SENTID_T000003468571-3103" TargetMode="External"/><Relationship Id="rIdkzuliegp3v7ehxr-bmjii" Type="http://schemas.openxmlformats.org/officeDocument/2006/relationships/hyperlink" Target="https://gam.prontonlp.com/#/ref/$COMPANY_411004" TargetMode="External"/><Relationship Id="rIdwe8jqxmppkqi4tejcxa3z" Type="http://schemas.openxmlformats.org/officeDocument/2006/relationships/hyperlink" Target="https://gam.prontonlp.com/#/ref/$COMPANY_260725" TargetMode="External"/><Relationship Id="rIdgkbifknhybm8nnocl508m" Type="http://schemas.openxmlformats.org/officeDocument/2006/relationships/hyperlink" Target="https://gam.prontonlp.com/#/ref/$COMPANY_309966" TargetMode="External"/><Relationship Id="rIddomr9fhuiceue6srktv9f" Type="http://schemas.openxmlformats.org/officeDocument/2006/relationships/hyperlink" Target="https://gam.prontonlp.com/#/ref/$COMPANY_876284" TargetMode="External"/><Relationship Id="rIdcy3nr1ehcxnuxbtfrixxp" Type="http://schemas.openxmlformats.org/officeDocument/2006/relationships/hyperlink" Target="https://gam.prontonlp.com/#/ref/$SENTID_NONSEC000259591248-1946" TargetMode="External"/><Relationship Id="rIdwec4ch5glkqmzwb7hn9th" Type="http://schemas.openxmlformats.org/officeDocument/2006/relationships/hyperlink" Target="https://gam.prontonlp.com/#/ref/$SENTID_NONSEC000259591248-1946" TargetMode="External"/><Relationship Id="rId3gzygjwvi-egdalnu_0_a" Type="http://schemas.openxmlformats.org/officeDocument/2006/relationships/hyperlink" Target="https://gam.prontonlp.com/#/ref/$SENTID_T000003468571-829" TargetMode="External"/><Relationship Id="rId10ncnfndd0qaw_f--ycc4" Type="http://schemas.openxmlformats.org/officeDocument/2006/relationships/hyperlink" Target="https://gam.prontonlp.com/#/ref/$SENTID_T000002859132-401" TargetMode="External"/><Relationship Id="rIdxht0yuenxatxsc3f9pwee" Type="http://schemas.openxmlformats.org/officeDocument/2006/relationships/hyperlink" Target="https://gam.prontonlp.com/#/ref/$SENTID_T000002520475-565" TargetMode="External"/><Relationship Id="rIdreeea_i7uwjjwh_0rw9lg" Type="http://schemas.openxmlformats.org/officeDocument/2006/relationships/hyperlink" Target="https://gam.prontonlp.com/#/ref/$SENTID_T000002760050-576" TargetMode="External"/><Relationship Id="rIdjf8ne2-smrj1luc86watn" Type="http://schemas.openxmlformats.org/officeDocument/2006/relationships/hyperlink" Target="https://gam.prontonlp.com/#/ref/$SENTID_T000003468571-847" TargetMode="External"/><Relationship Id="rIdmqoys9lh9wxmjfybp15nb" Type="http://schemas.openxmlformats.org/officeDocument/2006/relationships/hyperlink" Target="https://gam.prontonlp.com/#/ref/$SENTID_T000003774119-137" TargetMode="External"/><Relationship Id="rIdomltfi2ojpmxpr46d51d5" Type="http://schemas.openxmlformats.org/officeDocument/2006/relationships/hyperlink" Target="https://gam.prontonlp.com/#/ref/$SENTID_NONSEC000259591248-5757" TargetMode="External"/><Relationship Id="rId5ee6djf1qejkpaxs5cczu" Type="http://schemas.openxmlformats.org/officeDocument/2006/relationships/hyperlink" Target="https://gam.prontonlp.com/#/ref/$SENTID_NONSEC000259591248-5490" TargetMode="External"/><Relationship Id="rIdeokhctgwnpn76jpp09mpy" Type="http://schemas.openxmlformats.org/officeDocument/2006/relationships/hyperlink" Target="https://gam.prontonlp.com/#/ref/$SENTID_NONSEC000264324010-93" TargetMode="External"/><Relationship Id="rIdxklt16wsxbeqmsfmblrqi" Type="http://schemas.openxmlformats.org/officeDocument/2006/relationships/hyperlink" Target="https://gam.prontonlp.com/#/ref/$SENTID_NONSEC000259591248-5784" TargetMode="External"/><Relationship Id="rIdwzfyv9j_o9twnz9tpqqg4" Type="http://schemas.openxmlformats.org/officeDocument/2006/relationships/hyperlink" Target="https://gam.prontonlp.com/#/ref/$SENTID_NONSEC000259591248-6113" TargetMode="External"/><Relationship Id="rIdndrfiwyxy_3k-irlix5wo" Type="http://schemas.openxmlformats.org/officeDocument/2006/relationships/hyperlink" Target="https://gam.prontonlp.com/#/ref/$SENTID_NONSEC000259591248-6108" TargetMode="External"/><Relationship Id="rIdxgvtcxucna7armqdb_4lc" Type="http://schemas.openxmlformats.org/officeDocument/2006/relationships/hyperlink" Target="https://gam.prontonlp.com/#/ref/$SENTID_NONSEC000259591248-1866" TargetMode="External"/><Relationship Id="rIdqemp6mwgbld7ve8d-ogh5" Type="http://schemas.openxmlformats.org/officeDocument/2006/relationships/hyperlink" Target="https://gam.prontonlp.com/#/ref/$SENTID_T000003468571-3309" TargetMode="External"/><Relationship Id="rId2ygsb60ymlpjpancdv0km" Type="http://schemas.openxmlformats.org/officeDocument/2006/relationships/hyperlink" Target="https://gam.prontonlp.com/#/ref/$SENTID_T000003676656-703" TargetMode="External"/><Relationship Id="rIdxce6japsodqz_yzyyoorx" Type="http://schemas.openxmlformats.org/officeDocument/2006/relationships/hyperlink" Target="https://gam.prontonlp.com/#/ref/$SENTID_T000003774119-147" TargetMode="External"/><Relationship Id="rIdhiqw7hkvwa5fdht5ksdpz" Type="http://schemas.openxmlformats.org/officeDocument/2006/relationships/hyperlink" Target="https://gam.prontonlp.com/#/ref/$SENTID_T000003676656-614" TargetMode="External"/><Relationship Id="rIdsgclxvlvsfj4cppe_9z6t" Type="http://schemas.openxmlformats.org/officeDocument/2006/relationships/hyperlink" Target="https://gam.prontonlp.com/#/ref/$SENTID_T000003676656-446" TargetMode="External"/><Relationship Id="rIdsisqfhlzbt8_n5jtfdti1" Type="http://schemas.openxmlformats.org/officeDocument/2006/relationships/hyperlink" Target="https://gam.prontonlp.com/#/ref/$SENTID_T000003774119-76" TargetMode="External"/><Relationship Id="rIdnnxn3azq_lkawhgw9mb5n" Type="http://schemas.openxmlformats.org/officeDocument/2006/relationships/hyperlink" Target="https://gam.prontonlp.com/#/ref/$SENTID_T000003774119-466" TargetMode="External"/><Relationship Id="rIdymq0qfvljuaegh9xj9ezb" Type="http://schemas.openxmlformats.org/officeDocument/2006/relationships/hyperlink" Target="https://gam.prontonlp.com/#/ref/$SENTID_T000002606072-379" TargetMode="External"/><Relationship Id="rIdmmqodifbtgkgjmxlycn2l" Type="http://schemas.openxmlformats.org/officeDocument/2006/relationships/hyperlink" Target="https://gam.prontonlp.com/#/ref/$SENTID_T000003774119-472" TargetMode="External"/><Relationship Id="rId0ghtsco8axbviyhrmtcg_" Type="http://schemas.openxmlformats.org/officeDocument/2006/relationships/hyperlink" Target="https://gam.prontonlp.com/#/ref/$SENTID_NONSEC000259591248-5373" TargetMode="External"/><Relationship Id="rIdmnk6abtudzhcfqw1ru_hh" Type="http://schemas.openxmlformats.org/officeDocument/2006/relationships/hyperlink" Target="https://gam.prontonlp.com/#/ref/$SENTID_NONSEC000264346860-267" TargetMode="External"/><Relationship Id="rIdgq0d8sdk_y87xdkalmg79" Type="http://schemas.openxmlformats.org/officeDocument/2006/relationships/hyperlink" Target="https://gam.prontonlp.com/#/ref/$SENTID_NONSEC000259591248-2090" TargetMode="External"/><Relationship Id="rIdhrdv7dcqkx6jbilniidk3" Type="http://schemas.openxmlformats.org/officeDocument/2006/relationships/hyperlink" Target="https://gam.prontonlp.com/#/ref/$SENTID_NONSEC000259591248-5344" TargetMode="External"/><Relationship Id="rIdqmid7gwnfpijdyrxcbb6l" Type="http://schemas.openxmlformats.org/officeDocument/2006/relationships/hyperlink" Target="https://gam.prontonlp.com/#/ref/$SENTID_T000003676656-164" TargetMode="External"/><Relationship Id="rIdieq4kd54qhejkyrap7qeb" Type="http://schemas.openxmlformats.org/officeDocument/2006/relationships/hyperlink" Target="https://gam.prontonlp.com/#/ref/$SENTID_T000003774119-94" TargetMode="External"/><Relationship Id="rId2kywzwln5xx0mmdpisum_" Type="http://schemas.openxmlformats.org/officeDocument/2006/relationships/hyperlink" Target="https://gam.prontonlp.com/#/ref/$SENTID_NONSEC000259591248-5331" TargetMode="External"/><Relationship Id="rIdydyjwwby-hh6wj1tzuvku" Type="http://schemas.openxmlformats.org/officeDocument/2006/relationships/hyperlink" Target="https://gam.prontonlp.com/#/ref/$SENTID_T000003774119-136" TargetMode="External"/><Relationship Id="rId_njeyeh4swie8gtdhfbfu" Type="http://schemas.openxmlformats.org/officeDocument/2006/relationships/hyperlink" Target="https://gam.prontonlp.com/#/ref/$SENTID_T000003774119-105" TargetMode="External"/><Relationship Id="rId0-1gv2-9u4g7tjjmn4nui" Type="http://schemas.openxmlformats.org/officeDocument/2006/relationships/hyperlink" Target="https://gam.prontonlp.com/#/ref/$SENTID_T000003774119-367" TargetMode="External"/><Relationship Id="rIdgvc1d_tbdt6rqxpb5bq8m" Type="http://schemas.openxmlformats.org/officeDocument/2006/relationships/hyperlink" Target="https://gam.prontonlp.com/#/ref/$SENTID_T000003512646-69" TargetMode="External"/><Relationship Id="rId9mi2ht4tfdexjxdxscrl3" Type="http://schemas.openxmlformats.org/officeDocument/2006/relationships/hyperlink" Target="https://gam.prontonlp.com/#/ref/$SENTID_T000003774119-59" TargetMode="External"/><Relationship Id="rIdpgnqzec3iiacmifutsuke" Type="http://schemas.openxmlformats.org/officeDocument/2006/relationships/hyperlink" Target="https://gam.prontonlp.com/#/ref/$SENTID_T000003468571-649" TargetMode="External"/><Relationship Id="rIdl9eczb6cfm3kmeinkng9i" Type="http://schemas.openxmlformats.org/officeDocument/2006/relationships/hyperlink" Target="https://gam.prontonlp.com/#/ref/$SENTID_T000003774119-50" TargetMode="External"/><Relationship Id="rId763hasy7_s_2eknc4omky" Type="http://schemas.openxmlformats.org/officeDocument/2006/relationships/hyperlink" Target="https://gam.prontonlp.com/#/ref/$SENTID_T000003468571-2848" TargetMode="External"/><Relationship Id="rIdl0zzyoyvsa2zz9egzmjxa" Type="http://schemas.openxmlformats.org/officeDocument/2006/relationships/hyperlink" Target="https://gam.prontonlp.com/#/ref/$SENTID_NONSEC000259591248-4792" TargetMode="External"/><Relationship Id="rIdy8gsl9eraw6a_fjuoo0ot" Type="http://schemas.openxmlformats.org/officeDocument/2006/relationships/hyperlink" Target="https://gam.prontonlp.com/#/ref/$SENTID_NONSEC000259591248-1866" TargetMode="External"/><Relationship Id="rIdcr7yvmn_-j73nz-l3bdf6" Type="http://schemas.openxmlformats.org/officeDocument/2006/relationships/hyperlink" Target="https://gam.prontonlp.com/#/ref/$SENTID_T000003194583-81" TargetMode="External"/><Relationship Id="rId-zfnxfnf9qek886h4etkg" Type="http://schemas.openxmlformats.org/officeDocument/2006/relationships/hyperlink" Target="https://gam.prontonlp.com/#/ref/$SENTID_T000003774119-457" TargetMode="External"/><Relationship Id="rIdnvosbtilgso0sf9fitzus" Type="http://schemas.openxmlformats.org/officeDocument/2006/relationships/hyperlink" Target="https://gam.prontonlp.com/#/ref/$SENTID_NONSEC000245135173-310" TargetMode="External"/><Relationship Id="rIdf6dopslzprocemjxox7yp" Type="http://schemas.openxmlformats.org/officeDocument/2006/relationships/hyperlink" Target="https://gam.prontonlp.com/#/ref/$SENTID_T000003676656-139" TargetMode="External"/><Relationship Id="rIddahrtmmnoyzqd-amgonvj" Type="http://schemas.openxmlformats.org/officeDocument/2006/relationships/hyperlink" Target="https://gam.prontonlp.com/#/ref/$SENTID_T000002760050-58" TargetMode="External"/><Relationship Id="rIdlwngfmynyybuaqegu7w60" Type="http://schemas.openxmlformats.org/officeDocument/2006/relationships/hyperlink" Target="https://gam.prontonlp.com/#/ref/$SENTID_T000003676656-612" TargetMode="External"/><Relationship Id="rIdalg1jk4fn-cmpq_hqpvrm" Type="http://schemas.openxmlformats.org/officeDocument/2006/relationships/hyperlink" Target="https://www.capitaliq.spglobal.com/apisv3/spg-webplatform-core/docviewer?mid=264324010" TargetMode="External"/><Relationship Id="rIdfasorv8oooltir0pimkno" Type="http://schemas.openxmlformats.org/officeDocument/2006/relationships/hyperlink" Target="https://www.capitaliq.spglobal.com/apisv3/spg-webplatform-core/docviewer?mid=267162990" TargetMode="External"/><Relationship Id="rId-slf25dkx3al6qmrrigj7" Type="http://schemas.openxmlformats.org/officeDocument/2006/relationships/hyperlink" Target="https://www.capitaliq.spglobal.com/apisv3/spg-webplatform-core/docviewer?mid=263225871" TargetMode="External"/><Relationship Id="rId5ky0nheaaealp3xz0flz6" Type="http://schemas.openxmlformats.org/officeDocument/2006/relationships/hyperlink" Target="https://www.capitaliq.spglobal.com/apisv3/spg-webplatform-core/docviewer?mid=264810733" TargetMode="External"/><Relationship Id="rIdt5e-qzvd93r_deneetj-w" Type="http://schemas.openxmlformats.org/officeDocument/2006/relationships/hyperlink" Target="https://gam.prontonlp.com/#/ref/$SENTID_T000003468571-1032" TargetMode="External"/><Relationship Id="rId2tihekldzzp78uhksletl" Type="http://schemas.openxmlformats.org/officeDocument/2006/relationships/hyperlink" Target="https://gam.prontonlp.com/#/ref/$SENTID_T000003676656-612" TargetMode="External"/><Relationship Id="rIdxtf3sywqhoepe_zwulrvl" Type="http://schemas.openxmlformats.org/officeDocument/2006/relationships/hyperlink" Target="https://gam.prontonlp.com/#/ref/$SENTID_T000003468571-381" TargetMode="External"/><Relationship Id="rId3cw3pjxdwuxkn2gkcthhk" Type="http://schemas.openxmlformats.org/officeDocument/2006/relationships/hyperlink" Target="https://gam.prontonlp.com/#/ref/$SENTID_T000003468571-484" TargetMode="External"/><Relationship Id="rIdhtp19ps0q9m40emsgac9b" Type="http://schemas.openxmlformats.org/officeDocument/2006/relationships/hyperlink" Target="https://gam.prontonlp.com/#/ref/$SENTID_NONSEC000259591248-1946" TargetMode="External"/><Relationship Id="rIdjf1sghfntqisydmb_2jc4" Type="http://schemas.openxmlformats.org/officeDocument/2006/relationships/hyperlink" Target="https://gam.prontonlp.com/#/ref/$SENTID_T000003468571-829" TargetMode="External"/><Relationship Id="rId9-koggkiyupmpggows0-x" Type="http://schemas.openxmlformats.org/officeDocument/2006/relationships/hyperlink" Target="https://gam.prontonlp.com/#/ref/$SENTID_T000003468571-484" TargetMode="External"/><Relationship Id="rIdempmn6z5rccr4v_nre92o" Type="http://schemas.openxmlformats.org/officeDocument/2006/relationships/hyperlink" Target="https://gam.prontonlp.com/#/ref/$SENTID_T000003468571-1084" TargetMode="External"/><Relationship Id="rIdsalqsmmr1pyb8y_e36bl5" Type="http://schemas.openxmlformats.org/officeDocument/2006/relationships/hyperlink" Target="https://gam.prontonlp.com/#/ref/$SENTID_T000002859132-401" TargetMode="External"/><Relationship Id="rIdqdv3x_etywrboj1rnwksp" Type="http://schemas.openxmlformats.org/officeDocument/2006/relationships/hyperlink" Target="https://gam.prontonlp.com/#/ref/$SENTID_T000003468571-1084" TargetMode="External"/><Relationship Id="rIdintkweddrmrrr5hgjyizh" Type="http://schemas.openxmlformats.org/officeDocument/2006/relationships/hyperlink" Target="https://gam.prontonlp.com/#/ref/$SENTID_T000003468571-2488" TargetMode="External"/><Relationship Id="rId0dusf8fezbruw3u0l736c" Type="http://schemas.openxmlformats.org/officeDocument/2006/relationships/hyperlink" Target="https://gam.prontonlp.com/#/ref/$SENTID_T000003676656-749" TargetMode="External"/><Relationship Id="rIdokhrmpdxuui696urnjvy-" Type="http://schemas.openxmlformats.org/officeDocument/2006/relationships/hyperlink" Target="https://gam.prontonlp.com/#/ref/$SENTID_NONSEC000259591248-2154" TargetMode="External"/><Relationship Id="rId2drkb_q_2kslacbj49sus" Type="http://schemas.openxmlformats.org/officeDocument/2006/relationships/hyperlink" Target="https://gam.prontonlp.com/#/ref/$SENTID_NONSEC000259591248-1866" TargetMode="External"/><Relationship Id="rIdmiau4tymq84a-pkh2kebe" Type="http://schemas.openxmlformats.org/officeDocument/2006/relationships/hyperlink" Target="https://gam.prontonlp.com/#/ref/$SENTID_NONSEC000264324010-16" TargetMode="External"/><Relationship Id="rIdijh0djcn0lxz5yrqfa6nv" Type="http://schemas.openxmlformats.org/officeDocument/2006/relationships/hyperlink" Target="https://gam.prontonlp.com/#/ref/$SENTID_T000003468571-2163" TargetMode="External"/><Relationship Id="rId8bx5c1igtiss5bp_oxwgv" Type="http://schemas.openxmlformats.org/officeDocument/2006/relationships/hyperlink" Target="https://gam.prontonlp.com/#/ref/$SENTID_T000003468571-3092" TargetMode="External"/><Relationship Id="rId5s-khsw1hx1h_u2javwaq" Type="http://schemas.openxmlformats.org/officeDocument/2006/relationships/hyperlink" Target="https://gam.prontonlp.com/#/ref/$SENTID_T000003468571-3072" TargetMode="External"/><Relationship Id="rIdto-tprsxjrefqktf4wigd" Type="http://schemas.openxmlformats.org/officeDocument/2006/relationships/hyperlink" Target="https://gam.prontonlp.com/#/ref/$SENTID_NONSEC000259591248-5931" TargetMode="External"/><Relationship Id="rIdamm9j6pyd_a36wmtw0pqg" Type="http://schemas.openxmlformats.org/officeDocument/2006/relationships/hyperlink" Target="https://gam.prontonlp.com/#/ref/$SENTID_NONSEC000259591248-5942" TargetMode="External"/><Relationship Id="rIda-hwoxnzplnmgpelycczh" Type="http://schemas.openxmlformats.org/officeDocument/2006/relationships/hyperlink" Target="https://gam.prontonlp.com/#/ref/$SENTID_NONSEC000259591248-2150" TargetMode="External"/><Relationship Id="rIdhkoixp_ztivhrmulbfmf_" Type="http://schemas.openxmlformats.org/officeDocument/2006/relationships/hyperlink" Target="https://gam.prontonlp.com/#/ref/$SENTID_NONSEC000259591248-1975" TargetMode="External"/><Relationship Id="rId0syngxztjaq--e3wpcwk7" Type="http://schemas.openxmlformats.org/officeDocument/2006/relationships/hyperlink" Target="https://gam.prontonlp.com/#/ref/$SENTID_NONSEC000259591248-1976" TargetMode="External"/><Relationship Id="rIdky1jtqaetisnrnbqwpdge" Type="http://schemas.openxmlformats.org/officeDocument/2006/relationships/hyperlink" Target="https://gam.prontonlp.com/#/ref/$SENTID_NONSEC000259591248-4617" TargetMode="External"/><Relationship Id="rIdyrwkaznmc8-qv0uusccya" Type="http://schemas.openxmlformats.org/officeDocument/2006/relationships/hyperlink" Target="https://gam.prontonlp.com/#/ref/$SENTID_NONSEC000259591248-4027" TargetMode="External"/><Relationship Id="rId-uvi1jxvmxdkif_qupi06" Type="http://schemas.openxmlformats.org/officeDocument/2006/relationships/hyperlink" Target="https://gam.prontonlp.com/#/ref/$SENTID_NONSEC000259591248-5348" TargetMode="External"/><Relationship Id="rIdcrmn9yjozv1madr1o35bj" Type="http://schemas.openxmlformats.org/officeDocument/2006/relationships/hyperlink" Target="https://gam.prontonlp.com/#/ref/$SENTID_NONSEC000259591248-1976" TargetMode="External"/><Relationship Id="rIdxu8tk9tbjofirtvm1tqlj" Type="http://schemas.openxmlformats.org/officeDocument/2006/relationships/hyperlink" Target="https://gam.prontonlp.com/#/ref/$SENTID_T000003468571-1342" TargetMode="External"/><Relationship Id="rIdggkqv2otpgcsh-hbnfpfd" Type="http://schemas.openxmlformats.org/officeDocument/2006/relationships/hyperlink" Target="https://gam.prontonlp.com/#/ref/$SENTID_T000003774119-108" TargetMode="External"/><Relationship Id="rIdveaqq_l9tyho2vj_z130n" Type="http://schemas.openxmlformats.org/officeDocument/2006/relationships/hyperlink" Target="https://gam.prontonlp.com/#/ref/$SENTID_T000003774119-137" TargetMode="External"/><Relationship Id="rIdabl9ns29bpr4lh2bsckt9" Type="http://schemas.openxmlformats.org/officeDocument/2006/relationships/hyperlink" Target="https://gam.prontonlp.com/#/ref/$SENTID_T000003007279-160" TargetMode="External"/><Relationship Id="rIdxdn6u9jjjct2t3bh44co5" Type="http://schemas.openxmlformats.org/officeDocument/2006/relationships/hyperlink" Target="https://gam.prontonlp.com/#/ref/$SENTID_T000003468571-3092" TargetMode="External"/><Relationship Id="rIdkkuscxdisoww8shhvzt-s" Type="http://schemas.openxmlformats.org/officeDocument/2006/relationships/hyperlink" Target="https://gam.prontonlp.com/#/ref/$SENTID_T000003676656-749" TargetMode="External"/><Relationship Id="rIdqcymn00a_iastzejs0ybp" Type="http://schemas.openxmlformats.org/officeDocument/2006/relationships/hyperlink" Target="https://gam.prontonlp.com/#/ref/$SENTID_NONSEC000259591248-1902" TargetMode="External"/><Relationship Id="rId0czscujjvvarcdex0idno" Type="http://schemas.openxmlformats.org/officeDocument/2006/relationships/hyperlink" Target="https://gam.prontonlp.com/#/ref/$SENTID_NONSEC000259591248-6728" TargetMode="External"/><Relationship Id="rId07uv1ggqmiazmckx5xfmo" Type="http://schemas.openxmlformats.org/officeDocument/2006/relationships/hyperlink" Target="https://gam.prontonlp.com/#/ref/$SENTID_NONSEC000259591248-6717" TargetMode="External"/><Relationship Id="rIdkp27bvsfai6tvh1ehrgb8" Type="http://schemas.openxmlformats.org/officeDocument/2006/relationships/hyperlink" Target="https://gam.prontonlp.com/#/ref/$SENTID_NONSEC000259591248-2090" TargetMode="External"/><Relationship Id="rIde6k6as2xi0utkb5x__xd-" Type="http://schemas.openxmlformats.org/officeDocument/2006/relationships/hyperlink" Target="https://gam.prontonlp.com/#/ref/$SENTID_NONSEC000259591248-3484" TargetMode="External"/><Relationship Id="rIduqbfxvravmbyo_lnof5k0" Type="http://schemas.openxmlformats.org/officeDocument/2006/relationships/hyperlink" Target="https://gam.prontonlp.com/#/ref/$SENTID_NONSEC000259591248-2788" TargetMode="External"/><Relationship Id="rIdwxicn-rkn0vhfrdxz69nr" Type="http://schemas.openxmlformats.org/officeDocument/2006/relationships/hyperlink" Target="https://gam.prontonlp.com/#/ref/$SENTID_NONSEC000259591248-2154" TargetMode="External"/><Relationship Id="rIdjoa4erp8xxtwunsjbrzf5" Type="http://schemas.openxmlformats.org/officeDocument/2006/relationships/hyperlink" Target="https://gam.prontonlp.com/#/ref/$SENTID_NONSEC000259591248-5931" TargetMode="External"/><Relationship Id="rId4osswfudvy2sdb8oxpqyi" Type="http://schemas.openxmlformats.org/officeDocument/2006/relationships/hyperlink" Target="https://www.capitaliq.spglobal.com/apisv3/spg-webplatform-core/docviewer?mid=200992035&amp;uctSearch=3048.300000" TargetMode="External"/><Relationship Id="rId8egsbxlhcz3g3_bquq-qb" Type="http://schemas.openxmlformats.org/officeDocument/2006/relationships/hyperlink" Target="https://www.capitaliq.spglobal.com/apisv3/spg-webplatform-core/docviewer?mid=219356666&amp;uctSearch=3820.900000" TargetMode="External"/><Relationship Id="rIdsh99qczzmtuwkjdmqpazn" Type="http://schemas.openxmlformats.org/officeDocument/2006/relationships/hyperlink" Target="https://www.capitaliq.spglobal.com/apisv3/spg-webplatform-core/docviewer?mid=237899676&amp;uctSearch=4309.400000" TargetMode="External"/><Relationship Id="rIdojoiquj0i5tyqtd8gywnb" Type="http://schemas.openxmlformats.org/officeDocument/2006/relationships/hyperlink" Target="https://www.capitaliq.spglobal.com/apisv3/spg-webplatform-core/docviewer?mid=256665099&amp;uctSearch=4573.700000" TargetMode="External"/><Relationship Id="rIdixfcvsz2o_2jwbp_hbuu3" Type="http://schemas.openxmlformats.org/officeDocument/2006/relationships/hyperlink" Target="https://www.capitaliq.spglobal.com/apisv3/spg-webplatform-core/docviewer?mid=256665099&amp;uctSearch=4796.800000" TargetMode="External"/><Relationship Id="rIdhuvowhkzptnt0av5jdol5" Type="http://schemas.openxmlformats.org/officeDocument/2006/relationships/hyperlink" Target="https://www.capitaliq.spglobal.com/apisv3/spg-webplatform-core/docviewer?mid=200992035&amp;uctSearch=932.100000" TargetMode="External"/><Relationship Id="rIddeazahobvlcfr8jdywka4" Type="http://schemas.openxmlformats.org/officeDocument/2006/relationships/hyperlink" Target="https://www.capitaliq.spglobal.com/apisv3/spg-webplatform-core/docviewer?mid=219356666&amp;uctSearch=1169.100000" TargetMode="External"/><Relationship Id="rIdnkusbycdvglepsfbotula" Type="http://schemas.openxmlformats.org/officeDocument/2006/relationships/hyperlink" Target="https://www.capitaliq.spglobal.com/apisv3/spg-webplatform-core/docviewer?mid=237899676&amp;uctSearch=1416.100000" TargetMode="External"/><Relationship Id="rId0xe5o8z8gobzsxuagjrge" Type="http://schemas.openxmlformats.org/officeDocument/2006/relationships/hyperlink" Target="https://www.capitaliq.spglobal.com/apisv3/spg-webplatform-core/docviewer?mid=256665099&amp;uctSearch=1504.200000" TargetMode="External"/><Relationship Id="rIdbkc1jnyzf23iw1xhalw1o" Type="http://schemas.openxmlformats.org/officeDocument/2006/relationships/hyperlink" Target="https://www.capitaliq.spglobal.com/apisv3/spg-webplatform-core/docviewer?mid=256665099&amp;uctSearch=1610.200000" TargetMode="External"/><Relationship Id="rId0i7f6bg6_-k5ujbqodz-f" Type="http://schemas.openxmlformats.org/officeDocument/2006/relationships/hyperlink" Target="https://www.capitaliq.spglobal.com/apisv3/spg-webplatform-core/docviewer?mid=200992035&amp;uctSearch=923.600000" TargetMode="External"/><Relationship Id="rIdlh2vcyeyjyjbkrigun_wi" Type="http://schemas.openxmlformats.org/officeDocument/2006/relationships/hyperlink" Target="https://www.capitaliq.spglobal.com/apisv3/spg-webplatform-core/docviewer?mid=219356666&amp;uctSearch=1135.000000" TargetMode="External"/><Relationship Id="rIdb1srq9aklobjfmrk855le" Type="http://schemas.openxmlformats.org/officeDocument/2006/relationships/hyperlink" Target="https://www.capitaliq.spglobal.com/apisv3/spg-webplatform-core/docviewer?mid=237899676&amp;uctSearch=1319.200000" TargetMode="External"/><Relationship Id="rIdmhi1xf7lmpzj-d5xvyaab" Type="http://schemas.openxmlformats.org/officeDocument/2006/relationships/hyperlink" Target="https://www.capitaliq.spglobal.com/apisv3/spg-webplatform-core/docviewer?mid=256665099&amp;uctSearch=1436.000000" TargetMode="External"/><Relationship Id="rIdau1p7nyue4aacoor7nj84" Type="http://schemas.openxmlformats.org/officeDocument/2006/relationships/hyperlink" Target="https://www.capitaliq.spglobal.com/apisv3/spg-webplatform-core/docviewer?mid=256665099&amp;uctSearch=1484.600000" TargetMode="External"/><Relationship Id="rIds_zuad1c9h9wvtzco2bzg" Type="http://schemas.openxmlformats.org/officeDocument/2006/relationships/hyperlink" Target="https://www.capitaliq.spglobal.com/apisv3/spg-webplatform-core/docviewer?mid=200992035&amp;uctSearch=369.400000" TargetMode="External"/><Relationship Id="rIduenegg67kd2dlb_y9pdq4" Type="http://schemas.openxmlformats.org/officeDocument/2006/relationships/hyperlink" Target="https://www.capitaliq.spglobal.com/apisv3/spg-webplatform-core/docviewer?mid=219356666&amp;uctSearch=541.000000" TargetMode="External"/><Relationship Id="rIdazhqd0moeq8jggudyldmd" Type="http://schemas.openxmlformats.org/officeDocument/2006/relationships/hyperlink" Target="https://www.capitaliq.spglobal.com/apisv3/spg-webplatform-core/docviewer?mid=237899676&amp;uctSearch=664.500000" TargetMode="External"/><Relationship Id="rIdhcq7v4ki0jyeg5_m9-x2p" Type="http://schemas.openxmlformats.org/officeDocument/2006/relationships/hyperlink" Target="https://www.capitaliq.spglobal.com/apisv3/spg-webplatform-core/docviewer?mid=256665099&amp;uctSearch=713.300000" TargetMode="External"/><Relationship Id="rIdpz5jap0wltb0dmwhb609_" Type="http://schemas.openxmlformats.org/officeDocument/2006/relationships/hyperlink" Target="https://www.capitaliq.spglobal.com/apisv3/spg-webplatform-core/docviewer?mid=256665099&amp;uctSearch=723.300000" TargetMode="External"/><Relationship Id="rIdevtivyllkjl8qlpchcf5p" Type="http://schemas.openxmlformats.org/officeDocument/2006/relationships/hyperlink" Target="https://www.capitaliq.spglobal.com/apisv3/spg-webplatform-core/docviewer?mid=200992035&amp;uctSearch=270.700000" TargetMode="External"/><Relationship Id="rId54quqb_jfupvb55zzwr4l" Type="http://schemas.openxmlformats.org/officeDocument/2006/relationships/hyperlink" Target="https://www.capitaliq.spglobal.com/apisv3/spg-webplatform-core/docviewer?mid=219356666&amp;uctSearch=439.100000" TargetMode="External"/><Relationship Id="rIdl1vtwoi97k9dvnzqkuov4" Type="http://schemas.openxmlformats.org/officeDocument/2006/relationships/hyperlink" Target="https://www.capitaliq.spglobal.com/apisv3/spg-webplatform-core/docviewer?mid=237899676&amp;uctSearch=557.100000" TargetMode="External"/><Relationship Id="rId7cvxgikfv_kp5sopnon8i" Type="http://schemas.openxmlformats.org/officeDocument/2006/relationships/hyperlink" Target="https://www.capitaliq.spglobal.com/apisv3/spg-webplatform-core/docviewer?mid=256665099&amp;uctSearch=605.600000" TargetMode="External"/><Relationship Id="rIdoy_lf_x8whcotjrvh9fhz" Type="http://schemas.openxmlformats.org/officeDocument/2006/relationships/hyperlink" Target="https://www.capitaliq.spglobal.com/apisv3/spg-webplatform-core/docviewer?mid=256665099&amp;uctSearch=613.900000" TargetMode="External"/><Relationship Id="rIdkheqzpvfw1x1unyd96ah2" Type="http://schemas.openxmlformats.org/officeDocument/2006/relationships/hyperlink" Target="https://www.capitaliq.spglobal.com/apisv3/spg-webplatform-core/docviewer?mid=200992035&amp;uctSearch=114.300000" TargetMode="External"/><Relationship Id="rIdmoqvlnqkplszggzfieftc" Type="http://schemas.openxmlformats.org/officeDocument/2006/relationships/hyperlink" Target="https://www.capitaliq.spglobal.com/apisv3/spg-webplatform-core/docviewer?mid=219356666&amp;uctSearch=202.600000" TargetMode="External"/><Relationship Id="rIdrwb0r0ya4m4jpdg0uvxzs" Type="http://schemas.openxmlformats.org/officeDocument/2006/relationships/hyperlink" Target="https://www.capitaliq.spglobal.com/apisv3/spg-webplatform-core/docviewer?mid=237899676&amp;uctSearch=262.000000" TargetMode="External"/><Relationship Id="rIdwyzgct7zn6ojsvsufhalb" Type="http://schemas.openxmlformats.org/officeDocument/2006/relationships/hyperlink" Target="https://www.capitaliq.spglobal.com/apisv3/spg-webplatform-core/docviewer?mid=256665099&amp;uctSearch=337.700000" TargetMode="External"/><Relationship Id="rIdzttkfpebffduqtcfeqnyy" Type="http://schemas.openxmlformats.org/officeDocument/2006/relationships/hyperlink" Target="https://www.capitaliq.spglobal.com/apisv3/spg-webplatform-core/docviewer?mid=256665099&amp;uctSearch=366.600000" TargetMode="External"/><Relationship Id="rIdt7ibjojj46u7g-cfujmf0" Type="http://schemas.openxmlformats.org/officeDocument/2006/relationships/hyperlink" Target="https://www.capitaliq.spglobal.com/apisv3/spg-webplatform-core/docviewer?mid=200992035&amp;uctSearch=961.600000" TargetMode="External"/><Relationship Id="rId4a7ymjmwbwxfnewhi4-vv" Type="http://schemas.openxmlformats.org/officeDocument/2006/relationships/hyperlink" Target="https://www.capitaliq.spglobal.com/apisv3/spg-webplatform-core/docviewer?mid=219356666&amp;uctSearch=1091.200000" TargetMode="External"/><Relationship Id="rIdhi6r58hss8l4bkhcrudgp" Type="http://schemas.openxmlformats.org/officeDocument/2006/relationships/hyperlink" Target="https://www.capitaliq.spglobal.com/apisv3/spg-webplatform-core/docviewer?mid=237899676&amp;uctSearch=1325.600000" TargetMode="External"/><Relationship Id="rId0tngztc9phkhuv2-2vrpg" Type="http://schemas.openxmlformats.org/officeDocument/2006/relationships/hyperlink" Target="https://www.capitaliq.spglobal.com/apisv3/spg-webplatform-core/docviewer?mid=256665099&amp;uctSearch=1452.100000" TargetMode="External"/><Relationship Id="rIdil5ii5qlseopcvsrmndd0" Type="http://schemas.openxmlformats.org/officeDocument/2006/relationships/hyperlink" Target="https://www.capitaliq.spglobal.com/apisv3/spg-webplatform-core/docviewer?mid=256665099&amp;uctSearch=1510.600000" TargetMode="External"/><Relationship Id="rIdkzrrguqmv7llvqkvs5d8m" Type="http://schemas.openxmlformats.org/officeDocument/2006/relationships/hyperlink" Target="https://www.capitaliq.spglobal.com/apisv3/spg-webplatform-core/docviewer?mid=200992035&amp;uctSearch=-552.800000" TargetMode="External"/><Relationship Id="rIdvpggtkfjmam3nduymkpch" Type="http://schemas.openxmlformats.org/officeDocument/2006/relationships/hyperlink" Target="https://www.capitaliq.spglobal.com/apisv3/spg-webplatform-core/docviewer?mid=219356666&amp;uctSearch=-673.300000" TargetMode="External"/><Relationship Id="rIdywv21ohuyzni25tnougsu" Type="http://schemas.openxmlformats.org/officeDocument/2006/relationships/hyperlink" Target="https://www.capitaliq.spglobal.com/apisv3/spg-webplatform-core/docviewer?mid=237899676&amp;uctSearch=-797.100000" TargetMode="External"/><Relationship Id="rIdgvxum_s0_9w3lqqmxtvgp" Type="http://schemas.openxmlformats.org/officeDocument/2006/relationships/hyperlink" Target="https://www.capitaliq.spglobal.com/apisv3/spg-webplatform-core/docviewer?mid=256665099&amp;uctSearch=-860.800000" TargetMode="External"/><Relationship Id="rIdq2z1-9iugg4zopkuzny3n" Type="http://schemas.openxmlformats.org/officeDocument/2006/relationships/hyperlink" Target="https://www.capitaliq.spglobal.com/apisv3/spg-webplatform-core/docviewer?mid=256665099&amp;uctSearch=-864.000000" TargetMode="External"/><Relationship Id="rIdplnrt2h0f0nola9odlqog" Type="http://schemas.openxmlformats.org/officeDocument/2006/relationships/hyperlink" Target="https://www.capitaliq.spglobal.com/apisv3/spg-webplatform-core/docviewer?mid=200992035" TargetMode="External"/><Relationship Id="rIdubtzn0orugba-mmm8trek" Type="http://schemas.openxmlformats.org/officeDocument/2006/relationships/hyperlink" Target="https://www.capitaliq.spglobal.com/apisv3/spg-webplatform-core/docviewer?mid=219356666" TargetMode="External"/><Relationship Id="rIdxfdwsi-w8bnuc-mogaeol" Type="http://schemas.openxmlformats.org/officeDocument/2006/relationships/hyperlink" Target="https://www.capitaliq.spglobal.com/apisv3/spg-webplatform-core/docviewer?mid=237899676" TargetMode="External"/><Relationship Id="rIddxyv4idj0f7ukbp-_gttz" Type="http://schemas.openxmlformats.org/officeDocument/2006/relationships/hyperlink" Target="https://www.capitaliq.spglobal.com/apisv3/spg-webplatform-core/docviewer?mid=256665099" TargetMode="External"/><Relationship Id="rIdkyn9-pzlhtysskifmke1-" Type="http://schemas.openxmlformats.org/officeDocument/2006/relationships/hyperlink" Target="https://www.capitaliq.spglobal.com/apisv3/spg-webplatform-core/docviewer?mid=256665099" TargetMode="External"/><Relationship Id="rIdu2_zubcxxjyrq81qialxn" Type="http://schemas.openxmlformats.org/officeDocument/2006/relationships/hyperlink" Target="https://www.capitaliq.spglobal.com/apisv3/spg-webplatform-core/docviewer?mid=264324010" TargetMode="External"/><Relationship Id="rIdsayyeefq9eawkdriqtrh9" Type="http://schemas.openxmlformats.org/officeDocument/2006/relationships/hyperlink" Target="https://www.capitaliq.spglobal.com/apisv3/spg-webplatform-core/docviewer?mid=200992035&amp;uctSearch=3818.300000" TargetMode="External"/><Relationship Id="rIdkgmwec6avu5-7gqwqrjwp" Type="http://schemas.openxmlformats.org/officeDocument/2006/relationships/hyperlink" Target="https://www.capitaliq.spglobal.com/apisv3/spg-webplatform-core/docviewer?mid=219356666&amp;uctSearch=3914.100000" TargetMode="External"/><Relationship Id="rIdsigstjvdi9unxecyabwb3" Type="http://schemas.openxmlformats.org/officeDocument/2006/relationships/hyperlink" Target="https://www.capitaliq.spglobal.com/apisv3/spg-webplatform-core/docviewer?mid=237899676&amp;uctSearch=3979.200000" TargetMode="External"/><Relationship Id="rIdlge5hskze0sdqxh0yboqt" Type="http://schemas.openxmlformats.org/officeDocument/2006/relationships/hyperlink" Target="https://www.capitaliq.spglobal.com/apisv3/spg-webplatform-core/docviewer?mid=256665099&amp;uctSearch=3932.000000" TargetMode="External"/><Relationship Id="rId6z1u94ubyb8b_26hxuxi3" Type="http://schemas.openxmlformats.org/officeDocument/2006/relationships/hyperlink" Target="https://www.capitaliq.spglobal.com/apisv3/spg-webplatform-core/docviewer?mid=256665099&amp;uctSearch=4039.600000" TargetMode="External"/><Relationship Id="rIdl6eojiszcvpvt584llnrx" Type="http://schemas.openxmlformats.org/officeDocument/2006/relationships/hyperlink" Target="https://gam.prontonlp.com/#/ref/$SENTID_T000002760050-178" TargetMode="External"/><Relationship Id="rIdpkf6sa38dnqxyuj-avfpk" Type="http://schemas.openxmlformats.org/officeDocument/2006/relationships/hyperlink" Target="https://gam.prontonlp.com/#/ref/$SENTID_T000003054377-156" TargetMode="External"/><Relationship Id="rIdf2rleb-30pm168kdrhyfn" Type="http://schemas.openxmlformats.org/officeDocument/2006/relationships/hyperlink" Target="https://gam.prontonlp.com/#/ref/$SENTID_T000003394029-419" TargetMode="External"/><Relationship Id="rIdhhjy9hkhntpvymbcozrbf" Type="http://schemas.openxmlformats.org/officeDocument/2006/relationships/hyperlink" Target="https://gam.prontonlp.com/#/ref/$SENTID_NONSEC000239166805-3400" TargetMode="External"/><Relationship Id="rId5nboxwjhdbzsuqxi1re_f" Type="http://schemas.openxmlformats.org/officeDocument/2006/relationships/hyperlink" Target="https://gam.prontonlp.com/#/ref/$SENTID_NONSEC000259591248-5324" TargetMode="External"/><Relationship Id="rIdu7uryu3gvbfqzal2rfqrn" Type="http://schemas.openxmlformats.org/officeDocument/2006/relationships/hyperlink" Target="https://gam.prontonlp.com/#/ref/$SENTID_T000003774119-93" TargetMode="External"/><Relationship Id="rIdnbbgwhtcsgqdfz1ptz2gq" Type="http://schemas.openxmlformats.org/officeDocument/2006/relationships/hyperlink" Target="https://gam.prontonlp.com/#/ref/$SENTID_NONSEC000239166805-3402" TargetMode="External"/><Relationship Id="rIdyrhrkxbubxtrscynf_-ld" Type="http://schemas.openxmlformats.org/officeDocument/2006/relationships/hyperlink" Target="https://gam.prontonlp.com/#/ref/$SENTID_NONSEC000259591248-5331" TargetMode="External"/><Relationship Id="rIdbzjcn_ulencoqgwjzmdcz" Type="http://schemas.openxmlformats.org/officeDocument/2006/relationships/hyperlink" Target="https://gam.prontonlp.com/#/ref/$SENTID_T000003774119-100" TargetMode="External"/><Relationship Id="rId-udmpnco3eqcksstq9i0j" Type="http://schemas.openxmlformats.org/officeDocument/2006/relationships/hyperlink" Target="https://gam.prontonlp.com/#/ref/$SENTID_NONSEC000239166805-3405" TargetMode="External"/><Relationship Id="rIdwiyauf-fzzgzhu8omcbnv" Type="http://schemas.openxmlformats.org/officeDocument/2006/relationships/hyperlink" Target="https://gam.prontonlp.com/#/ref/$SENTID_NONSEC000259591248-5331" TargetMode="External"/><Relationship Id="rIdklfn3xwjv2ygjc5xdq3lf" Type="http://schemas.openxmlformats.org/officeDocument/2006/relationships/hyperlink" Target="https://gam.prontonlp.com/#/ref/$SENTID_T000003774119-115" TargetMode="External"/><Relationship Id="rIdosm3qcd8c5ulu4vprwggd" Type="http://schemas.openxmlformats.org/officeDocument/2006/relationships/hyperlink" Target="https://gam.prontonlp.com/#/ref/$SENTID_NONSEC000239166805-3407" TargetMode="External"/><Relationship Id="rIdjkuhiqb8g9-lxjwbdika7" Type="http://schemas.openxmlformats.org/officeDocument/2006/relationships/hyperlink" Target="https://gam.prontonlp.com/#/ref/$SENTID_NONSEC000259591248-5331" TargetMode="External"/><Relationship Id="rId7wejv1rnqq93nmq8dnaxr" Type="http://schemas.openxmlformats.org/officeDocument/2006/relationships/hyperlink" Target="https://gam.prontonlp.com/#/ref/$SENTID_NONSEC000264346860-55" TargetMode="External"/><Relationship Id="rIdlchlm-vtn_gohghjiopae" Type="http://schemas.openxmlformats.org/officeDocument/2006/relationships/hyperlink" Target="https://gam.prontonlp.com/#/ref/$SENTID_NONSEC000239166805-3407" TargetMode="External"/><Relationship Id="rIdcreatrmqbzflraha6j29n" Type="http://schemas.openxmlformats.org/officeDocument/2006/relationships/hyperlink" Target="https://gam.prontonlp.com/#/ref/$SENTID_NONSEC000259591248-5331" TargetMode="External"/><Relationship Id="rIdihvkk4idq0f6isimhakda" Type="http://schemas.openxmlformats.org/officeDocument/2006/relationships/hyperlink" Target="https://gam.prontonlp.com/#/ref/$SENTID_NONSEC000264324010-67" TargetMode="External"/><Relationship Id="rIdcqrkkc9cnbbzb5zkmv9kf" Type="http://schemas.openxmlformats.org/officeDocument/2006/relationships/hyperlink" Target="https://gam.prontonlp.com/#/ref/$SENTID_NONSEC000239166805-3418" TargetMode="External"/><Relationship Id="rIdtyasfotmhbkxdepwxbwab" Type="http://schemas.openxmlformats.org/officeDocument/2006/relationships/hyperlink" Target="https://gam.prontonlp.com/#/ref/$SENTID_NONSEC000259591248-5352" TargetMode="External"/><Relationship Id="rIdip5jnncbl4j7eu_3um7ao" Type="http://schemas.openxmlformats.org/officeDocument/2006/relationships/hyperlink" Target="https://gam.prontonlp.com/#/ref/$SENTID_NONSEC000264346860-69" TargetMode="External"/><Relationship Id="rIdd_hs_vqaxdovdnjjc0uu0" Type="http://schemas.openxmlformats.org/officeDocument/2006/relationships/hyperlink" Target="https://gam.prontonlp.com/#/ref/$SENTID_T000003054377-452" TargetMode="External"/><Relationship Id="rIdbmvsfg4uinsbiioimg_j7" Type="http://schemas.openxmlformats.org/officeDocument/2006/relationships/hyperlink" Target="https://gam.prontonlp.com/#/ref/$SENTID_T000003774119-497" TargetMode="External"/><Relationship Id="rIdncxzfyxhqkqu0adjcyavz" Type="http://schemas.openxmlformats.org/officeDocument/2006/relationships/hyperlink" Target="https://gam.prontonlp.com/#/ref/$SENTID_T000003676656-270" TargetMode="External"/><Relationship Id="rIdy8kpwkvtwg2ubbc-6na3a" Type="http://schemas.openxmlformats.org/officeDocument/2006/relationships/hyperlink" Target="https://gam.prontonlp.com/#/ref/$DOCID_T000003774119" TargetMode="External"/><Relationship Id="rId32uoj2glgyq8vsiuffzik" Type="http://schemas.openxmlformats.org/officeDocument/2006/relationships/hyperlink" Target="https://gam.prontonlp.com/#/ref/$DOCID_T000003676656" TargetMode="External"/><Relationship Id="rIdinwiegz495xe-xikgg5sv" Type="http://schemas.openxmlformats.org/officeDocument/2006/relationships/hyperlink" Target="https://gam.prontonlp.com/#/ref/$DOCID_T000003512646" TargetMode="External"/><Relationship Id="rIdaxvkwakfpv2mev4isl5uo" Type="http://schemas.openxmlformats.org/officeDocument/2006/relationships/hyperlink" Target="https://gam.prontonlp.com/#/ref/$DOCID_T000003394029" TargetMode="External"/><Relationship Id="rIdoyqugbhh96rcoc5j-xpac" Type="http://schemas.openxmlformats.org/officeDocument/2006/relationships/hyperlink" Target="https://gam.prontonlp.com/#/ref/$DOCID_T000003468571" TargetMode="External"/><Relationship Id="rIdffxkxqngoivgeiz-su_sy" Type="http://schemas.openxmlformats.org/officeDocument/2006/relationships/hyperlink" Target="https://gam.prontonlp.com/#/ref/$SENTID_T000003194583-270" TargetMode="External"/><Relationship Id="rIdk35iksxqdqfmizahivygj" Type="http://schemas.openxmlformats.org/officeDocument/2006/relationships/hyperlink" Target="https://gam.prontonlp.com/#/ref/$SENTID_T000003194583-26" TargetMode="External"/><Relationship Id="rIdwr3pwz6as5-tqti5xq-kk" Type="http://schemas.openxmlformats.org/officeDocument/2006/relationships/hyperlink" Target="https://gam.prontonlp.com/#/ref/$SENTID_T000003194583-19" TargetMode="External"/><Relationship Id="rIdb_hjykch9m1gv4a-fufhe" Type="http://schemas.openxmlformats.org/officeDocument/2006/relationships/hyperlink" Target="https://gam.prontonlp.com/#/ref/$SENTID_T000003194583-33" TargetMode="External"/><Relationship Id="rId9-vwvmky4m11vgln5cabl" Type="http://schemas.openxmlformats.org/officeDocument/2006/relationships/hyperlink" Target="https://gam.prontonlp.com/#/ref/$SENTID_T000003194583-81" TargetMode="External"/><Relationship Id="rId4hoa82l7zziw2r9-ujz8y" Type="http://schemas.openxmlformats.org/officeDocument/2006/relationships/hyperlink" Target="https://gam.prontonlp.com/#/ref/$SENTID_T000003394029-19" TargetMode="External"/><Relationship Id="rIdkq40oi63e1xfzly_pgb5u" Type="http://schemas.openxmlformats.org/officeDocument/2006/relationships/hyperlink" Target="https://gam.prontonlp.com/#/ref/$SENTID_T000003394029-372" TargetMode="External"/><Relationship Id="rIdpwastydu2uyqps2dtl3rm" Type="http://schemas.openxmlformats.org/officeDocument/2006/relationships/hyperlink" Target="https://gam.prontonlp.com/#/ref/$SENTID_T000003394029-383" TargetMode="External"/><Relationship Id="rId_dmrxyfvbigkbkpxsxvef" Type="http://schemas.openxmlformats.org/officeDocument/2006/relationships/hyperlink" Target="https://gam.prontonlp.com/#/ref/$SENTID_T000003394029-122" TargetMode="External"/><Relationship Id="rIdmkladknjluyqx8b5aiqxl" Type="http://schemas.openxmlformats.org/officeDocument/2006/relationships/hyperlink" Target="https://gam.prontonlp.com/#/ref/$SENTID_T000003394029-79" TargetMode="External"/><Relationship Id="rIda9wl2tqydhc0p-mndje3l" Type="http://schemas.openxmlformats.org/officeDocument/2006/relationships/hyperlink" Target="https://gam.prontonlp.com/#/ref/$SENTID_T000003468571-3206" TargetMode="External"/><Relationship Id="rIdelbjuacdlzwri5q0fq9ke" Type="http://schemas.openxmlformats.org/officeDocument/2006/relationships/hyperlink" Target="https://gam.prontonlp.com/#/ref/$SENTID_T000003468571-3239" TargetMode="External"/><Relationship Id="rIdzs5ukhke6uf9d098hon_z" Type="http://schemas.openxmlformats.org/officeDocument/2006/relationships/hyperlink" Target="https://gam.prontonlp.com/#/ref/$SENTID_T000003468571-3195" TargetMode="External"/><Relationship Id="rId9sdiuuoacpnp82jx8wosn" Type="http://schemas.openxmlformats.org/officeDocument/2006/relationships/hyperlink" Target="https://gam.prontonlp.com/#/ref/$SENTID_T000003468571-3277" TargetMode="External"/><Relationship Id="rIdmfj1qkov5gyoirannn85j" Type="http://schemas.openxmlformats.org/officeDocument/2006/relationships/hyperlink" Target="https://gam.prontonlp.com/#/ref/$SENTID_T000003468571-514" TargetMode="External"/><Relationship Id="rIdum5dgx5phr7fyvutlplyv" Type="http://schemas.openxmlformats.org/officeDocument/2006/relationships/hyperlink" Target="https://gam.prontonlp.com/#/ref/$SENTID_T000003512646-85" TargetMode="External"/><Relationship Id="rIdgnponzit7iokh3xcapenr" Type="http://schemas.openxmlformats.org/officeDocument/2006/relationships/hyperlink" Target="https://gam.prontonlp.com/#/ref/$SENTID_T000003512646-11" TargetMode="External"/><Relationship Id="rIdv4aymyyqxhamkymrvwyfv" Type="http://schemas.openxmlformats.org/officeDocument/2006/relationships/hyperlink" Target="https://gam.prontonlp.com/#/ref/$SENTID_T000003512646-12" TargetMode="External"/><Relationship Id="rIdd6llbzuorwadg1bv9bgep" Type="http://schemas.openxmlformats.org/officeDocument/2006/relationships/hyperlink" Target="https://gam.prontonlp.com/#/ref/$SENTID_T000003512646-57" TargetMode="External"/><Relationship Id="rIdoddtiu43ofysenb-6rshf" Type="http://schemas.openxmlformats.org/officeDocument/2006/relationships/hyperlink" Target="https://gam.prontonlp.com/#/ref/$SENTID_T000003512646-262" TargetMode="External"/><Relationship Id="rIdionhuioaxaignfnst3xbf" Type="http://schemas.openxmlformats.org/officeDocument/2006/relationships/hyperlink" Target="https://gam.prontonlp.com/#/ref/$SENTID_T000003676656-20" TargetMode="External"/><Relationship Id="rIdhlhuiqna11fncldn-nybi" Type="http://schemas.openxmlformats.org/officeDocument/2006/relationships/hyperlink" Target="https://gam.prontonlp.com/#/ref/$SENTID_T000003676656-505" TargetMode="External"/><Relationship Id="rIdcgrhoo7yk-anv5vhgnay2" Type="http://schemas.openxmlformats.org/officeDocument/2006/relationships/hyperlink" Target="https://gam.prontonlp.com/#/ref/$SENTID_T000003676656-446" TargetMode="External"/><Relationship Id="rIdvhjgnkuetfl6wdg1uftxf" Type="http://schemas.openxmlformats.org/officeDocument/2006/relationships/hyperlink" Target="https://gam.prontonlp.com/#/ref/$SENTID_T000003676656-464" TargetMode="External"/><Relationship Id="rIdh-0gvzrkgnjmlbtmkunrz" Type="http://schemas.openxmlformats.org/officeDocument/2006/relationships/hyperlink" Target="https://gam.prontonlp.com/#/ref/$SENTID_T000003676656-93" TargetMode="External"/><Relationship Id="rIdldqcds7gdyo0ozawowqah" Type="http://schemas.openxmlformats.org/officeDocument/2006/relationships/hyperlink" Target="https://gam.prontonlp.com/#/ref/$SENTID_T000003774119-136" TargetMode="External"/><Relationship Id="rIdvtwpkh3ajdrwljwjc4pz-" Type="http://schemas.openxmlformats.org/officeDocument/2006/relationships/hyperlink" Target="https://gam.prontonlp.com/#/ref/$SENTID_T000003774119-59" TargetMode="External"/><Relationship Id="rIdwk8vnux6ggarfzs6jnu3q" Type="http://schemas.openxmlformats.org/officeDocument/2006/relationships/hyperlink" Target="https://gam.prontonlp.com/#/ref/$SENTID_T000003774119-73" TargetMode="External"/><Relationship Id="rId3tkuwzfahxnn9fev-vxuf" Type="http://schemas.openxmlformats.org/officeDocument/2006/relationships/hyperlink" Target="https://gam.prontonlp.com/#/ref/$SENTID_T000003774119-31" TargetMode="External"/><Relationship Id="rIdbue7scwv2k5r59eoapan7" Type="http://schemas.openxmlformats.org/officeDocument/2006/relationships/hyperlink" Target="https://gam.prontonlp.com/#/ref/$SENTID_T000003774119-111" TargetMode="External"/><Relationship Id="rIdhpchpdujlqmp81jaaexyz" Type="http://schemas.openxmlformats.org/officeDocument/2006/relationships/hyperlink" Target="https://gam.prontonlp.com/#/ref/$DOCID_T000003676656_$GROUPBY_Scores_$KEY_Sentiment" TargetMode="External"/><Relationship Id="rIdzx35rcnqup53u1zghxv68" Type="http://schemas.openxmlformats.org/officeDocument/2006/relationships/hyperlink" Target="https://gam.prontonlp.com/#/ref/$DOCID_T000003774119_$GROUPBY_Scores_$KEY_Sentiment" TargetMode="External"/><Relationship Id="rIdidyl-83zokayzeydrbt1g" Type="http://schemas.openxmlformats.org/officeDocument/2006/relationships/hyperlink" Target="https://gam.prontonlp.com/#/ref/$DOCID_T000003676656_$GROUPBY_Scores_$KEY_Investment" TargetMode="External"/><Relationship Id="rIdiplusuk6bpmve7cwaki0o" Type="http://schemas.openxmlformats.org/officeDocument/2006/relationships/hyperlink" Target="https://gam.prontonlp.com/#/ref/$DOCID_T000003774119_$GROUPBY_Scores_$KEY_Investment" TargetMode="External"/><Relationship Id="rIdyuliuv4b37owl4fbsx_4o" Type="http://schemas.openxmlformats.org/officeDocument/2006/relationships/hyperlink" Target="https://gam.prontonlp.com/#/ref/$DOCID_T000003774119_$GROUPBY_Aspects_$KEY_Forecast" TargetMode="External"/><Relationship Id="rId0rvs2isjqau27mlnrqbys" Type="http://schemas.openxmlformats.org/officeDocument/2006/relationships/hyperlink" Target="https://gam.prontonlp.com/#/ref/$DOCID_T000003774119_$GROUPBY_Aspects_$KEY_CurrentState" TargetMode="External"/><Relationship Id="rIdfhs1jeeh_8nuzfrang6y1" Type="http://schemas.openxmlformats.org/officeDocument/2006/relationships/hyperlink" Target="https://gam.prontonlp.com/#/ref/$DOCID_T000003774119_$GROUPBY_EventTypes_$KEY_OperationalChallenge" TargetMode="External"/><Relationship Id="rId3qxw8zgcbtg8d66gqxwap" Type="http://schemas.openxmlformats.org/officeDocument/2006/relationships/hyperlink" Target="https://gam.prontonlp.com/#/ref/$DOCID_T000003774119_$GROUPBY_EventTypes_$KEY_CostChallenge" TargetMode="External"/><Relationship Id="rIdupr9tk26vbbh085hirxuz" Type="http://schemas.openxmlformats.org/officeDocument/2006/relationships/hyperlink" Target="https://gam.prontonlp.com/#/ref/$DOCID_T000003774119_$GROUPBY_EventTypes_$KEY_Debt" TargetMode="External"/><Relationship Id="rIdqt-qa2pfif60esrpewxni" Type="http://schemas.openxmlformats.org/officeDocument/2006/relationships/hyperlink" Target="https://gam.prontonlp.com/#/ref/$SENTID_T000003774119-59" TargetMode="External"/><Relationship Id="rIdclmnhaxdpzndno-64y1db" Type="http://schemas.openxmlformats.org/officeDocument/2006/relationships/hyperlink" Target="https://gam.prontonlp.com/#/ref/$SENTID_T000003774119-73" TargetMode="External"/><Relationship Id="rId87zrtrxpbhhx-4s6pjyds" Type="http://schemas.openxmlformats.org/officeDocument/2006/relationships/hyperlink" Target="https://gam.prontonlp.com/#/ref/$SENTID_T000003774119-464" TargetMode="External"/><Relationship Id="rIdmuumzaczly5d8cqipiiz0" Type="http://schemas.openxmlformats.org/officeDocument/2006/relationships/hyperlink" Target="https://gam.prontonlp.com/#/ref/$SENTID_T000003774119-111" TargetMode="External"/><Relationship Id="rIdsbwzvols7rpguscynn6w_" Type="http://schemas.openxmlformats.org/officeDocument/2006/relationships/hyperlink" Target="https://gam.prontonlp.com/#/ref/$SENTID_T000003774119-147" TargetMode="External"/><Relationship Id="rId5ot-o-qp4tnuxknkvnhgp" Type="http://schemas.openxmlformats.org/officeDocument/2006/relationships/hyperlink" Target="https://gam.prontonlp.com/#/ref/$SENTID_T000003774119-139" TargetMode="External"/><Relationship Id="rId9jnkb_nhy98bo8xk9xipa" Type="http://schemas.openxmlformats.org/officeDocument/2006/relationships/hyperlink" Target="https://gam.prontonlp.com/#/ref/$SENTID_T000003774119-377" TargetMode="External"/><Relationship Id="rIdz_ogtaw4k5fuddbnnbfex" Type="http://schemas.openxmlformats.org/officeDocument/2006/relationships/hyperlink" Target="https://gam.prontonlp.com/#/ref/$SENTID_T000003774119-26" TargetMode="External"/><Relationship Id="rIdmhtsh1ui4aadbafd-jm-0" Type="http://schemas.openxmlformats.org/officeDocument/2006/relationships/hyperlink" Target="https://gam.prontonlp.com/#/ref/$SENTID_T000003774119-276" TargetMode="External"/><Relationship Id="rIdcs03tmqreothkkhp3ozxc" Type="http://schemas.openxmlformats.org/officeDocument/2006/relationships/hyperlink" Target="https://gam.prontonlp.com/#/ref/$SENTID_T000003774119-521" TargetMode="External"/><Relationship Id="rIdvhl96msf4m5vboymd2dxa" Type="http://schemas.openxmlformats.org/officeDocument/2006/relationships/hyperlink" Target="https://gam.prontonlp.com/#/ref/$SENTID_NONSEC000264324010-8" TargetMode="External"/><Relationship Id="rIdakzvyk_6udvpog7u-cl7f" Type="http://schemas.openxmlformats.org/officeDocument/2006/relationships/hyperlink" Target="https://gam.prontonlp.com/#/ref/$SENTID_T000003774119-20" TargetMode="External"/><Relationship Id="rIdbdf8yod7wdhw_169jdcwm" Type="http://schemas.openxmlformats.org/officeDocument/2006/relationships/hyperlink" Target="https://gam.prontonlp.com/#/ref/$SENTID_T000003774119-201" TargetMode="External"/><Relationship Id="rIdl83kikwabvhnpr-ufugxs" Type="http://schemas.openxmlformats.org/officeDocument/2006/relationships/hyperlink" Target="https://gam.prontonlp.com/#/ref/$SENTID_T000003774119-46" TargetMode="External"/><Relationship Id="rIddafu-dj_cnjkbpcrpnfmi" Type="http://schemas.openxmlformats.org/officeDocument/2006/relationships/hyperlink" Target="https://gam.prontonlp.com/#/ref/$SENTID_T000003774119-200" TargetMode="External"/><Relationship Id="rId-wrnkuvazfrkhwysa4nbf" Type="http://schemas.openxmlformats.org/officeDocument/2006/relationships/hyperlink" Target="https://gam.prontonlp.com/#/ref/$SENTID_NONSEC000264324010-9" TargetMode="External"/><Relationship Id="rIdlemzpmehis0jwj9ffoago" Type="http://schemas.openxmlformats.org/officeDocument/2006/relationships/hyperlink" Target="https://gam.prontonlp.com/#/ref/$SENTID_T000003774119-212" TargetMode="External"/><Relationship Id="rIdl3pqf9zk2ghw_qebdlq-n" Type="http://schemas.openxmlformats.org/officeDocument/2006/relationships/hyperlink" Target="https://gam.prontonlp.com/#/ref/$SENTID_NONSEC000264324010-11" TargetMode="External"/><Relationship Id="rIdtf1x_ty9q3vv-oxibgknv" Type="http://schemas.openxmlformats.org/officeDocument/2006/relationships/hyperlink" Target="https://gam.prontonlp.com/#/ref/$SENTID_T000003774119-23" TargetMode="External"/><Relationship Id="rIdwerllc-guhunknhspj021" Type="http://schemas.openxmlformats.org/officeDocument/2006/relationships/hyperlink" Target="https://gam.prontonlp.com/#/ref/$SENTID_T000003774119-224" TargetMode="External"/><Relationship Id="rIdaed8oomj8jwpmgi1ap14k" Type="http://schemas.openxmlformats.org/officeDocument/2006/relationships/hyperlink" Target="https://gam.prontonlp.com/#/ref/$SENTID_T000003774119-226" TargetMode="External"/><Relationship Id="rIdfqmy3tnufrmui-cotckcb" Type="http://schemas.openxmlformats.org/officeDocument/2006/relationships/hyperlink" Target="https://gam.prontonlp.com/#/ref/$SENTID_NONSEC000264324010-83" TargetMode="External"/><Relationship Id="rIdtp-_mecdo7ysodgtuc15i" Type="http://schemas.openxmlformats.org/officeDocument/2006/relationships/hyperlink" Target="https://gam.prontonlp.com/#/ref/$SENTID_NONSEC000264324010-13" TargetMode="External"/><Relationship Id="rId1xkq0wlhgrlfang75aarp" Type="http://schemas.openxmlformats.org/officeDocument/2006/relationships/hyperlink" Target="https://gam.prontonlp.com/#/ref/$SENTID_NONSEC000264324010-86" TargetMode="External"/><Relationship Id="rIdfmgiglm_doxvnelsgwz3r" Type="http://schemas.openxmlformats.org/officeDocument/2006/relationships/hyperlink" Target="https://gam.prontonlp.com/#/ref/$SENTID_NONSEC000264324010-14" TargetMode="External"/><Relationship Id="rId3dcavdgfqhbqja5zbevzo" Type="http://schemas.openxmlformats.org/officeDocument/2006/relationships/hyperlink" Target="https://gam.prontonlp.com/#/ref/$SENTID_T000003774119-236" TargetMode="External"/><Relationship Id="rIdp3jpo5qcrtgtkkpksl95e" Type="http://schemas.openxmlformats.org/officeDocument/2006/relationships/hyperlink" Target="https://gam.prontonlp.com/#/ref/$SENTID_NONSEC000264324010-15" TargetMode="External"/><Relationship Id="rIduk5jtid9gkza2l3tmro3l" Type="http://schemas.openxmlformats.org/officeDocument/2006/relationships/hyperlink" Target="https://gam.prontonlp.com/#/ref/$SENTID_NONSEC000264324010-89" TargetMode="External"/><Relationship Id="rIdgs0t62w1zq7wd9gmwy8zv" Type="http://schemas.openxmlformats.org/officeDocument/2006/relationships/hyperlink" Target="https://gam.prontonlp.com/#/ref/$SENTID_T000003774119-246" TargetMode="External"/><Relationship Id="rId6pvrclvffnwtj5tsmgplr" Type="http://schemas.openxmlformats.org/officeDocument/2006/relationships/hyperlink" Target="https://gam.prontonlp.com/#/ref/$SENTID_NONSEC000264324010-90" TargetMode="External"/><Relationship Id="rId_ooeuog8kcoi9hxrjfprg" Type="http://schemas.openxmlformats.org/officeDocument/2006/relationships/hyperlink" Target="https://gam.prontonlp.com/#/ref/$SENTID_NONSEC000264324010-93" TargetMode="External"/><Relationship Id="rIdyo4ngvikhl1q7ixxwyl8u" Type="http://schemas.openxmlformats.org/officeDocument/2006/relationships/hyperlink" Target="https://gam.prontonlp.com/#/ref/$SENTID_T000003774119-251" TargetMode="External"/><Relationship Id="rIdo1tn8gxlsbmhnglapfzgg" Type="http://schemas.openxmlformats.org/officeDocument/2006/relationships/hyperlink" Target="https://gam.prontonlp.com/#/ref/$SENTID_NONSEC000264324010-16" TargetMode="External"/><Relationship Id="rId66fvsijjsktpg6dqoam3q" Type="http://schemas.openxmlformats.org/officeDocument/2006/relationships/hyperlink" Target="https://gam.prontonlp.com/#/ref/$SENTID_NONSEC000264324010-97" TargetMode="External"/><Relationship Id="rId4ofkkxp8flljvimi7beit" Type="http://schemas.openxmlformats.org/officeDocument/2006/relationships/hyperlink" Target="https://gam.prontonlp.com/#/ref/$SENTID_NONSEC000264324010-103" TargetMode="External"/><Relationship Id="rIdydflwkvgxcnqyswavw0la" Type="http://schemas.openxmlformats.org/officeDocument/2006/relationships/hyperlink" Target="https://gam.prontonlp.com/#/ref/$SENTID_NONSEC000264324010-104" TargetMode="External"/><Relationship Id="rId-3lb51holrpnbuhvtwjli" Type="http://schemas.openxmlformats.org/officeDocument/2006/relationships/hyperlink" Target="https://gam.prontonlp.com/#/ref/$SENTID_NONSEC000264324010-17" TargetMode="External"/><Relationship Id="rIdrelydgzyxchziisjsry8g" Type="http://schemas.openxmlformats.org/officeDocument/2006/relationships/hyperlink" Target="https://gam.prontonlp.com/#/ref/$SENTID_T000003774119-292" TargetMode="External"/><Relationship Id="rIdxzjjjwxm68mxdag6g4gdb" Type="http://schemas.openxmlformats.org/officeDocument/2006/relationships/hyperlink" Target="https://gam.prontonlp.com/#/ref/$SENTID_NONSEC000264324010-17" TargetMode="External"/><Relationship Id="rIdwyizbjq9ds1sy1lkadfw-" Type="http://schemas.openxmlformats.org/officeDocument/2006/relationships/hyperlink" Target="https://gam.prontonlp.com/#/ref/$SENTID_T000003774119-294" TargetMode="External"/><Relationship Id="rIdlpn59w1xpn5najgojc4g_" Type="http://schemas.openxmlformats.org/officeDocument/2006/relationships/hyperlink" Target="https://gam.prontonlp.com/#/ref/$SENTID_NONSEC000264324010-105" TargetMode="External"/><Relationship Id="rIdgapa3luf51ilqdzadvyqi" Type="http://schemas.openxmlformats.org/officeDocument/2006/relationships/hyperlink" Target="https://gam.prontonlp.com/#/ref/$DOCID_NONSEC000264324010" TargetMode="External"/><Relationship Id="rId-5ztefavdnt9ictaqaq87" Type="http://schemas.openxmlformats.org/officeDocument/2006/relationships/hyperlink" Target="https://gam.prontonlp.com/#/ref/$DOCID_T000003774119" TargetMode="External"/><Relationship Id="rIdhz-xfghubwfybwf_pgimk" Type="http://schemas.openxmlformats.org/officeDocument/2006/relationships/hyperlink" Target="https://gam.prontonlp.com/#/ref/$DOCID_NONSEC000264324010" TargetMode="External"/><Relationship Id="rIdbkzguy0h8rjkhp1n9r0py" Type="http://schemas.openxmlformats.org/officeDocument/2006/relationships/hyperlink" Target="https://gam.prontonlp.com/#/ref/$DOCID_T000003774119" TargetMode="External"/><Relationship Id="rIdnis7pulljycuaqwk59ofz" Type="http://schemas.openxmlformats.org/officeDocument/2006/relationships/hyperlink" Target="https://gam.prontonlp.com/#/ref/$SENTID_T000003774119-137" TargetMode="External"/><Relationship Id="rIdwe5yr-sg4hlb0pzo6mit3" Type="http://schemas.openxmlformats.org/officeDocument/2006/relationships/hyperlink" Target="https://gam.prontonlp.com/#/ref/$SENTID_T000003774119-377" TargetMode="External"/><Relationship Id="rIdt8mb2xtajujibjijyhiit" Type="http://schemas.openxmlformats.org/officeDocument/2006/relationships/hyperlink" Target="https://gam.prontonlp.com/#/ref/$SENTID_T000003676656-580" TargetMode="External"/><Relationship Id="rIduffapmaxu6qpfj_igde8a" Type="http://schemas.openxmlformats.org/officeDocument/2006/relationships/hyperlink" Target="https://gam.prontonlp.com/#/ref/$SENTID_T000003774119-558" TargetMode="External"/><Relationship Id="rIdluuddg18kkicvfcehvcfd" Type="http://schemas.openxmlformats.org/officeDocument/2006/relationships/hyperlink" Target="https://gam.prontonlp.com/#/ref/$SENTID_NONSEC000264324010-329" TargetMode="External"/><Relationship Id="rIdpcxex4vxxjkymmc966ofn" Type="http://schemas.openxmlformats.org/officeDocument/2006/relationships/hyperlink" Target="https://gam.prontonlp.com/#/ref/$SENTID_T000003774119-75" TargetMode="External"/><Relationship Id="rId2rjw3n1epdfxbp_iwir7r" Type="http://schemas.openxmlformats.org/officeDocument/2006/relationships/hyperlink" Target="https://gam.prontonlp.com/#/ref/$SENTID_T000003774119-460" TargetMode="External"/><Relationship Id="rIdhoriq7ndghi7lhl7m1zso" Type="http://schemas.openxmlformats.org/officeDocument/2006/relationships/hyperlink" Target="https://gam.prontonlp.com/#/ref/$SENTID_NONSEC000264324010-17" TargetMode="External"/><Relationship Id="rId-ex1tmowdg_xpicjuljyp" Type="http://schemas.openxmlformats.org/officeDocument/2006/relationships/hyperlink" Target="https://gam.prontonlp.com/#/ref/$SENTID_T000003774119-108" TargetMode="External"/><Relationship Id="rIdvzwf-cer07lpcrbpwcohx" Type="http://schemas.openxmlformats.org/officeDocument/2006/relationships/hyperlink" Target="https://gam.prontonlp.com/#/ref/$SENTID_NONSEC000264324010-47" TargetMode="External"/><Relationship Id="rIdoog08cwhhrvht-ghxyjpr" Type="http://schemas.openxmlformats.org/officeDocument/2006/relationships/hyperlink" Target="https://gam.prontonlp.com/#/ref/$SENTID_T000003774119-342" TargetMode="External"/><Relationship Id="rIdzqfatm1ql0k43n_spcio6" Type="http://schemas.openxmlformats.org/officeDocument/2006/relationships/hyperlink" Target="https://gam.prontonlp.com/#/ref/$SENTID_T000003774119-330" TargetMode="External"/><Relationship Id="rIdvzpmrjh_h68dvspoq2orc" Type="http://schemas.openxmlformats.org/officeDocument/2006/relationships/hyperlink" Target="https://gam.prontonlp.com/#/ref/$SENTID_T000003676656-625" TargetMode="External"/><Relationship Id="rIdma51r9ygmsj66gbhqw6an" Type="http://schemas.openxmlformats.org/officeDocument/2006/relationships/hyperlink" Target="https://gam.prontonlp.com/#/ref/$SENTID_T000003774119-108" TargetMode="External"/><Relationship Id="rIdegte7wuiyqh-xrhsxwf-j" Type="http://schemas.openxmlformats.org/officeDocument/2006/relationships/hyperlink" Target="https://gam.prontonlp.com/#/ref/$SENTID_T000003676656-641" TargetMode="External"/><Relationship Id="rId3mdicffzmkljlspbren3y" Type="http://schemas.openxmlformats.org/officeDocument/2006/relationships/hyperlink" Target="https://gam.prontonlp.com/#/ref/$SENTID_T000003774119-599" TargetMode="External"/><Relationship Id="rIdxvnvwd9xnpm3lteqyasu5" Type="http://schemas.openxmlformats.org/officeDocument/2006/relationships/hyperlink" Target="https://gam.prontonlp.com/#/ref/$SENTID_T000003774119-497" TargetMode="External"/><Relationship Id="rIdtbigrfcfa6uzfbhsfny1m" Type="http://schemas.openxmlformats.org/officeDocument/2006/relationships/hyperlink" Target="https://gam.prontonlp.com/#/ref/$SENTID_T000003774119-472" TargetMode="External"/><Relationship Id="rIdryusiqh0eyizizhsb-nus" Type="http://schemas.openxmlformats.org/officeDocument/2006/relationships/hyperlink" Target="https://gam.prontonlp.com/#/ref/$SENTID_T000003774119-524" TargetMode="External"/><Relationship Id="rIdxdlry8e_rz14kzrds7o2i" Type="http://schemas.openxmlformats.org/officeDocument/2006/relationships/hyperlink" Target="https://gam.prontonlp.com/#/ref/$SENTID_T000003676656-513" TargetMode="External"/><Relationship Id="rIdlf88rrgzzpmwlaokxstql" Type="http://schemas.openxmlformats.org/officeDocument/2006/relationships/hyperlink" Target="https://gam.prontonlp.com/#/ref/$SENTID_T000003676656-514" TargetMode="External"/><Relationship Id="rIdpnzucfqja34y_vwgmpntu" Type="http://schemas.openxmlformats.org/officeDocument/2006/relationships/hyperlink" Target="https://gam.prontonlp.com/#/ref/$SENTID_NONSEC000264324010-16" TargetMode="External"/><Relationship Id="rIdmryfmrz1_jzkgb6uxlnit" Type="http://schemas.openxmlformats.org/officeDocument/2006/relationships/hyperlink" Target="https://gam.prontonlp.com/#/ref/$SENTID_NONSEC000264324010-90" TargetMode="External"/><Relationship Id="rIdty2fcftluzz4tpatp2zfm" Type="http://schemas.openxmlformats.org/officeDocument/2006/relationships/hyperlink" Target="https://gam.prontonlp.com/#/ref/$SENTID_NONSEC000264324010-93" TargetMode="External"/><Relationship Id="rIdbfxxyt9sfqafluo2shndx" Type="http://schemas.openxmlformats.org/officeDocument/2006/relationships/hyperlink" Target="https://gam.prontonlp.com/#/ref/$SENTID_T000003774119-253" TargetMode="External"/><Relationship Id="rIdgz4npbphcw5vzqctie15n" Type="http://schemas.openxmlformats.org/officeDocument/2006/relationships/hyperlink" Target="https://gam.prontonlp.com/#/ref/$SENTID_NONSEC000264324010-103" TargetMode="External"/><Relationship Id="rIdgfb7doqus68liothdkc4w" Type="http://schemas.openxmlformats.org/officeDocument/2006/relationships/hyperlink" Target="https://gam.prontonlp.com/#/ref/$SENTID_NONSEC000264324010-104" TargetMode="External"/><Relationship Id="rIdk7fwsslxu1nzhxpm5djln" Type="http://schemas.openxmlformats.org/officeDocument/2006/relationships/hyperlink" Target="https://gam.prontonlp.com/#/ref/$SENTID_T000003774119-136" TargetMode="External"/><Relationship Id="rId-0cgvoyltqo-ln6zzo-vq" Type="http://schemas.openxmlformats.org/officeDocument/2006/relationships/hyperlink" Target="https://gam.prontonlp.com/#/ref/$SENTID_T000003774119-137" TargetMode="External"/><Relationship Id="rIdlb0mn0jkwscjx5evth6fo" Type="http://schemas.openxmlformats.org/officeDocument/2006/relationships/hyperlink" Target="https://gam.prontonlp.com/#/ref/$SENTID_T000003394029-384" TargetMode="External"/><Relationship Id="rIdv2mfwn6_jqbi-gnb2dtcz" Type="http://schemas.openxmlformats.org/officeDocument/2006/relationships/hyperlink" Target="https://gam.prontonlp.com/#/ref/$SENTID_T000003676656-27" TargetMode="External"/><Relationship Id="rId-sgem9ug-kj1ie-vlqzmu" Type="http://schemas.openxmlformats.org/officeDocument/2006/relationships/hyperlink" Target="https://gam.prontonlp.com/#/ref/$SENTID_NONSEC000264324010-251" TargetMode="External"/><Relationship Id="rIdcgefiutzukkhwnncfjquc" Type="http://schemas.openxmlformats.org/officeDocument/2006/relationships/hyperlink" Target="https://gam.prontonlp.com/#/ref/$SENTID_NONSEC000264324010-254" TargetMode="External"/><Relationship Id="rId8wdn5disgc1yz5qsom9p-" Type="http://schemas.openxmlformats.org/officeDocument/2006/relationships/hyperlink" Target="https://gam.prontonlp.com/#/ref/$SENTID_NONSEC000264324010-95" TargetMode="External"/><Relationship Id="rIdwqujovdml0j1rrawigwtl" Type="http://schemas.openxmlformats.org/officeDocument/2006/relationships/hyperlink" Target="https://gam.prontonlp.com/#/ref/$SENTID_T000003676656-326" TargetMode="External"/><Relationship Id="rIdvq9mfzes6rhtehm_k9fpz" Type="http://schemas.openxmlformats.org/officeDocument/2006/relationships/hyperlink" Target="https://gam.prontonlp.com/#/ref/$SENTID_T000003676656-517" TargetMode="External"/><Relationship Id="rIdvgeytyzcdywu7im47cmqi" Type="http://schemas.openxmlformats.org/officeDocument/2006/relationships/hyperlink" Target="https://gam.prontonlp.com/#/ref/$SENTID_NONSEC000264324010-139" TargetMode="External"/><Relationship Id="rIdpcysc3rfv14ue7163hhcy" Type="http://schemas.openxmlformats.org/officeDocument/2006/relationships/hyperlink" Target="https://gam.prontonlp.com/#/ref/$SENTID_NONSEC000264324010-142" TargetMode="External"/><Relationship Id="rIdmrrg4w0n19tl783kj4uzf" Type="http://schemas.openxmlformats.org/officeDocument/2006/relationships/hyperlink" Target="https://gam.prontonlp.com/#/ref/$SENTID_NONSEC000264324010-166" TargetMode="External"/><Relationship Id="rIdgubzak1t25-hriowyt6su" Type="http://schemas.openxmlformats.org/officeDocument/2006/relationships/hyperlink" Target="https://gam.prontonlp.com/#/ref/$SENTID_NONSEC000264324010-167" TargetMode="External"/><Relationship Id="rId-o-cvjlx4msrdizdixjri" Type="http://schemas.openxmlformats.org/officeDocument/2006/relationships/hyperlink" Target="https://gam.prontonlp.com/#/ref/$SENTID_NONSEC000259591248-5321" TargetMode="External"/><Relationship Id="rIdn7av0mwuff-6vjqdoxoa2" Type="http://schemas.openxmlformats.org/officeDocument/2006/relationships/hyperlink" Target="https://gam.prontonlp.com/#/ref/$SENTID_T000003676656-279" TargetMode="External"/><Relationship Id="rId8dbjd2gwqccvwf2nm_9oy" Type="http://schemas.openxmlformats.org/officeDocument/2006/relationships/hyperlink" Target="https://gam.prontonlp.com/#/ref/$SENTID_T000003676656-28" TargetMode="External"/><Relationship Id="rIdu3w_38rdna_vxm4xq6bc6" Type="http://schemas.openxmlformats.org/officeDocument/2006/relationships/hyperlink" Target="https://gam.prontonlp.com/#/ref/$SENTID_T000003774119-108" TargetMode="External"/><Relationship Id="rIdnfvgmwzypxmg3f3lf7cv0" Type="http://schemas.openxmlformats.org/officeDocument/2006/relationships/hyperlink" Target="https://www.capitaliq.spglobal.com/apisv3/spg-webplatform-core/docviewer?mid=264324010" TargetMode="External"/><Relationship Id="rIdchjtshrcjukzhpwwvx0l0" Type="http://schemas.openxmlformats.org/officeDocument/2006/relationships/hyperlink" Target="https://www.capitaliq.spglobal.com/apisv3/spg-webplatform-core/docviewer?mid=264324010" TargetMode="External"/><Relationship Id="rIdontf263wvtvhwxodrgwqk" Type="http://schemas.openxmlformats.org/officeDocument/2006/relationships/hyperlink" Target="https://www.capitaliq.spglobal.com/apisv3/spg-webplatform-core/docviewer?mid=256665099" TargetMode="External"/><Relationship Id="rIdpiucfnylbedqmvic6tv1c" Type="http://schemas.openxmlformats.org/officeDocument/2006/relationships/hyperlink" Target="https://gam.prontonlp.com/#/ref/$SENTID_NONSEC000264324010-103" TargetMode="External"/><Relationship Id="rId1wnnlswx0gtfs7rqurbla" Type="http://schemas.openxmlformats.org/officeDocument/2006/relationships/hyperlink" Target="https://gam.prontonlp.com/#/ref/$SENTID_NONSEC000264324010-104" TargetMode="External"/><Relationship Id="rIddtnvl-cdwzo_oeamryt2z" Type="http://schemas.openxmlformats.org/officeDocument/2006/relationships/hyperlink" Target="https://gam.prontonlp.com/#/ref/$SENTID_NONSEC000259591248-6093" TargetMode="External"/><Relationship Id="rIdixqjyqfnzmadusmhuincs" Type="http://schemas.openxmlformats.org/officeDocument/2006/relationships/hyperlink" Target="https://gam.prontonlp.com/#/ref/$SENTID_NONSEC000259591248-6093" TargetMode="External"/><Relationship Id="rIdyknnm9l26lcje8sqovqbf" Type="http://schemas.openxmlformats.org/officeDocument/2006/relationships/hyperlink" Target="https://gam.prontonlp.com/#/ref/$SENTID_NONSEC000259591248-6093" TargetMode="External"/><Relationship Id="rIdhctnpxcydtzyy28ihefls" Type="http://schemas.openxmlformats.org/officeDocument/2006/relationships/hyperlink" Target="https://gam.prontonlp.com/#/ref/$SENTID_NONSEC000259591248-1345" TargetMode="External"/><Relationship Id="rIdz8wmqilj2rz6nztbe5x_n" Type="http://schemas.openxmlformats.org/officeDocument/2006/relationships/hyperlink" Target="https://gam.prontonlp.com/#/ref/$SENTID_NONSEC000264346860-267" TargetMode="External"/><Relationship Id="rIdeugk5hla_0qy4qcpulfwa" Type="http://schemas.openxmlformats.org/officeDocument/2006/relationships/hyperlink" Target="https://gam.prontonlp.com/#/ref/$SENTID_NONSEC000239166805-3465" TargetMode="External"/><Relationship Id="rIde-t3gljnyv945muudlbp4" Type="http://schemas.openxmlformats.org/officeDocument/2006/relationships/hyperlink" Target="https://gam.prontonlp.com/#/ref/$SENTID_NONSEC000259591248-5390" TargetMode="External"/><Relationship Id="rId5ab6zxehe86dhljecc2v6" Type="http://schemas.openxmlformats.org/officeDocument/2006/relationships/hyperlink" Target="https://gam.prontonlp.com/#/ref/$SENTID_NONSEC000259591248-5314" TargetMode="External"/><Relationship Id="rIdywe0-thwnqkhgyktjbpwl" Type="http://schemas.openxmlformats.org/officeDocument/2006/relationships/hyperlink" Target="https://gam.prontonlp.com/#/ref/$SENTID_NONSEC000259591248-6079" TargetMode="External"/><Relationship Id="rIdnib9orpxrrk5_4ktt9e3k" Type="http://schemas.openxmlformats.org/officeDocument/2006/relationships/hyperlink" Target="https://gam.prontonlp.com/#/ref/$SENTID_NONSEC000259591248-6437" TargetMode="External"/><Relationship Id="rIdsuqltep6nj5kkvtxc5iho" Type="http://schemas.openxmlformats.org/officeDocument/2006/relationships/hyperlink" Target="https://gam.prontonlp.com/#/ref/$SENTID_NONSEC000259591248-6437" TargetMode="External"/><Relationship Id="rIddpg9n2nm1b3al-chuvx_k" Type="http://schemas.openxmlformats.org/officeDocument/2006/relationships/hyperlink" Target="https://gam.prontonlp.com/#/ref/$SENTID_NONSEC000259591248-6071" TargetMode="External"/><Relationship Id="rIdnrtk1lptymasmbzh7p4mk" Type="http://schemas.openxmlformats.org/officeDocument/2006/relationships/hyperlink" Target="https://gam.prontonlp.com/#/ref/$SENTID_NONSEC000259591248-6075" TargetMode="External"/><Relationship Id="rIdlwibxazh4lvrrjktzi0dl" Type="http://schemas.openxmlformats.org/officeDocument/2006/relationships/hyperlink" Target="https://gam.prontonlp.com/#/ref/$SENTID_NONSEC000259591248-6447" TargetMode="External"/><Relationship Id="rIdc45avltrkzsyx8s4tmgrl" Type="http://schemas.openxmlformats.org/officeDocument/2006/relationships/hyperlink" Target="https://gam.prontonlp.com/#/ref/$SENTID_NONSEC000259591248-6097" TargetMode="External"/><Relationship Id="rIdcmllkpqojf9rmsowym6tp" Type="http://schemas.openxmlformats.org/officeDocument/2006/relationships/hyperlink" Target="https://gam.prontonlp.com/#/ref/$SENTID_NONSEC000259591248-6094" TargetMode="External"/><Relationship Id="rIdqxt2yvoa-giiyhq7axmhd" Type="http://schemas.openxmlformats.org/officeDocument/2006/relationships/hyperlink" Target="https://gam.prontonlp.com/#/ref/$SENTID_NONSEC000259591248-6108" TargetMode="External"/><Relationship Id="rIdmt7f9idnggxll4ulfyd1o" Type="http://schemas.openxmlformats.org/officeDocument/2006/relationships/hyperlink" Target="https://gam.prontonlp.com/#/ref/$SENTID_NONSEC000105747485-1982" TargetMode="External"/><Relationship Id="rIdvkc01lctqcdrvphjhrxln" Type="http://schemas.openxmlformats.org/officeDocument/2006/relationships/hyperlink" Target="https://gam.prontonlp.com/#/ref/$SENTID_NONSEC000259591248-6796" TargetMode="External"/><Relationship Id="rIdugm_jnaznpcwvr6_ljy2a" Type="http://schemas.openxmlformats.org/officeDocument/2006/relationships/hyperlink" Target="https://gam.prontonlp.com/#/ref/$SENTID_NONSEC000259591248-6796" TargetMode="External"/><Relationship Id="rId3ypdmqro3hwj8dlyqrgtb" Type="http://schemas.openxmlformats.org/officeDocument/2006/relationships/hyperlink" Target="https://gam.prontonlp.com/#/ref/$COMPANY_260725" TargetMode="External"/><Relationship Id="rIdh4obqi86ieqv2hbdi_pmp" Type="http://schemas.openxmlformats.org/officeDocument/2006/relationships/hyperlink" Target="https://gam.prontonlp.com/#/ref/$COMPANY_309966" TargetMode="External"/><Relationship Id="rIddkbsqw13drptqes6tccpm" Type="http://schemas.openxmlformats.org/officeDocument/2006/relationships/hyperlink" Target="https://gam.prontonlp.com/#/ref/$COMPANY_876284" TargetMode="External"/><Relationship Id="rIdisf3unrnsc40g6dbut2d8" Type="http://schemas.openxmlformats.org/officeDocument/2006/relationships/hyperlink" Target="https://gam.prontonlp.com/#/ref/$COMPANY_411004" TargetMode="External"/><Relationship Id="rIdl9o90oumbgrdoyci0bk_u" Type="http://schemas.openxmlformats.org/officeDocument/2006/relationships/hyperlink" Target="https://gam.prontonlp.com/#/ref/$COMPANY_808038" TargetMode="External"/><Relationship Id="rId25lqpycdn3mrw7ghaubb1" Type="http://schemas.openxmlformats.org/officeDocument/2006/relationships/hyperlink" Target="https://gam.prontonlp.com/#/ref/$COMPANY_26972979" TargetMode="External"/><Relationship Id="rIdzsg4tzvnfedcpj9tjj8lp" Type="http://schemas.openxmlformats.org/officeDocument/2006/relationships/hyperlink" Target="https://gam.prontonlp.com/#/ref/$COMPANY_1004106" TargetMode="External"/><Relationship Id="rIdfz2f3cmozadkni0enp163" Type="http://schemas.openxmlformats.org/officeDocument/2006/relationships/hyperlink" Target="https://gam.prontonlp.com/#/ref/$SENTID_NONSEC000259591248-1902" TargetMode="External"/><Relationship Id="rId3p81ilhwsg4dln39a5pbs" Type="http://schemas.openxmlformats.org/officeDocument/2006/relationships/hyperlink" Target="https://www.capitaliq.spglobal.com/apisv3/spg-webplatform-core/docviewer?mid=264324010" TargetMode="External"/><Relationship Id="rIdnmvjl78dmy6rfpam1sg1z" Type="http://schemas.openxmlformats.org/officeDocument/2006/relationships/hyperlink" Target="https://www.capitaliq.spglobal.com/apisv3/spg-webplatform-core/docviewer?mid=267162990" TargetMode="External"/><Relationship Id="rIdwyzlu00mmdjsrxw0satxx" Type="http://schemas.openxmlformats.org/officeDocument/2006/relationships/hyperlink" Target="https://www.capitaliq.spglobal.com/apisv3/spg-webplatform-core/docviewer?mid=263225871" TargetMode="External"/><Relationship Id="rIdtavy32q79trid1ebnmfrg" Type="http://schemas.openxmlformats.org/officeDocument/2006/relationships/hyperlink" Target="https://www.capitaliq.spglobal.com/apisv3/spg-webplatform-core/docviewer?mid=264810733" TargetMode="External"/><Relationship Id="rIdebqa4wsltxyb7404hdj74" Type="http://schemas.openxmlformats.org/officeDocument/2006/relationships/hyperlink" Target="https://www.capitaliq.spglobal.com/apisv3/spg-webplatform-core/docviewer?mid=264340142" TargetMode="External"/><Relationship Id="rIdmnw70dflosemmtey2ct-p" Type="http://schemas.openxmlformats.org/officeDocument/2006/relationships/hyperlink" Target="https://www.capitaliq.spglobal.com/apisv3/spg-webplatform-core/docviewer?mid=264837072" TargetMode="External"/><Relationship Id="rIdpj29t9-zerss9dil1guxu" Type="http://schemas.openxmlformats.org/officeDocument/2006/relationships/hyperlink" Target="https://www.capitaliq.spglobal.com/apisv3/spg-webplatform-core/docviewer?mid=266108856" TargetMode="External"/><Relationship Id="rIdvnn08dnpoxkv6ktc3___5" Type="http://schemas.openxmlformats.org/officeDocument/2006/relationships/hyperlink" Target="https://www.capitaliq.spglobal.com/apisv3/spg-webplatform-core/docviewer?mid=264640608" TargetMode="External"/><Relationship Id="rId5zpalgt9y6sbvimm7dui5" Type="http://schemas.openxmlformats.org/officeDocument/2006/relationships/hyperlink" Target="https://gam.prontonlp.com/#/ref/$SENTID_T000003353232-20" TargetMode="External"/><Relationship Id="rIdg8revuxirzoy6nwnjrf_g" Type="http://schemas.openxmlformats.org/officeDocument/2006/relationships/hyperlink" Target="https://gam.prontonlp.com/#/ref/$SENTID_SEC000256652066-822" TargetMode="External"/><Relationship Id="rIdj8m5wxnpdjy_dky2_-u2p" Type="http://schemas.openxmlformats.org/officeDocument/2006/relationships/hyperlink" Target="https://gam.prontonlp.com/#/ref/$SENTID_SEC000214421198-32" TargetMode="External"/><Relationship Id="rIdd3mwmyr_qfsvns3hxb8nu" Type="http://schemas.openxmlformats.org/officeDocument/2006/relationships/hyperlink" Target="https://gam.prontonlp.com/#/ref/$SENTID_T000003316682-127" TargetMode="External"/><Relationship Id="rIdfgamdwfyoyypp9kopukqd" Type="http://schemas.openxmlformats.org/officeDocument/2006/relationships/hyperlink" Target="https://gam.prontonlp.com/#/ref/$SENTID_NONSEC000202290282-3565" TargetMode="External"/><Relationship Id="rId1rc95rkvxdagj2mnrixhk" Type="http://schemas.openxmlformats.org/officeDocument/2006/relationships/hyperlink" Target="https://gam.prontonlp.com/#/ref/$SENTID_NONSEC000221471596-1072" TargetMode="External"/><Relationship Id="rIdkv6ggd1whcevrjzx5ixur" Type="http://schemas.openxmlformats.org/officeDocument/2006/relationships/hyperlink" Target="https://gam.prontonlp.com/#/ref/$SENTID_NONSEC000257996016-25" TargetMode="External"/><Relationship Id="rIdllmdaww8zbapxkfc-1z2v" Type="http://schemas.openxmlformats.org/officeDocument/2006/relationships/hyperlink" Target="https://gam.prontonlp.com/#/ref/$SENTID_NONSEC000238541153-2064" TargetMode="External"/><Relationship Id="rIdemyjy6arjmmbuydq8wvfh" Type="http://schemas.openxmlformats.org/officeDocument/2006/relationships/hyperlink" Target="https://gam.prontonlp.com/#/ref/$SENTID_T000002926390-63" TargetMode="External"/><Relationship Id="rIdj41oqtszgjm2rxzzsmh51" Type="http://schemas.openxmlformats.org/officeDocument/2006/relationships/hyperlink" Target="https://gam.prontonlp.com/#/ref/$SENTID_T000002424754-50" TargetMode="External"/><Relationship Id="rIdfkmd711baohv6z6kcdvk6" Type="http://schemas.openxmlformats.org/officeDocument/2006/relationships/hyperlink" Target="https://gam.prontonlp.com/#/ref/$SENTID_NONSEC000257202353-552" TargetMode="External"/><Relationship Id="rIdwdudjpoqiusscpw6aiy3k" Type="http://schemas.openxmlformats.org/officeDocument/2006/relationships/hyperlink" Target="https://gam.prontonlp.com/#/ref/$SENTID_T000002488974-347" TargetMode="External"/><Relationship Id="rIdjcvw768keg357rergm1cb" Type="http://schemas.openxmlformats.org/officeDocument/2006/relationships/hyperlink" Target="https://gam.prontonlp.com/#/ref/$SENTID_NONSEC000013014884-413" TargetMode="External"/><Relationship Id="rIdaa3sfk3_f_jbcm93sta4r" Type="http://schemas.openxmlformats.org/officeDocument/2006/relationships/hyperlink" Target="https://gam.prontonlp.com/#/ref/$SENTID_NONSEC000013014884-261" TargetMode="External"/><Relationship Id="rIdvpyh2iyxddj9iysyiusq3" Type="http://schemas.openxmlformats.org/officeDocument/2006/relationships/hyperlink" Target="https://gam.prontonlp.com/#/ref/$SENTID_NONSEC000078538504-3117" TargetMode="External"/><Relationship Id="rId6xmlbkwaga-oimnf_loxh" Type="http://schemas.openxmlformats.org/officeDocument/2006/relationships/hyperlink" Target="https://gam.prontonlp.com/#/ref/$SENTID_NONSEC000076821943-305" TargetMode="External"/><Relationship Id="rIdighlafezdud_k9tpxyzyq" Type="http://schemas.openxmlformats.org/officeDocument/2006/relationships/hyperlink" Target="https://gam.prontonlp.com/#/ref/$SENTID_NONSEC000078538504-3515" TargetMode="External"/><Relationship Id="rIduw97ndfokat6kwrcrhhgs" Type="http://schemas.openxmlformats.org/officeDocument/2006/relationships/hyperlink" Target="https://gam.prontonlp.com/#/ref/$SENTID_NONSEC000078538504-3460" TargetMode="External"/><Relationship Id="rIdfbwubi8c1uo6mfboy4cgp" Type="http://schemas.openxmlformats.org/officeDocument/2006/relationships/hyperlink" Target="https://gam.prontonlp.com/#/ref/$SENTID_T000001680726-290" TargetMode="External"/><Relationship Id="rIdse4d8z4cv_hefik-huy_-" Type="http://schemas.openxmlformats.org/officeDocument/2006/relationships/hyperlink" Target="https://gam.prontonlp.com/#/ref/$SENTID_T000001928874-320" TargetMode="External"/><Relationship Id="rId8s5txenogdeabcxajeisb" Type="http://schemas.openxmlformats.org/officeDocument/2006/relationships/hyperlink" Target="https://gam.prontonlp.com/#/ref/$SENTID_T000002232515-192" TargetMode="External"/><Relationship Id="rIdhequjdgvs3q_dgd_4yknl" Type="http://schemas.openxmlformats.org/officeDocument/2006/relationships/hyperlink" Target="https://gam.prontonlp.com/#/ref/$SENTID_NONSEC000180181407-3577" TargetMode="External"/><Relationship Id="rIdp28fk4hosfkny-yjqktct" Type="http://schemas.openxmlformats.org/officeDocument/2006/relationships/hyperlink" Target="https://gam.prontonlp.com/#/ref/$SENTID_NONSEC000180181407-3382" TargetMode="External"/><Relationship Id="rIdegs8pfgeq1qeumfynlso7" Type="http://schemas.openxmlformats.org/officeDocument/2006/relationships/hyperlink" Target="https://gam.prontonlp.com/#/ref/$SENTID_T000002760050-129" TargetMode="External"/><Relationship Id="rIdq0okzvsvbh2lc1slhk53d" Type="http://schemas.openxmlformats.org/officeDocument/2006/relationships/hyperlink" Target="https://gam.prontonlp.com/#/ref/$SENTID_NONSEC000239166805-3794" TargetMode="External"/><Relationship Id="rIdjlzn-pfpmt6sfvxzfbv9v" Type="http://schemas.openxmlformats.org/officeDocument/2006/relationships/hyperlink" Target="https://gam.prontonlp.com/#/ref/$SENTID_T000003054377-108" TargetMode="External"/><Relationship Id="rIdkfjbcofv1oonctbh88zdk" Type="http://schemas.openxmlformats.org/officeDocument/2006/relationships/hyperlink" Target="https://gam.prontonlp.com/#/ref/$SENTID_T000003394029-168" TargetMode="External"/><Relationship Id="rIdv3_gdlyguv__qdeyav539" Type="http://schemas.openxmlformats.org/officeDocument/2006/relationships/hyperlink" Target="https://gam.prontonlp.com/#/ref/$SENTID_NONSEC000259591248-5717" TargetMode="External"/><Relationship Id="rIdkb-wabbyc9yqx9gssy_at" Type="http://schemas.openxmlformats.org/officeDocument/2006/relationships/hyperlink" Target="https://gam.prontonlp.com/#/ref/$SENTID_NONSEC000259591248-5723" TargetMode="External"/><Relationship Id="rId0gvgpmw6psk5vplhmm-0c" Type="http://schemas.openxmlformats.org/officeDocument/2006/relationships/hyperlink" Target="https://gam.prontonlp.com/#/ref/$SENTID_NONSEC000259591248-5666" TargetMode="External"/><Relationship Id="rIdcf9byld-cithwtkibz7bh" Type="http://schemas.openxmlformats.org/officeDocument/2006/relationships/hyperlink" Target="https://gam.prontonlp.com/#/ref/$SENTID_T000003394029-168" TargetMode="External"/><Relationship Id="rIdmrhnibj--vbkb_swtz_x3" Type="http://schemas.openxmlformats.org/officeDocument/2006/relationships/hyperlink" Target="https://gam.prontonlp.com/#/ref/$SENTID_NONSEC000259591248-5681" TargetMode="External"/><Relationship Id="rIdgtxbwswpohsidlkmxvra1" Type="http://schemas.openxmlformats.org/officeDocument/2006/relationships/hyperlink" Target="https://gam.prontonlp.com/#/ref/$SENTID_T000003676656-102" TargetMode="External"/><Relationship Id="rIdednjqar_cv_emrcyfmomc" Type="http://schemas.openxmlformats.org/officeDocument/2006/relationships/hyperlink" Target="https://gam.prontonlp.com/#/ref/$SENTID_NONSEC000259591248-108" TargetMode="External"/><Relationship Id="rIdyjlfnipas-zx8nqhznl9m" Type="http://schemas.openxmlformats.org/officeDocument/2006/relationships/hyperlink" Target="https://gam.prontonlp.com/#/ref/$SENTID_T000003774119-159" TargetMode="External"/><Relationship Id="rId3hpwrhrrtw0ueivnwh_cz" Type="http://schemas.openxmlformats.org/officeDocument/2006/relationships/hyperlink" Target="https://gam.prontonlp.com/#/ref/$SENTID_T000003774119-159" TargetMode="External"/><Relationship Id="rId1zalqj0fcxrrnuc5fyemu" Type="http://schemas.openxmlformats.org/officeDocument/2006/relationships/hyperlink" Target="https://gam.prontonlp.com/#/ref/$SENTID_NONSEC000259591248-5737" TargetMode="External"/><Relationship Id="rIdv501r_1vi43vkgbmb8jdf" Type="http://schemas.openxmlformats.org/officeDocument/2006/relationships/hyperlink" Target="https://gam.prontonlp.com/#/ref/$SENTID_NONSEC000155231127-2416" TargetMode="External"/><Relationship Id="rIdpdpwnkdnlptln184fwaaj" Type="http://schemas.openxmlformats.org/officeDocument/2006/relationships/hyperlink" Target="https://gam.prontonlp.com/#/ref/$SENTID_NONSEC000200992035-249" TargetMode="External"/><Relationship Id="rIdxj7pt08biugfg9ikyao5o" Type="http://schemas.openxmlformats.org/officeDocument/2006/relationships/hyperlink" Target="https://gam.prontonlp.com/#/ref/$SENTID_NONSEC000264346860-139" TargetMode="External"/><Relationship Id="rIdijbqfrbn1mdkjyrfrgjfh" Type="http://schemas.openxmlformats.org/officeDocument/2006/relationships/hyperlink" Target="https://gam.prontonlp.com/#/ref/$SENTID_NONSEC000264346860-140" TargetMode="External"/><Relationship Id="rId_b62yoxnw6xqgtsx3f8_i" Type="http://schemas.openxmlformats.org/officeDocument/2006/relationships/hyperlink" Target="https://gam.prontonlp.com/#/ref/$SENTID_NONSEC000264346860-143" TargetMode="External"/><Relationship Id="rIdnnbnbd3dmkddagjeajz2p" Type="http://schemas.openxmlformats.org/officeDocument/2006/relationships/hyperlink" Target="https://gam.prontonlp.com/#/ref/$SENTID_NONSEC000259591248-1303" TargetMode="External"/><Relationship Id="rIdqk0ebj2rna_ntephtp19f" Type="http://schemas.openxmlformats.org/officeDocument/2006/relationships/hyperlink" Target="https://gam.prontonlp.com/#/ref/$SENTID_NONSEC000259591248-1378" TargetMode="External"/><Relationship Id="rIdxyvhsnvmnrfx3lnuz9fdu" Type="http://schemas.openxmlformats.org/officeDocument/2006/relationships/hyperlink" Target="https://gam.prontonlp.com/#/ref/$SENTID_NONSEC000259591248-902" TargetMode="External"/><Relationship Id="rIdwyxu0tgm4y0jsxjc4ynjp" Type="http://schemas.openxmlformats.org/officeDocument/2006/relationships/hyperlink" Target="https://gam.prontonlp.com/#/ref/$SENTID_NONSEC000259591248-902" TargetMode="External"/><Relationship Id="rId8o-gehaqwqcqoz8crngua" Type="http://schemas.openxmlformats.org/officeDocument/2006/relationships/hyperlink" Target="https://gam.prontonlp.com/#/ref/$SENTID_NONSEC000259591248-970" TargetMode="External"/><Relationship Id="rIdx3c3hr828pa2fhhy7onqc" Type="http://schemas.openxmlformats.org/officeDocument/2006/relationships/hyperlink" Target="https://gam.prontonlp.com/#/ref/$SENTID_NONSEC000259591248-980" TargetMode="External"/><Relationship Id="rId4j9fqn-c5dkyohlsv9g_t" Type="http://schemas.openxmlformats.org/officeDocument/2006/relationships/hyperlink" Target="https://gam.prontonlp.com/#/ref/$SENTID_NONSEC000259591248-6732" TargetMode="External"/><Relationship Id="rId4g4_0hcrfagzq0rff_6yi" Type="http://schemas.openxmlformats.org/officeDocument/2006/relationships/hyperlink" Target="https://gam.prontonlp.com/#/ref/$SENTID_NONSEC000259591248-1000" TargetMode="External"/><Relationship Id="rIdg9bttuii84c_qutp5jnq7" Type="http://schemas.openxmlformats.org/officeDocument/2006/relationships/hyperlink" Target="https://gam.prontonlp.com/#/ref/$SENTID_NONSEC000259591248-1013" TargetMode="External"/><Relationship Id="rIdfcwriuhm8if2-v2s-059w" Type="http://schemas.openxmlformats.org/officeDocument/2006/relationships/hyperlink" Target="https://gam.prontonlp.com/#/ref/$SENTID_NONSEC000259591248-1021" TargetMode="External"/><Relationship Id="rIddw9tbblglqpolq8tsnzh6" Type="http://schemas.openxmlformats.org/officeDocument/2006/relationships/hyperlink" Target="https://gam.prontonlp.com/#/ref/$SENTID_NONSEC000259591248-1034" TargetMode="External"/><Relationship Id="rIdrevtvr37_xyhulm301ug-" Type="http://schemas.openxmlformats.org/officeDocument/2006/relationships/hyperlink" Target="https://gam.prontonlp.com/#/ref/$SENTID_NONSEC000259591248-1041" TargetMode="External"/><Relationship Id="rIdrickjedhwixd7ylw3wsuv" Type="http://schemas.openxmlformats.org/officeDocument/2006/relationships/hyperlink" Target="https://gam.prontonlp.com/#/ref/$SENTID_NONSEC000259591248-902" TargetMode="External"/><Relationship Id="rIdwe0vnctsjni-gyr_qde3n" Type="http://schemas.openxmlformats.org/officeDocument/2006/relationships/hyperlink" Target="https://gam.prontonlp.com/#/ref/$SENTID_NONSEC000259591248-963" TargetMode="External"/><Relationship Id="rIdzgcaofz3bql1njskvz1h7" Type="http://schemas.openxmlformats.org/officeDocument/2006/relationships/hyperlink" Target="https://gam.prontonlp.com/#/ref/$SENTID_NONSEC000259591248-929" TargetMode="External"/><Relationship Id="rIdjpcb8hezzocbkxgxrpx0o" Type="http://schemas.openxmlformats.org/officeDocument/2006/relationships/hyperlink" Target="https://gam.prontonlp.com/#/ref/$SENTID_NONSEC000180181407-527" TargetMode="External"/><Relationship Id="rIdoyz6qpmxg36ej5dv68ovb" Type="http://schemas.openxmlformats.org/officeDocument/2006/relationships/hyperlink" Target="https://gam.prontonlp.com/#/ref/$SENTID_NONSEC000180181407-415" TargetMode="External"/><Relationship Id="rIdd44itphxlfkejnk-svkms" Type="http://schemas.openxmlformats.org/officeDocument/2006/relationships/hyperlink" Target="https://gam.prontonlp.com/#/ref/$SENTID_NONSEC000187028716-121" TargetMode="External"/><Relationship Id="rIdi8w7jvcpzezxnfwv7tu2j" Type="http://schemas.openxmlformats.org/officeDocument/2006/relationships/hyperlink" Target="https://gam.prontonlp.com/#/ref/$SENTID_NONSEC000202465426-735" TargetMode="External"/><Relationship Id="rIdug0lkl4qgloqgrhuj4abp" Type="http://schemas.openxmlformats.org/officeDocument/2006/relationships/hyperlink" Target="https://gam.prontonlp.com/#/ref/$SENTID_NONSEC000180181407-415" TargetMode="External"/><Relationship Id="rIdqdela4rbbqcyfejmblbmm" Type="http://schemas.openxmlformats.org/officeDocument/2006/relationships/hyperlink" Target="https://gam.prontonlp.com/#/ref/$SENTID_NONSEC000202465426-735" TargetMode="External"/><Relationship Id="rIdxfyb9rzn1ltcju9ymhpaq" Type="http://schemas.openxmlformats.org/officeDocument/2006/relationships/hyperlink" Target="https://gam.prontonlp.com/#/ref/$SENTID_NONSEC000208826367-133" TargetMode="External"/><Relationship Id="rIdz5ga-vnd_ju3yra43qrg9" Type="http://schemas.openxmlformats.org/officeDocument/2006/relationships/hyperlink" Target="https://gam.prontonlp.com/#/ref/$SENTID_NONSEC000208826367-132" TargetMode="External"/><Relationship Id="rIdqwpq7cagjpmqrcdh7d3e7" Type="http://schemas.openxmlformats.org/officeDocument/2006/relationships/hyperlink" Target="https://gam.prontonlp.com/#/ref/$SENTID_NONSEC000208826367-134" TargetMode="External"/><Relationship Id="rIdky-ta3ntkskwd5c8tynk1" Type="http://schemas.openxmlformats.org/officeDocument/2006/relationships/hyperlink" Target="https://gam.prontonlp.com/#/ref/$SENTID_NONSEC000208826367-133" TargetMode="External"/><Relationship Id="rIdi1lhjmw6ntgr1xwc4ktsh" Type="http://schemas.openxmlformats.org/officeDocument/2006/relationships/hyperlink" Target="https://gam.prontonlp.com/#/ref/$SENTID_NONSEC000259591248-902" TargetMode="External"/><Relationship Id="rId6qadwu5ckkkjmipxa-5sv" Type="http://schemas.openxmlformats.org/officeDocument/2006/relationships/hyperlink" Target="https://gam.prontonlp.com/#/ref/$SENTID_NONSEC000259591248-6732" TargetMode="External"/><Relationship Id="rIdn6_iegg8obwo7261ayuuc" Type="http://schemas.openxmlformats.org/officeDocument/2006/relationships/hyperlink" Target="https://gam.prontonlp.com/#/ref/$SENTID_NONSEC000227468208-163" TargetMode="External"/><Relationship Id="rIdxzeal5bp_-fe0hs0q6kpu" Type="http://schemas.openxmlformats.org/officeDocument/2006/relationships/hyperlink" Target="https://gam.prontonlp.com/#/ref/$SENTID_NONSEC000259591248-887" TargetMode="External"/><Relationship Id="rIdpfdn6aqm3h8rmmbknzirf" Type="http://schemas.openxmlformats.org/officeDocument/2006/relationships/hyperlink" Target="https://gam.prontonlp.com/#/ref/$SENTID_NONSEC000259591248-1543" TargetMode="External"/><Relationship Id="rIdrojinpuaw5be-rlci0-w4" Type="http://schemas.openxmlformats.org/officeDocument/2006/relationships/hyperlink" Target="https://gam.prontonlp.com/#/ref/$SENTID_NONSEC000259591248-921" TargetMode="External"/><Relationship Id="rId_elk_w7af1o2rax_gpfgg" Type="http://schemas.openxmlformats.org/officeDocument/2006/relationships/hyperlink" Target="https://gam.prontonlp.com/#/ref/$SENTID_NONSEC000259591248-921" TargetMode="External"/><Relationship Id="rIdbdieavetsuesmr5bqjb-v" Type="http://schemas.openxmlformats.org/officeDocument/2006/relationships/hyperlink" Target="https://gam.prontonlp.com/#/ref/$SENTID_NONSEC000259591248-921" TargetMode="External"/><Relationship Id="rIdfyrr3pjexkuohe_wvzfbe" Type="http://schemas.openxmlformats.org/officeDocument/2006/relationships/hyperlink" Target="https://gam.prontonlp.com/#/ref/$SENTID_NONSEC000259591248-921" TargetMode="External"/><Relationship Id="rId_fsfxo2vjs3qnlw7bopmh" Type="http://schemas.openxmlformats.org/officeDocument/2006/relationships/hyperlink" Target="https://gam.prontonlp.com/#/ref/$SENTID_NONSEC000259591248-921" TargetMode="External"/><Relationship Id="rIdymuzigstq_odlkfaaxqjj" Type="http://schemas.openxmlformats.org/officeDocument/2006/relationships/hyperlink" Target="https://gam.prontonlp.com/#/ref/$SENTID_NONSEC000259591248-6719" TargetMode="External"/><Relationship Id="rIdyuj0tmvjw2irj1ppil_yj" Type="http://schemas.openxmlformats.org/officeDocument/2006/relationships/hyperlink" Target="https://gam.prontonlp.com/#/ref/$SENTID_NONSEC000259591248-929" TargetMode="External"/><Relationship Id="rIdliefokiua3-psatr42v9_" Type="http://schemas.openxmlformats.org/officeDocument/2006/relationships/hyperlink" Target="https://gam.prontonlp.com/#/ref/$SENTID_NONSEC000259591248-921" TargetMode="External"/><Relationship Id="rIdenuyospngighkg_1qr3c0" Type="http://schemas.openxmlformats.org/officeDocument/2006/relationships/hyperlink" Target="https://gam.prontonlp.com/#/ref/$SENTID_NONSEC000259591248-1065" TargetMode="External"/><Relationship Id="rId0vf1-2sud8tf1lyodujci" Type="http://schemas.openxmlformats.org/officeDocument/2006/relationships/hyperlink" Target="https://gam.prontonlp.com/#/ref/$SENTID_NONSEC000264346860-137" TargetMode="External"/><Relationship Id="rId0_mijbqmkn0ga8gqtswig" Type="http://schemas.openxmlformats.org/officeDocument/2006/relationships/hyperlink" Target="https://gam.prontonlp.com/#/ref/$SENTID_NONSEC000264346860-139" TargetMode="External"/><Relationship Id="rIdouoyfifoibsakkmdzizmk" Type="http://schemas.openxmlformats.org/officeDocument/2006/relationships/hyperlink" Target="https://gam.prontonlp.com/#/ref/$SENTID_NONSEC000264346860-142" TargetMode="External"/><Relationship Id="rId-4h4xlkucq6u8wktijwk0" Type="http://schemas.openxmlformats.org/officeDocument/2006/relationships/hyperlink" Target="https://gam.prontonlp.com/#/ref/$SENTID_NONSEC000264346860-139" TargetMode="External"/><Relationship Id="rIds56xs4xfcqvtjtokmgi_c" Type="http://schemas.openxmlformats.org/officeDocument/2006/relationships/hyperlink" Target="https://gam.prontonlp.com/#/ref/$SENTID_NONSEC000264346860-142" TargetMode="External"/><Relationship Id="rIdngmnqk0tc2gcwqf5hsnv1" Type="http://schemas.openxmlformats.org/officeDocument/2006/relationships/hyperlink" Target="https://gam.prontonlp.com/#/ref/$SENTID_NONSEC000259591248-6701" TargetMode="External"/><Relationship Id="rIdv4fyzbqof3kafcbfw8pac" Type="http://schemas.openxmlformats.org/officeDocument/2006/relationships/hyperlink" Target="https://gam.prontonlp.com/#/ref/$SENTID_NONSEC000264324010-166" TargetMode="External"/><Relationship Id="rIdwg66tarbs9brwpds-xggl" Type="http://schemas.openxmlformats.org/officeDocument/2006/relationships/hyperlink" Target="https://gam.prontonlp.com/#/ref/$SENTID_NONSEC000264324010-167" TargetMode="External"/><Relationship Id="rIdxhir5xlg2zmv0hwrbnsxc" Type="http://schemas.openxmlformats.org/officeDocument/2006/relationships/hyperlink" Target="https://gam.prontonlp.com/#/ref/$SENTID_T000003394029-358" TargetMode="External"/><Relationship Id="rIdi5cfgfczdwgfjifwah0qr" Type="http://schemas.openxmlformats.org/officeDocument/2006/relationships/hyperlink" Target="https://gam.prontonlp.com/#/ref/$SENTID_T000003054377-203" TargetMode="External"/><Relationship Id="rId6a2sp278amd-qxckrledy" Type="http://schemas.openxmlformats.org/officeDocument/2006/relationships/hyperlink" Target="https://gam.prontonlp.com/#/ref/$SENTID_NONSEC000078538504-1050" TargetMode="External"/><Relationship Id="rId3k_cjtblnnobnenvkonu8" Type="http://schemas.openxmlformats.org/officeDocument/2006/relationships/hyperlink" Target="https://gam.prontonlp.com/#/ref/$SENTID_T000002859132-172" TargetMode="External"/><Relationship Id="rIdd7miblnywxqd1b_0brab6" Type="http://schemas.openxmlformats.org/officeDocument/2006/relationships/hyperlink" Target="https://gam.prontonlp.com/#/ref/$SENTID_T000002520475-220" TargetMode="External"/><Relationship Id="rIdxdkhsyszd41gdtw4zyhrj" Type="http://schemas.openxmlformats.org/officeDocument/2006/relationships/hyperlink" Target="https://gam.prontonlp.com/#/ref/$SENTID_NONSEC000155231127-2416" TargetMode="External"/><Relationship Id="rIdvqo-xsp1xazxyoeaoep7b" Type="http://schemas.openxmlformats.org/officeDocument/2006/relationships/hyperlink" Target="https://gam.prontonlp.com/#/ref/$SENTID_T000002049748-16" TargetMode="External"/><Relationship Id="rIdye06hu7femmvzlqizisg5" Type="http://schemas.openxmlformats.org/officeDocument/2006/relationships/hyperlink" Target="https://gam.prontonlp.com/#/ref/$SENTID_T000002520475-19" TargetMode="External"/><Relationship Id="rId-juj7ksqfdb3pl7tmtakp" Type="http://schemas.openxmlformats.org/officeDocument/2006/relationships/hyperlink" Target="https://gam.prontonlp.com/#/ref/$SENTID_T000002760050-30" TargetMode="External"/><Relationship Id="rIdtxzci8hj9znijjwnhaqhu" Type="http://schemas.openxmlformats.org/officeDocument/2006/relationships/hyperlink" Target="https://gam.prontonlp.com/#/ref/$SENTID_T000003054377-108" TargetMode="External"/><Relationship Id="rIdk_tjvzvcjv7gcjjkzm3wk" Type="http://schemas.openxmlformats.org/officeDocument/2006/relationships/hyperlink" Target="https://gam.prontonlp.com/#/ref/$SENTID_T000002901783-59" TargetMode="External"/><Relationship Id="rIduowpxrtx4axlx4lhaycqb" Type="http://schemas.openxmlformats.org/officeDocument/2006/relationships/hyperlink" Target="https://gam.prontonlp.com/#/ref/$SENTID_T000003054377-125" TargetMode="External"/><Relationship Id="rIdozewd-tnkm6kuwrdffglx" Type="http://schemas.openxmlformats.org/officeDocument/2006/relationships/hyperlink" Target="https://gam.prontonlp.com/#/ref/$SENTID_T000003468571-3206" TargetMode="External"/><Relationship Id="rIdrv7kg11tlztq_s2pyf3fl" Type="http://schemas.openxmlformats.org/officeDocument/2006/relationships/hyperlink" Target="https://gam.prontonlp.com/#/ref/$SENTID_T000003774119-277" TargetMode="External"/><Relationship Id="rIdiqxujcloz9obahykhm2ql" Type="http://schemas.openxmlformats.org/officeDocument/2006/relationships/hyperlink" Target="https://gam.prontonlp.com/#/ref/$SENTID_T000003774119-83" TargetMode="External"/><Relationship Id="rIddnxylcktxvjj_7h8bl48e" Type="http://schemas.openxmlformats.org/officeDocument/2006/relationships/hyperlink" Target="https://gam.prontonlp.com/#/ref/$SENTID_NONSEC000200992035-249" TargetMode="External"/><Relationship Id="rIdvxcwqlr5ei-yhwx_mp7a2" Type="http://schemas.openxmlformats.org/officeDocument/2006/relationships/hyperlink" Target="https://gam.prontonlp.com/#/ref/$SENTID_NONSEC000259591248-5652" TargetMode="External"/><Relationship Id="rIdf1tawmwqbkn7fq-zp_wre" Type="http://schemas.openxmlformats.org/officeDocument/2006/relationships/hyperlink" Target="https://gam.prontonlp.com/#/ref/$SENTID_NONSEC000259591248-5725" TargetMode="External"/><Relationship Id="rIdpfa0iuzaoe6dw5ejc4hhy" Type="http://schemas.openxmlformats.org/officeDocument/2006/relationships/hyperlink" Target="https://gam.prontonlp.com/#/ref/$SENTID_NONSEC000259591248-6145" TargetMode="External"/><Relationship Id="rId5qxcpcmg_yepstf5u3xx7" Type="http://schemas.openxmlformats.org/officeDocument/2006/relationships/hyperlink" Target="https://gam.prontonlp.com/#/ref/$SENTID_NONSEC000259591248-5370" TargetMode="External"/><Relationship Id="rIdqfprpiqbh9vkppmkbjh7a" Type="http://schemas.openxmlformats.org/officeDocument/2006/relationships/hyperlink" Target="https://gam.prontonlp.com/#/ref/$SENTID_NONSEC000259591248-6726" TargetMode="External"/><Relationship Id="rIdwnvolrp2ov6hfywinycs3" Type="http://schemas.openxmlformats.org/officeDocument/2006/relationships/hyperlink" Target="https://gam.prontonlp.com/#/ref/$SENTID_NONSEC000259591248-6716" TargetMode="External"/><Relationship Id="rIdmqpl-grhmwh56usruk_gt" Type="http://schemas.openxmlformats.org/officeDocument/2006/relationships/hyperlink" Target="https://gam.prontonlp.com/#/ref/$SENTID_NONSEC000259591248-6707" TargetMode="External"/><Relationship Id="rIdk-fpibrosm7broyfgjh3l" Type="http://schemas.openxmlformats.org/officeDocument/2006/relationships/hyperlink" Target="https://gam.prontonlp.com/#/ref/$SENTID_NONSEC000259591248-6707" TargetMode="External"/><Relationship Id="rIdsl5qgfgop72zz25xehsd6" Type="http://schemas.openxmlformats.org/officeDocument/2006/relationships/hyperlink" Target="https://gam.prontonlp.com/#/ref/$SENTID_NONSEC000259591248-6695" TargetMode="External"/><Relationship Id="rIdnl2v0rdea2wmnn8duiols" Type="http://schemas.openxmlformats.org/officeDocument/2006/relationships/hyperlink" Target="https://gam.prontonlp.com/#/ref/$SENTID_NONSEC000259591248-6608" TargetMode="External"/><Relationship Id="rIdrh4ljdynueyyz8yis39sa" Type="http://schemas.openxmlformats.org/officeDocument/2006/relationships/hyperlink" Target="https://gam.prontonlp.com/#/ref/$SENTID_T000003774119-296" TargetMode="External"/><Relationship Id="rIdiollxko2fqkt5i36gotcc" Type="http://schemas.openxmlformats.org/officeDocument/2006/relationships/hyperlink" Target="https://gam.prontonlp.com/#/ref/$SENTID_NONSEC000259591248-6715" TargetMode="External"/><Relationship Id="rIdqyl4-eeu8e-prxypx4wbs" Type="http://schemas.openxmlformats.org/officeDocument/2006/relationships/hyperlink" Target="https://www.capitaliq.spglobal.com/apisv3/spg-webplatform-core/docviewer?mid=178585396" TargetMode="External"/><Relationship Id="rIdoehtazexwqnkhzaaxharv" Type="http://schemas.openxmlformats.org/officeDocument/2006/relationships/hyperlink" Target="https://www.capitaliq.spglobal.com/apisv3/spg-webplatform-core/docviewer?mid=200992035" TargetMode="External"/><Relationship Id="rId_rbehkqmygvyyh8jd-f53" Type="http://schemas.openxmlformats.org/officeDocument/2006/relationships/hyperlink" Target="https://www.capitaliq.spglobal.com/apisv3/spg-webplatform-core/docviewer?mid=219356666" TargetMode="External"/><Relationship Id="rIdy7ku8_iaw2wcmlxebc3bg" Type="http://schemas.openxmlformats.org/officeDocument/2006/relationships/hyperlink" Target="https://www.capitaliq.spglobal.com/apisv3/spg-webplatform-core/docviewer?mid=219356666&amp;uctSearch=-33.200000" TargetMode="External"/><Relationship Id="rId3u58-rkfex4eczyz-2tzh" Type="http://schemas.openxmlformats.org/officeDocument/2006/relationships/hyperlink" Target="https://www.capitaliq.spglobal.com/apisv3/spg-webplatform-core/docviewer?mid=237899676" TargetMode="External"/><Relationship Id="rId5serf8zluaewkr-lk8l_d" Type="http://schemas.openxmlformats.org/officeDocument/2006/relationships/hyperlink" Target="https://www.capitaliq.spglobal.com/apisv3/spg-webplatform-core/docviewer?mid=237899676&amp;uctSearch=-61.700000" TargetMode="External"/><Relationship Id="rIdsc-ujrqwehlyeah7eqvtp" Type="http://schemas.openxmlformats.org/officeDocument/2006/relationships/hyperlink" Target="https://www.capitaliq.spglobal.com/apisv3/spg-webplatform-core/docviewer?mid=256665099" TargetMode="External"/><Relationship Id="rIdhedflwpzkg-ycs70z7vmh" Type="http://schemas.openxmlformats.org/officeDocument/2006/relationships/hyperlink" Target="https://www.capitaliq.spglobal.com/apisv3/spg-webplatform-core/docviewer?mid=256665099&amp;uctSearch=-101.300000" TargetMode="External"/><Relationship Id="rIdnjm351r-mizz38iv9kzzq" Type="http://schemas.openxmlformats.org/officeDocument/2006/relationships/hyperlink" Target="https://www.capitaliq.spglobal.com/apisv3/spg-webplatform-core/docviewer?mid=256665099" TargetMode="External"/><Relationship Id="rIdgx8pnoswhnt0crpisfzy6" Type="http://schemas.openxmlformats.org/officeDocument/2006/relationships/hyperlink" Target="https://www.capitaliq.spglobal.com/apisv3/spg-webplatform-core/docviewer?mid=256665099&amp;uctSearch=-105.100000" TargetMode="External"/><Relationship Id="rIdmehm7xuhny1wdai31wdss" Type="http://schemas.openxmlformats.org/officeDocument/2006/relationships/hyperlink" Target="https://www.capitaliq.spglobal.com/apisv3/spg-webplatform-core/docviewer?mid=256665099&amp;uctSearch=-153.800000" TargetMode="External"/><Relationship Id="rId_odrzsglqemrzou18wcng" Type="http://schemas.openxmlformats.org/officeDocument/2006/relationships/hyperlink" Target="https://gam.prontonlp.com/#/ref/$SENTID_NONSEC000256665099-663" TargetMode="External"/><Relationship Id="rIdkkg8xjudibuhu9npegqof" Type="http://schemas.openxmlformats.org/officeDocument/2006/relationships/hyperlink" Target="https://gam.prontonlp.com/#/ref/$SENTID_NONSEC000256665099-695" TargetMode="External"/><Relationship Id="rIdgjooddj-gc4uza8pbuzey" Type="http://schemas.openxmlformats.org/officeDocument/2006/relationships/hyperlink" Target="https://gam.prontonlp.com/#/ref/$SENTID_T000003774119-292" TargetMode="External"/><Relationship Id="rIdv4jxq_wksq1mdcjpvwz7m" Type="http://schemas.openxmlformats.org/officeDocument/2006/relationships/hyperlink" Target="https://gam.prontonlp.com/#/ref/$SENTID_NONSEC000264324010-17" TargetMode="External"/><Relationship Id="rIdeycf4o3frv90onp9y5w_s" Type="http://schemas.openxmlformats.org/officeDocument/2006/relationships/hyperlink" Target="https://gam.prontonlp.com/#/ref/$SENTID_T000003774119-568" TargetMode="External"/><Relationship Id="rId8rxj976xlmqeeu5y-eiuj" Type="http://schemas.openxmlformats.org/officeDocument/2006/relationships/hyperlink" Target="https://gam.prontonlp.com/#/ref/$SENTID_NONSEC000259591248-5620" TargetMode="External"/><Relationship Id="rIdjergblhexowb0l4hffpuq" Type="http://schemas.openxmlformats.org/officeDocument/2006/relationships/hyperlink" Target="https://www.capitaliq.spglobal.com/apisv3/spg-webplatform-core/docviewer?mid=256665099" TargetMode="External"/><Relationship Id="rIddozqhyvz6rkdzrz50tkmm" Type="http://schemas.openxmlformats.org/officeDocument/2006/relationships/hyperlink" Target="https://www.capitaliq.spglobal.com/apisv3/spg-webplatform-core/docviewer?mid=256665099&amp;uctSearch=34.700000" TargetMode="External"/><Relationship Id="rIdtuvkhy8tk9nooxvvuqv-j" Type="http://schemas.openxmlformats.org/officeDocument/2006/relationships/hyperlink" Target="https://gam.prontonlp.com/#/ref/$SENTID_T000003676656-251" TargetMode="External"/><Relationship Id="rId4v1au_qth98wkwytaj1x-" Type="http://schemas.openxmlformats.org/officeDocument/2006/relationships/hyperlink" Target="https://www.capitaliq.spglobal.com/apisv3/spg-webplatform-core/docviewer?mid=256665099&amp;uctSearch=4039.600000" TargetMode="External"/><Relationship Id="rIduuivpootixno5rf9v9ug8" Type="http://schemas.openxmlformats.org/officeDocument/2006/relationships/hyperlink" Target="https://gam.prontonlp.com/#/ref/$SENTID_NONSEC000264324010-329" TargetMode="External"/><Relationship Id="rIdsweiu1vtz9hzofpvml2pr" Type="http://schemas.openxmlformats.org/officeDocument/2006/relationships/hyperlink" Target="https://gam.prontonlp.com/#/ref/$SENTID_NONSEC000256665099-253" TargetMode="External"/><Relationship Id="rIdoc0kp-vkiftuevdsl_7d7" Type="http://schemas.openxmlformats.org/officeDocument/2006/relationships/hyperlink" Target="https://gam.prontonlp.com/#/ref/$SENTID_NONSEC000259591248-5931" TargetMode="External"/><Relationship Id="rId7kcgfxtpoemblfzubjwpd" Type="http://schemas.openxmlformats.org/officeDocument/2006/relationships/hyperlink" Target="https://gam.prontonlp.com/#/ref/$SENTID_NONSEC000264324010-251" TargetMode="External"/><Relationship Id="rIdk-hxb0pvlppotcybslvcv" Type="http://schemas.openxmlformats.org/officeDocument/2006/relationships/hyperlink" Target="https://gam.prontonlp.com/#/ref/$SENTID_NONSEC000017030791-149" TargetMode="External"/><Relationship Id="rIdaoyoq0nxcrc7ifopsaddy" Type="http://schemas.openxmlformats.org/officeDocument/2006/relationships/hyperlink" Target="https://gam.prontonlp.com/#/ref/$SENTID_NONSEC000017030791-435" TargetMode="External"/><Relationship Id="rIdlqvwxqskht7tgfueil-hr" Type="http://schemas.openxmlformats.org/officeDocument/2006/relationships/hyperlink" Target="https://gam.prontonlp.com/#/ref/$SENTID_NONSEC000018250322-12" TargetMode="External"/><Relationship Id="rIdrh8in9ldfxd3agm7_hxdi" Type="http://schemas.openxmlformats.org/officeDocument/2006/relationships/hyperlink" Target="https://gam.prontonlp.com/#/ref/$SENTID_NONSEC000264346860-81" TargetMode="External"/><Relationship Id="rIdo70d8exoayj8xpb0bsal9" Type="http://schemas.openxmlformats.org/officeDocument/2006/relationships/hyperlink" Target="https://gam.prontonlp.com/#/ref/$SENTID_NONSEC000078538504-821" TargetMode="External"/><Relationship Id="rIdqjkrspc0cn_zjvdjikwgw" Type="http://schemas.openxmlformats.org/officeDocument/2006/relationships/hyperlink" Target="https://gam.prontonlp.com/#/ref/$SENTID_NONSEC000078538504-341" TargetMode="External"/><Relationship Id="rIdhejsco4xovgc2roi_hwub" Type="http://schemas.openxmlformats.org/officeDocument/2006/relationships/hyperlink" Target="https://gam.prontonlp.com/#/ref/$SENTID_NONSEC000078538504-3423" TargetMode="External"/><Relationship Id="rIduddxfb0qihxgz4mdvsv3h" Type="http://schemas.openxmlformats.org/officeDocument/2006/relationships/hyperlink" Target="https://gam.prontonlp.com/#/ref/$SENTID_T000003468571-3169" TargetMode="External"/><Relationship Id="rIdwp3qo3afh9-kch2z-ixbj" Type="http://schemas.openxmlformats.org/officeDocument/2006/relationships/hyperlink" Target="https://gam.prontonlp.com/#/ref/$DOCID_T000001376172" TargetMode="External"/><Relationship Id="rId1osdj-jjkroepmnpih4b7" Type="http://schemas.openxmlformats.org/officeDocument/2006/relationships/hyperlink" Target="https://gam.prontonlp.com/#/ref/$SENTID_NONSEC000259591248-934" TargetMode="External"/><Relationship Id="rIdrd88hdzudtdcs3bt1wrqt" Type="http://schemas.openxmlformats.org/officeDocument/2006/relationships/hyperlink" Target="https://gam.prontonlp.com/#/ref/$SENTID_NONSEC000202465426-634" TargetMode="External"/><Relationship Id="rId4jj309mjvefdu9rs0znhg" Type="http://schemas.openxmlformats.org/officeDocument/2006/relationships/hyperlink" Target="https://gam.prontonlp.com/#/ref/$SENTID_NONSEC000156087943-3252" TargetMode="External"/><Relationship Id="rIdvviuawbyikorkbzktx-sk" Type="http://schemas.openxmlformats.org/officeDocument/2006/relationships/hyperlink" Target="https://gam.prontonlp.com/#/ref/$SENTID_T000001974097-144" TargetMode="External"/><Relationship Id="rIdokwb4bfd0zxck6zeqtllc" Type="http://schemas.openxmlformats.org/officeDocument/2006/relationships/hyperlink" Target="https://gam.prontonlp.com/#/ref/$SENTID_NONSEC000180181407-3392" TargetMode="External"/><Relationship Id="rId4ntha-fjhl3-pz4siy_jk" Type="http://schemas.openxmlformats.org/officeDocument/2006/relationships/hyperlink" Target="https://gam.prontonlp.com/#/ref/$SENTID_T000003676656-424" TargetMode="External"/><Relationship Id="rIdpd-cs7balkoxun3tyk5d3" Type="http://schemas.openxmlformats.org/officeDocument/2006/relationships/hyperlink" Target="https://gam.prontonlp.com/#/ref/$SENTID_NONSEC000178585396-854" TargetMode="External"/><Relationship Id="rIduu7gghoyj0kldcrikl3wi" Type="http://schemas.openxmlformats.org/officeDocument/2006/relationships/hyperlink" Target="https://gam.prontonlp.com/#/ref/$SENTID_NONSEC000180181407-3444" TargetMode="External"/><Relationship Id="rIde691r2rmd219lu0znohyl" Type="http://schemas.openxmlformats.org/officeDocument/2006/relationships/hyperlink" Target="https://gam.prontonlp.com/#/ref/$SENTID_NONSEC000264346860-81" TargetMode="External"/><Relationship Id="rIdualern630ais3gaqhxbrw" Type="http://schemas.openxmlformats.org/officeDocument/2006/relationships/hyperlink" Target="https://gam.prontonlp.com/#/ref/$SENTID_T000002606072-20" TargetMode="External"/><Relationship Id="rIdvowis_y35tzam0blofrj2" Type="http://schemas.openxmlformats.org/officeDocument/2006/relationships/hyperlink" Target="https://gam.prontonlp.com/#/ref/$SENTID_T000002606072-302" TargetMode="External"/><Relationship Id="rIdx1wqo2t3ywoph2lc_0uw_" Type="http://schemas.openxmlformats.org/officeDocument/2006/relationships/hyperlink" Target="https://gam.prontonlp.com/#/ref/$SENTID_NONSEC000256665099-861" TargetMode="External"/><Relationship Id="rIdawfoujtf61rbalnbcpnve" Type="http://schemas.openxmlformats.org/officeDocument/2006/relationships/hyperlink" Target="https://gam.prontonlp.com/#/ref/$SENTID_NONSEC000259591248-6435" TargetMode="External"/><Relationship Id="rIdwerfld4x_5n_ipoezddm7" Type="http://schemas.openxmlformats.org/officeDocument/2006/relationships/hyperlink" Target="https://gam.prontonlp.com/#/ref/$SENTID_T000002666115-25" TargetMode="External"/><Relationship Id="rIdl9pm5h6s4a5914gfx49se" Type="http://schemas.openxmlformats.org/officeDocument/2006/relationships/hyperlink" Target="https://gam.prontonlp.com/#/ref/$SENTID_T000002760050-403" TargetMode="External"/><Relationship Id="rIdv9oxena6p7iix_5tky2ar" Type="http://schemas.openxmlformats.org/officeDocument/2006/relationships/hyperlink" Target="https://gam.prontonlp.com/#/ref/$SENTID_T000002760050-412" TargetMode="External"/><Relationship Id="rIdayziti19nxmxplbpm8bwf" Type="http://schemas.openxmlformats.org/officeDocument/2006/relationships/hyperlink" Target="https://gam.prontonlp.com/#/ref/$SENTID_T000002859132-366" TargetMode="External"/><Relationship Id="rId-geddjn6_z4unfreyf8ur" Type="http://schemas.openxmlformats.org/officeDocument/2006/relationships/hyperlink" Target="https://gam.prontonlp.com/#/ref/$SENTID_T000002901783-244" TargetMode="External"/><Relationship Id="rIdhns4pee_3s-_sjmwoxryo" Type="http://schemas.openxmlformats.org/officeDocument/2006/relationships/hyperlink" Target="https://gam.prontonlp.com/#/ref/$SENTID_T000002901783-428" TargetMode="External"/><Relationship Id="rIdf_wgmp-vur8wlkuawrd6j" Type="http://schemas.openxmlformats.org/officeDocument/2006/relationships/hyperlink" Target="https://gam.prontonlp.com/#/ref/$SENTID_T000003054377-231" TargetMode="External"/><Relationship Id="rIdnxxdr5uz0hsd6bwjnemoc" Type="http://schemas.openxmlformats.org/officeDocument/2006/relationships/hyperlink" Target="https://gam.prontonlp.com/#/ref/$SENTID_T000003054377-232" TargetMode="External"/><Relationship Id="rIdbxbhg-unttzytz_jwbgh0" Type="http://schemas.openxmlformats.org/officeDocument/2006/relationships/hyperlink" Target="https://gam.prontonlp.com/#/ref/$SENTID_T000003394029-269" TargetMode="External"/><Relationship Id="rIdczr5kzeovnjt7ystjyduy" Type="http://schemas.openxmlformats.org/officeDocument/2006/relationships/hyperlink" Target="https://gam.prontonlp.com/#/ref/$SENTID_T000003468571-1260" TargetMode="External"/><Relationship Id="rId2b9f9wrvkmkiqxqesk4wl" Type="http://schemas.openxmlformats.org/officeDocument/2006/relationships/hyperlink" Target="https://gam.prontonlp.com/#/ref/$SENTID_NONSEC000259591248-6196" TargetMode="External"/><Relationship Id="rIdnr4is_v0xignon99wfikh" Type="http://schemas.openxmlformats.org/officeDocument/2006/relationships/hyperlink" Target="https://gam.prontonlp.com/#/ref/$SENTID_T000003194583-81" TargetMode="External"/><Relationship Id="rId2f5wm65ewlfa4ywz3gkv4" Type="http://schemas.openxmlformats.org/officeDocument/2006/relationships/hyperlink" Target="https://gam.prontonlp.com/#/ref/$SENTID_NONSEC000227525215-155" TargetMode="External"/><Relationship Id="rIdat8t4urw454rseb_xend3" Type="http://schemas.openxmlformats.org/officeDocument/2006/relationships/hyperlink" Target="https://gam.prontonlp.com/#/ref/$SENTID_NONSEC000232051849-1" TargetMode="External"/><Relationship Id="rIdfob-fk5kimx1j09dcno0b" Type="http://schemas.openxmlformats.org/officeDocument/2006/relationships/hyperlink" Target="https://gam.prontonlp.com/#/ref/$SENTID_NONSEC000232051849-1" TargetMode="External"/><Relationship Id="rIdko8450tw1srnghgymgdaz" Type="http://schemas.openxmlformats.org/officeDocument/2006/relationships/hyperlink" Target="https://gam.prontonlp.com/#/ref/$SENTID_T000003468571-3277" TargetMode="External"/><Relationship Id="rIdzqtpfm6mobablzdx0xlot" Type="http://schemas.openxmlformats.org/officeDocument/2006/relationships/hyperlink" Target="https://gam.prontonlp.com/#/ref/$SENTID_T000003408143-110" TargetMode="External"/><Relationship Id="rId881qlyxcxyto8sltye-rr" Type="http://schemas.openxmlformats.org/officeDocument/2006/relationships/hyperlink" Target="https://gam.prontonlp.com/#/ref/$SENTID_NONSEC000257201966-133" TargetMode="External"/><Relationship Id="rIdh65-8nmxtujuwrakuiqjc" Type="http://schemas.openxmlformats.org/officeDocument/2006/relationships/hyperlink" Target="https://gam.prontonlp.com/#/ref/$SENTID_NONSEC000257201966-4" TargetMode="External"/><Relationship Id="rIdcfrcs1jndl-kninkwlqcf" Type="http://schemas.openxmlformats.org/officeDocument/2006/relationships/hyperlink" Target="https://gam.prontonlp.com/#/ref/$SENTID_NONSEC000259591248-6197" TargetMode="External"/><Relationship Id="rId0sjknqgpyktn_g0-s-hvp" Type="http://schemas.openxmlformats.org/officeDocument/2006/relationships/hyperlink" Target="https://gam.prontonlp.com/#/ref/$SENTID_NONSEC000256665099-562" TargetMode="External"/><Relationship Id="rIdqfirbdtdfvpyjq8bg2rty" Type="http://schemas.openxmlformats.org/officeDocument/2006/relationships/hyperlink" Target="https://gam.prontonlp.com/#/ref/$SENTID_T000003512646-262" TargetMode="External"/><Relationship Id="rId29my6mknbquvnwkoeiyyr" Type="http://schemas.openxmlformats.org/officeDocument/2006/relationships/hyperlink" Target="https://gam.prontonlp.com/#/ref/$SENTID_T000003468571-3232" TargetMode="External"/><Relationship Id="rId0ucz3uevkl5ls60rpajox" Type="http://schemas.openxmlformats.org/officeDocument/2006/relationships/hyperlink" Target="https://gam.prontonlp.com/#/ref/$SENTID_NONSEC000259591248-6624" TargetMode="External"/><Relationship Id="rIdxy29vobbsbrlawuwjxrhs" Type="http://schemas.openxmlformats.org/officeDocument/2006/relationships/hyperlink" Target="https://gam.prontonlp.com/#/ref/$SENTID_NONSEC000259591248-5314" TargetMode="External"/><Relationship Id="rIdb3-dk4rc-s70onzhbm6ae" Type="http://schemas.openxmlformats.org/officeDocument/2006/relationships/hyperlink" Target="https://gam.prontonlp.com/#/ref/$SENTID_NONSEC000256665099-663" TargetMode="External"/><Relationship Id="rIduscr8xcj1_w6dokegb4q6" Type="http://schemas.openxmlformats.org/officeDocument/2006/relationships/hyperlink" Target="https://gam.prontonlp.com/#/ref/$SENTID_NONSEC000256665099-666" TargetMode="External"/><Relationship Id="rIdwdwjhpby-59dfppxogitq" Type="http://schemas.openxmlformats.org/officeDocument/2006/relationships/hyperlink" Target="https://gam.prontonlp.com/#/ref/$SENTID_NONSEC000256665099-693" TargetMode="External"/><Relationship Id="rId_kyzowthlohhud0dqtr0b" Type="http://schemas.openxmlformats.org/officeDocument/2006/relationships/hyperlink" Target="https://gam.prontonlp.com/#/ref/$SENTID_NONSEC000256665099-695" TargetMode="External"/><Relationship Id="rIdvrdxfitri4rppjj7ipkp-" Type="http://schemas.openxmlformats.org/officeDocument/2006/relationships/hyperlink" Target="https://gam.prontonlp.com/#/ref/$SENTID_T000003676656-424" TargetMode="External"/><Relationship Id="rIdxsv9in-iiptmqfrga3yk1" Type="http://schemas.openxmlformats.org/officeDocument/2006/relationships/hyperlink" Target="https://gam.prontonlp.com/#/ref/$SENTID_T000003774119-73" TargetMode="External"/><Relationship Id="rIdq-dfyutkhyi_pw8b_seiq" Type="http://schemas.openxmlformats.org/officeDocument/2006/relationships/hyperlink" Target="https://gam.prontonlp.com/#/ref/$SENTID_T000003676456-32" TargetMode="External"/><Relationship Id="rIdjcp02fut3dywjkz_yc1f9" Type="http://schemas.openxmlformats.org/officeDocument/2006/relationships/hyperlink" Target="https://gam.prontonlp.com/#/ref/$SENTID_SEC000264268729-16" TargetMode="External"/><Relationship Id="rIdtfvy5asinv4m2-sgfvnux" Type="http://schemas.openxmlformats.org/officeDocument/2006/relationships/hyperlink" Target="https://gam.prontonlp.com/#/ref/$SENTID_T000003676656-507" TargetMode="External"/><Relationship Id="rIdfijbkzmpwbw3hv7s4tz4p" Type="http://schemas.openxmlformats.org/officeDocument/2006/relationships/hyperlink" Target="https://gam.prontonlp.com/#/ref/$SENTID_T000003676656-519" TargetMode="External"/><Relationship Id="rIdxr8dd8rl5ibcreqyd7ab_" Type="http://schemas.openxmlformats.org/officeDocument/2006/relationships/hyperlink" Target="https://gam.prontonlp.com/#/ref/$SENTID_NONSEC000264346860-267" TargetMode="External"/><Relationship Id="rIdfhhm8g-nhb6fv6awzr2po" Type="http://schemas.openxmlformats.org/officeDocument/2006/relationships/hyperlink" Target="https://gam.prontonlp.com/#/ref/$SENTID_NONSEC000264346860-269" TargetMode="External"/><Relationship Id="rIdds2qg_1ug_7cyji9khruo" Type="http://schemas.openxmlformats.org/officeDocument/2006/relationships/hyperlink" Target="https://gam.prontonlp.com/#/ref/$SENTID_NONSEC000264346860-106" TargetMode="External"/><Relationship Id="rIdw3ouwf7zdl3mcckaktmtp" Type="http://schemas.openxmlformats.org/officeDocument/2006/relationships/hyperlink" Target="https://gam.prontonlp.com/#/ref/$SENTID_NONSEC000264346860-173" TargetMode="External"/><Relationship Id="rIdqyo1iiokeabgsx77hydxa" Type="http://schemas.openxmlformats.org/officeDocument/2006/relationships/hyperlink" Target="https://gam.prontonlp.com/#/ref/$SENTID_SEC000261869454-45" TargetMode="External"/><Relationship Id="rIdfqxrbcehgzwpdaav3w-ak" Type="http://schemas.openxmlformats.org/officeDocument/2006/relationships/hyperlink" Target="https://gam.prontonlp.com/#/ref/$SENTID_SEC000267162990-37" TargetMode="External"/><Relationship Id="rIdufznw-xrnveorytkdme7o" Type="http://schemas.openxmlformats.org/officeDocument/2006/relationships/hyperlink" Target="https://gam.prontonlp.com/#/ref/$SENTID_NONSEC000264346860-433" TargetMode="External"/><Relationship Id="rIdbxzlbhsofurxu9onyv99e" Type="http://schemas.openxmlformats.org/officeDocument/2006/relationships/hyperlink" Target="https://gam.prontonlp.com/#/ref/$SENTID_NONSEC000264346860-434" TargetMode="External"/><Relationship Id="rIdoba8vvjcbgibp7ept_8zh" Type="http://schemas.openxmlformats.org/officeDocument/2006/relationships/hyperlink" Target="https://gam.prontonlp.com/#/ref/$SENTID_T000003774119-330" TargetMode="External"/><Relationship Id="rIdbhzclobcsvhkh23mgsezc" Type="http://schemas.openxmlformats.org/officeDocument/2006/relationships/hyperlink" Target="https://gam.prontonlp.com/#/ref/$SENTID_T000003774119-342" TargetMode="External"/><Relationship Id="rIdkz0q8xa1g4nwz3iybuyp2" Type="http://schemas.openxmlformats.org/officeDocument/2006/relationships/hyperlink" Target="https://gam.prontonlp.com/#/ref/$SENTID_SEC000267162990-39" TargetMode="External"/><Relationship Id="rIdqs-hjxctz-fxkk7f0ark6" Type="http://schemas.openxmlformats.org/officeDocument/2006/relationships/hyperlink" Target="https://gam.prontonlp.com/#/ref/$SENTID_SEC000267119498-4" TargetMode="External"/><Relationship Id="rIdllhxgxi7fybbphbhvqnhd" Type="http://schemas.openxmlformats.org/officeDocument/2006/relationships/hyperlink" Target="https://gam.prontonlp.com/#/ref/$SENTID_NONSEC000256665099-558" TargetMode="External"/><Relationship Id="rIdjtj4bti_lewcxwh9ypgzf" Type="http://schemas.openxmlformats.org/officeDocument/2006/relationships/hyperlink" Target="https://gam.prontonlp.com/#/ref/$SENTID_NONSEC000256665099-692" TargetMode="External"/><Relationship Id="rIdstv6b_s6zt2hold2icc8j" Type="http://schemas.openxmlformats.org/officeDocument/2006/relationships/hyperlink" Target="https://gam.prontonlp.com/#/ref/$DOCID_upcoming-doc-309966" TargetMode="External"/><Relationship Id="rIddba1p-kutxm5-tp3uwetb" Type="http://schemas.openxmlformats.org/officeDocument/2006/relationships/hyperlink" Target="https://gam.prontonlp.com/#/ref/$DOCID_upcoming-doc-27989" TargetMode="External"/><Relationship Id="rId0vtmkt5nhaorkpz-utosd" Type="http://schemas.openxmlformats.org/officeDocument/2006/relationships/hyperlink" Target="https://gam.prontonlp.com/#/ref/$SENTID_T000003774119-334" TargetMode="External"/><Relationship Id="rId0ob94hicn8auflzwphyjn" Type="http://schemas.openxmlformats.org/officeDocument/2006/relationships/hyperlink" Target="https://gam.prontonlp.com/#/ref/$DOCID_upcoming-doc-411004" TargetMode="External"/><Relationship Id="rIdm8sf6e1razrnxqvsfz552" Type="http://schemas.openxmlformats.org/officeDocument/2006/relationships/hyperlink" Target="https://gam.prontonlp.com/#/ref/$SENTID_NONSEC000264346860-300" TargetMode="External"/><Relationship Id="rIduzeeqdpl0tkcdbzmaq5ft" Type="http://schemas.openxmlformats.org/officeDocument/2006/relationships/hyperlink" Target="https://gam.prontonlp.com/#/ref/$SENTID_NONSEC000259591248-5829" TargetMode="External"/><Relationship Id="rIdljqix86xazgawruxlrpcp" Type="http://schemas.openxmlformats.org/officeDocument/2006/relationships/hyperlink" Target="https://gam.prontonlp.com/#/ref/$DOCID_upcoming-doc-694763" TargetMode="External"/><Relationship Id="rIdrirsliad6rrkgkgexfkz8" Type="http://schemas.openxmlformats.org/officeDocument/2006/relationships/hyperlink" Target="https://gam.prontonlp.com/#/ref/$DOCID_T000003609929" TargetMode="External"/><Relationship Id="rIdr1hptbrz2muby9pdxysdu" Type="http://schemas.openxmlformats.org/officeDocument/2006/relationships/hyperlink" Target="https://gam.prontonlp.com/#/ref/$SENTID_SEC000267162990-39" TargetMode="External"/><Relationship Id="rId0xymnryhrf0a11kzctb73" Type="http://schemas.openxmlformats.org/officeDocument/2006/relationships/hyperlink" Target="https://gam.prontonlp.com/#/ref/$SENTID_SEC000267119498-4" TargetMode="External"/><Relationship Id="rIdsaqn4rmoq9kjb87pgbznb" Type="http://schemas.openxmlformats.org/officeDocument/2006/relationships/hyperlink" Target="https://gam.prontonlp.com/#/ref/$SENTID_T000003774119-472" TargetMode="External"/><Relationship Id="rIdv8o8vlw7l_pyrjqwlfklx" Type="http://schemas.openxmlformats.org/officeDocument/2006/relationships/hyperlink" Target="https://gam.prontonlp.com/#/ref/$SENTID_T000003774119-524" TargetMode="External"/><Relationship Id="rIdg5pyc2mf6_xk3uvwtoklt" Type="http://schemas.openxmlformats.org/officeDocument/2006/relationships/hyperlink" Target="https://gam.prontonlp.com/#/ref/$SENTID_NONSEC000256665099-695" TargetMode="External"/><Relationship Id="rIdahcekrydwvxgovvtdbzql" Type="http://schemas.openxmlformats.org/officeDocument/2006/relationships/hyperlink" Target="https://gam.prontonlp.com/#/ref/$SENTID_T000003774119-293" TargetMode="External"/><Relationship Id="rIdrd0w4c6y_vlwfqbq4ciu8" Type="http://schemas.openxmlformats.org/officeDocument/2006/relationships/hyperlink" Target="https://gam.prontonlp.com/#/ref/$DOCID_T000003820471" TargetMode="External"/><Relationship Id="rIdx9x-h2qlork2cpgi_sfrr" Type="http://schemas.openxmlformats.org/officeDocument/2006/relationships/hyperlink" Target="https://gam.prontonlp.com/#/ref/$DOCID_T000003408143" TargetMode="External"/><Relationship Id="rIdshzmvhdlwbiwltdqux9so" Type="http://schemas.openxmlformats.org/officeDocument/2006/relationships/hyperlink" Target="https://gam.prontonlp.com/#/ref/$SENTID_T000003676656-740" TargetMode="External"/><Relationship Id="rIdzsuhramvm4zebuitpasu0" Type="http://schemas.openxmlformats.org/officeDocument/2006/relationships/hyperlink" Target="https://gam.prontonlp.com/#/ref/$SENTID_T000003774119-147" TargetMode="External"/><Relationship Id="rIdhbu9ti3l9njvc8d3zsnko" Type="http://schemas.openxmlformats.org/officeDocument/2006/relationships/hyperlink" Target="https://gam.prontonlp.com/#/ref/$SENTID_NONSEC000259591248-5563" TargetMode="External"/><Relationship Id="rId2e7z7iejduh4kkdlkspq2" Type="http://schemas.openxmlformats.org/officeDocument/2006/relationships/hyperlink" Target="https://gam.prontonlp.com/#/ref/$SENTID_NONSEC000264346860-243" TargetMode="External"/><Relationship Id="rIdlwlptbldmetce_n4vnzqx" Type="http://schemas.openxmlformats.org/officeDocument/2006/relationships/hyperlink" Target="https://gam.prontonlp.com/#/ref/$DOCID_T000003676656" TargetMode="External"/><Relationship Id="rIdqlxhjleq3aaedicvlv5-p" Type="http://schemas.openxmlformats.org/officeDocument/2006/relationships/hyperlink" Target="https://gam.prontonlp.com/#/ref/$DOCID_T000003394029" TargetMode="External"/><Relationship Id="rIdhwfosq1wxgat9tnqs3mux" Type="http://schemas.openxmlformats.org/officeDocument/2006/relationships/hyperlink" Target="https://gam.prontonlp.com/#/ref/$SENTID_T000003774119-457" TargetMode="External"/><Relationship Id="rId0_ogge30cisuxutv7vbsi" Type="http://schemas.openxmlformats.org/officeDocument/2006/relationships/hyperlink" Target="https://gam.prontonlp.com/#/ref/$SENTID_T000003774119-476" TargetMode="External"/><Relationship Id="rId5ldeeclzb6f6v45isb_94" Type="http://schemas.openxmlformats.org/officeDocument/2006/relationships/hyperlink" Target="https://gam.prontonlp.com/#/ref/$SENTID_NONSEC000259591248-6794" TargetMode="External"/><Relationship Id="rIdgfcleej7kodjs0gykwsux" Type="http://schemas.openxmlformats.org/officeDocument/2006/relationships/hyperlink" Target="https://gam.prontonlp.com/#/ref/$DOCID_NONSEC000259598338" TargetMode="External"/><Relationship Id="rIddo4ozwpwba-uvspqugglr" Type="http://schemas.openxmlformats.org/officeDocument/2006/relationships/hyperlink" Target="https://gam.prontonlp.com/#/ref/$SENTID_NONSEC000259591248-6196" TargetMode="External"/><Relationship Id="rIdpxso-qpmf8jvyd6sf59an" Type="http://schemas.openxmlformats.org/officeDocument/2006/relationships/hyperlink" Target="https://gam.prontonlp.com/#/ref/$SENTID_NONSEC000259591248-6197" TargetMode="External"/><Relationship Id="rIdg1t9gsrduf22xlm5fr1rx" Type="http://schemas.openxmlformats.org/officeDocument/2006/relationships/hyperlink" Target="https://gam.prontonlp.com/#/ref/$SENTID_NONSEC000264346860-269" TargetMode="External"/><Relationship Id="rIdbvtacfyeyphinyrmvrdv0" Type="http://schemas.openxmlformats.org/officeDocument/2006/relationships/hyperlink" Target="https://gam.prontonlp.com/#/ref/$SENTID_NONSEC000264346860-267" TargetMode="External"/><Relationship Id="rId68gui2dfhl4uxvtsgz-cs" Type="http://schemas.openxmlformats.org/officeDocument/2006/relationships/hyperlink" Target="https://gam.prontonlp.com/#/ref/$SENTID_NONSEC000256665099-562" TargetMode="External"/><Relationship Id="rIdzamr49fev-b0zmfpfw7mj" Type="http://schemas.openxmlformats.org/officeDocument/2006/relationships/hyperlink" Target="https://gam.prontonlp.com/#/ref/$SENTID_NONSEC000264346860-106" TargetMode="External"/><Relationship Id="rIdypwubhnndkvlts_t_a4vf" Type="http://schemas.openxmlformats.org/officeDocument/2006/relationships/hyperlink" Target="https://gam.prontonlp.com/#/ref/$DOCID_T000003774119" TargetMode="External"/><Relationship Id="rIdlkdvgwqf4pyoaoqez7t__" Type="http://schemas.openxmlformats.org/officeDocument/2006/relationships/hyperlink" Target="https://gam.prontonlp.com/#/ref/$DOCID_T000003512646" TargetMode="External"/><Relationship Id="rIdushkwhmf7ufdp-bcqbtbw" Type="http://schemas.openxmlformats.org/officeDocument/2006/relationships/hyperlink" Target="https://gam.prontonlp.com/#/ref/$SENTID_NONSEC000264346860-173" TargetMode="External"/><Relationship Id="rIdcpnv8m71awvb6fljrertz" Type="http://schemas.openxmlformats.org/officeDocument/2006/relationships/hyperlink" Target="https://gam.prontonlp.com/#/ref/$SENTID_NONSEC000259591248-6435" TargetMode="External"/><Relationship Id="rIdqawqkac_--jariicmmow0" Type="http://schemas.openxmlformats.org/officeDocument/2006/relationships/hyperlink" Target="https://gam.prontonlp.com/#/ref/$DOCID_T000002988271" TargetMode="External"/><Relationship Id="rIday5rn8_l7y8ngzgegna67" Type="http://schemas.openxmlformats.org/officeDocument/2006/relationships/hyperlink" Target="https://gam.prontonlp.com/#/ref/$DOCID_T000003648882" TargetMode="External"/><Relationship Id="rId2noffat4fqn7p0p6uuvok" Type="http://schemas.openxmlformats.org/officeDocument/2006/relationships/hyperlink" Target="https://gam.prontonlp.com/#/ref/$DOCID_T000003722264" TargetMode="External"/><Relationship Id="rIdwbhlcces9wgc7qb7y4qlv" Type="http://schemas.openxmlformats.org/officeDocument/2006/relationships/hyperlink" Target="https://gam.prontonlp.com/#/ref/$SENTID_T000003774119-588" TargetMode="External"/><Relationship Id="rIdmldhxfqniak5zyi7h-mls" Type="http://schemas.openxmlformats.org/officeDocument/2006/relationships/hyperlink" Target="https://gam.prontonlp.com/#/ref/$SENTID_T000003774119-590" TargetMode="External"/><Relationship Id="rIdhnnej-za-bbrujsdsrdns" Type="http://schemas.openxmlformats.org/officeDocument/2006/relationships/hyperlink" Target="https://gam.prontonlp.com/#/ref/$SENTID_T000003774119-559" TargetMode="External"/><Relationship Id="rIdgej0svrl3tojgwdtknbiz" Type="http://schemas.openxmlformats.org/officeDocument/2006/relationships/hyperlink" Target="https://gam.prontonlp.com/#/ref/$SENTID_T000003512646-262" TargetMode="External"/><Relationship Id="rId9" Type="http://schemas.openxmlformats.org/officeDocument/2006/relationships/image" Target="media/a53aa3492a4da67f887454ee6264c3f9553de96b.png"/><Relationship Id="rId10" Type="http://schemas.openxmlformats.org/officeDocument/2006/relationships/image" Target="media/d621258ea5df803900abc86fc6c68a19e91215f4.png"/><Relationship Id="rId11" Type="http://schemas.openxmlformats.org/officeDocument/2006/relationships/image" Target="media/61067b3e1a1ca32c62f146c7090cdb8b61182f78.png"/><Relationship Id="rId12" Type="http://schemas.openxmlformats.org/officeDocument/2006/relationships/image" Target="media/49249aa9d3875d0082ba0fba0d8a2cc1c4563954.png"/><Relationship Id="rId13" Type="http://schemas.openxmlformats.org/officeDocument/2006/relationships/image" Target="media/35d987bebe3981237856493f0a7f907a1cbc5c21.png"/><Relationship Id="rId14" Type="http://schemas.openxmlformats.org/officeDocument/2006/relationships/image" Target="media/0d9d418cf948e7d9ed0b5d0e177a7433b74847da.png"/><Relationship Id="rId15" Type="http://schemas.openxmlformats.org/officeDocument/2006/relationships/image" Target="media/b1ceda384bca2bc125e3d8f76d3d22217ef4becb.png"/><Relationship Id="rId16" Type="http://schemas.openxmlformats.org/officeDocument/2006/relationships/image" Target="media/283915d52b46a5d5e37aa60bdc0f49c28209735c.png"/><Relationship Id="rId17" Type="http://schemas.openxmlformats.org/officeDocument/2006/relationships/image" Target="media/a3a296f227fa28d88acbce0fa573dbbf0ab2244d.png"/><Relationship Id="rId18" Type="http://schemas.openxmlformats.org/officeDocument/2006/relationships/image" Target="media/d1aa9eac979b26953a79e692cc9693fa8f4c966b.png"/><Relationship Id="rId19" Type="http://schemas.openxmlformats.org/officeDocument/2006/relationships/image" Target="media/20496d79f88df8c96b3d29956f72b8ec59e692f1.png"/><Relationship Id="rId7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Elis SA (ELIS FP) — Institutional Equity Research</dc:title>
  <dc:creator>Equity research (AI-assisted)</dc:creator>
  <dc:description>Elis SA (ELIS FP) — Institutional Equity Research</dc:description>
  <cp:lastModifiedBy>Un-named</cp:lastModifiedBy>
  <cp:revision>1</cp:revision>
  <dcterms:created xsi:type="dcterms:W3CDTF">2026-10-13T11:14:08.955Z</dcterms:created>
  <dcterms:modified xsi:type="dcterms:W3CDTF">2026-10-13T11:14:08.956Z</dcterms:modified>
</cp:coreProperties>
</file>

<file path=docProps/custom.xml><?xml version="1.0" encoding="utf-8"?>
<Properties xmlns="http://schemas.openxmlformats.org/officeDocument/2006/custom-properties" xmlns:vt="http://schemas.openxmlformats.org/officeDocument/2006/docPropsVTypes"/>
</file>