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Calibri" w:hAnsi="Calibri" w:eastAsia="Calibri"/>
          <w:b/>
          <w:i w:val="0"/>
          <w:color w:val="0F5C4A"/>
          <w:sz w:val="26"/>
        </w:rPr>
        <w:t>Japan (TOPIX) Activist Screen — 10 Structurally Sound, Mis-managed Mid-caps</w:t>
      </w:r>
    </w:p>
    <w:p>
      <w:pPr>
        <w:spacing w:after="80" w:before="0" w:line="240" w:lineRule="auto"/>
      </w:pPr>
      <w:r>
        <w:rPr>
          <w:rFonts w:ascii="Calibri" w:hAnsi="Calibri" w:eastAsia="Calibri"/>
          <w:b w:val="0"/>
          <w:i w:val="0"/>
          <w:color w:val="555555"/>
          <w:sz w:val="16"/>
        </w:rPr>
        <w:t>Event-driven / value lens · Mkt cap US$0.2–5bn · ND/EBITDA &lt;1x or net cash · No &gt;40% holder · 3–5Y TSR below TOPIX (and, where possible, sector) · Fixable issues · Prices at 13 Oct 2026 close, LTM to Jun-26 · USDJPY 157.5</w:t>
      </w:r>
    </w:p>
    <w:tbl>
      <w:tblPr>
        <w:tblW w:type="dxa" w:w="14400"/>
        <w:tblLook w:firstColumn="1" w:firstRow="1" w:lastColumn="0" w:lastRow="0" w:noHBand="0" w:noVBand="1" w:val="04A0"/>
        <w:tblBorders>
          <w:top w:val="single" w:sz="6" w:color="0F5C4A"/>
          <w:left w:val="single" w:sz="6" w:color="0F5C4A"/>
          <w:bottom w:val="single" w:sz="6" w:color="0F5C4A"/>
          <w:right w:val="single" w:sz="6" w:color="0F5C4A"/>
          <w:insideH w:val="nil"/>
          <w:insideV w:val="nil"/>
        </w:tblBorders>
        <w:tblLayout w:type="fixed"/>
        <w:tblCellMar>
          <w:top w:w="60" w:type="dxa"/>
          <w:left w:w="100" w:type="dxa"/>
          <w:bottom w:w="60" w:type="dxa"/>
          <w:right w:w="100" w:type="dxa"/>
        </w:tblCellMar>
        <w:tblLayout w:type="fixed"/>
      </w:tblPr>
      <w:tblGrid>
        <w:gridCol w:w="14400"/>
      </w:tblGrid>
      <w:tr>
        <w:tc>
          <w:tcPr>
            <w:tcW w:type="dxa" w:w="14400"/>
            <w:shd w:val="clear" w:color="auto" w:fill="F3F7F6"/>
          </w:tcPr>
          <w:p>
            <w:pPr>
              <w:spacing w:after="0" w:before="0" w:line="240" w:lineRule="auto"/>
            </w:pPr>
            <w:r/>
            <w:r>
              <w:rPr>
                <w:rFonts w:ascii="Calibri" w:hAnsi="Calibri" w:eastAsia="Calibri"/>
                <w:b/>
                <w:i w:val="0"/>
                <w:color w:val="0F5C4A"/>
                <w:sz w:val="18"/>
              </w:rPr>
              <w:t>Bottom line</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Best risk/reward: </w:t>
            </w:r>
            <w:r>
              <w:rPr>
                <w:rFonts w:ascii="Calibri" w:hAnsi="Calibri" w:eastAsia="Calibri"/>
                <w:b w:val="0"/>
                <w:i w:val="0"/>
                <w:color w:val="1A1A1A"/>
                <w:sz w:val="16"/>
              </w:rPr>
              <w:t>Yamaha, House Foods and Hakuhodo DY — quantifiable value gaps (30–69% of market cap in cash, securities or listed stakes) at under-earning franchises with no controlling holder; Yamaha is also the most winnable (75%-independent board, no family, ~30% foreign).</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Operational cases: </w:t>
            </w:r>
            <w:r>
              <w:rPr>
                <w:rFonts w:ascii="Calibri" w:hAnsi="Calibri" w:eastAsia="Calibri"/>
                <w:b w:val="0"/>
                <w:i w:val="0"/>
                <w:color w:val="1A1A1A"/>
                <w:sz w:val="16"/>
              </w:rPr>
              <w:t>Nihon Kohden (6.7% EBIT margin vs 19% at same-market rival Fukuda Denshi), Lion (7.6% vs 11–12% peers) and Ito En (4.7% vs 8.9%) — margin repair worth 30–90% of market cap if delivered.</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Event-driven overlays: </w:t>
            </w:r>
            <w:r>
              <w:rPr>
                <w:rFonts w:ascii="Calibri" w:hAnsi="Calibri" w:eastAsia="Calibri"/>
                <w:b w:val="0"/>
                <w:i w:val="0"/>
                <w:color w:val="1A1A1A"/>
                <w:sz w:val="16"/>
              </w:rPr>
              <w:t>House (Ichibanya strategic review, PE interest), Ito En preferred (1:1 conversion on any take-private), Koito (Toyota selling down to its 20% floor), Nihon Kohden (Paramount Bed MBO precedent).</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Watch the friendly funds: </w:t>
            </w:r>
            <w:r>
              <w:rPr>
                <w:rFonts w:ascii="Calibri" w:hAnsi="Calibri" w:eastAsia="Calibri"/>
                <w:b w:val="0"/>
                <w:i w:val="0"/>
                <w:color w:val="1A1A1A"/>
                <w:sz w:val="16"/>
              </w:rPr>
              <w:t>Japan Activation Capital is now a contractual management partner at Lion (4.5%) and Nihon Kohden (6.5%); Ezaki Glico already has Dalton/NAVF (~10–11.5%) — join or differentiate, don't collide.</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Screen discipline: </w:t>
            </w:r>
            <w:r>
              <w:rPr>
                <w:rFonts w:ascii="Calibri" w:hAnsi="Calibri" w:eastAsia="Calibri"/>
                <w:b w:val="0"/>
                <w:i w:val="0"/>
                <w:color w:val="1A1A1A"/>
                <w:sz w:val="16"/>
              </w:rPr>
              <w:t>all ten trail TOPIX TR over both 3Y (by 33–118pp) and 5Y (by 83–181pp). Yamaha, Hakuhodo DY, Ito En, Koito and House (narrowly on 3Y) also trail their sector on both windows; Stanley and Nihon Kohden on one; Lion, Ezaki Glico and Santen beat weak sector medians and are included on index underperformance plus a clear fixable issue (flagged on their pages).</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Common playbook: </w:t>
            </w:r>
            <w:r>
              <w:rPr>
                <w:rFonts w:ascii="Calibri" w:hAnsi="Calibri" w:eastAsia="Calibri"/>
                <w:b w:val="0"/>
                <w:i w:val="0"/>
                <w:color w:val="1A1A1A"/>
                <w:sz w:val="16"/>
              </w:rPr>
              <w:t>every name trails TOPIX TR (+129% over 5Y) by 83–181pp. The ask is usually the same three parts: buyback or tender funded by excess cash and cross-holding sales; exit of subscale or loss-making units; board independence and ROE/TSR-linked pay.</w:t>
            </w:r>
          </w:p>
        </w:tc>
      </w:tr>
    </w:tbl>
    <w:p>
      <w:pPr>
        <w:spacing w:after="40" w:before="0" w:line="240" w:lineRule="auto"/>
      </w:pPr>
    </w:p>
    <w:p>
      <w:pPr>
        <w:spacing w:after="40" w:before="0" w:line="240" w:lineRule="auto"/>
      </w:pPr>
      <w:r>
        <w:rPr>
          <w:rFonts w:ascii="Calibri" w:hAnsi="Calibri" w:eastAsia="Calibri"/>
          <w:b/>
          <w:i w:val="0"/>
          <w:color w:val="0F5C4A"/>
          <w:sz w:val="21"/>
        </w:rPr>
        <w:t>Ranked target list (conviction = size of the value gap × fixability × odds of winning the vote)</w:t>
      </w:r>
    </w:p>
    <w:tbl>
      <w:tblPr>
        <w:tblW w:type="dxa" w:w="1440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316"/>
        <w:gridCol w:w="1944"/>
        <w:gridCol w:w="792"/>
        <w:gridCol w:w="2160"/>
        <w:gridCol w:w="1036"/>
        <w:gridCol w:w="792"/>
        <w:gridCol w:w="892"/>
        <w:gridCol w:w="3384"/>
        <w:gridCol w:w="1007"/>
        <w:gridCol w:w="2073"/>
      </w:tblGrid>
      <w:tr>
        <w:tc>
          <w:tcPr>
            <w:tcW w:type="dxa" w:w="317"/>
            <w:shd w:val="clear" w:color="auto" w:fill="0F5C4A"/>
          </w:tcPr>
          <w:p>
            <w:pPr>
              <w:spacing w:after="0" w:before="0" w:line="240" w:lineRule="auto"/>
            </w:pPr>
            <w:r/>
            <w:r>
              <w:rPr>
                <w:rFonts w:ascii="Calibri" w:hAnsi="Calibri" w:eastAsia="Calibri"/>
                <w:b/>
                <w:i w:val="0"/>
                <w:color w:val="FFFFFF"/>
                <w:sz w:val="14"/>
              </w:rPr>
              <w:t>#</w:t>
            </w:r>
          </w:p>
        </w:tc>
        <w:tc>
          <w:tcPr>
            <w:tcW w:type="dxa" w:w="1944"/>
            <w:shd w:val="clear" w:color="auto" w:fill="0F5C4A"/>
          </w:tcPr>
          <w:p>
            <w:pPr>
              <w:spacing w:after="0" w:before="0" w:line="240" w:lineRule="auto"/>
            </w:pPr>
            <w:r/>
            <w:r>
              <w:rPr>
                <w:rFonts w:ascii="Calibri" w:hAnsi="Calibri" w:eastAsia="Calibri"/>
                <w:b/>
                <w:i w:val="0"/>
                <w:color w:val="FFFFFF"/>
                <w:sz w:val="14"/>
              </w:rPr>
              <w:t>Company (ticker)</w:t>
            </w:r>
          </w:p>
        </w:tc>
        <w:tc>
          <w:tcPr>
            <w:tcW w:type="dxa" w:w="792"/>
            <w:shd w:val="clear" w:color="auto" w:fill="0F5C4A"/>
          </w:tcPr>
          <w:p>
            <w:pPr>
              <w:spacing w:after="0" w:before="0" w:line="240" w:lineRule="auto"/>
            </w:pPr>
            <w:r/>
            <w:r>
              <w:rPr>
                <w:rFonts w:ascii="Calibri" w:hAnsi="Calibri" w:eastAsia="Calibri"/>
                <w:b/>
                <w:i w:val="0"/>
                <w:color w:val="FFFFFF"/>
                <w:sz w:val="14"/>
              </w:rPr>
              <w:t>Mkt cap US$bn</w:t>
            </w:r>
          </w:p>
        </w:tc>
        <w:tc>
          <w:tcPr>
            <w:tcW w:type="dxa" w:w="2160"/>
            <w:shd w:val="clear" w:color="auto" w:fill="0F5C4A"/>
          </w:tcPr>
          <w:p>
            <w:pPr>
              <w:spacing w:after="0" w:before="0" w:line="240" w:lineRule="auto"/>
            </w:pPr>
            <w:r/>
            <w:r>
              <w:rPr>
                <w:rFonts w:ascii="Calibri" w:hAnsi="Calibri" w:eastAsia="Calibri"/>
                <w:b/>
                <w:i w:val="0"/>
                <w:color w:val="FFFFFF"/>
                <w:sz w:val="14"/>
              </w:rPr>
              <w:t>TSR 3Y / 5Y</w:t>
              <w:br/>
              <w:t>co | sector | TOPIX</w:t>
            </w:r>
          </w:p>
        </w:tc>
        <w:tc>
          <w:tcPr>
            <w:tcW w:type="dxa" w:w="1037"/>
            <w:shd w:val="clear" w:color="auto" w:fill="0F5C4A"/>
          </w:tcPr>
          <w:p>
            <w:pPr>
              <w:spacing w:after="0" w:before="0" w:line="240" w:lineRule="auto"/>
            </w:pPr>
            <w:r/>
            <w:r>
              <w:rPr>
                <w:rFonts w:ascii="Calibri" w:hAnsi="Calibri" w:eastAsia="Calibri"/>
                <w:b/>
                <w:i w:val="0"/>
                <w:color w:val="FFFFFF"/>
                <w:sz w:val="14"/>
              </w:rPr>
              <w:t>EV/EBITDA</w:t>
              <w:br/>
              <w:t>co vs peers</w:t>
            </w:r>
          </w:p>
        </w:tc>
        <w:tc>
          <w:tcPr>
            <w:tcW w:type="dxa" w:w="792"/>
            <w:shd w:val="clear" w:color="auto" w:fill="0F5C4A"/>
          </w:tcPr>
          <w:p>
            <w:pPr>
              <w:spacing w:after="0" w:before="0" w:line="240" w:lineRule="auto"/>
            </w:pPr>
            <w:r/>
            <w:r>
              <w:rPr>
                <w:rFonts w:ascii="Calibri" w:hAnsi="Calibri" w:eastAsia="Calibri"/>
                <w:b/>
                <w:i w:val="0"/>
                <w:color w:val="FFFFFF"/>
                <w:sz w:val="14"/>
              </w:rPr>
              <w:t>ND/ EBITDA</w:t>
            </w:r>
          </w:p>
        </w:tc>
        <w:tc>
          <w:tcPr>
            <w:tcW w:type="dxa" w:w="893"/>
            <w:shd w:val="clear" w:color="auto" w:fill="0F5C4A"/>
          </w:tcPr>
          <w:p>
            <w:pPr>
              <w:spacing w:after="0" w:before="0" w:line="240" w:lineRule="auto"/>
            </w:pPr>
            <w:r/>
            <w:r>
              <w:rPr>
                <w:rFonts w:ascii="Calibri" w:hAnsi="Calibri" w:eastAsia="Calibri"/>
                <w:b/>
                <w:i w:val="0"/>
                <w:color w:val="FFFFFF"/>
                <w:sz w:val="14"/>
              </w:rPr>
              <w:t>Cash+sec. % mkt cap</w:t>
            </w:r>
          </w:p>
        </w:tc>
        <w:tc>
          <w:tcPr>
            <w:tcW w:type="dxa" w:w="3384"/>
            <w:shd w:val="clear" w:color="auto" w:fill="0F5C4A"/>
          </w:tcPr>
          <w:p>
            <w:pPr>
              <w:spacing w:after="0" w:before="0" w:line="240" w:lineRule="auto"/>
            </w:pPr>
            <w:r/>
            <w:r>
              <w:rPr>
                <w:rFonts w:ascii="Calibri" w:hAnsi="Calibri" w:eastAsia="Calibri"/>
                <w:b/>
                <w:i w:val="0"/>
                <w:color w:val="FFFFFF"/>
                <w:sz w:val="14"/>
              </w:rPr>
              <w:t>Primary fixable issue</w:t>
            </w:r>
          </w:p>
        </w:tc>
        <w:tc>
          <w:tcPr>
            <w:tcW w:type="dxa" w:w="1008"/>
            <w:shd w:val="clear" w:color="auto" w:fill="0F5C4A"/>
          </w:tcPr>
          <w:p>
            <w:pPr>
              <w:spacing w:after="0" w:before="0" w:line="240" w:lineRule="auto"/>
            </w:pPr>
            <w:r/>
            <w:r>
              <w:rPr>
                <w:rFonts w:ascii="Calibri" w:hAnsi="Calibri" w:eastAsia="Calibri"/>
                <w:b/>
                <w:i w:val="0"/>
                <w:color w:val="FFFFFF"/>
                <w:sz w:val="14"/>
              </w:rPr>
              <w:t>Support</w:t>
            </w:r>
          </w:p>
        </w:tc>
        <w:tc>
          <w:tcPr>
            <w:tcW w:type="dxa" w:w="2074"/>
            <w:shd w:val="clear" w:color="auto" w:fill="0F5C4A"/>
          </w:tcPr>
          <w:p>
            <w:pPr>
              <w:spacing w:after="0" w:before="0" w:line="240" w:lineRule="auto"/>
            </w:pPr>
            <w:r/>
            <w:r>
              <w:rPr>
                <w:rFonts w:ascii="Calibri" w:hAnsi="Calibri" w:eastAsia="Calibri"/>
                <w:b/>
                <w:i w:val="0"/>
                <w:color w:val="FFFFFF"/>
                <w:sz w:val="14"/>
              </w:rPr>
              <w:t>Activist / holder flag</w:t>
            </w:r>
          </w:p>
        </w:tc>
      </w:tr>
      <w:tr>
        <w:tc>
          <w:tcPr>
            <w:tcW w:type="dxa" w:w="317"/>
          </w:tcPr>
          <w:p>
            <w:pPr>
              <w:spacing w:after="0" w:before="0" w:line="240" w:lineRule="auto"/>
            </w:pPr>
            <w:r/>
            <w:r>
              <w:rPr>
                <w:rFonts w:ascii="Calibri" w:hAnsi="Calibri" w:eastAsia="Calibri"/>
                <w:b w:val="0"/>
                <w:i w:val="0"/>
                <w:color w:val="1A1A1A"/>
                <w:sz w:val="14"/>
              </w:rPr>
              <w:t>1</w:t>
            </w:r>
          </w:p>
        </w:tc>
        <w:tc>
          <w:tcPr>
            <w:tcW w:type="dxa" w:w="1944"/>
          </w:tcPr>
          <w:p>
            <w:pPr>
              <w:spacing w:after="0" w:before="0" w:line="240" w:lineRule="auto"/>
            </w:pPr>
            <w:r/>
            <w:r>
              <w:rPr>
                <w:rFonts w:ascii="Calibri" w:hAnsi="Calibri" w:eastAsia="Calibri"/>
                <w:b w:val="0"/>
                <w:i w:val="0"/>
                <w:color w:val="1A1A1A"/>
                <w:sz w:val="14"/>
              </w:rPr>
              <w:t>Yamaha Corp (7951)</w:t>
            </w:r>
          </w:p>
        </w:tc>
        <w:tc>
          <w:tcPr>
            <w:tcW w:type="dxa" w:w="792"/>
          </w:tcPr>
          <w:p>
            <w:pPr>
              <w:spacing w:after="0" w:before="0" w:line="240" w:lineRule="auto"/>
            </w:pPr>
            <w:r/>
            <w:r>
              <w:rPr>
                <w:rFonts w:ascii="Calibri" w:hAnsi="Calibri" w:eastAsia="Calibri"/>
                <w:b w:val="0"/>
                <w:i w:val="0"/>
                <w:color w:val="1A1A1A"/>
                <w:sz w:val="14"/>
              </w:rPr>
              <w:t>3.38</w:t>
            </w:r>
          </w:p>
        </w:tc>
        <w:tc>
          <w:tcPr>
            <w:tcW w:type="dxa" w:w="2160"/>
          </w:tcPr>
          <w:p>
            <w:pPr>
              <w:spacing w:after="0" w:before="0" w:line="240" w:lineRule="auto"/>
            </w:pPr>
            <w:r/>
            <w:r>
              <w:rPr>
                <w:rFonts w:ascii="Calibri" w:hAnsi="Calibri" w:eastAsia="Calibri"/>
                <w:b w:val="0"/>
                <w:i w:val="0"/>
                <w:color w:val="1A1A1A"/>
                <w:sz w:val="14"/>
              </w:rPr>
              <w:t>3Y −6% | +2% | +90%</w:t>
              <w:br/>
              <w:t>5Y −43% | +10% | +129%</w:t>
            </w:r>
          </w:p>
        </w:tc>
        <w:tc>
          <w:tcPr>
            <w:tcW w:type="dxa" w:w="1037"/>
          </w:tcPr>
          <w:p>
            <w:pPr>
              <w:spacing w:after="0" w:before="0" w:line="240" w:lineRule="auto"/>
            </w:pPr>
            <w:r/>
            <w:r>
              <w:rPr>
                <w:rFonts w:ascii="Calibri" w:hAnsi="Calibri" w:eastAsia="Calibri"/>
                <w:b w:val="0"/>
                <w:i w:val="0"/>
                <w:color w:val="1A1A1A"/>
                <w:sz w:val="14"/>
              </w:rPr>
              <w:t>8.1x vs 9.6x</w:t>
            </w:r>
          </w:p>
        </w:tc>
        <w:tc>
          <w:tcPr>
            <w:tcW w:type="dxa" w:w="792"/>
          </w:tcPr>
          <w:p>
            <w:pPr>
              <w:spacing w:after="0" w:before="0" w:line="240" w:lineRule="auto"/>
            </w:pPr>
            <w:r/>
            <w:r>
              <w:rPr>
                <w:rFonts w:ascii="Calibri" w:hAnsi="Calibri" w:eastAsia="Calibri"/>
                <w:b w:val="0"/>
                <w:i w:val="0"/>
                <w:color w:val="1A1A1A"/>
                <w:sz w:val="14"/>
              </w:rPr>
              <w:t>−2.0x</w:t>
            </w:r>
          </w:p>
        </w:tc>
        <w:tc>
          <w:tcPr>
            <w:tcW w:type="dxa" w:w="893"/>
          </w:tcPr>
          <w:p>
            <w:pPr>
              <w:spacing w:after="0" w:before="0" w:line="240" w:lineRule="auto"/>
            </w:pPr>
            <w:r/>
            <w:r>
              <w:rPr>
                <w:rFonts w:ascii="Calibri" w:hAnsi="Calibri" w:eastAsia="Calibri"/>
                <w:b w:val="0"/>
                <w:i w:val="0"/>
                <w:color w:val="1A1A1A"/>
                <w:sz w:val="14"/>
              </w:rPr>
              <w:t>30–35%</w:t>
            </w:r>
          </w:p>
        </w:tc>
        <w:tc>
          <w:tcPr>
            <w:tcW w:type="dxa" w:w="3384"/>
          </w:tcPr>
          <w:p>
            <w:pPr>
              <w:spacing w:after="0" w:before="0" w:line="240" w:lineRule="auto"/>
            </w:pPr>
            <w:r/>
            <w:r>
              <w:rPr>
                <w:rFonts w:ascii="Calibri" w:hAnsi="Calibri" w:eastAsia="Calibri"/>
                <w:b w:val="0"/>
                <w:i w:val="0"/>
                <w:color w:val="1A1A1A"/>
                <w:sz w:val="14"/>
              </w:rPr>
              <w:t>Excess capital + loss-making non-core units; 7.8% margin vs 13.5% own target; ROE &lt; CoE</w:t>
            </w:r>
          </w:p>
        </w:tc>
        <w:tc>
          <w:tcPr>
            <w:tcW w:type="dxa" w:w="1008"/>
          </w:tcPr>
          <w:p>
            <w:pPr>
              <w:spacing w:after="0" w:before="0" w:line="240" w:lineRule="auto"/>
            </w:pPr>
            <w:r/>
            <w:r>
              <w:rPr>
                <w:rFonts w:ascii="Calibri" w:hAnsi="Calibri" w:eastAsia="Calibri"/>
                <w:b w:val="0"/>
                <w:i w:val="0"/>
                <w:color w:val="1A1A1A"/>
                <w:sz w:val="14"/>
              </w:rPr>
              <w:t>Med–High</w:t>
            </w:r>
          </w:p>
        </w:tc>
        <w:tc>
          <w:tcPr>
            <w:tcW w:type="dxa" w:w="2074"/>
          </w:tcPr>
          <w:p>
            <w:pPr>
              <w:spacing w:after="0" w:before="0" w:line="240" w:lineRule="auto"/>
            </w:pPr>
            <w:r/>
            <w:r>
              <w:rPr>
                <w:rFonts w:ascii="Calibri" w:hAnsi="Calibri" w:eastAsia="Calibri"/>
                <w:b w:val="0"/>
                <w:i w:val="0"/>
                <w:color w:val="1A1A1A"/>
                <w:sz w:val="14"/>
              </w:rPr>
              <w:t>None. No family; 75% independent board</w:t>
            </w:r>
          </w:p>
        </w:tc>
      </w:tr>
      <w:tr>
        <w:tc>
          <w:tcPr>
            <w:tcW w:type="dxa" w:w="317"/>
            <w:shd w:val="clear" w:color="auto" w:fill="EEF4F2"/>
          </w:tcPr>
          <w:p>
            <w:pPr>
              <w:spacing w:after="0" w:before="0" w:line="240" w:lineRule="auto"/>
            </w:pPr>
            <w:r/>
            <w:r>
              <w:rPr>
                <w:rFonts w:ascii="Calibri" w:hAnsi="Calibri" w:eastAsia="Calibri"/>
                <w:b w:val="0"/>
                <w:i w:val="0"/>
                <w:color w:val="1A1A1A"/>
                <w:sz w:val="14"/>
              </w:rPr>
              <w:t>2</w:t>
            </w:r>
          </w:p>
        </w:tc>
        <w:tc>
          <w:tcPr>
            <w:tcW w:type="dxa" w:w="1944"/>
            <w:shd w:val="clear" w:color="auto" w:fill="EEF4F2"/>
          </w:tcPr>
          <w:p>
            <w:pPr>
              <w:spacing w:after="0" w:before="0" w:line="240" w:lineRule="auto"/>
            </w:pPr>
            <w:r/>
            <w:r>
              <w:rPr>
                <w:rFonts w:ascii="Calibri" w:hAnsi="Calibri" w:eastAsia="Calibri"/>
                <w:b w:val="0"/>
                <w:i w:val="0"/>
                <w:color w:val="1A1A1A"/>
                <w:sz w:val="14"/>
              </w:rPr>
              <w:t>House Foods (2810)</w:t>
            </w:r>
          </w:p>
        </w:tc>
        <w:tc>
          <w:tcPr>
            <w:tcW w:type="dxa" w:w="792"/>
            <w:shd w:val="clear" w:color="auto" w:fill="EEF4F2"/>
          </w:tcPr>
          <w:p>
            <w:pPr>
              <w:spacing w:after="0" w:before="0" w:line="240" w:lineRule="auto"/>
            </w:pPr>
            <w:r/>
            <w:r>
              <w:rPr>
                <w:rFonts w:ascii="Calibri" w:hAnsi="Calibri" w:eastAsia="Calibri"/>
                <w:b w:val="0"/>
                <w:i w:val="0"/>
                <w:color w:val="1A1A1A"/>
                <w:sz w:val="14"/>
              </w:rPr>
              <w:t>2.36</w:t>
            </w:r>
          </w:p>
        </w:tc>
        <w:tc>
          <w:tcPr>
            <w:tcW w:type="dxa" w:w="2160"/>
            <w:shd w:val="clear" w:color="auto" w:fill="EEF4F2"/>
          </w:tcPr>
          <w:p>
            <w:pPr>
              <w:spacing w:after="0" w:before="0" w:line="240" w:lineRule="auto"/>
            </w:pPr>
            <w:r/>
            <w:r>
              <w:rPr>
                <w:rFonts w:ascii="Calibri" w:hAnsi="Calibri" w:eastAsia="Calibri"/>
                <w:b w:val="0"/>
                <w:i w:val="0"/>
                <w:color w:val="1A1A1A"/>
                <w:sz w:val="14"/>
              </w:rPr>
              <w:t>3Y +41% | +42% | +90%</w:t>
              <w:br/>
              <w:t>5Y +36% | +50% | +129%</w:t>
            </w:r>
          </w:p>
        </w:tc>
        <w:tc>
          <w:tcPr>
            <w:tcW w:type="dxa" w:w="1037"/>
            <w:shd w:val="clear" w:color="auto" w:fill="EEF4F2"/>
          </w:tcPr>
          <w:p>
            <w:pPr>
              <w:spacing w:after="0" w:before="0" w:line="240" w:lineRule="auto"/>
            </w:pPr>
            <w:r/>
            <w:r>
              <w:rPr>
                <w:rFonts w:ascii="Calibri" w:hAnsi="Calibri" w:eastAsia="Calibri"/>
                <w:b w:val="0"/>
                <w:i w:val="0"/>
                <w:color w:val="1A1A1A"/>
                <w:sz w:val="14"/>
              </w:rPr>
              <w:t>10.0x vs 11.2x</w:t>
              <w:br/>
              <w:t>(core ~5x)</w:t>
            </w:r>
          </w:p>
        </w:tc>
        <w:tc>
          <w:tcPr>
            <w:tcW w:type="dxa" w:w="792"/>
            <w:shd w:val="clear" w:color="auto" w:fill="EEF4F2"/>
          </w:tcPr>
          <w:p>
            <w:pPr>
              <w:spacing w:after="0" w:before="0" w:line="240" w:lineRule="auto"/>
            </w:pPr>
            <w:r/>
            <w:r>
              <w:rPr>
                <w:rFonts w:ascii="Calibri" w:hAnsi="Calibri" w:eastAsia="Calibri"/>
                <w:b w:val="0"/>
                <w:i w:val="0"/>
                <w:color w:val="1A1A1A"/>
                <w:sz w:val="14"/>
              </w:rPr>
              <w:t>−2.6x</w:t>
            </w:r>
          </w:p>
        </w:tc>
        <w:tc>
          <w:tcPr>
            <w:tcW w:type="dxa" w:w="893"/>
            <w:shd w:val="clear" w:color="auto" w:fill="EEF4F2"/>
          </w:tcPr>
          <w:p>
            <w:pPr>
              <w:spacing w:after="0" w:before="0" w:line="240" w:lineRule="auto"/>
            </w:pPr>
            <w:r/>
            <w:r>
              <w:rPr>
                <w:rFonts w:ascii="Calibri" w:hAnsi="Calibri" w:eastAsia="Calibri"/>
                <w:b w:val="0"/>
                <w:i w:val="0"/>
                <w:color w:val="1A1A1A"/>
                <w:sz w:val="14"/>
              </w:rPr>
              <w:t>52% (69% incl. Ichibanya)</w:t>
            </w:r>
          </w:p>
        </w:tc>
        <w:tc>
          <w:tcPr>
            <w:tcW w:type="dxa" w:w="3384"/>
            <w:shd w:val="clear" w:color="auto" w:fill="EEF4F2"/>
          </w:tcPr>
          <w:p>
            <w:pPr>
              <w:spacing w:after="0" w:before="0" w:line="240" w:lineRule="auto"/>
            </w:pPr>
            <w:r/>
            <w:r>
              <w:rPr>
                <w:rFonts w:ascii="Calibri" w:hAnsi="Calibri" w:eastAsia="Calibri"/>
                <w:b w:val="0"/>
                <w:i w:val="0"/>
                <w:color w:val="1A1A1A"/>
                <w:sz w:val="14"/>
              </w:rPr>
              <w:t>Parent-sub listing (51% of Ichibanya), cross-holdings, US Keystone &amp; Vox Trading; ROE 2.5%</w:t>
            </w:r>
          </w:p>
        </w:tc>
        <w:tc>
          <w:tcPr>
            <w:tcW w:type="dxa" w:w="1008"/>
            <w:shd w:val="clear" w:color="auto" w:fill="EEF4F2"/>
          </w:tcPr>
          <w:p>
            <w:pPr>
              <w:spacing w:after="0" w:before="0" w:line="240" w:lineRule="auto"/>
            </w:pPr>
            <w:r/>
            <w:r>
              <w:rPr>
                <w:rFonts w:ascii="Calibri" w:hAnsi="Calibri" w:eastAsia="Calibri"/>
                <w:b w:val="0"/>
                <w:i w:val="0"/>
                <w:color w:val="1A1A1A"/>
                <w:sz w:val="14"/>
              </w:rPr>
              <w:t>Med–Low</w:t>
            </w:r>
          </w:p>
        </w:tc>
        <w:tc>
          <w:tcPr>
            <w:tcW w:type="dxa" w:w="2074"/>
            <w:shd w:val="clear" w:color="auto" w:fill="EEF4F2"/>
          </w:tcPr>
          <w:p>
            <w:pPr>
              <w:spacing w:after="0" w:before="0" w:line="240" w:lineRule="auto"/>
            </w:pPr>
            <w:r/>
            <w:r>
              <w:rPr>
                <w:rFonts w:ascii="Calibri" w:hAnsi="Calibri" w:eastAsia="Calibri"/>
                <w:b w:val="0"/>
                <w:i w:val="0"/>
                <w:color w:val="1A1A1A"/>
                <w:sz w:val="14"/>
              </w:rPr>
              <w:t>Family ~23%; Ichibanya review live (PE interest)</w:t>
            </w:r>
          </w:p>
        </w:tc>
      </w:tr>
      <w:tr>
        <w:tc>
          <w:tcPr>
            <w:tcW w:type="dxa" w:w="317"/>
          </w:tcPr>
          <w:p>
            <w:pPr>
              <w:spacing w:after="0" w:before="0" w:line="240" w:lineRule="auto"/>
            </w:pPr>
            <w:r/>
            <w:r>
              <w:rPr>
                <w:rFonts w:ascii="Calibri" w:hAnsi="Calibri" w:eastAsia="Calibri"/>
                <w:b w:val="0"/>
                <w:i w:val="0"/>
                <w:color w:val="1A1A1A"/>
                <w:sz w:val="14"/>
              </w:rPr>
              <w:t>3</w:t>
            </w:r>
          </w:p>
        </w:tc>
        <w:tc>
          <w:tcPr>
            <w:tcW w:type="dxa" w:w="1944"/>
          </w:tcPr>
          <w:p>
            <w:pPr>
              <w:spacing w:after="0" w:before="0" w:line="240" w:lineRule="auto"/>
            </w:pPr>
            <w:r/>
            <w:r>
              <w:rPr>
                <w:rFonts w:ascii="Calibri" w:hAnsi="Calibri" w:eastAsia="Calibri"/>
                <w:b w:val="0"/>
                <w:i w:val="0"/>
                <w:color w:val="1A1A1A"/>
                <w:sz w:val="14"/>
              </w:rPr>
              <w:t>Hakuhodo DY (2433)</w:t>
            </w:r>
          </w:p>
        </w:tc>
        <w:tc>
          <w:tcPr>
            <w:tcW w:type="dxa" w:w="792"/>
          </w:tcPr>
          <w:p>
            <w:pPr>
              <w:spacing w:after="0" w:before="0" w:line="240" w:lineRule="auto"/>
            </w:pPr>
            <w:r/>
            <w:r>
              <w:rPr>
                <w:rFonts w:ascii="Calibri" w:hAnsi="Calibri" w:eastAsia="Calibri"/>
                <w:b w:val="0"/>
                <w:i w:val="0"/>
                <w:color w:val="1A1A1A"/>
                <w:sz w:val="14"/>
              </w:rPr>
              <w:t>3.05</w:t>
            </w:r>
          </w:p>
        </w:tc>
        <w:tc>
          <w:tcPr>
            <w:tcW w:type="dxa" w:w="2160"/>
          </w:tcPr>
          <w:p>
            <w:pPr>
              <w:spacing w:after="0" w:before="0" w:line="240" w:lineRule="auto"/>
            </w:pPr>
            <w:r/>
            <w:r>
              <w:rPr>
                <w:rFonts w:ascii="Calibri" w:hAnsi="Calibri" w:eastAsia="Calibri"/>
                <w:b w:val="0"/>
                <w:i w:val="0"/>
                <w:color w:val="1A1A1A"/>
                <w:sz w:val="14"/>
              </w:rPr>
              <w:t>3Y +14% | +53% | +90%</w:t>
              <w:br/>
              <w:t>5Y −17% | +10% | +129%</w:t>
            </w:r>
          </w:p>
        </w:tc>
        <w:tc>
          <w:tcPr>
            <w:tcW w:type="dxa" w:w="1037"/>
          </w:tcPr>
          <w:p>
            <w:pPr>
              <w:spacing w:after="0" w:before="0" w:line="240" w:lineRule="auto"/>
            </w:pPr>
            <w:r/>
            <w:r>
              <w:rPr>
                <w:rFonts w:ascii="Calibri" w:hAnsi="Calibri" w:eastAsia="Calibri"/>
                <w:b w:val="0"/>
                <w:i w:val="0"/>
                <w:color w:val="1A1A1A"/>
                <w:sz w:val="14"/>
              </w:rPr>
              <w:t>6.6x vs 6.6x</w:t>
            </w:r>
          </w:p>
        </w:tc>
        <w:tc>
          <w:tcPr>
            <w:tcW w:type="dxa" w:w="792"/>
          </w:tcPr>
          <w:p>
            <w:pPr>
              <w:spacing w:after="0" w:before="0" w:line="240" w:lineRule="auto"/>
            </w:pPr>
            <w:r/>
            <w:r>
              <w:rPr>
                <w:rFonts w:ascii="Calibri" w:hAnsi="Calibri" w:eastAsia="Calibri"/>
                <w:b w:val="0"/>
                <w:i w:val="0"/>
                <w:color w:val="1A1A1A"/>
                <w:sz w:val="14"/>
              </w:rPr>
              <w:t>−1.7x (Mar)</w:t>
            </w:r>
          </w:p>
        </w:tc>
        <w:tc>
          <w:tcPr>
            <w:tcW w:type="dxa" w:w="893"/>
          </w:tcPr>
          <w:p>
            <w:pPr>
              <w:spacing w:after="0" w:before="0" w:line="240" w:lineRule="auto"/>
            </w:pPr>
            <w:r/>
            <w:r>
              <w:rPr>
                <w:rFonts w:ascii="Calibri" w:hAnsi="Calibri" w:eastAsia="Calibri"/>
                <w:b w:val="0"/>
                <w:i w:val="0"/>
                <w:color w:val="1A1A1A"/>
                <w:sz w:val="14"/>
              </w:rPr>
              <w:t>36–54%</w:t>
            </w:r>
          </w:p>
        </w:tc>
        <w:tc>
          <w:tcPr>
            <w:tcW w:type="dxa" w:w="3384"/>
          </w:tcPr>
          <w:p>
            <w:pPr>
              <w:spacing w:after="0" w:before="0" w:line="240" w:lineRule="auto"/>
            </w:pPr>
            <w:r/>
            <w:r>
              <w:rPr>
                <w:rFonts w:ascii="Calibri" w:hAnsi="Calibri" w:eastAsia="Calibri"/>
                <w:b w:val="0"/>
                <w:i w:val="0"/>
                <w:color w:val="1A1A1A"/>
                <w:sz w:val="14"/>
              </w:rPr>
              <w:t>¥73.5bn policy stocks (½ broadcasters), SG&amp;A bloat across ~385 subs, ROE 4%</w:t>
            </w:r>
          </w:p>
        </w:tc>
        <w:tc>
          <w:tcPr>
            <w:tcW w:type="dxa" w:w="1008"/>
          </w:tcPr>
          <w:p>
            <w:pPr>
              <w:spacing w:after="0" w:before="0" w:line="240" w:lineRule="auto"/>
            </w:pPr>
            <w:r/>
            <w:r>
              <w:rPr>
                <w:rFonts w:ascii="Calibri" w:hAnsi="Calibri" w:eastAsia="Calibri"/>
                <w:b w:val="0"/>
                <w:i w:val="0"/>
                <w:color w:val="1A1A1A"/>
                <w:sz w:val="14"/>
              </w:rPr>
              <w:t>Low–Med</w:t>
            </w:r>
          </w:p>
        </w:tc>
        <w:tc>
          <w:tcPr>
            <w:tcW w:type="dxa" w:w="2074"/>
          </w:tcPr>
          <w:p>
            <w:pPr>
              <w:spacing w:after="0" w:before="0" w:line="240" w:lineRule="auto"/>
            </w:pPr>
            <w:r/>
            <w:r>
              <w:rPr>
                <w:rFonts w:ascii="Calibri" w:hAnsi="Calibri" w:eastAsia="Calibri"/>
                <w:b w:val="0"/>
                <w:i w:val="0"/>
                <w:color w:val="1A1A1A"/>
                <w:sz w:val="14"/>
              </w:rPr>
              <w:t>Foundation-led bloc ~30%; Silchester 2%</w:t>
            </w:r>
          </w:p>
        </w:tc>
      </w:tr>
      <w:tr>
        <w:tc>
          <w:tcPr>
            <w:tcW w:type="dxa" w:w="317"/>
            <w:shd w:val="clear" w:color="auto" w:fill="EEF4F2"/>
          </w:tcPr>
          <w:p>
            <w:pPr>
              <w:spacing w:after="0" w:before="0" w:line="240" w:lineRule="auto"/>
            </w:pPr>
            <w:r/>
            <w:r>
              <w:rPr>
                <w:rFonts w:ascii="Calibri" w:hAnsi="Calibri" w:eastAsia="Calibri"/>
                <w:b w:val="0"/>
                <w:i w:val="0"/>
                <w:color w:val="1A1A1A"/>
                <w:sz w:val="14"/>
              </w:rPr>
              <w:t>4</w:t>
            </w:r>
          </w:p>
        </w:tc>
        <w:tc>
          <w:tcPr>
            <w:tcW w:type="dxa" w:w="1944"/>
            <w:shd w:val="clear" w:color="auto" w:fill="EEF4F2"/>
          </w:tcPr>
          <w:p>
            <w:pPr>
              <w:spacing w:after="0" w:before="0" w:line="240" w:lineRule="auto"/>
            </w:pPr>
            <w:r/>
            <w:r>
              <w:rPr>
                <w:rFonts w:ascii="Calibri" w:hAnsi="Calibri" w:eastAsia="Calibri"/>
                <w:b w:val="0"/>
                <w:i w:val="0"/>
                <w:color w:val="1A1A1A"/>
                <w:sz w:val="14"/>
              </w:rPr>
              <w:t>Stanley Electric (6923)</w:t>
            </w:r>
          </w:p>
        </w:tc>
        <w:tc>
          <w:tcPr>
            <w:tcW w:type="dxa" w:w="792"/>
            <w:shd w:val="clear" w:color="auto" w:fill="EEF4F2"/>
          </w:tcPr>
          <w:p>
            <w:pPr>
              <w:spacing w:after="0" w:before="0" w:line="240" w:lineRule="auto"/>
            </w:pPr>
            <w:r/>
            <w:r>
              <w:rPr>
                <w:rFonts w:ascii="Calibri" w:hAnsi="Calibri" w:eastAsia="Calibri"/>
                <w:b w:val="0"/>
                <w:i w:val="0"/>
                <w:color w:val="1A1A1A"/>
                <w:sz w:val="14"/>
              </w:rPr>
              <w:t>2.77</w:t>
            </w:r>
          </w:p>
        </w:tc>
        <w:tc>
          <w:tcPr>
            <w:tcW w:type="dxa" w:w="2160"/>
            <w:shd w:val="clear" w:color="auto" w:fill="EEF4F2"/>
          </w:tcPr>
          <w:p>
            <w:pPr>
              <w:spacing w:after="0" w:before="0" w:line="240" w:lineRule="auto"/>
            </w:pPr>
            <w:r/>
            <w:r>
              <w:rPr>
                <w:rFonts w:ascii="Calibri" w:hAnsi="Calibri" w:eastAsia="Calibri"/>
                <w:b w:val="0"/>
                <w:i w:val="0"/>
                <w:color w:val="1A1A1A"/>
                <w:sz w:val="14"/>
              </w:rPr>
              <w:t>3Y +57% | +38% | +90%</w:t>
              <w:br/>
              <w:t>5Y +45% | +67% | +129%</w:t>
            </w:r>
          </w:p>
        </w:tc>
        <w:tc>
          <w:tcPr>
            <w:tcW w:type="dxa" w:w="1037"/>
            <w:shd w:val="clear" w:color="auto" w:fill="EEF4F2"/>
          </w:tcPr>
          <w:p>
            <w:pPr>
              <w:spacing w:after="0" w:before="0" w:line="240" w:lineRule="auto"/>
            </w:pPr>
            <w:r/>
            <w:r>
              <w:rPr>
                <w:rFonts w:ascii="Calibri" w:hAnsi="Calibri" w:eastAsia="Calibri"/>
                <w:b w:val="0"/>
                <w:i w:val="0"/>
                <w:color w:val="1A1A1A"/>
                <w:sz w:val="14"/>
              </w:rPr>
              <w:t>6.1x vs 4.0x</w:t>
            </w:r>
          </w:p>
        </w:tc>
        <w:tc>
          <w:tcPr>
            <w:tcW w:type="dxa" w:w="792"/>
            <w:shd w:val="clear" w:color="auto" w:fill="EEF4F2"/>
          </w:tcPr>
          <w:p>
            <w:pPr>
              <w:spacing w:after="0" w:before="0" w:line="240" w:lineRule="auto"/>
            </w:pPr>
            <w:r/>
            <w:r>
              <w:rPr>
                <w:rFonts w:ascii="Calibri" w:hAnsi="Calibri" w:eastAsia="Calibri"/>
                <w:b w:val="0"/>
                <w:i w:val="0"/>
                <w:color w:val="1A1A1A"/>
                <w:sz w:val="14"/>
              </w:rPr>
              <w:t>−0.4x</w:t>
            </w:r>
          </w:p>
        </w:tc>
        <w:tc>
          <w:tcPr>
            <w:tcW w:type="dxa" w:w="893"/>
            <w:shd w:val="clear" w:color="auto" w:fill="EEF4F2"/>
          </w:tcPr>
          <w:p>
            <w:pPr>
              <w:spacing w:after="0" w:before="0" w:line="240" w:lineRule="auto"/>
            </w:pPr>
            <w:r/>
            <w:r>
              <w:rPr>
                <w:rFonts w:ascii="Calibri" w:hAnsi="Calibri" w:eastAsia="Calibri"/>
                <w:b w:val="0"/>
                <w:i w:val="0"/>
                <w:color w:val="1A1A1A"/>
                <w:sz w:val="14"/>
              </w:rPr>
              <w:t>26% (50% pre-deal)</w:t>
            </w:r>
          </w:p>
        </w:tc>
        <w:tc>
          <w:tcPr>
            <w:tcW w:type="dxa" w:w="3384"/>
            <w:shd w:val="clear" w:color="auto" w:fill="EEF4F2"/>
          </w:tcPr>
          <w:p>
            <w:pPr>
              <w:spacing w:after="0" w:before="0" w:line="240" w:lineRule="auto"/>
            </w:pPr>
            <w:r/>
            <w:r>
              <w:rPr>
                <w:rFonts w:ascii="Calibri" w:hAnsi="Calibri" w:eastAsia="Calibri"/>
                <w:b w:val="0"/>
                <w:i w:val="0"/>
                <w:color w:val="1A1A1A"/>
                <w:sz w:val="14"/>
              </w:rPr>
              <w:t>P/B &lt;1, ROE 7%; debt-funded Iwasaki deal, HQ cost +50%, Thai sub listing, cross-holdings</w:t>
            </w:r>
          </w:p>
        </w:tc>
        <w:tc>
          <w:tcPr>
            <w:tcW w:type="dxa" w:w="1008"/>
            <w:shd w:val="clear" w:color="auto" w:fill="EEF4F2"/>
          </w:tcPr>
          <w:p>
            <w:pPr>
              <w:spacing w:after="0" w:before="0" w:line="240" w:lineRule="auto"/>
            </w:pPr>
            <w:r/>
            <w:r>
              <w:rPr>
                <w:rFonts w:ascii="Calibri" w:hAnsi="Calibri" w:eastAsia="Calibri"/>
                <w:b w:val="0"/>
                <w:i w:val="0"/>
                <w:color w:val="1A1A1A"/>
                <w:sz w:val="14"/>
              </w:rPr>
              <w:t>Medium</w:t>
            </w:r>
          </w:p>
        </w:tc>
        <w:tc>
          <w:tcPr>
            <w:tcW w:type="dxa" w:w="2074"/>
            <w:shd w:val="clear" w:color="auto" w:fill="EEF4F2"/>
          </w:tcPr>
          <w:p>
            <w:pPr>
              <w:spacing w:after="0" w:before="0" w:line="240" w:lineRule="auto"/>
            </w:pPr>
            <w:r/>
            <w:r>
              <w:rPr>
                <w:rFonts w:ascii="Calibri" w:hAnsi="Calibri" w:eastAsia="Calibri"/>
                <w:b w:val="0"/>
                <w:i w:val="0"/>
                <w:color w:val="1A1A1A"/>
                <w:sz w:val="14"/>
              </w:rPr>
              <w:t>Honda 13.6%; Murakami 3.1%</w:t>
            </w:r>
          </w:p>
        </w:tc>
      </w:tr>
      <w:tr>
        <w:tc>
          <w:tcPr>
            <w:tcW w:type="dxa" w:w="317"/>
          </w:tcPr>
          <w:p>
            <w:pPr>
              <w:spacing w:after="0" w:before="0" w:line="240" w:lineRule="auto"/>
            </w:pPr>
            <w:r/>
            <w:r>
              <w:rPr>
                <w:rFonts w:ascii="Calibri" w:hAnsi="Calibri" w:eastAsia="Calibri"/>
                <w:b w:val="0"/>
                <w:i w:val="0"/>
                <w:color w:val="1A1A1A"/>
                <w:sz w:val="14"/>
              </w:rPr>
              <w:t>5</w:t>
            </w:r>
          </w:p>
        </w:tc>
        <w:tc>
          <w:tcPr>
            <w:tcW w:type="dxa" w:w="1944"/>
          </w:tcPr>
          <w:p>
            <w:pPr>
              <w:spacing w:after="0" w:before="0" w:line="240" w:lineRule="auto"/>
            </w:pPr>
            <w:r/>
            <w:r>
              <w:rPr>
                <w:rFonts w:ascii="Calibri" w:hAnsi="Calibri" w:eastAsia="Calibri"/>
                <w:b w:val="0"/>
                <w:i w:val="0"/>
                <w:color w:val="1A1A1A"/>
                <w:sz w:val="14"/>
              </w:rPr>
              <w:t>Nihon Kohden (6849)</w:t>
            </w:r>
          </w:p>
        </w:tc>
        <w:tc>
          <w:tcPr>
            <w:tcW w:type="dxa" w:w="792"/>
          </w:tcPr>
          <w:p>
            <w:pPr>
              <w:spacing w:after="0" w:before="0" w:line="240" w:lineRule="auto"/>
            </w:pPr>
            <w:r/>
            <w:r>
              <w:rPr>
                <w:rFonts w:ascii="Calibri" w:hAnsi="Calibri" w:eastAsia="Calibri"/>
                <w:b w:val="0"/>
                <w:i w:val="0"/>
                <w:color w:val="1A1A1A"/>
                <w:sz w:val="14"/>
              </w:rPr>
              <w:t>1.67</w:t>
            </w:r>
          </w:p>
        </w:tc>
        <w:tc>
          <w:tcPr>
            <w:tcW w:type="dxa" w:w="2160"/>
          </w:tcPr>
          <w:p>
            <w:pPr>
              <w:spacing w:after="0" w:before="0" w:line="240" w:lineRule="auto"/>
            </w:pPr>
            <w:r/>
            <w:r>
              <w:rPr>
                <w:rFonts w:ascii="Calibri" w:hAnsi="Calibri" w:eastAsia="Calibri"/>
                <w:b w:val="0"/>
                <w:i w:val="0"/>
                <w:color w:val="1A1A1A"/>
                <w:sz w:val="14"/>
              </w:rPr>
              <w:t>3Y −3% | +16% | +90%</w:t>
              <w:br/>
              <w:t>5Y +2% | −9% | +129%</w:t>
            </w:r>
          </w:p>
        </w:tc>
        <w:tc>
          <w:tcPr>
            <w:tcW w:type="dxa" w:w="1037"/>
          </w:tcPr>
          <w:p>
            <w:pPr>
              <w:spacing w:after="0" w:before="0" w:line="240" w:lineRule="auto"/>
            </w:pPr>
            <w:r/>
            <w:r>
              <w:rPr>
                <w:rFonts w:ascii="Calibri" w:hAnsi="Calibri" w:eastAsia="Calibri"/>
                <w:b w:val="0"/>
                <w:i w:val="0"/>
                <w:color w:val="1A1A1A"/>
                <w:sz w:val="14"/>
              </w:rPr>
              <w:t>11.0x vs 10.2x</w:t>
            </w:r>
          </w:p>
        </w:tc>
        <w:tc>
          <w:tcPr>
            <w:tcW w:type="dxa" w:w="792"/>
          </w:tcPr>
          <w:p>
            <w:pPr>
              <w:spacing w:after="0" w:before="0" w:line="240" w:lineRule="auto"/>
            </w:pPr>
            <w:r/>
            <w:r>
              <w:rPr>
                <w:rFonts w:ascii="Calibri" w:hAnsi="Calibri" w:eastAsia="Calibri"/>
                <w:b w:val="0"/>
                <w:i w:val="0"/>
                <w:color w:val="1A1A1A"/>
                <w:sz w:val="14"/>
              </w:rPr>
              <w:t>−1.25x</w:t>
            </w:r>
          </w:p>
        </w:tc>
        <w:tc>
          <w:tcPr>
            <w:tcW w:type="dxa" w:w="893"/>
          </w:tcPr>
          <w:p>
            <w:pPr>
              <w:spacing w:after="0" w:before="0" w:line="240" w:lineRule="auto"/>
            </w:pPr>
            <w:r/>
            <w:r>
              <w:rPr>
                <w:rFonts w:ascii="Calibri" w:hAnsi="Calibri" w:eastAsia="Calibri"/>
                <w:b w:val="0"/>
                <w:i w:val="0"/>
                <w:color w:val="1A1A1A"/>
                <w:sz w:val="14"/>
              </w:rPr>
              <w:t>~12%</w:t>
            </w:r>
          </w:p>
        </w:tc>
        <w:tc>
          <w:tcPr>
            <w:tcW w:type="dxa" w:w="3384"/>
          </w:tcPr>
          <w:p>
            <w:pPr>
              <w:spacing w:after="0" w:before="0" w:line="240" w:lineRule="auto"/>
            </w:pPr>
            <w:r/>
            <w:r>
              <w:rPr>
                <w:rFonts w:ascii="Calibri" w:hAnsi="Calibri" w:eastAsia="Calibri"/>
                <w:b w:val="0"/>
                <w:i w:val="0"/>
                <w:color w:val="1A1A1A"/>
                <w:sz w:val="14"/>
              </w:rPr>
              <w:t>Opex 44% of sales: 6.7% EBIT vs Fukuda Denshi 19%; 15% target missed; idle cash</w:t>
            </w:r>
          </w:p>
        </w:tc>
        <w:tc>
          <w:tcPr>
            <w:tcW w:type="dxa" w:w="1008"/>
          </w:tcPr>
          <w:p>
            <w:pPr>
              <w:spacing w:after="0" w:before="0" w:line="240" w:lineRule="auto"/>
            </w:pPr>
            <w:r/>
            <w:r>
              <w:rPr>
                <w:rFonts w:ascii="Calibri" w:hAnsi="Calibri" w:eastAsia="Calibri"/>
                <w:b w:val="0"/>
                <w:i w:val="0"/>
                <w:color w:val="1A1A1A"/>
                <w:sz w:val="14"/>
              </w:rPr>
              <w:t>Medium</w:t>
            </w:r>
          </w:p>
        </w:tc>
        <w:tc>
          <w:tcPr>
            <w:tcW w:type="dxa" w:w="2074"/>
          </w:tcPr>
          <w:p>
            <w:pPr>
              <w:spacing w:after="0" w:before="0" w:line="240" w:lineRule="auto"/>
            </w:pPr>
            <w:r/>
            <w:r>
              <w:rPr>
                <w:rFonts w:ascii="Calibri" w:hAnsi="Calibri" w:eastAsia="Calibri"/>
                <w:b w:val="0"/>
                <w:i w:val="0"/>
                <w:color w:val="1A1A1A"/>
                <w:sz w:val="14"/>
              </w:rPr>
              <w:t>JAC 6.5% (mgmt partner); First Eagle 7.3%</w:t>
            </w:r>
          </w:p>
        </w:tc>
      </w:tr>
      <w:tr>
        <w:tc>
          <w:tcPr>
            <w:tcW w:type="dxa" w:w="317"/>
            <w:shd w:val="clear" w:color="auto" w:fill="EEF4F2"/>
          </w:tcPr>
          <w:p>
            <w:pPr>
              <w:spacing w:after="0" w:before="0" w:line="240" w:lineRule="auto"/>
            </w:pPr>
            <w:r/>
            <w:r>
              <w:rPr>
                <w:rFonts w:ascii="Calibri" w:hAnsi="Calibri" w:eastAsia="Calibri"/>
                <w:b w:val="0"/>
                <w:i w:val="0"/>
                <w:color w:val="1A1A1A"/>
                <w:sz w:val="14"/>
              </w:rPr>
              <w:t>6</w:t>
            </w:r>
          </w:p>
        </w:tc>
        <w:tc>
          <w:tcPr>
            <w:tcW w:type="dxa" w:w="1944"/>
            <w:shd w:val="clear" w:color="auto" w:fill="EEF4F2"/>
          </w:tcPr>
          <w:p>
            <w:pPr>
              <w:spacing w:after="0" w:before="0" w:line="240" w:lineRule="auto"/>
            </w:pPr>
            <w:r/>
            <w:r>
              <w:rPr>
                <w:rFonts w:ascii="Calibri" w:hAnsi="Calibri" w:eastAsia="Calibri"/>
                <w:b w:val="0"/>
                <w:i w:val="0"/>
                <w:color w:val="1A1A1A"/>
                <w:sz w:val="14"/>
              </w:rPr>
              <w:t>Lion Corp (4912)</w:t>
            </w:r>
          </w:p>
        </w:tc>
        <w:tc>
          <w:tcPr>
            <w:tcW w:type="dxa" w:w="792"/>
            <w:shd w:val="clear" w:color="auto" w:fill="EEF4F2"/>
          </w:tcPr>
          <w:p>
            <w:pPr>
              <w:spacing w:after="0" w:before="0" w:line="240" w:lineRule="auto"/>
            </w:pPr>
            <w:r/>
            <w:r>
              <w:rPr>
                <w:rFonts w:ascii="Calibri" w:hAnsi="Calibri" w:eastAsia="Calibri"/>
                <w:b w:val="0"/>
                <w:i w:val="0"/>
                <w:color w:val="1A1A1A"/>
                <w:sz w:val="14"/>
              </w:rPr>
              <w:t>3.15</w:t>
            </w:r>
          </w:p>
        </w:tc>
        <w:tc>
          <w:tcPr>
            <w:tcW w:type="dxa" w:w="2160"/>
            <w:shd w:val="clear" w:color="auto" w:fill="EEF4F2"/>
          </w:tcPr>
          <w:p>
            <w:pPr>
              <w:spacing w:after="0" w:before="0" w:line="240" w:lineRule="auto"/>
            </w:pPr>
            <w:r/>
            <w:r>
              <w:rPr>
                <w:rFonts w:ascii="Calibri" w:hAnsi="Calibri" w:eastAsia="Calibri"/>
                <w:b w:val="0"/>
                <w:i w:val="0"/>
                <w:color w:val="1A1A1A"/>
                <w:sz w:val="14"/>
              </w:rPr>
              <w:t>3Y +35% | +4% | +90%</w:t>
              <w:br/>
              <w:t>5Y +7% | −9% | +129%</w:t>
            </w:r>
          </w:p>
        </w:tc>
        <w:tc>
          <w:tcPr>
            <w:tcW w:type="dxa" w:w="1037"/>
            <w:shd w:val="clear" w:color="auto" w:fill="EEF4F2"/>
          </w:tcPr>
          <w:p>
            <w:pPr>
              <w:spacing w:after="0" w:before="0" w:line="240" w:lineRule="auto"/>
            </w:pPr>
            <w:r/>
            <w:r>
              <w:rPr>
                <w:rFonts w:ascii="Calibri" w:hAnsi="Calibri" w:eastAsia="Calibri"/>
                <w:b w:val="0"/>
                <w:i w:val="0"/>
                <w:color w:val="1A1A1A"/>
                <w:sz w:val="14"/>
              </w:rPr>
              <w:t>8.4x vs 10.2x (core)</w:t>
            </w:r>
          </w:p>
        </w:tc>
        <w:tc>
          <w:tcPr>
            <w:tcW w:type="dxa" w:w="792"/>
            <w:shd w:val="clear" w:color="auto" w:fill="EEF4F2"/>
          </w:tcPr>
          <w:p>
            <w:pPr>
              <w:spacing w:after="0" w:before="0" w:line="240" w:lineRule="auto"/>
            </w:pPr>
            <w:r/>
            <w:r>
              <w:rPr>
                <w:rFonts w:ascii="Calibri" w:hAnsi="Calibri" w:eastAsia="Calibri"/>
                <w:b w:val="0"/>
                <w:i w:val="0"/>
                <w:color w:val="1A1A1A"/>
                <w:sz w:val="14"/>
              </w:rPr>
              <w:t>−0.8x</w:t>
            </w:r>
          </w:p>
        </w:tc>
        <w:tc>
          <w:tcPr>
            <w:tcW w:type="dxa" w:w="893"/>
            <w:shd w:val="clear" w:color="auto" w:fill="EEF4F2"/>
          </w:tcPr>
          <w:p>
            <w:pPr>
              <w:spacing w:after="0" w:before="0" w:line="240" w:lineRule="auto"/>
            </w:pPr>
            <w:r/>
            <w:r>
              <w:rPr>
                <w:rFonts w:ascii="Calibri" w:hAnsi="Calibri" w:eastAsia="Calibri"/>
                <w:b w:val="0"/>
                <w:i w:val="0"/>
                <w:color w:val="1A1A1A"/>
                <w:sz w:val="14"/>
              </w:rPr>
              <w:t>~24%</w:t>
            </w:r>
          </w:p>
        </w:tc>
        <w:tc>
          <w:tcPr>
            <w:tcW w:type="dxa" w:w="3384"/>
            <w:shd w:val="clear" w:color="auto" w:fill="EEF4F2"/>
          </w:tcPr>
          <w:p>
            <w:pPr>
              <w:spacing w:after="0" w:before="0" w:line="240" w:lineRule="auto"/>
            </w:pPr>
            <w:r/>
            <w:r>
              <w:rPr>
                <w:rFonts w:ascii="Calibri" w:hAnsi="Calibri" w:eastAsia="Calibri"/>
                <w:b w:val="0"/>
                <w:i w:val="0"/>
                <w:color w:val="1A1A1A"/>
                <w:sz w:val="14"/>
              </w:rPr>
              <w:t>7.6% core margin vs 11–12% peers; NE Asia at 1.6%; no buyback since 2024</w:t>
            </w:r>
          </w:p>
        </w:tc>
        <w:tc>
          <w:tcPr>
            <w:tcW w:type="dxa" w:w="1008"/>
            <w:shd w:val="clear" w:color="auto" w:fill="EEF4F2"/>
          </w:tcPr>
          <w:p>
            <w:pPr>
              <w:spacing w:after="0" w:before="0" w:line="240" w:lineRule="auto"/>
            </w:pPr>
            <w:r/>
            <w:r>
              <w:rPr>
                <w:rFonts w:ascii="Calibri" w:hAnsi="Calibri" w:eastAsia="Calibri"/>
                <w:b w:val="0"/>
                <w:i w:val="0"/>
                <w:color w:val="1A1A1A"/>
                <w:sz w:val="14"/>
              </w:rPr>
              <w:t>Medium</w:t>
            </w:r>
          </w:p>
        </w:tc>
        <w:tc>
          <w:tcPr>
            <w:tcW w:type="dxa" w:w="2074"/>
            <w:shd w:val="clear" w:color="auto" w:fill="EEF4F2"/>
          </w:tcPr>
          <w:p>
            <w:pPr>
              <w:spacing w:after="0" w:before="0" w:line="240" w:lineRule="auto"/>
            </w:pPr>
            <w:r/>
            <w:r>
              <w:rPr>
                <w:rFonts w:ascii="Calibri" w:hAnsi="Calibri" w:eastAsia="Calibri"/>
                <w:b w:val="0"/>
                <w:i w:val="0"/>
                <w:color w:val="1A1A1A"/>
                <w:sz w:val="14"/>
              </w:rPr>
              <w:t>JAC 4.5% (mgmt partner)</w:t>
            </w:r>
          </w:p>
        </w:tc>
      </w:tr>
      <w:tr>
        <w:tc>
          <w:tcPr>
            <w:tcW w:type="dxa" w:w="317"/>
          </w:tcPr>
          <w:p>
            <w:pPr>
              <w:spacing w:after="0" w:before="0" w:line="240" w:lineRule="auto"/>
            </w:pPr>
            <w:r/>
            <w:r>
              <w:rPr>
                <w:rFonts w:ascii="Calibri" w:hAnsi="Calibri" w:eastAsia="Calibri"/>
                <w:b w:val="0"/>
                <w:i w:val="0"/>
                <w:color w:val="1A1A1A"/>
                <w:sz w:val="14"/>
              </w:rPr>
              <w:t>7</w:t>
            </w:r>
          </w:p>
        </w:tc>
        <w:tc>
          <w:tcPr>
            <w:tcW w:type="dxa" w:w="1944"/>
          </w:tcPr>
          <w:p>
            <w:pPr>
              <w:spacing w:after="0" w:before="0" w:line="240" w:lineRule="auto"/>
            </w:pPr>
            <w:r/>
            <w:r>
              <w:rPr>
                <w:rFonts w:ascii="Calibri" w:hAnsi="Calibri" w:eastAsia="Calibri"/>
                <w:b w:val="0"/>
                <w:i w:val="0"/>
                <w:color w:val="1A1A1A"/>
                <w:sz w:val="14"/>
              </w:rPr>
              <w:t>Koito Mfg (7276)</w:t>
            </w:r>
          </w:p>
        </w:tc>
        <w:tc>
          <w:tcPr>
            <w:tcW w:type="dxa" w:w="792"/>
          </w:tcPr>
          <w:p>
            <w:pPr>
              <w:spacing w:after="0" w:before="0" w:line="240" w:lineRule="auto"/>
            </w:pPr>
            <w:r/>
            <w:r>
              <w:rPr>
                <w:rFonts w:ascii="Calibri" w:hAnsi="Calibri" w:eastAsia="Calibri"/>
                <w:b w:val="0"/>
                <w:i w:val="0"/>
                <w:color w:val="1A1A1A"/>
                <w:sz w:val="14"/>
              </w:rPr>
              <w:t>4.58</w:t>
            </w:r>
          </w:p>
        </w:tc>
        <w:tc>
          <w:tcPr>
            <w:tcW w:type="dxa" w:w="2160"/>
          </w:tcPr>
          <w:p>
            <w:pPr>
              <w:spacing w:after="0" w:before="0" w:line="240" w:lineRule="auto"/>
            </w:pPr>
            <w:r/>
            <w:r>
              <w:rPr>
                <w:rFonts w:ascii="Calibri" w:hAnsi="Calibri" w:eastAsia="Calibri"/>
                <w:b w:val="0"/>
                <w:i w:val="0"/>
                <w:color w:val="1A1A1A"/>
                <w:sz w:val="14"/>
              </w:rPr>
              <w:t>3Y +27% | +49% | +90%</w:t>
              <w:br/>
              <w:t>5Y −9% | +45% | +129%</w:t>
            </w:r>
          </w:p>
        </w:tc>
        <w:tc>
          <w:tcPr>
            <w:tcW w:type="dxa" w:w="1037"/>
          </w:tcPr>
          <w:p>
            <w:pPr>
              <w:spacing w:after="0" w:before="0" w:line="240" w:lineRule="auto"/>
            </w:pPr>
            <w:r/>
            <w:r>
              <w:rPr>
                <w:rFonts w:ascii="Calibri" w:hAnsi="Calibri" w:eastAsia="Calibri"/>
                <w:b w:val="0"/>
                <w:i w:val="0"/>
                <w:color w:val="1A1A1A"/>
                <w:sz w:val="14"/>
              </w:rPr>
              <w:t>4.8x vs 3.7x</w:t>
            </w:r>
          </w:p>
        </w:tc>
        <w:tc>
          <w:tcPr>
            <w:tcW w:type="dxa" w:w="792"/>
          </w:tcPr>
          <w:p>
            <w:pPr>
              <w:spacing w:after="0" w:before="0" w:line="240" w:lineRule="auto"/>
            </w:pPr>
            <w:r/>
            <w:r>
              <w:rPr>
                <w:rFonts w:ascii="Calibri" w:hAnsi="Calibri" w:eastAsia="Calibri"/>
                <w:b w:val="0"/>
                <w:i w:val="0"/>
                <w:color w:val="1A1A1A"/>
                <w:sz w:val="14"/>
              </w:rPr>
              <w:t>−2.8x</w:t>
            </w:r>
          </w:p>
        </w:tc>
        <w:tc>
          <w:tcPr>
            <w:tcW w:type="dxa" w:w="893"/>
          </w:tcPr>
          <w:p>
            <w:pPr>
              <w:spacing w:after="0" w:before="0" w:line="240" w:lineRule="auto"/>
            </w:pPr>
            <w:r/>
            <w:r>
              <w:rPr>
                <w:rFonts w:ascii="Calibri" w:hAnsi="Calibri" w:eastAsia="Calibri"/>
                <w:b w:val="0"/>
                <w:i w:val="0"/>
                <w:color w:val="1A1A1A"/>
                <w:sz w:val="14"/>
              </w:rPr>
              <w:t>55%</w:t>
            </w:r>
          </w:p>
        </w:tc>
        <w:tc>
          <w:tcPr>
            <w:tcW w:type="dxa" w:w="3384"/>
          </w:tcPr>
          <w:p>
            <w:pPr>
              <w:spacing w:after="0" w:before="0" w:line="240" w:lineRule="auto"/>
            </w:pPr>
            <w:r/>
            <w:r>
              <w:rPr>
                <w:rFonts w:ascii="Calibri" w:hAnsi="Calibri" w:eastAsia="Calibri"/>
                <w:b w:val="0"/>
                <w:i w:val="0"/>
                <w:color w:val="1A1A1A"/>
                <w:sz w:val="14"/>
              </w:rPr>
              <w:t>¥395bn cash + securities; LiDAR/China write-offs; family dynasty without ownership</w:t>
            </w:r>
          </w:p>
        </w:tc>
        <w:tc>
          <w:tcPr>
            <w:tcW w:type="dxa" w:w="1008"/>
          </w:tcPr>
          <w:p>
            <w:pPr>
              <w:spacing w:after="0" w:before="0" w:line="240" w:lineRule="auto"/>
            </w:pPr>
            <w:r/>
            <w:r>
              <w:rPr>
                <w:rFonts w:ascii="Calibri" w:hAnsi="Calibri" w:eastAsia="Calibri"/>
                <w:b w:val="0"/>
                <w:i w:val="0"/>
                <w:color w:val="1A1A1A"/>
                <w:sz w:val="14"/>
              </w:rPr>
              <w:t>Med (capital) / Low (board)</w:t>
            </w:r>
          </w:p>
        </w:tc>
        <w:tc>
          <w:tcPr>
            <w:tcW w:type="dxa" w:w="2074"/>
          </w:tcPr>
          <w:p>
            <w:pPr>
              <w:spacing w:after="0" w:before="0" w:line="240" w:lineRule="auto"/>
            </w:pPr>
            <w:r/>
            <w:r>
              <w:rPr>
                <w:rFonts w:ascii="Calibri" w:hAnsi="Calibri" w:eastAsia="Calibri"/>
                <w:b w:val="0"/>
                <w:i w:val="0"/>
                <w:color w:val="1A1A1A"/>
                <w:sz w:val="14"/>
              </w:rPr>
              <w:t>Toyota 21% (seller to 20% floor); near US$5bn cap</w:t>
            </w:r>
          </w:p>
        </w:tc>
      </w:tr>
      <w:tr>
        <w:tc>
          <w:tcPr>
            <w:tcW w:type="dxa" w:w="317"/>
            <w:shd w:val="clear" w:color="auto" w:fill="EEF4F2"/>
          </w:tcPr>
          <w:p>
            <w:pPr>
              <w:spacing w:after="0" w:before="0" w:line="240" w:lineRule="auto"/>
            </w:pPr>
            <w:r/>
            <w:r>
              <w:rPr>
                <w:rFonts w:ascii="Calibri" w:hAnsi="Calibri" w:eastAsia="Calibri"/>
                <w:b w:val="0"/>
                <w:i w:val="0"/>
                <w:color w:val="1A1A1A"/>
                <w:sz w:val="14"/>
              </w:rPr>
              <w:t>8</w:t>
            </w:r>
          </w:p>
        </w:tc>
        <w:tc>
          <w:tcPr>
            <w:tcW w:type="dxa" w:w="1944"/>
            <w:shd w:val="clear" w:color="auto" w:fill="EEF4F2"/>
          </w:tcPr>
          <w:p>
            <w:pPr>
              <w:spacing w:after="0" w:before="0" w:line="240" w:lineRule="auto"/>
            </w:pPr>
            <w:r/>
            <w:r>
              <w:rPr>
                <w:rFonts w:ascii="Calibri" w:hAnsi="Calibri" w:eastAsia="Calibri"/>
                <w:b w:val="0"/>
                <w:i w:val="0"/>
                <w:color w:val="1A1A1A"/>
                <w:sz w:val="14"/>
              </w:rPr>
              <w:t>Ito En (2593)</w:t>
            </w:r>
          </w:p>
        </w:tc>
        <w:tc>
          <w:tcPr>
            <w:tcW w:type="dxa" w:w="792"/>
            <w:shd w:val="clear" w:color="auto" w:fill="EEF4F2"/>
          </w:tcPr>
          <w:p>
            <w:pPr>
              <w:spacing w:after="0" w:before="0" w:line="240" w:lineRule="auto"/>
            </w:pPr>
            <w:r/>
            <w:r>
              <w:rPr>
                <w:rFonts w:ascii="Calibri" w:hAnsi="Calibri" w:eastAsia="Calibri"/>
                <w:b w:val="0"/>
                <w:i w:val="0"/>
                <w:color w:val="1A1A1A"/>
                <w:sz w:val="14"/>
              </w:rPr>
              <w:t>2.05</w:t>
            </w:r>
          </w:p>
        </w:tc>
        <w:tc>
          <w:tcPr>
            <w:tcW w:type="dxa" w:w="2160"/>
            <w:shd w:val="clear" w:color="auto" w:fill="EEF4F2"/>
          </w:tcPr>
          <w:p>
            <w:pPr>
              <w:spacing w:after="0" w:before="0" w:line="240" w:lineRule="auto"/>
            </w:pPr>
            <w:r/>
            <w:r>
              <w:rPr>
                <w:rFonts w:ascii="Calibri" w:hAnsi="Calibri" w:eastAsia="Calibri"/>
                <w:b w:val="0"/>
                <w:i w:val="0"/>
                <w:color w:val="1A1A1A"/>
                <w:sz w:val="14"/>
              </w:rPr>
              <w:t>3Y −28% | +13% | +90%</w:t>
              <w:br/>
              <w:t>5Y −53% | +13% | +129%</w:t>
            </w:r>
          </w:p>
        </w:tc>
        <w:tc>
          <w:tcPr>
            <w:tcW w:type="dxa" w:w="1037"/>
            <w:shd w:val="clear" w:color="auto" w:fill="EEF4F2"/>
          </w:tcPr>
          <w:p>
            <w:pPr>
              <w:spacing w:after="0" w:before="0" w:line="240" w:lineRule="auto"/>
            </w:pPr>
            <w:r/>
            <w:r>
              <w:rPr>
                <w:rFonts w:ascii="Calibri" w:hAnsi="Calibri" w:eastAsia="Calibri"/>
                <w:b w:val="0"/>
                <w:i w:val="0"/>
                <w:color w:val="1A1A1A"/>
                <w:sz w:val="14"/>
              </w:rPr>
              <w:t>9.6x vs 7.6x</w:t>
            </w:r>
          </w:p>
        </w:tc>
        <w:tc>
          <w:tcPr>
            <w:tcW w:type="dxa" w:w="792"/>
            <w:shd w:val="clear" w:color="auto" w:fill="EEF4F2"/>
          </w:tcPr>
          <w:p>
            <w:pPr>
              <w:spacing w:after="0" w:before="0" w:line="240" w:lineRule="auto"/>
            </w:pPr>
            <w:r/>
            <w:r>
              <w:rPr>
                <w:rFonts w:ascii="Calibri" w:hAnsi="Calibri" w:eastAsia="Calibri"/>
                <w:b w:val="0"/>
                <w:i w:val="0"/>
                <w:color w:val="1A1A1A"/>
                <w:sz w:val="14"/>
              </w:rPr>
              <w:t>−0.3x</w:t>
            </w:r>
          </w:p>
        </w:tc>
        <w:tc>
          <w:tcPr>
            <w:tcW w:type="dxa" w:w="893"/>
            <w:shd w:val="clear" w:color="auto" w:fill="EEF4F2"/>
          </w:tcPr>
          <w:p>
            <w:pPr>
              <w:spacing w:after="0" w:before="0" w:line="240" w:lineRule="auto"/>
            </w:pPr>
            <w:r/>
            <w:r>
              <w:rPr>
                <w:rFonts w:ascii="Calibri" w:hAnsi="Calibri" w:eastAsia="Calibri"/>
                <w:b w:val="0"/>
                <w:i w:val="0"/>
                <w:color w:val="1A1A1A"/>
                <w:sz w:val="14"/>
              </w:rPr>
              <w:t>10%</w:t>
            </w:r>
          </w:p>
        </w:tc>
        <w:tc>
          <w:tcPr>
            <w:tcW w:type="dxa" w:w="3384"/>
            <w:shd w:val="clear" w:color="auto" w:fill="EEF4F2"/>
          </w:tcPr>
          <w:p>
            <w:pPr>
              <w:spacing w:after="0" w:before="0" w:line="240" w:lineRule="auto"/>
            </w:pPr>
            <w:r/>
            <w:r>
              <w:rPr>
                <w:rFonts w:ascii="Calibri" w:hAnsi="Calibri" w:eastAsia="Calibri"/>
                <w:b w:val="0"/>
                <w:i w:val="0"/>
                <w:color w:val="1A1A1A"/>
                <w:sz w:val="14"/>
              </w:rPr>
              <w:t>Non-voting preferred at 43% discount; 4.7% margin vs 8.9% peers; loss-making vending</w:t>
            </w:r>
          </w:p>
        </w:tc>
        <w:tc>
          <w:tcPr>
            <w:tcW w:type="dxa" w:w="1008"/>
            <w:shd w:val="clear" w:color="auto" w:fill="EEF4F2"/>
          </w:tcPr>
          <w:p>
            <w:pPr>
              <w:spacing w:after="0" w:before="0" w:line="240" w:lineRule="auto"/>
            </w:pPr>
            <w:r/>
            <w:r>
              <w:rPr>
                <w:rFonts w:ascii="Calibri" w:hAnsi="Calibri" w:eastAsia="Calibri"/>
                <w:b w:val="0"/>
                <w:i w:val="0"/>
                <w:color w:val="1A1A1A"/>
                <w:sz w:val="14"/>
              </w:rPr>
              <w:t>Low</w:t>
            </w:r>
          </w:p>
        </w:tc>
        <w:tc>
          <w:tcPr>
            <w:tcW w:type="dxa" w:w="2074"/>
            <w:shd w:val="clear" w:color="auto" w:fill="EEF4F2"/>
          </w:tcPr>
          <w:p>
            <w:pPr>
              <w:spacing w:after="0" w:before="0" w:line="240" w:lineRule="auto"/>
            </w:pPr>
            <w:r/>
            <w:r>
              <w:rPr>
                <w:rFonts w:ascii="Calibri" w:hAnsi="Calibri" w:eastAsia="Calibri"/>
                <w:b w:val="0"/>
                <w:i w:val="0"/>
                <w:color w:val="1A1A1A"/>
                <w:sz w:val="14"/>
              </w:rPr>
              <w:t>Honjo family ~30%</w:t>
            </w:r>
          </w:p>
        </w:tc>
      </w:tr>
      <w:tr>
        <w:tc>
          <w:tcPr>
            <w:tcW w:type="dxa" w:w="317"/>
          </w:tcPr>
          <w:p>
            <w:pPr>
              <w:spacing w:after="0" w:before="0" w:line="240" w:lineRule="auto"/>
            </w:pPr>
            <w:r/>
            <w:r>
              <w:rPr>
                <w:rFonts w:ascii="Calibri" w:hAnsi="Calibri" w:eastAsia="Calibri"/>
                <w:b w:val="0"/>
                <w:i w:val="0"/>
                <w:color w:val="1A1A1A"/>
                <w:sz w:val="14"/>
              </w:rPr>
              <w:t>9</w:t>
            </w:r>
          </w:p>
        </w:tc>
        <w:tc>
          <w:tcPr>
            <w:tcW w:type="dxa" w:w="1944"/>
          </w:tcPr>
          <w:p>
            <w:pPr>
              <w:spacing w:after="0" w:before="0" w:line="240" w:lineRule="auto"/>
            </w:pPr>
            <w:r/>
            <w:r>
              <w:rPr>
                <w:rFonts w:ascii="Calibri" w:hAnsi="Calibri" w:eastAsia="Calibri"/>
                <w:b w:val="0"/>
                <w:i w:val="0"/>
                <w:color w:val="1A1A1A"/>
                <w:sz w:val="14"/>
              </w:rPr>
              <w:t>Ezaki Glico (2206)</w:t>
            </w:r>
          </w:p>
        </w:tc>
        <w:tc>
          <w:tcPr>
            <w:tcW w:type="dxa" w:w="792"/>
          </w:tcPr>
          <w:p>
            <w:pPr>
              <w:spacing w:after="0" w:before="0" w:line="240" w:lineRule="auto"/>
            </w:pPr>
            <w:r/>
            <w:r>
              <w:rPr>
                <w:rFonts w:ascii="Calibri" w:hAnsi="Calibri" w:eastAsia="Calibri"/>
                <w:b w:val="0"/>
                <w:i w:val="0"/>
                <w:color w:val="1A1A1A"/>
                <w:sz w:val="14"/>
              </w:rPr>
              <w:t>1.97</w:t>
            </w:r>
          </w:p>
        </w:tc>
        <w:tc>
          <w:tcPr>
            <w:tcW w:type="dxa" w:w="2160"/>
          </w:tcPr>
          <w:p>
            <w:pPr>
              <w:spacing w:after="0" w:before="0" w:line="240" w:lineRule="auto"/>
            </w:pPr>
            <w:r/>
            <w:r>
              <w:rPr>
                <w:rFonts w:ascii="Calibri" w:hAnsi="Calibri" w:eastAsia="Calibri"/>
                <w:b w:val="0"/>
                <w:i w:val="0"/>
                <w:color w:val="1A1A1A"/>
                <w:sz w:val="14"/>
              </w:rPr>
              <w:t>3Y +30% | +10% | +90%</w:t>
              <w:br/>
              <w:t>5Y +34% | +30% | +129%</w:t>
            </w:r>
          </w:p>
        </w:tc>
        <w:tc>
          <w:tcPr>
            <w:tcW w:type="dxa" w:w="1037"/>
          </w:tcPr>
          <w:p>
            <w:pPr>
              <w:spacing w:after="0" w:before="0" w:line="240" w:lineRule="auto"/>
            </w:pPr>
            <w:r/>
            <w:r>
              <w:rPr>
                <w:rFonts w:ascii="Calibri" w:hAnsi="Calibri" w:eastAsia="Calibri"/>
                <w:b w:val="0"/>
                <w:i w:val="0"/>
                <w:color w:val="1A1A1A"/>
                <w:sz w:val="14"/>
              </w:rPr>
              <w:t>8.8x vs 7.6x</w:t>
            </w:r>
          </w:p>
        </w:tc>
        <w:tc>
          <w:tcPr>
            <w:tcW w:type="dxa" w:w="792"/>
          </w:tcPr>
          <w:p>
            <w:pPr>
              <w:spacing w:after="0" w:before="0" w:line="240" w:lineRule="auto"/>
            </w:pPr>
            <w:r/>
            <w:r>
              <w:rPr>
                <w:rFonts w:ascii="Calibri" w:hAnsi="Calibri" w:eastAsia="Calibri"/>
                <w:b w:val="0"/>
                <w:i w:val="0"/>
                <w:color w:val="1A1A1A"/>
                <w:sz w:val="14"/>
              </w:rPr>
              <w:t>−1.7x</w:t>
            </w:r>
          </w:p>
        </w:tc>
        <w:tc>
          <w:tcPr>
            <w:tcW w:type="dxa" w:w="893"/>
          </w:tcPr>
          <w:p>
            <w:pPr>
              <w:spacing w:after="0" w:before="0" w:line="240" w:lineRule="auto"/>
            </w:pPr>
            <w:r/>
            <w:r>
              <w:rPr>
                <w:rFonts w:ascii="Calibri" w:hAnsi="Calibri" w:eastAsia="Calibri"/>
                <w:b w:val="0"/>
                <w:i w:val="0"/>
                <w:color w:val="1A1A1A"/>
                <w:sz w:val="14"/>
              </w:rPr>
              <w:t>36% (40% incl. property)</w:t>
            </w:r>
          </w:p>
        </w:tc>
        <w:tc>
          <w:tcPr>
            <w:tcW w:type="dxa" w:w="3384"/>
          </w:tcPr>
          <w:p>
            <w:pPr>
              <w:spacing w:after="0" w:before="0" w:line="240" w:lineRule="auto"/>
            </w:pPr>
            <w:r/>
            <w:r>
              <w:rPr>
                <w:rFonts w:ascii="Calibri" w:hAnsi="Calibri" w:eastAsia="Calibri"/>
                <w:b w:val="0"/>
                <w:i w:val="0"/>
                <w:color w:val="1A1A1A"/>
                <w:sz w:val="14"/>
              </w:rPr>
              <w:t>Japan sales (~¥275bn) earn &lt;1%, dairy loses ¥5–7bn; ERP fiasco; ROE 2.3%</w:t>
            </w:r>
          </w:p>
        </w:tc>
        <w:tc>
          <w:tcPr>
            <w:tcW w:type="dxa" w:w="1008"/>
          </w:tcPr>
          <w:p>
            <w:pPr>
              <w:spacing w:after="0" w:before="0" w:line="240" w:lineRule="auto"/>
            </w:pPr>
            <w:r/>
            <w:r>
              <w:rPr>
                <w:rFonts w:ascii="Calibri" w:hAnsi="Calibri" w:eastAsia="Calibri"/>
                <w:b w:val="0"/>
                <w:i w:val="0"/>
                <w:color w:val="1A1A1A"/>
                <w:sz w:val="14"/>
              </w:rPr>
              <w:t>Medium</w:t>
            </w:r>
          </w:p>
        </w:tc>
        <w:tc>
          <w:tcPr>
            <w:tcW w:type="dxa" w:w="2074"/>
          </w:tcPr>
          <w:p>
            <w:pPr>
              <w:spacing w:after="0" w:before="0" w:line="240" w:lineRule="auto"/>
            </w:pPr>
            <w:r/>
            <w:r>
              <w:rPr>
                <w:rFonts w:ascii="Calibri" w:hAnsi="Calibri" w:eastAsia="Calibri"/>
                <w:b w:val="0"/>
                <w:i w:val="0"/>
                <w:color w:val="1A1A1A"/>
                <w:sz w:val="14"/>
              </w:rPr>
              <w:t>Dalton/NAVF ~10–11.5% since 2024 — crowded</w:t>
            </w:r>
          </w:p>
        </w:tc>
      </w:tr>
      <w:tr>
        <w:tc>
          <w:tcPr>
            <w:tcW w:type="dxa" w:w="317"/>
            <w:shd w:val="clear" w:color="auto" w:fill="EEF4F2"/>
          </w:tcPr>
          <w:p>
            <w:pPr>
              <w:spacing w:after="0" w:before="0" w:line="240" w:lineRule="auto"/>
            </w:pPr>
            <w:r/>
            <w:r>
              <w:rPr>
                <w:rFonts w:ascii="Calibri" w:hAnsi="Calibri" w:eastAsia="Calibri"/>
                <w:b w:val="0"/>
                <w:i w:val="0"/>
                <w:color w:val="1A1A1A"/>
                <w:sz w:val="14"/>
              </w:rPr>
              <w:t>10</w:t>
            </w:r>
          </w:p>
        </w:tc>
        <w:tc>
          <w:tcPr>
            <w:tcW w:type="dxa" w:w="1944"/>
            <w:shd w:val="clear" w:color="auto" w:fill="EEF4F2"/>
          </w:tcPr>
          <w:p>
            <w:pPr>
              <w:spacing w:after="0" w:before="0" w:line="240" w:lineRule="auto"/>
            </w:pPr>
            <w:r/>
            <w:r>
              <w:rPr>
                <w:rFonts w:ascii="Calibri" w:hAnsi="Calibri" w:eastAsia="Calibri"/>
                <w:b w:val="0"/>
                <w:i w:val="0"/>
                <w:color w:val="1A1A1A"/>
                <w:sz w:val="14"/>
              </w:rPr>
              <w:t>Santen Pharma (4536)</w:t>
            </w:r>
          </w:p>
        </w:tc>
        <w:tc>
          <w:tcPr>
            <w:tcW w:type="dxa" w:w="792"/>
            <w:shd w:val="clear" w:color="auto" w:fill="EEF4F2"/>
          </w:tcPr>
          <w:p>
            <w:pPr>
              <w:spacing w:after="0" w:before="0" w:line="240" w:lineRule="auto"/>
            </w:pPr>
            <w:r/>
            <w:r>
              <w:rPr>
                <w:rFonts w:ascii="Calibri" w:hAnsi="Calibri" w:eastAsia="Calibri"/>
                <w:b w:val="0"/>
                <w:i w:val="0"/>
                <w:color w:val="1A1A1A"/>
                <w:sz w:val="14"/>
              </w:rPr>
              <w:t>3.47</w:t>
            </w:r>
          </w:p>
        </w:tc>
        <w:tc>
          <w:tcPr>
            <w:tcW w:type="dxa" w:w="2160"/>
            <w:shd w:val="clear" w:color="auto" w:fill="EEF4F2"/>
          </w:tcPr>
          <w:p>
            <w:pPr>
              <w:spacing w:after="0" w:before="0" w:line="240" w:lineRule="auto"/>
            </w:pPr>
            <w:r/>
            <w:r>
              <w:rPr>
                <w:rFonts w:ascii="Calibri" w:hAnsi="Calibri" w:eastAsia="Calibri"/>
                <w:b w:val="0"/>
                <w:i w:val="0"/>
                <w:color w:val="1A1A1A"/>
                <w:sz w:val="14"/>
              </w:rPr>
              <w:t>3Y +36% | +4% | +90%</w:t>
              <w:br/>
              <w:t>5Y +27% | +10% | +129%</w:t>
            </w:r>
          </w:p>
        </w:tc>
        <w:tc>
          <w:tcPr>
            <w:tcW w:type="dxa" w:w="1037"/>
            <w:shd w:val="clear" w:color="auto" w:fill="EEF4F2"/>
          </w:tcPr>
          <w:p>
            <w:pPr>
              <w:spacing w:after="0" w:before="0" w:line="240" w:lineRule="auto"/>
            </w:pPr>
            <w:r/>
            <w:r>
              <w:rPr>
                <w:rFonts w:ascii="Calibri" w:hAnsi="Calibri" w:eastAsia="Calibri"/>
                <w:b w:val="0"/>
                <w:i w:val="0"/>
                <w:color w:val="1A1A1A"/>
                <w:sz w:val="14"/>
              </w:rPr>
              <w:t>7.6x vs 6.6x</w:t>
            </w:r>
          </w:p>
        </w:tc>
        <w:tc>
          <w:tcPr>
            <w:tcW w:type="dxa" w:w="792"/>
            <w:shd w:val="clear" w:color="auto" w:fill="EEF4F2"/>
          </w:tcPr>
          <w:p>
            <w:pPr>
              <w:spacing w:after="0" w:before="0" w:line="240" w:lineRule="auto"/>
            </w:pPr>
            <w:r/>
            <w:r>
              <w:rPr>
                <w:rFonts w:ascii="Calibri" w:hAnsi="Calibri" w:eastAsia="Calibri"/>
                <w:b w:val="0"/>
                <w:i w:val="0"/>
                <w:color w:val="1A1A1A"/>
                <w:sz w:val="14"/>
              </w:rPr>
              <w:t>−0.7x</w:t>
            </w:r>
          </w:p>
        </w:tc>
        <w:tc>
          <w:tcPr>
            <w:tcW w:type="dxa" w:w="893"/>
            <w:shd w:val="clear" w:color="auto" w:fill="EEF4F2"/>
          </w:tcPr>
          <w:p>
            <w:pPr>
              <w:spacing w:after="0" w:before="0" w:line="240" w:lineRule="auto"/>
            </w:pPr>
            <w:r/>
            <w:r>
              <w:rPr>
                <w:rFonts w:ascii="Calibri" w:hAnsi="Calibri" w:eastAsia="Calibri"/>
                <w:b w:val="0"/>
                <w:i w:val="0"/>
                <w:color w:val="1A1A1A"/>
                <w:sz w:val="14"/>
              </w:rPr>
              <w:t>15%</w:t>
            </w:r>
          </w:p>
        </w:tc>
        <w:tc>
          <w:tcPr>
            <w:tcW w:type="dxa" w:w="3384"/>
            <w:shd w:val="clear" w:color="auto" w:fill="EEF4F2"/>
          </w:tcPr>
          <w:p>
            <w:pPr>
              <w:spacing w:after="0" w:before="0" w:line="240" w:lineRule="auto"/>
            </w:pPr>
            <w:r/>
            <w:r>
              <w:rPr>
                <w:rFonts w:ascii="Calibri" w:hAnsi="Calibri" w:eastAsia="Calibri"/>
                <w:b w:val="0"/>
                <w:i w:val="0"/>
                <w:color w:val="1A1A1A"/>
                <w:sz w:val="14"/>
              </w:rPr>
              <w:t>~¥84bn impairments in 5 yrs; BD prioritised over buybacks; EYLEA cliff — strategic review case</w:t>
            </w:r>
          </w:p>
        </w:tc>
        <w:tc>
          <w:tcPr>
            <w:tcW w:type="dxa" w:w="1008"/>
            <w:shd w:val="clear" w:color="auto" w:fill="EEF4F2"/>
          </w:tcPr>
          <w:p>
            <w:pPr>
              <w:spacing w:after="0" w:before="0" w:line="240" w:lineRule="auto"/>
            </w:pPr>
            <w:r/>
            <w:r>
              <w:rPr>
                <w:rFonts w:ascii="Calibri" w:hAnsi="Calibri" w:eastAsia="Calibri"/>
                <w:b w:val="0"/>
                <w:i w:val="0"/>
                <w:color w:val="1A1A1A"/>
                <w:sz w:val="14"/>
              </w:rPr>
              <w:t>Med–High</w:t>
            </w:r>
          </w:p>
        </w:tc>
        <w:tc>
          <w:tcPr>
            <w:tcW w:type="dxa" w:w="2074"/>
            <w:shd w:val="clear" w:color="auto" w:fill="EEF4F2"/>
          </w:tcPr>
          <w:p>
            <w:pPr>
              <w:spacing w:after="0" w:before="0" w:line="240" w:lineRule="auto"/>
            </w:pPr>
            <w:r/>
            <w:r>
              <w:rPr>
                <w:rFonts w:ascii="Calibri" w:hAnsi="Calibri" w:eastAsia="Calibri"/>
                <w:b w:val="0"/>
                <w:i w:val="0"/>
                <w:color w:val="1A1A1A"/>
                <w:sz w:val="14"/>
              </w:rPr>
              <w:t>None. Silchester 8.6% (value long-only)</w:t>
            </w:r>
          </w:p>
        </w:tc>
      </w:tr>
    </w:tbl>
    <w:p>
      <w:pPr>
        <w:spacing w:after="20" w:before="20" w:line="240" w:lineRule="auto"/>
      </w:pPr>
      <w:r>
        <w:rPr>
          <w:rFonts w:ascii="Calibri" w:hAnsi="Calibri" w:eastAsia="Calibri"/>
          <w:b w:val="0"/>
          <w:i/>
          <w:color w:val="555555"/>
          <w:sz w:val="13"/>
        </w:rPr>
        <w:t>TSR: price change plus dividends, JPY; sector = median of named listed Japanese peers (see each page). TOPIX TR to 30-Sep-26: 1Y +33.9%, 3Y +89.7%, 5Y +128.7% (BlackRock iShares Core TOPIX factsheet). Cash+sec. = net cash plus investment securities.</w:t>
      </w:r>
    </w:p>
    <w:p>
      <w:pPr>
        <w:spacing w:after="0"/>
      </w:pPr>
      <w:r>
        <w:br w:type="page"/>
      </w:r>
    </w:p>
    <w:p>
      <w:pPr>
        <w:spacing w:after="40" w:before="0" w:line="240" w:lineRule="auto"/>
      </w:pPr>
      <w:r>
        <w:rPr>
          <w:rFonts w:ascii="Calibri" w:hAnsi="Calibri" w:eastAsia="Calibri"/>
          <w:b/>
          <w:i w:val="0"/>
          <w:color w:val="0F5C4A"/>
          <w:sz w:val="21"/>
        </w:rPr>
        <w:t>How the list was built</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Universe: </w:t>
      </w:r>
      <w:r>
        <w:rPr>
          <w:rFonts w:ascii="Calibri" w:hAnsi="Calibri" w:eastAsia="Calibri"/>
          <w:b w:val="0"/>
          <w:i w:val="0"/>
          <w:color w:val="1A1A1A"/>
          <w:sz w:val="16"/>
        </w:rPr>
        <w:t>TOPIX constituents with market cap US$0.2–5bn (¥31–788bn at ¥157.5), excluding banks, insurers and REITs where EBITDA leverage is not meaningful.</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Long list (40): </w:t>
      </w:r>
      <w:r>
        <w:rPr>
          <w:rFonts w:ascii="Calibri" w:hAnsi="Calibri" w:eastAsia="Calibri"/>
          <w:b w:val="0"/>
          <w:i w:val="0"/>
          <w:color w:val="1A1A1A"/>
          <w:sz w:val="16"/>
        </w:rPr>
        <w:t>value/low-ROE, net-cash and cross-holding-heavy mid-caps across consumer, media, industrials, healthcare and autos, chosen for activist relevance.</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Leverage test: </w:t>
      </w:r>
      <w:r>
        <w:rPr>
          <w:rFonts w:ascii="Calibri" w:hAnsi="Calibri" w:eastAsia="Calibri"/>
          <w:b w:val="0"/>
          <w:i w:val="0"/>
          <w:color w:val="1A1A1A"/>
          <w:sz w:val="16"/>
        </w:rPr>
        <w:t>S&amp;P Capital IQ LTM EBITDA and latest net debt — 35 of 40 pass. Failed: Nikon (2.1x), Shochiku (4.2x), Toda (2.7x), Kagome (1.7x), Tsumura (1.04x).</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Performance test: </w:t>
      </w:r>
      <w:r>
        <w:rPr>
          <w:rFonts w:ascii="Calibri" w:hAnsi="Calibri" w:eastAsia="Calibri"/>
          <w:b w:val="0"/>
          <w:i w:val="0"/>
          <w:color w:val="1A1A1A"/>
          <w:sz w:val="16"/>
        </w:rPr>
        <w:t>ProntoNLP 5-year market-cap change used as a first cut, then full TSR. Removed clear outperformers or re-rated names (THK +149%, Amada +107%, Brother +93%, Sega Sammy +79%, Kewpie +78%, Alps Alpine +77%, TV Asahi +68%, Anritsu +67%).</w:t>
      </w:r>
    </w:p>
    <w:p>
      <w:pPr>
        <w:spacing w:after="24" w:line="240" w:lineRule="auto"/>
        <w:ind w:left="173" w:hanging="173"/>
      </w:pPr>
      <w:r>
        <w:rPr>
          <w:rFonts w:ascii="Calibri" w:hAnsi="Calibri" w:eastAsia="Calibri"/>
          <w:b/>
          <w:i w:val="0"/>
          <w:color w:val="0F5C4A"/>
          <w:sz w:val="16"/>
        </w:rPr>
        <w:t xml:space="preserve">• </w:t>
      </w:r>
      <w:r>
        <w:rPr>
          <w:rFonts w:ascii="Calibri" w:hAnsi="Calibri" w:eastAsia="Calibri"/>
          <w:b/>
          <w:i w:val="0"/>
          <w:color w:val="0F5C4A"/>
          <w:sz w:val="16"/>
        </w:rPr>
        <w:t xml:space="preserve">Deep dives (20 names): </w:t>
      </w:r>
      <w:r>
        <w:rPr>
          <w:rFonts w:ascii="Calibri" w:hAnsi="Calibri" w:eastAsia="Calibri"/>
          <w:b w:val="0"/>
          <w:i w:val="0"/>
          <w:color w:val="1A1A1A"/>
          <w:sz w:val="16"/>
        </w:rPr>
        <w:t>TSR vs peers and TOPIX, peer-relative valuation and margins, shareholder registers and 5% filings, governance, 2025–26 events, and a draft campaign for each; 10 survived. Exclusions and reasons are below.</w:t>
      </w:r>
    </w:p>
    <w:p>
      <w:pPr>
        <w:spacing w:after="40" w:before="0" w:line="240" w:lineRule="auto"/>
      </w:pPr>
    </w:p>
    <w:p>
      <w:pPr>
        <w:spacing w:after="40" w:before="0" w:line="240" w:lineRule="auto"/>
      </w:pPr>
      <w:r>
        <w:rPr>
          <w:rFonts w:ascii="Calibri" w:hAnsi="Calibri" w:eastAsia="Calibri"/>
          <w:b/>
          <w:i w:val="0"/>
          <w:color w:val="0F5C4A"/>
          <w:sz w:val="21"/>
        </w:rPr>
        <w:t>Screened out after review — and why</w:t>
      </w:r>
    </w:p>
    <w:tbl>
      <w:tblPr>
        <w:tblW w:type="dxa" w:w="1440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736"/>
        <w:gridCol w:w="8063"/>
        <w:gridCol w:w="3600"/>
      </w:tblGrid>
      <w:tr>
        <w:tc>
          <w:tcPr>
            <w:tcW w:type="dxa" w:w="2736"/>
            <w:shd w:val="clear" w:color="auto" w:fill="0F5C4A"/>
          </w:tcPr>
          <w:p>
            <w:pPr>
              <w:spacing w:after="0" w:before="0" w:line="240" w:lineRule="auto"/>
            </w:pPr>
            <w:r/>
            <w:r>
              <w:rPr>
                <w:rFonts w:ascii="Calibri" w:hAnsi="Calibri" w:eastAsia="Calibri"/>
                <w:b/>
                <w:i w:val="0"/>
                <w:color w:val="FFFFFF"/>
                <w:sz w:val="14"/>
              </w:rPr>
              <w:t>Company (ticker)</w:t>
            </w:r>
          </w:p>
        </w:tc>
        <w:tc>
          <w:tcPr>
            <w:tcW w:type="dxa" w:w="8064"/>
            <w:shd w:val="clear" w:color="auto" w:fill="0F5C4A"/>
          </w:tcPr>
          <w:p>
            <w:pPr>
              <w:spacing w:after="0" w:before="0" w:line="240" w:lineRule="auto"/>
            </w:pPr>
            <w:r/>
            <w:r>
              <w:rPr>
                <w:rFonts w:ascii="Calibri" w:hAnsi="Calibri" w:eastAsia="Calibri"/>
                <w:b/>
                <w:i w:val="0"/>
                <w:color w:val="FFFFFF"/>
                <w:sz w:val="14"/>
              </w:rPr>
              <w:t>Why excluded</w:t>
            </w:r>
          </w:p>
        </w:tc>
        <w:tc>
          <w:tcPr>
            <w:tcW w:type="dxa" w:w="3600"/>
            <w:shd w:val="clear" w:color="auto" w:fill="0F5C4A"/>
          </w:tcPr>
          <w:p>
            <w:pPr>
              <w:spacing w:after="0" w:before="0" w:line="240" w:lineRule="auto"/>
            </w:pPr>
            <w:r/>
            <w:r>
              <w:rPr>
                <w:rFonts w:ascii="Calibri" w:hAnsi="Calibri" w:eastAsia="Calibri"/>
                <w:b/>
                <w:i w:val="0"/>
                <w:color w:val="FFFFFF"/>
                <w:sz w:val="14"/>
              </w:rPr>
              <w:t>Still interesting as…</w:t>
            </w:r>
          </w:p>
        </w:tc>
      </w:tr>
      <w:tr>
        <w:tc>
          <w:tcPr>
            <w:tcW w:type="dxa" w:w="2736"/>
          </w:tcPr>
          <w:p>
            <w:pPr>
              <w:spacing w:after="0" w:before="0" w:line="240" w:lineRule="auto"/>
            </w:pPr>
            <w:r/>
            <w:r>
              <w:rPr>
                <w:rFonts w:ascii="Calibri" w:hAnsi="Calibri" w:eastAsia="Calibri"/>
                <w:b w:val="0"/>
                <w:i w:val="0"/>
                <w:color w:val="1A1A1A"/>
                <w:sz w:val="14"/>
              </w:rPr>
              <w:t>KOSE Holdings (4922)</w:t>
            </w:r>
          </w:p>
        </w:tc>
        <w:tc>
          <w:tcPr>
            <w:tcW w:type="dxa" w:w="8064"/>
          </w:tcPr>
          <w:p>
            <w:pPr>
              <w:spacing w:after="0" w:before="0" w:line="240" w:lineRule="auto"/>
            </w:pPr>
            <w:r/>
            <w:r>
              <w:rPr>
                <w:rFonts w:ascii="Calibri" w:hAnsi="Calibri" w:eastAsia="Calibri"/>
                <w:b w:val="0"/>
                <w:i w:val="0"/>
                <w:color w:val="1A1A1A"/>
                <w:sz w:val="14"/>
              </w:rPr>
              <w:t>Kobayashi family bloc ~40–42% in concert (three family associations, foundation, individuals) breaches the 40% cap, though no single holder &gt;10%. Otherwise textbook: 5Y TSR −55%, 4.1% EBIT margin, cash + investments 37% of mkt cap, 19-year family CEO.</w:t>
            </w:r>
          </w:p>
        </w:tc>
        <w:tc>
          <w:tcPr>
            <w:tcW w:type="dxa" w:w="3600"/>
          </w:tcPr>
          <w:p>
            <w:pPr>
              <w:spacing w:after="0" w:before="0" w:line="240" w:lineRule="auto"/>
            </w:pPr>
            <w:r/>
            <w:r>
              <w:rPr>
                <w:rFonts w:ascii="Calibri" w:hAnsi="Calibri" w:eastAsia="Calibri"/>
                <w:b w:val="0"/>
                <w:i w:val="0"/>
                <w:color w:val="1A1A1A"/>
                <w:sz w:val="14"/>
              </w:rPr>
              <w:t>Family MBO candidate (P/B 1.1x, EV/Sales 0.8x)</w:t>
            </w:r>
          </w:p>
        </w:tc>
      </w:tr>
      <w:tr>
        <w:tc>
          <w:tcPr>
            <w:tcW w:type="dxa" w:w="2736"/>
            <w:shd w:val="clear" w:color="auto" w:fill="EEF4F2"/>
          </w:tcPr>
          <w:p>
            <w:pPr>
              <w:spacing w:after="0" w:before="0" w:line="240" w:lineRule="auto"/>
            </w:pPr>
            <w:r/>
            <w:r>
              <w:rPr>
                <w:rFonts w:ascii="Calibri" w:hAnsi="Calibri" w:eastAsia="Calibri"/>
                <w:b w:val="0"/>
                <w:i w:val="0"/>
                <w:color w:val="1A1A1A"/>
                <w:sz w:val="14"/>
              </w:rPr>
              <w:t>Casio Computer (6952)</w:t>
            </w:r>
          </w:p>
        </w:tc>
        <w:tc>
          <w:tcPr>
            <w:tcW w:type="dxa" w:w="8064"/>
            <w:shd w:val="clear" w:color="auto" w:fill="EEF4F2"/>
          </w:tcPr>
          <w:p>
            <w:pPr>
              <w:spacing w:after="0" w:before="0" w:line="240" w:lineRule="auto"/>
            </w:pPr>
            <w:r/>
            <w:r>
              <w:rPr>
                <w:rFonts w:ascii="Calibri" w:hAnsi="Calibri" w:eastAsia="Calibri"/>
                <w:b w:val="0"/>
                <w:i w:val="0"/>
                <w:color w:val="1A1A1A"/>
                <w:sz w:val="14"/>
              </w:rPr>
              <w:t>Re-rated in 2026: 1Y TSR +94%, 3Y +97% (≈TOPIX). New plan (May-26) targets ~100% total return and ROE &gt;10%, pre-empting most asks.</w:t>
            </w:r>
          </w:p>
        </w:tc>
        <w:tc>
          <w:tcPr>
            <w:tcW w:type="dxa" w:w="3600"/>
            <w:shd w:val="clear" w:color="auto" w:fill="EEF4F2"/>
          </w:tcPr>
          <w:p>
            <w:pPr>
              <w:spacing w:after="0" w:before="0" w:line="240" w:lineRule="auto"/>
            </w:pPr>
            <w:r/>
            <w:r>
              <w:rPr>
                <w:rFonts w:ascii="Calibri" w:hAnsi="Calibri" w:eastAsia="Calibri"/>
                <w:b w:val="0"/>
                <w:i w:val="0"/>
                <w:color w:val="1A1A1A"/>
                <w:sz w:val="14"/>
              </w:rPr>
              <w:t>Watch-list: ¥97bn net cash partly earmarked for M&amp;A</w:t>
            </w:r>
          </w:p>
        </w:tc>
      </w:tr>
      <w:tr>
        <w:tc>
          <w:tcPr>
            <w:tcW w:type="dxa" w:w="2736"/>
          </w:tcPr>
          <w:p>
            <w:pPr>
              <w:spacing w:after="0" w:before="0" w:line="240" w:lineRule="auto"/>
            </w:pPr>
            <w:r/>
            <w:r>
              <w:rPr>
                <w:rFonts w:ascii="Calibri" w:hAnsi="Calibri" w:eastAsia="Calibri"/>
                <w:b w:val="0"/>
                <w:i w:val="0"/>
                <w:color w:val="1A1A1A"/>
                <w:sz w:val="14"/>
              </w:rPr>
              <w:t>Mabuchi Motor (6592)</w:t>
            </w:r>
          </w:p>
        </w:tc>
        <w:tc>
          <w:tcPr>
            <w:tcW w:type="dxa" w:w="8064"/>
          </w:tcPr>
          <w:p>
            <w:pPr>
              <w:spacing w:after="0" w:before="0" w:line="240" w:lineRule="auto"/>
            </w:pPr>
            <w:r/>
            <w:r>
              <w:rPr>
                <w:rFonts w:ascii="Calibri" w:hAnsi="Calibri" w:eastAsia="Calibri"/>
                <w:b w:val="0"/>
                <w:i w:val="0"/>
                <w:color w:val="1A1A1A"/>
                <w:sz w:val="14"/>
              </w:rPr>
              <w:t>5Y TSR +120% ≈ TOPIX TR and ahead of motor peers; DOE 5% floor, split and ¥19bn buyback already done; family bloc ~20%.</w:t>
            </w:r>
          </w:p>
        </w:tc>
        <w:tc>
          <w:tcPr>
            <w:tcW w:type="dxa" w:w="3600"/>
          </w:tcPr>
          <w:p>
            <w:pPr>
              <w:spacing w:after="0" w:before="0" w:line="240" w:lineRule="auto"/>
            </w:pPr>
            <w:r/>
            <w:r>
              <w:rPr>
                <w:rFonts w:ascii="Calibri" w:hAnsi="Calibri" w:eastAsia="Calibri"/>
                <w:b w:val="0"/>
                <w:i w:val="0"/>
                <w:color w:val="1A1A1A"/>
                <w:sz w:val="14"/>
              </w:rPr>
              <w:t>Net cash 27% of mkt cap + off-strategy M&amp;A (Masudac food machinery)</w:t>
            </w:r>
          </w:p>
        </w:tc>
      </w:tr>
      <w:tr>
        <w:tc>
          <w:tcPr>
            <w:tcW w:type="dxa" w:w="2736"/>
            <w:shd w:val="clear" w:color="auto" w:fill="EEF4F2"/>
          </w:tcPr>
          <w:p>
            <w:pPr>
              <w:spacing w:after="0" w:before="0" w:line="240" w:lineRule="auto"/>
            </w:pPr>
            <w:r/>
            <w:r>
              <w:rPr>
                <w:rFonts w:ascii="Calibri" w:hAnsi="Calibri" w:eastAsia="Calibri"/>
                <w:b w:val="0"/>
                <w:i w:val="0"/>
                <w:color w:val="1A1A1A"/>
                <w:sz w:val="14"/>
              </w:rPr>
              <w:t>Pigeon (7956)</w:t>
            </w:r>
          </w:p>
        </w:tc>
        <w:tc>
          <w:tcPr>
            <w:tcW w:type="dxa" w:w="8064"/>
            <w:shd w:val="clear" w:color="auto" w:fill="EEF4F2"/>
          </w:tcPr>
          <w:p>
            <w:pPr>
              <w:spacing w:after="0" w:before="0" w:line="240" w:lineRule="auto"/>
            </w:pPr>
            <w:r/>
            <w:r>
              <w:rPr>
                <w:rFonts w:ascii="Calibri" w:hAnsi="Calibri" w:eastAsia="Calibri"/>
                <w:b w:val="0"/>
                <w:i w:val="0"/>
                <w:color w:val="1A1A1A"/>
                <w:sz w:val="14"/>
              </w:rPr>
              <w:t>Premium valuation (11.6x EV/EBITDA, 3.0x P/B); TSR in line with its sector; 50%-independent board with independent chair; JAC 3.5% friendly.</w:t>
            </w:r>
          </w:p>
        </w:tc>
        <w:tc>
          <w:tcPr>
            <w:tcW w:type="dxa" w:w="3600"/>
            <w:shd w:val="clear" w:color="auto" w:fill="EEF4F2"/>
          </w:tcPr>
          <w:p>
            <w:pPr>
              <w:spacing w:after="0" w:before="0" w:line="240" w:lineRule="auto"/>
            </w:pPr>
            <w:r/>
            <w:r>
              <w:rPr>
                <w:rFonts w:ascii="Calibri" w:hAnsi="Calibri" w:eastAsia="Calibri"/>
                <w:b w:val="0"/>
                <w:i w:val="0"/>
                <w:color w:val="1A1A1A"/>
                <w:sz w:val="14"/>
              </w:rPr>
              <w:t>Buyback engagement only</w:t>
            </w:r>
          </w:p>
        </w:tc>
      </w:tr>
      <w:tr>
        <w:tc>
          <w:tcPr>
            <w:tcW w:type="dxa" w:w="2736"/>
          </w:tcPr>
          <w:p>
            <w:pPr>
              <w:spacing w:after="0" w:before="0" w:line="240" w:lineRule="auto"/>
            </w:pPr>
            <w:r/>
            <w:r>
              <w:rPr>
                <w:rFonts w:ascii="Calibri" w:hAnsi="Calibri" w:eastAsia="Calibri"/>
                <w:b w:val="0"/>
                <w:i w:val="0"/>
                <w:color w:val="1A1A1A"/>
                <w:sz w:val="14"/>
              </w:rPr>
              <w:t>Takara Holdings (2531)</w:t>
            </w:r>
          </w:p>
        </w:tc>
        <w:tc>
          <w:tcPr>
            <w:tcW w:type="dxa" w:w="8064"/>
          </w:tcPr>
          <w:p>
            <w:pPr>
              <w:spacing w:after="0" w:before="0" w:line="240" w:lineRule="auto"/>
            </w:pPr>
            <w:r/>
            <w:r>
              <w:rPr>
                <w:rFonts w:ascii="Calibri" w:hAnsi="Calibri" w:eastAsia="Calibri"/>
                <w:b w:val="0"/>
                <w:i w:val="0"/>
                <w:color w:val="1A1A1A"/>
                <w:sz w:val="14"/>
              </w:rPr>
              <w:t>ValueAct already 19%; Takara Bio taken private Jun-26 with debt (pro-forma ND/EBITDA ~1.6x); TSR beat TOPIX over 1Y and 3Y.</w:t>
            </w:r>
          </w:p>
        </w:tc>
        <w:tc>
          <w:tcPr>
            <w:tcW w:type="dxa" w:w="3600"/>
          </w:tcPr>
          <w:p>
            <w:pPr>
              <w:spacing w:after="0" w:before="0" w:line="240" w:lineRule="auto"/>
            </w:pPr>
            <w:r/>
            <w:r>
              <w:rPr>
                <w:rFonts w:ascii="Calibri" w:hAnsi="Calibri" w:eastAsia="Calibri"/>
                <w:b w:val="0"/>
                <w:i w:val="0"/>
                <w:color w:val="1A1A1A"/>
                <w:sz w:val="14"/>
              </w:rPr>
              <w:t>—</w:t>
            </w:r>
          </w:p>
        </w:tc>
      </w:tr>
      <w:tr>
        <w:tc>
          <w:tcPr>
            <w:tcW w:type="dxa" w:w="2736"/>
            <w:shd w:val="clear" w:color="auto" w:fill="EEF4F2"/>
          </w:tcPr>
          <w:p>
            <w:pPr>
              <w:spacing w:after="0" w:before="0" w:line="240" w:lineRule="auto"/>
            </w:pPr>
            <w:r/>
            <w:r>
              <w:rPr>
                <w:rFonts w:ascii="Calibri" w:hAnsi="Calibri" w:eastAsia="Calibri"/>
                <w:b w:val="0"/>
                <w:i w:val="0"/>
                <w:color w:val="1A1A1A"/>
                <w:sz w:val="14"/>
              </w:rPr>
              <w:t>Hamamatsu Photonics (6965)</w:t>
            </w:r>
          </w:p>
        </w:tc>
        <w:tc>
          <w:tcPr>
            <w:tcW w:type="dxa" w:w="8064"/>
            <w:shd w:val="clear" w:color="auto" w:fill="EEF4F2"/>
          </w:tcPr>
          <w:p>
            <w:pPr>
              <w:spacing w:after="0" w:before="0" w:line="240" w:lineRule="auto"/>
            </w:pPr>
            <w:r/>
            <w:r>
              <w:rPr>
                <w:rFonts w:ascii="Calibri" w:hAnsi="Calibri" w:eastAsia="Calibri"/>
                <w:b w:val="0"/>
                <w:i w:val="0"/>
                <w:color w:val="1A1A1A"/>
                <w:sz w:val="14"/>
              </w:rPr>
              <w:t>1Y TSR +52% on AI-driven upgrades; 33x EV/EBIT; thin net cash after buyback — operational case only.</w:t>
            </w:r>
          </w:p>
        </w:tc>
        <w:tc>
          <w:tcPr>
            <w:tcW w:type="dxa" w:w="3600"/>
            <w:shd w:val="clear" w:color="auto" w:fill="EEF4F2"/>
          </w:tcPr>
          <w:p>
            <w:pPr>
              <w:spacing w:after="0" w:before="0" w:line="240" w:lineRule="auto"/>
            </w:pPr>
            <w:r/>
            <w:r>
              <w:rPr>
                <w:rFonts w:ascii="Calibri" w:hAnsi="Calibri" w:eastAsia="Calibri"/>
                <w:b w:val="0"/>
                <w:i w:val="0"/>
                <w:color w:val="1A1A1A"/>
                <w:sz w:val="14"/>
              </w:rPr>
              <w:t>—</w:t>
            </w:r>
          </w:p>
        </w:tc>
      </w:tr>
      <w:tr>
        <w:tc>
          <w:tcPr>
            <w:tcW w:type="dxa" w:w="2736"/>
          </w:tcPr>
          <w:p>
            <w:pPr>
              <w:spacing w:after="0" w:before="0" w:line="240" w:lineRule="auto"/>
            </w:pPr>
            <w:r/>
            <w:r>
              <w:rPr>
                <w:rFonts w:ascii="Calibri" w:hAnsi="Calibri" w:eastAsia="Calibri"/>
                <w:b w:val="0"/>
                <w:i w:val="0"/>
                <w:color w:val="1A1A1A"/>
                <w:sz w:val="14"/>
              </w:rPr>
              <w:t>Toyo Seikan (5901) · Fuji Corp (6134)</w:t>
            </w:r>
          </w:p>
        </w:tc>
        <w:tc>
          <w:tcPr>
            <w:tcW w:type="dxa" w:w="8064"/>
          </w:tcPr>
          <w:p>
            <w:pPr>
              <w:spacing w:after="0" w:before="0" w:line="240" w:lineRule="auto"/>
            </w:pPr>
            <w:r/>
            <w:r>
              <w:rPr>
                <w:rFonts w:ascii="Calibri" w:hAnsi="Calibri" w:eastAsia="Calibri"/>
                <w:b w:val="0"/>
                <w:i w:val="0"/>
                <w:color w:val="1A1A1A"/>
                <w:sz w:val="14"/>
              </w:rPr>
              <w:t>Strong outperformers (5Y TSR +298% / 1Y +215%); EV close to the US$5bn ceiling.</w:t>
            </w:r>
          </w:p>
        </w:tc>
        <w:tc>
          <w:tcPr>
            <w:tcW w:type="dxa" w:w="3600"/>
          </w:tcPr>
          <w:p>
            <w:pPr>
              <w:spacing w:after="0" w:before="0" w:line="240" w:lineRule="auto"/>
            </w:pPr>
            <w:r/>
            <w:r>
              <w:rPr>
                <w:rFonts w:ascii="Calibri" w:hAnsi="Calibri" w:eastAsia="Calibri"/>
                <w:b w:val="0"/>
                <w:i w:val="0"/>
                <w:color w:val="1A1A1A"/>
                <w:sz w:val="14"/>
              </w:rPr>
              <w:t>—</w:t>
            </w:r>
          </w:p>
        </w:tc>
      </w:tr>
      <w:tr>
        <w:tc>
          <w:tcPr>
            <w:tcW w:type="dxa" w:w="2736"/>
            <w:shd w:val="clear" w:color="auto" w:fill="EEF4F2"/>
          </w:tcPr>
          <w:p>
            <w:pPr>
              <w:spacing w:after="0" w:before="0" w:line="240" w:lineRule="auto"/>
            </w:pPr>
            <w:r/>
            <w:r>
              <w:rPr>
                <w:rFonts w:ascii="Calibri" w:hAnsi="Calibri" w:eastAsia="Calibri"/>
                <w:b w:val="0"/>
                <w:i w:val="0"/>
                <w:color w:val="1A1A1A"/>
                <w:sz w:val="14"/>
              </w:rPr>
              <w:t>Calbee (2229)</w:t>
            </w:r>
          </w:p>
        </w:tc>
        <w:tc>
          <w:tcPr>
            <w:tcW w:type="dxa" w:w="8064"/>
            <w:shd w:val="clear" w:color="auto" w:fill="EEF4F2"/>
          </w:tcPr>
          <w:p>
            <w:pPr>
              <w:spacing w:after="0" w:before="0" w:line="240" w:lineRule="auto"/>
            </w:pPr>
            <w:r/>
            <w:r>
              <w:rPr>
                <w:rFonts w:ascii="Calibri" w:hAnsi="Calibri" w:eastAsia="Calibri"/>
                <w:b w:val="0"/>
                <w:i w:val="0"/>
                <w:color w:val="1A1A1A"/>
                <w:sz w:val="14"/>
              </w:rPr>
              <w:t>Oasis already campaigning (7.3%, 2026 proposal); PepsiCo ~20% + family ~14%; excess cash only 6% of mkt cap.</w:t>
            </w:r>
          </w:p>
        </w:tc>
        <w:tc>
          <w:tcPr>
            <w:tcW w:type="dxa" w:w="3600"/>
            <w:shd w:val="clear" w:color="auto" w:fill="EEF4F2"/>
          </w:tcPr>
          <w:p>
            <w:pPr>
              <w:spacing w:after="0" w:before="0" w:line="240" w:lineRule="auto"/>
            </w:pPr>
            <w:r/>
            <w:r>
              <w:rPr>
                <w:rFonts w:ascii="Calibri" w:hAnsi="Calibri" w:eastAsia="Calibri"/>
                <w:b w:val="0"/>
                <w:i w:val="0"/>
                <w:color w:val="1A1A1A"/>
                <w:sz w:val="14"/>
              </w:rPr>
              <w:t>Follow-on to Oasis</w:t>
            </w:r>
          </w:p>
        </w:tc>
      </w:tr>
      <w:tr>
        <w:tc>
          <w:tcPr>
            <w:tcW w:type="dxa" w:w="2736"/>
          </w:tcPr>
          <w:p>
            <w:pPr>
              <w:spacing w:after="0" w:before="0" w:line="240" w:lineRule="auto"/>
            </w:pPr>
            <w:r/>
            <w:r>
              <w:rPr>
                <w:rFonts w:ascii="Calibri" w:hAnsi="Calibri" w:eastAsia="Calibri"/>
                <w:b w:val="0"/>
                <w:i w:val="0"/>
                <w:color w:val="1A1A1A"/>
                <w:sz w:val="14"/>
              </w:rPr>
              <w:t>Noritz (5943)</w:t>
            </w:r>
          </w:p>
        </w:tc>
        <w:tc>
          <w:tcPr>
            <w:tcW w:type="dxa" w:w="8064"/>
          </w:tcPr>
          <w:p>
            <w:pPr>
              <w:spacing w:after="0" w:before="0" w:line="240" w:lineRule="auto"/>
            </w:pPr>
            <w:r/>
            <w:r>
              <w:rPr>
                <w:rFonts w:ascii="Calibri" w:hAnsi="Calibri" w:eastAsia="Calibri"/>
                <w:b w:val="0"/>
                <w:i w:val="0"/>
                <w:color w:val="1A1A1A"/>
                <w:sz w:val="14"/>
              </w:rPr>
              <w:t>Nippon Active Value Fund 10.6% with proposals at the 2025 and 2026 AGMs — crowded; US$0.63bn.</w:t>
            </w:r>
          </w:p>
        </w:tc>
        <w:tc>
          <w:tcPr>
            <w:tcW w:type="dxa" w:w="3600"/>
          </w:tcPr>
          <w:p>
            <w:pPr>
              <w:spacing w:after="0" w:before="0" w:line="240" w:lineRule="auto"/>
            </w:pPr>
            <w:r/>
            <w:r>
              <w:rPr>
                <w:rFonts w:ascii="Calibri" w:hAnsi="Calibri" w:eastAsia="Calibri"/>
                <w:b w:val="0"/>
                <w:i w:val="0"/>
                <w:color w:val="1A1A1A"/>
                <w:sz w:val="14"/>
              </w:rPr>
              <w:t>Strongest raw numbers in the screen (2.2% EBIT margin; cash + securities 80% of mkt cap)</w:t>
            </w:r>
          </w:p>
        </w:tc>
      </w:tr>
      <w:tr>
        <w:tc>
          <w:tcPr>
            <w:tcW w:type="dxa" w:w="2736"/>
            <w:shd w:val="clear" w:color="auto" w:fill="EEF4F2"/>
          </w:tcPr>
          <w:p>
            <w:pPr>
              <w:spacing w:after="0" w:before="0" w:line="240" w:lineRule="auto"/>
            </w:pPr>
            <w:r/>
            <w:r>
              <w:rPr>
                <w:rFonts w:ascii="Calibri" w:hAnsi="Calibri" w:eastAsia="Calibri"/>
                <w:b w:val="0"/>
                <w:i w:val="0"/>
                <w:color w:val="1A1A1A"/>
                <w:sz w:val="14"/>
              </w:rPr>
              <w:t>Nippon Shinyaku (4516)</w:t>
            </w:r>
          </w:p>
        </w:tc>
        <w:tc>
          <w:tcPr>
            <w:tcW w:type="dxa" w:w="8064"/>
            <w:shd w:val="clear" w:color="auto" w:fill="EEF4F2"/>
          </w:tcPr>
          <w:p>
            <w:pPr>
              <w:spacing w:after="0" w:before="0" w:line="240" w:lineRule="auto"/>
            </w:pPr>
            <w:r/>
            <w:r>
              <w:rPr>
                <w:rFonts w:ascii="Calibri" w:hAnsi="Calibri" w:eastAsia="Calibri"/>
                <w:b w:val="0"/>
                <w:i w:val="0"/>
                <w:color w:val="1A1A1A"/>
                <w:sz w:val="14"/>
              </w:rPr>
              <w:t>5Y mkt cap −62%, but driven by pipeline/patent risk — fails the 'structurally sound' test.</w:t>
            </w:r>
          </w:p>
        </w:tc>
        <w:tc>
          <w:tcPr>
            <w:tcW w:type="dxa" w:w="3600"/>
            <w:shd w:val="clear" w:color="auto" w:fill="EEF4F2"/>
          </w:tcPr>
          <w:p>
            <w:pPr>
              <w:spacing w:after="0" w:before="0" w:line="240" w:lineRule="auto"/>
            </w:pPr>
            <w:r/>
            <w:r>
              <w:rPr>
                <w:rFonts w:ascii="Calibri" w:hAnsi="Calibri" w:eastAsia="Calibri"/>
                <w:b w:val="0"/>
                <w:i w:val="0"/>
                <w:color w:val="1A1A1A"/>
                <w:sz w:val="14"/>
              </w:rPr>
              <w:t>—</w:t>
            </w:r>
          </w:p>
        </w:tc>
      </w:tr>
      <w:tr>
        <w:tc>
          <w:tcPr>
            <w:tcW w:type="dxa" w:w="2736"/>
          </w:tcPr>
          <w:p>
            <w:pPr>
              <w:spacing w:after="0" w:before="0" w:line="240" w:lineRule="auto"/>
            </w:pPr>
            <w:r/>
            <w:r>
              <w:rPr>
                <w:rFonts w:ascii="Calibri" w:hAnsi="Calibri" w:eastAsia="Calibri"/>
                <w:b w:val="0"/>
                <w:i w:val="0"/>
                <w:color w:val="1A1A1A"/>
                <w:sz w:val="14"/>
              </w:rPr>
              <w:t>Nikon · Shochiku · Toda · Tsumura · Kagome</w:t>
            </w:r>
          </w:p>
        </w:tc>
        <w:tc>
          <w:tcPr>
            <w:tcW w:type="dxa" w:w="8064"/>
          </w:tcPr>
          <w:p>
            <w:pPr>
              <w:spacing w:after="0" w:before="0" w:line="240" w:lineRule="auto"/>
            </w:pPr>
            <w:r/>
            <w:r>
              <w:rPr>
                <w:rFonts w:ascii="Calibri" w:hAnsi="Calibri" w:eastAsia="Calibri"/>
                <w:b w:val="0"/>
                <w:i w:val="0"/>
                <w:color w:val="1A1A1A"/>
                <w:sz w:val="14"/>
              </w:rPr>
              <w:t>Net debt/EBITDA above 1x.</w:t>
            </w:r>
          </w:p>
        </w:tc>
        <w:tc>
          <w:tcPr>
            <w:tcW w:type="dxa" w:w="3600"/>
          </w:tcPr>
          <w:p>
            <w:pPr>
              <w:spacing w:after="0" w:before="0" w:line="240" w:lineRule="auto"/>
            </w:pPr>
            <w:r/>
            <w:r>
              <w:rPr>
                <w:rFonts w:ascii="Calibri" w:hAnsi="Calibri" w:eastAsia="Calibri"/>
                <w:b w:val="0"/>
                <w:i w:val="0"/>
                <w:color w:val="1A1A1A"/>
                <w:sz w:val="14"/>
              </w:rPr>
              <w:t>Nikon: SLM Solutions M&amp;A write-down case if leverage falls</w:t>
            </w:r>
          </w:p>
        </w:tc>
      </w:tr>
      <w:tr>
        <w:tc>
          <w:tcPr>
            <w:tcW w:type="dxa" w:w="2736"/>
            <w:shd w:val="clear" w:color="auto" w:fill="EEF4F2"/>
          </w:tcPr>
          <w:p>
            <w:pPr>
              <w:spacing w:after="0" w:before="0" w:line="240" w:lineRule="auto"/>
            </w:pPr>
            <w:r/>
            <w:r>
              <w:rPr>
                <w:rFonts w:ascii="Calibri" w:hAnsi="Calibri" w:eastAsia="Calibri"/>
                <w:b w:val="0"/>
                <w:i w:val="0"/>
                <w:color w:val="1A1A1A"/>
                <w:sz w:val="14"/>
              </w:rPr>
              <w:t>Brother · Amada · THK</w:t>
            </w:r>
          </w:p>
        </w:tc>
        <w:tc>
          <w:tcPr>
            <w:tcW w:type="dxa" w:w="8064"/>
            <w:shd w:val="clear" w:color="auto" w:fill="EEF4F2"/>
          </w:tcPr>
          <w:p>
            <w:pPr>
              <w:spacing w:after="0" w:before="0" w:line="240" w:lineRule="auto"/>
            </w:pPr>
            <w:r/>
            <w:r>
              <w:rPr>
                <w:rFonts w:ascii="Calibri" w:hAnsi="Calibri" w:eastAsia="Calibri"/>
                <w:b w:val="0"/>
                <w:i w:val="0"/>
                <w:color w:val="1A1A1A"/>
                <w:sz w:val="14"/>
              </w:rPr>
              <w:t>Mkt cap above US$5bn and/or 5Y market-cap gains of +93% to +149%.</w:t>
            </w:r>
          </w:p>
        </w:tc>
        <w:tc>
          <w:tcPr>
            <w:tcW w:type="dxa" w:w="3600"/>
            <w:shd w:val="clear" w:color="auto" w:fill="EEF4F2"/>
          </w:tcPr>
          <w:p>
            <w:pPr>
              <w:spacing w:after="0" w:before="0" w:line="240" w:lineRule="auto"/>
            </w:pPr>
            <w:r/>
            <w:r>
              <w:rPr>
                <w:rFonts w:ascii="Calibri" w:hAnsi="Calibri" w:eastAsia="Calibri"/>
                <w:b w:val="0"/>
                <w:i w:val="0"/>
                <w:color w:val="1A1A1A"/>
                <w:sz w:val="14"/>
              </w:rPr>
              <w:t>—</w:t>
            </w:r>
          </w:p>
        </w:tc>
      </w:tr>
      <w:tr>
        <w:tc>
          <w:tcPr>
            <w:tcW w:type="dxa" w:w="2736"/>
          </w:tcPr>
          <w:p>
            <w:pPr>
              <w:spacing w:after="0" w:before="0" w:line="240" w:lineRule="auto"/>
            </w:pPr>
            <w:r/>
            <w:r>
              <w:rPr>
                <w:rFonts w:ascii="Calibri" w:hAnsi="Calibri" w:eastAsia="Calibri"/>
                <w:b w:val="0"/>
                <w:i w:val="0"/>
                <w:color w:val="1A1A1A"/>
                <w:sz w:val="14"/>
              </w:rPr>
              <w:t>Kewpie · Alps Alpine · TV Asahi · Anritsu · Sega Sammy · Nippon Kayaku · Zeon · Toei · Ushio · Pilot</w:t>
            </w:r>
          </w:p>
        </w:tc>
        <w:tc>
          <w:tcPr>
            <w:tcW w:type="dxa" w:w="8064"/>
          </w:tcPr>
          <w:p>
            <w:pPr>
              <w:spacing w:after="0" w:before="0" w:line="240" w:lineRule="auto"/>
            </w:pPr>
            <w:r/>
            <w:r>
              <w:rPr>
                <w:rFonts w:ascii="Calibri" w:hAnsi="Calibri" w:eastAsia="Calibri"/>
                <w:b w:val="0"/>
                <w:i w:val="0"/>
                <w:color w:val="1A1A1A"/>
                <w:sz w:val="14"/>
              </w:rPr>
              <w:t>5Y market-cap gains of +32% to +79% plus recent re-ratings — weaker underperformance case; not deep-dived.</w:t>
            </w:r>
          </w:p>
        </w:tc>
        <w:tc>
          <w:tcPr>
            <w:tcW w:type="dxa" w:w="3600"/>
          </w:tcPr>
          <w:p>
            <w:pPr>
              <w:spacing w:after="0" w:before="0" w:line="240" w:lineRule="auto"/>
            </w:pPr>
            <w:r/>
            <w:r>
              <w:rPr>
                <w:rFonts w:ascii="Calibri" w:hAnsi="Calibri" w:eastAsia="Calibri"/>
                <w:b w:val="0"/>
                <w:i w:val="0"/>
                <w:color w:val="1A1A1A"/>
                <w:sz w:val="14"/>
              </w:rPr>
              <w:t>Toei: parent-sub listing (Toei Animation); Ushio: securities-heavy balance sheet</w:t>
            </w:r>
          </w:p>
        </w:tc>
      </w:tr>
    </w:tbl>
    <w:p>
      <w:pPr>
        <w:spacing w:after="0"/>
      </w:pPr>
      <w:r>
        <w:br w:type="page"/>
      </w:r>
    </w:p>
    <w:p>
      <w:pPr>
        <w:spacing w:after="0" w:before="0" w:line="240" w:lineRule="auto"/>
      </w:pPr>
      <w:r>
        <w:rPr>
          <w:rFonts w:ascii="Calibri" w:hAnsi="Calibri" w:eastAsia="Calibri"/>
          <w:b/>
          <w:i w:val="0"/>
          <w:color w:val="0F5C4A"/>
          <w:sz w:val="24"/>
        </w:rPr>
        <w:t>1 · Yamaha Corporation (7951 JT)</w:t>
      </w:r>
      <w:r>
        <w:rPr>
          <w:rFonts w:ascii="Calibri" w:hAnsi="Calibri" w:eastAsia="Calibri"/>
          <w:b w:val="0"/>
          <w:i w:val="0"/>
          <w:color w:val="555555"/>
          <w:sz w:val="17"/>
        </w:rPr>
        <w:t xml:space="preserve">   Leisure products / musical instruments &amp; audio</w:t>
      </w:r>
      <w:r>
        <w:rPr>
          <w:rFonts w:ascii="Calibri" w:hAnsi="Calibri" w:eastAsia="Calibri"/>
          <w:b/>
          <w:i w:val="0"/>
          <w:color w:val="0F5C4A"/>
          <w:sz w:val="17"/>
        </w:rPr>
        <w:t xml:space="preserve">   Conviction: High</w:t>
      </w:r>
    </w:p>
    <w:p>
      <w:pPr>
        <w:spacing w:after="60" w:before="0" w:line="240" w:lineRule="auto"/>
      </w:pPr>
      <w:r>
        <w:rPr>
          <w:rFonts w:ascii="Calibri" w:hAnsi="Calibri" w:eastAsia="Calibri"/>
          <w:b w:val="0"/>
          <w:i w:val="0"/>
          <w:color w:val="555555"/>
          <w:sz w:val="15"/>
        </w:rPr>
        <w:t>Price ¥1,209 · Mkt cap ¥531.8bn (US$3.38bn) · EV ¥429.8bn (US$2.73bn) · LTM sales ¥477.8bn, EBITDA ¥52.8bn, NI ¥32.0bn · Net cash ¥103.4bn (Jun-26)</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Yamaha Corporation</w:t>
                  </w:r>
                </w:p>
              </w:tc>
              <w:tc>
                <w:tcPr>
                  <w:tcW w:type="dxa" w:w="1296"/>
                </w:tcPr>
                <w:p>
                  <w:pPr>
                    <w:spacing w:after="0" w:before="0" w:line="240" w:lineRule="auto"/>
                  </w:pPr>
                  <w:r/>
                  <w:r>
                    <w:rPr>
                      <w:rFonts w:ascii="Calibri" w:hAnsi="Calibri" w:eastAsia="Calibri"/>
                      <w:b/>
                      <w:i w:val="0"/>
                      <w:color w:val="1A1A1A"/>
                      <w:sz w:val="16"/>
                    </w:rPr>
                    <w:t>+27.1%</w:t>
                  </w:r>
                </w:p>
              </w:tc>
              <w:tc>
                <w:tcPr>
                  <w:tcW w:type="dxa" w:w="1296"/>
                </w:tcPr>
                <w:p>
                  <w:pPr>
                    <w:spacing w:after="0" w:before="0" w:line="240" w:lineRule="auto"/>
                  </w:pPr>
                  <w:r/>
                  <w:r>
                    <w:rPr>
                      <w:rFonts w:ascii="Calibri" w:hAnsi="Calibri" w:eastAsia="Calibri"/>
                      <w:b/>
                      <w:i w:val="0"/>
                      <w:color w:val="1A1A1A"/>
                      <w:sz w:val="16"/>
                    </w:rPr>
                    <w:t>−5.9%</w:t>
                  </w:r>
                </w:p>
              </w:tc>
              <w:tc>
                <w:tcPr>
                  <w:tcW w:type="dxa" w:w="1368"/>
                </w:tcPr>
                <w:p>
                  <w:pPr>
                    <w:spacing w:after="0" w:before="0" w:line="240" w:lineRule="auto"/>
                  </w:pPr>
                  <w:r/>
                  <w:r>
                    <w:rPr>
                      <w:rFonts w:ascii="Calibri" w:hAnsi="Calibri" w:eastAsia="Calibri"/>
                      <w:b/>
                      <w:i w:val="0"/>
                      <w:color w:val="1A1A1A"/>
                      <w:sz w:val="16"/>
                    </w:rPr>
                    <w:t>−42.8%</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+20.5%</w:t>
                  </w:r>
                </w:p>
              </w:tc>
              <w:tc>
                <w:tcPr>
                  <w:tcW w:type="dxa" w:w="1296"/>
                  <w:shd w:val="clear" w:color="auto" w:fill="EEF4F2"/>
                </w:tcPr>
                <w:p>
                  <w:pPr>
                    <w:spacing w:after="0" w:before="0" w:line="240" w:lineRule="auto"/>
                  </w:pPr>
                  <w:r/>
                  <w:r>
                    <w:rPr>
                      <w:rFonts w:ascii="Calibri" w:hAnsi="Calibri" w:eastAsia="Calibri"/>
                      <w:b w:val="0"/>
                      <w:i w:val="0"/>
                      <w:color w:val="1A1A1A"/>
                      <w:sz w:val="16"/>
                    </w:rPr>
                    <w:t>+1.6%</w:t>
                  </w:r>
                </w:p>
              </w:tc>
              <w:tc>
                <w:tcPr>
                  <w:tcW w:type="dxa" w:w="1368"/>
                  <w:shd w:val="clear" w:color="auto" w:fill="EEF4F2"/>
                </w:tcPr>
                <w:p>
                  <w:pPr>
                    <w:spacing w:after="0" w:before="0" w:line="240" w:lineRule="auto"/>
                  </w:pPr>
                  <w:r/>
                  <w:r>
                    <w:rPr>
                      <w:rFonts w:ascii="Calibri" w:hAnsi="Calibri" w:eastAsia="Calibri"/>
                      <w:b w:val="0"/>
                      <w:i w:val="0"/>
                      <w:color w:val="1A1A1A"/>
                      <w:sz w:val="16"/>
                    </w:rPr>
                    <w:t>+10.3%</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Roland, Kawai, Shimano, Casio, JVCKenwood.</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Yamaha</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0.90x</w:t>
                  </w:r>
                </w:p>
              </w:tc>
              <w:tc>
                <w:tcPr>
                  <w:tcW w:type="dxa" w:w="1584"/>
                </w:tcPr>
                <w:p>
                  <w:pPr>
                    <w:spacing w:after="0" w:before="0" w:line="240" w:lineRule="auto"/>
                  </w:pPr>
                  <w:r/>
                  <w:r>
                    <w:rPr>
                      <w:rFonts w:ascii="Calibri" w:hAnsi="Calibri" w:eastAsia="Calibri"/>
                      <w:b w:val="0"/>
                      <w:i w:val="0"/>
                      <w:color w:val="1A1A1A"/>
                      <w:sz w:val="16"/>
                    </w:rPr>
                    <w:t>0.95x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11.6x</w:t>
                  </w:r>
                </w:p>
              </w:tc>
              <w:tc>
                <w:tcPr>
                  <w:tcW w:type="dxa" w:w="1584"/>
                  <w:shd w:val="clear" w:color="auto" w:fill="EEF4F2"/>
                </w:tcPr>
                <w:p>
                  <w:pPr>
                    <w:spacing w:after="0" w:before="0" w:line="240" w:lineRule="auto"/>
                  </w:pPr>
                  <w:r/>
                  <w:r>
                    <w:rPr>
                      <w:rFonts w:ascii="Calibri" w:hAnsi="Calibri" w:eastAsia="Calibri"/>
                      <w:b w:val="0"/>
                      <w:i w:val="0"/>
                      <w:color w:val="1A1A1A"/>
                      <w:sz w:val="16"/>
                    </w:rPr>
                    <w:t>12.6x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8.1x</w:t>
                  </w:r>
                </w:p>
              </w:tc>
              <w:tc>
                <w:tcPr>
                  <w:tcW w:type="dxa" w:w="1584"/>
                </w:tcPr>
                <w:p>
                  <w:pPr>
                    <w:spacing w:after="0" w:before="0" w:line="240" w:lineRule="auto"/>
                  </w:pPr>
                  <w:r/>
                  <w:r>
                    <w:rPr>
                      <w:rFonts w:ascii="Calibri" w:hAnsi="Calibri" w:eastAsia="Calibri"/>
                      <w:b w:val="0"/>
                      <w:i w:val="0"/>
                      <w:color w:val="1A1A1A"/>
                      <w:sz w:val="16"/>
                    </w:rPr>
                    <w:t>9.6x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16.6x</w:t>
                  </w:r>
                </w:p>
              </w:tc>
              <w:tc>
                <w:tcPr>
                  <w:tcW w:type="dxa" w:w="1584"/>
                  <w:shd w:val="clear" w:color="auto" w:fill="EEF4F2"/>
                </w:tcPr>
                <w:p>
                  <w:pPr>
                    <w:spacing w:after="0" w:before="0" w:line="240" w:lineRule="auto"/>
                  </w:pPr>
                  <w:r/>
                  <w:r>
                    <w:rPr>
                      <w:rFonts w:ascii="Calibri" w:hAnsi="Calibri" w:eastAsia="Calibri"/>
                      <w:b w:val="0"/>
                      <w:i w:val="0"/>
                      <w:color w:val="1A1A1A"/>
                      <w:sz w:val="16"/>
                    </w:rPr>
                    <w:t>24.0x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8.1%</w:t>
                  </w:r>
                </w:p>
              </w:tc>
              <w:tc>
                <w:tcPr>
                  <w:tcW w:type="dxa" w:w="1584"/>
                </w:tcPr>
                <w:p>
                  <w:pPr>
                    <w:spacing w:after="0" w:before="0" w:line="240" w:lineRule="auto"/>
                  </w:pPr>
                  <w:r/>
                  <w:r>
                    <w:rPr>
                      <w:rFonts w:ascii="Calibri" w:hAnsi="Calibri" w:eastAsia="Calibri"/>
                      <w:b w:val="0"/>
                      <w:i w:val="0"/>
                      <w:color w:val="1A1A1A"/>
                      <w:sz w:val="16"/>
                    </w:rPr>
                    <w:t>3.5%</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1.08x</w:t>
                  </w:r>
                </w:p>
              </w:tc>
              <w:tc>
                <w:tcPr>
                  <w:tcW w:type="dxa" w:w="1584"/>
                  <w:shd w:val="clear" w:color="auto" w:fill="EEF4F2"/>
                </w:tcPr>
                <w:p>
                  <w:pPr>
                    <w:spacing w:after="0" w:before="0" w:line="240" w:lineRule="auto"/>
                  </w:pPr>
                  <w:r/>
                  <w:r>
                    <w:rPr>
                      <w:rFonts w:ascii="Calibri" w:hAnsi="Calibri" w:eastAsia="Calibri"/>
                      <w:b w:val="0"/>
                      <w:i w:val="0"/>
                      <w:color w:val="1A1A1A"/>
                      <w:sz w:val="16"/>
                    </w:rPr>
                    <w:t>1.74x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7.8%</w:t>
                  </w:r>
                </w:p>
              </w:tc>
              <w:tc>
                <w:tcPr>
                  <w:tcW w:type="dxa" w:w="1584"/>
                </w:tcPr>
                <w:p>
                  <w:pPr>
                    <w:spacing w:after="0" w:before="0" w:line="240" w:lineRule="auto"/>
                  </w:pPr>
                  <w:r/>
                  <w:r>
                    <w:rPr>
                      <w:rFonts w:ascii="Calibri" w:hAnsi="Calibri" w:eastAsia="Calibri"/>
                      <w:b w:val="0"/>
                      <w:i w:val="0"/>
                      <w:color w:val="1A1A1A"/>
                      <w:sz w:val="16"/>
                    </w:rPr>
                    <w:t>9.4%</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11.1%</w:t>
                  </w:r>
                </w:p>
              </w:tc>
              <w:tc>
                <w:tcPr>
                  <w:tcW w:type="dxa" w:w="1584"/>
                  <w:shd w:val="clear" w:color="auto" w:fill="EEF4F2"/>
                </w:tcPr>
                <w:p>
                  <w:pPr>
                    <w:spacing w:after="0" w:before="0" w:line="240" w:lineRule="auto"/>
                  </w:pPr>
                  <w:r/>
                  <w:r>
                    <w:rPr>
                      <w:rFonts w:ascii="Calibri" w:hAnsi="Calibri" w:eastAsia="Calibri"/>
                      <w:b w:val="0"/>
                      <w:i w:val="0"/>
                      <w:color w:val="1A1A1A"/>
                      <w:sz w:val="16"/>
                    </w:rPr>
                    <w:t>12.2%</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6.5%</w:t>
                  </w:r>
                </w:p>
              </w:tc>
              <w:tc>
                <w:tcPr>
                  <w:tcW w:type="dxa" w:w="1584"/>
                </w:tcPr>
                <w:p>
                  <w:pPr>
                    <w:spacing w:after="0" w:before="0" w:line="240" w:lineRule="auto"/>
                  </w:pPr>
                  <w:r/>
                  <w:r>
                    <w:rPr>
                      <w:rFonts w:ascii="Calibri" w:hAnsi="Calibri" w:eastAsia="Calibri"/>
                      <w:b w:val="0"/>
                      <w:i w:val="0"/>
                      <w:color w:val="1A1A1A"/>
                      <w:sz w:val="16"/>
                    </w:rPr>
                    <w:t>6.6%</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−1.96x (net cash)</w:t>
                  </w:r>
                </w:p>
              </w:tc>
              <w:tc>
                <w:tcPr>
                  <w:tcW w:type="dxa" w:w="1584"/>
                  <w:shd w:val="clear" w:color="auto" w:fill="EEF4F2"/>
                </w:tcPr>
                <w:p>
                  <w:pPr>
                    <w:spacing w:after="0" w:before="0" w:line="240" w:lineRule="auto"/>
                  </w:pPr>
                  <w:r/>
                  <w:r>
                    <w:rPr>
                      <w:rFonts w:ascii="Calibri" w:hAnsi="Calibri" w:eastAsia="Calibri"/>
                      <w:b w:val="0"/>
                      <w:i w:val="0"/>
                      <w:color w:val="1A1A1A"/>
                      <w:sz w:val="16"/>
                    </w:rPr>
                    <w:t>−0.07x</w:t>
                  </w:r>
                </w:p>
              </w:tc>
            </w:tr>
            <w:tr>
              <w:tc>
                <w:tcPr>
                  <w:tcW w:type="dxa" w:w="2376"/>
                </w:tcPr>
                <w:p>
                  <w:pPr>
                    <w:spacing w:after="0" w:before="0" w:line="240" w:lineRule="auto"/>
                  </w:pPr>
                  <w:r/>
                  <w:r>
                    <w:rPr>
                      <w:rFonts w:ascii="Calibri" w:hAnsi="Calibri" w:eastAsia="Calibri"/>
                      <w:b w:val="0"/>
                      <w:i w:val="0"/>
                      <w:color w:val="1A1A1A"/>
                      <w:sz w:val="16"/>
                    </w:rPr>
                    <w:t>Cash + securities / mkt cap</w:t>
                  </w:r>
                </w:p>
              </w:tc>
              <w:tc>
                <w:tcPr>
                  <w:tcW w:type="dxa" w:w="2520"/>
                </w:tcPr>
                <w:p>
                  <w:pPr>
                    <w:spacing w:after="0" w:before="0" w:line="240" w:lineRule="auto"/>
                  </w:pPr>
                  <w:r/>
                  <w:r>
                    <w:rPr>
                      <w:rFonts w:ascii="Calibri" w:hAnsi="Calibri" w:eastAsia="Calibri"/>
                      <w:b w:val="0"/>
                      <w:i w:val="0"/>
                      <w:color w:val="1A1A1A"/>
                      <w:sz w:val="16"/>
                    </w:rPr>
                    <w:t>34.5%</w:t>
                  </w:r>
                </w:p>
              </w:tc>
              <w:tc>
                <w:tcPr>
                  <w:tcW w:type="dxa" w:w="1584"/>
                </w:tcPr>
                <w:p>
                  <w:pPr>
                    <w:spacing w:after="0" w:before="0" w:line="240" w:lineRule="auto"/>
                  </w:pPr>
                  <w:r/>
                  <w:r>
                    <w:rPr>
                      <w:rFonts w:ascii="Calibri" w:hAnsi="Calibri" w:eastAsia="Calibri"/>
                      <w:b w:val="0"/>
                      <w:i w:val="0"/>
                      <w:color w:val="1A1A1A"/>
                      <w:sz w:val="16"/>
                    </w:rPr>
                    <w:t>—</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Master Trust Bank of Japan (trust)</w:t>
                  </w:r>
                </w:p>
              </w:tc>
              <w:tc>
                <w:tcPr>
                  <w:tcW w:type="dxa" w:w="936"/>
                </w:tcPr>
                <w:p>
                  <w:pPr>
                    <w:spacing w:after="0" w:before="0" w:line="240" w:lineRule="auto"/>
                  </w:pPr>
                  <w:r/>
                  <w:r>
                    <w:rPr>
                      <w:rFonts w:ascii="Calibri" w:hAnsi="Calibri" w:eastAsia="Calibri"/>
                      <w:b w:val="0"/>
                      <w:i w:val="0"/>
                      <w:color w:val="1A1A1A"/>
                      <w:sz w:val="16"/>
                    </w:rPr>
                    <w:t>22.3%</w:t>
                  </w:r>
                </w:p>
              </w:tc>
            </w:tr>
            <w:tr>
              <w:tc>
                <w:tcPr>
                  <w:tcW w:type="dxa" w:w="5544"/>
                  <w:shd w:val="clear" w:color="auto" w:fill="EEF4F2"/>
                </w:tcPr>
                <w:p>
                  <w:pPr>
                    <w:spacing w:after="0" w:before="0" w:line="240" w:lineRule="auto"/>
                  </w:pPr>
                  <w:r/>
                  <w:r>
                    <w:rPr>
                      <w:rFonts w:ascii="Calibri" w:hAnsi="Calibri" w:eastAsia="Calibri"/>
                      <w:b w:val="0"/>
                      <w:i w:val="0"/>
                      <w:color w:val="1A1A1A"/>
                      <w:sz w:val="16"/>
                    </w:rPr>
                    <w:t>Custody Bank of Japan (trust)</w:t>
                  </w:r>
                </w:p>
              </w:tc>
              <w:tc>
                <w:tcPr>
                  <w:tcW w:type="dxa" w:w="936"/>
                  <w:shd w:val="clear" w:color="auto" w:fill="EEF4F2"/>
                </w:tcPr>
                <w:p>
                  <w:pPr>
                    <w:spacing w:after="0" w:before="0" w:line="240" w:lineRule="auto"/>
                  </w:pPr>
                  <w:r/>
                  <w:r>
                    <w:rPr>
                      <w:rFonts w:ascii="Calibri" w:hAnsi="Calibri" w:eastAsia="Calibri"/>
                      <w:b w:val="0"/>
                      <w:i w:val="0"/>
                      <w:color w:val="1A1A1A"/>
                      <w:sz w:val="16"/>
                    </w:rPr>
                    <w:t>8.5%</w:t>
                  </w:r>
                </w:p>
              </w:tc>
            </w:tr>
            <w:tr>
              <w:tc>
                <w:tcPr>
                  <w:tcW w:type="dxa" w:w="5544"/>
                </w:tcPr>
                <w:p>
                  <w:pPr>
                    <w:spacing w:after="0" w:before="0" w:line="240" w:lineRule="auto"/>
                  </w:pPr>
                  <w:r/>
                  <w:r>
                    <w:rPr>
                      <w:rFonts w:ascii="Calibri" w:hAnsi="Calibri" w:eastAsia="Calibri"/>
                      <w:b w:val="0"/>
                      <w:i w:val="0"/>
                      <w:color w:val="1A1A1A"/>
                      <w:sz w:val="16"/>
                    </w:rPr>
                    <w:t>Sumitomo Life Insurance</w:t>
                  </w:r>
                </w:p>
              </w:tc>
              <w:tc>
                <w:tcPr>
                  <w:tcW w:type="dxa" w:w="936"/>
                </w:tcPr>
                <w:p>
                  <w:pPr>
                    <w:spacing w:after="0" w:before="0" w:line="240" w:lineRule="auto"/>
                  </w:pPr>
                  <w:r/>
                  <w:r>
                    <w:rPr>
                      <w:rFonts w:ascii="Calibri" w:hAnsi="Calibri" w:eastAsia="Calibri"/>
                      <w:b w:val="0"/>
                      <w:i w:val="0"/>
                      <w:color w:val="1A1A1A"/>
                      <w:sz w:val="16"/>
                    </w:rPr>
                    <w:t>5.0%</w:t>
                  </w:r>
                </w:p>
              </w:tc>
            </w:tr>
            <w:tr>
              <w:tc>
                <w:tcPr>
                  <w:tcW w:type="dxa" w:w="5544"/>
                  <w:shd w:val="clear" w:color="auto" w:fill="EEF4F2"/>
                </w:tcPr>
                <w:p>
                  <w:pPr>
                    <w:spacing w:after="0" w:before="0" w:line="240" w:lineRule="auto"/>
                  </w:pPr>
                  <w:r/>
                  <w:r>
                    <w:rPr>
                      <w:rFonts w:ascii="Calibri" w:hAnsi="Calibri" w:eastAsia="Calibri"/>
                      <w:b w:val="0"/>
                      <w:i w:val="0"/>
                      <w:color w:val="1A1A1A"/>
                      <w:sz w:val="16"/>
                    </w:rPr>
                    <w:t>Shizuoka Bank</w:t>
                  </w:r>
                </w:p>
              </w:tc>
              <w:tc>
                <w:tcPr>
                  <w:tcW w:type="dxa" w:w="936"/>
                  <w:shd w:val="clear" w:color="auto" w:fill="EEF4F2"/>
                </w:tcPr>
                <w:p>
                  <w:pPr>
                    <w:spacing w:after="0" w:before="0" w:line="240" w:lineRule="auto"/>
                  </w:pPr>
                  <w:r/>
                  <w:r>
                    <w:rPr>
                      <w:rFonts w:ascii="Calibri" w:hAnsi="Calibri" w:eastAsia="Calibri"/>
                      <w:b w:val="0"/>
                      <w:i w:val="0"/>
                      <w:color w:val="1A1A1A"/>
                      <w:sz w:val="16"/>
                    </w:rPr>
                    <w:t>4.9%</w:t>
                  </w:r>
                </w:p>
              </w:tc>
            </w:tr>
            <w:tr>
              <w:tc>
                <w:tcPr>
                  <w:tcW w:type="dxa" w:w="5544"/>
                </w:tcPr>
                <w:p>
                  <w:pPr>
                    <w:spacing w:after="0" w:before="0" w:line="240" w:lineRule="auto"/>
                  </w:pPr>
                  <w:r/>
                  <w:r>
                    <w:rPr>
                      <w:rFonts w:ascii="Calibri" w:hAnsi="Calibri" w:eastAsia="Calibri"/>
                      <w:b w:val="0"/>
                      <w:i w:val="0"/>
                      <w:color w:val="1A1A1A"/>
                      <w:sz w:val="16"/>
                    </w:rPr>
                    <w:t>Nippon Life Insurance</w:t>
                  </w:r>
                </w:p>
              </w:tc>
              <w:tc>
                <w:tcPr>
                  <w:tcW w:type="dxa" w:w="936"/>
                </w:tcPr>
                <w:p>
                  <w:pPr>
                    <w:spacing w:after="0" w:before="0" w:line="240" w:lineRule="auto"/>
                  </w:pPr>
                  <w:r/>
                  <w:r>
                    <w:rPr>
                      <w:rFonts w:ascii="Calibri" w:hAnsi="Calibri" w:eastAsia="Calibri"/>
                      <w:b w:val="0"/>
                      <w:i w:val="0"/>
                      <w:color w:val="1A1A1A"/>
                      <w:sz w:val="16"/>
                    </w:rPr>
                    <w:t>3.4%</w:t>
                  </w:r>
                </w:p>
              </w:tc>
            </w:tr>
          </w:tbl>
          <w:p>
            <w:pPr>
              <w:spacing w:after="0" w:before="20" w:line="240" w:lineRule="auto"/>
            </w:pPr>
            <w:r>
              <w:rPr>
                <w:rFonts w:ascii="Calibri" w:hAnsi="Calibri" w:eastAsia="Calibri"/>
                <w:b w:val="0"/>
                <w:i w:val="0"/>
                <w:color w:val="555555"/>
                <w:sz w:val="15"/>
              </w:rPr>
              <w:t>Register 31-Mar-26. #6 Yamaha Motor 3.2% (reciprocal). Beneficial: Nomura AM 8.4%, Amova/SMTB 6.2%, BlackRock 5.1%. Mix: financial institutions 47%, foreign 30%, individuals ~12%. No family, no &gt;10% beneficial owner.</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A global No.1 brand (pianos, wind instruments, digital mixers) earning a 7–8% core margin and 5–6% ROE, below its own 6.7% cost of equity; 5Y TSR −43% vs TOPIX TR +129%.</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Over-capitalised: ¥103bn net cash plus ~¥45bn of cross-holdings (~28% of mkt cap), 77% equity ratio, inventory at 34% of sales — yet the stock trades at 1.1x book.</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Serial disappointment is self-inflicted: China/Indonesia piano over-capacity (¥10.4bn impairments), impaired US guitar M&amp;A (Line 6, Ampeg, Cordoba) and loss-making non-core units.</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¥100bn buyback over 12–18 months (~19% of mkt cap), funded by net cash and full exit of remaining cross-holdings (Yamaha Motor ~¥26bn, Shizuoka FG, banks); ≥100% total payout until equity ratio &lt;65%.</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Portfolio simplification: sell the loss-making 'Others' segment (auto wood interiors, FA equipment, resorts), run a sale process for Yamaha Guitar Group and consumer audio, shrink piano manufacturing further.</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Working-capital and cost programme: inventory from 34% to ~25% of sales (~¥40bn cash release); pay tied to ROE &gt; CoE and relative TSR.</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Medium–High — </w:t>
            </w:r>
            <w:r>
              <w:rPr>
                <w:rFonts w:ascii="Calibri" w:hAnsi="Calibri" w:eastAsia="Calibri"/>
                <w:b w:val="0"/>
                <w:i w:val="0"/>
                <w:color w:val="1A1A1A"/>
                <w:sz w:val="17"/>
              </w:rPr>
              <w:t>No family or parent; ~30% foreign and ~31% trust-bank nominee holdings; 75%-independent board. Friendly life insurers/Shizuoka Bank/Yamaha Motor (~16.5%) are themselves under pressure to unwind cross-holdings. Capital-return resolutions should win; board seats harder.</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'Rebuild &amp; Evolve' (13.5% margin, 10% ROE by FY3/28) is on track; ¥64bn already returned; cash needed for ¥65bn strategic investment and tariff uncertainty; Yamaha Motor stake protects the shared brand.</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¥100bn buyback, cross-holding exit incl. reciprocal Yamaha Motor unwind</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Divest Others, Yamaha Guitar Group, consumer audio</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Independent chair to replace the ex-CEO; ROE/TSR-linked pay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Clean, under-earning brand owner with no controller — plausible PE/strategic take-private</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Three-committee company; 8 directors, 6 independent (75%). Chair is ex-CEO Nakata (2013–24), who presided over the missed 'Make Waves' targets (14% margin / 10% ROE vs 7.9% / 2.8% delivered in FY3/25). CEO Yamaura since Apr-24. No pill, no activist on record. ¥45bn of buybacks in 2025; sold half its Yamaha Motor stake in Aug-26.</w:t>
            </w:r>
          </w:p>
        </w:tc>
      </w:tr>
    </w:tbl>
    <w:p>
      <w:pPr>
        <w:spacing w:after="0"/>
      </w:pPr>
      <w:r>
        <w:br w:type="page"/>
      </w:r>
    </w:p>
    <w:p>
      <w:pPr>
        <w:spacing w:after="0" w:before="0" w:line="240" w:lineRule="auto"/>
      </w:pPr>
      <w:r>
        <w:rPr>
          <w:rFonts w:ascii="Calibri" w:hAnsi="Calibri" w:eastAsia="Calibri"/>
          <w:b/>
          <w:i w:val="0"/>
          <w:color w:val="0F5C4A"/>
          <w:sz w:val="24"/>
        </w:rPr>
        <w:t>2 · House Foods Group (2810 JT)</w:t>
      </w:r>
      <w:r>
        <w:rPr>
          <w:rFonts w:ascii="Calibri" w:hAnsi="Calibri" w:eastAsia="Calibri"/>
          <w:b w:val="0"/>
          <w:i w:val="0"/>
          <w:color w:val="555555"/>
          <w:sz w:val="17"/>
        </w:rPr>
        <w:t xml:space="preserve">   Food products (curry roux, spices)</w:t>
      </w:r>
      <w:r>
        <w:rPr>
          <w:rFonts w:ascii="Calibri" w:hAnsi="Calibri" w:eastAsia="Calibri"/>
          <w:b/>
          <w:i w:val="0"/>
          <w:color w:val="0F5C4A"/>
          <w:sz w:val="17"/>
        </w:rPr>
        <w:t xml:space="preserve">   Conviction: High</w:t>
      </w:r>
    </w:p>
    <w:p>
      <w:pPr>
        <w:spacing w:after="60" w:before="0" w:line="240" w:lineRule="auto"/>
      </w:pPr>
      <w:r>
        <w:rPr>
          <w:rFonts w:ascii="Calibri" w:hAnsi="Calibri" w:eastAsia="Calibri"/>
          <w:b w:val="0"/>
          <w:i w:val="0"/>
          <w:color w:val="555555"/>
          <w:sz w:val="15"/>
        </w:rPr>
        <w:t>Price ¥4,207 · Mkt cap ¥371.9bn (US$2.36bn) · EV ¥318.7bn (US$2.02bn) · LTM sales ¥316.4bn, EBITDA ¥31.7bn · Net cash ¥83.1bn (Mar-26) · 51% of Ichibanya (7630 JT) worth ¥83.5bn</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House Foods Group</w:t>
                  </w:r>
                </w:p>
              </w:tc>
              <w:tc>
                <w:tcPr>
                  <w:tcW w:type="dxa" w:w="1296"/>
                </w:tcPr>
                <w:p>
                  <w:pPr>
                    <w:spacing w:after="0" w:before="0" w:line="240" w:lineRule="auto"/>
                  </w:pPr>
                  <w:r/>
                  <w:r>
                    <w:rPr>
                      <w:rFonts w:ascii="Calibri" w:hAnsi="Calibri" w:eastAsia="Calibri"/>
                      <w:b/>
                      <w:i w:val="0"/>
                      <w:color w:val="1A1A1A"/>
                      <w:sz w:val="16"/>
                    </w:rPr>
                    <w:t>+49.3%</w:t>
                  </w:r>
                </w:p>
              </w:tc>
              <w:tc>
                <w:tcPr>
                  <w:tcW w:type="dxa" w:w="1296"/>
                </w:tcPr>
                <w:p>
                  <w:pPr>
                    <w:spacing w:after="0" w:before="0" w:line="240" w:lineRule="auto"/>
                  </w:pPr>
                  <w:r/>
                  <w:r>
                    <w:rPr>
                      <w:rFonts w:ascii="Calibri" w:hAnsi="Calibri" w:eastAsia="Calibri"/>
                      <w:b/>
                      <w:i w:val="0"/>
                      <w:color w:val="1A1A1A"/>
                      <w:sz w:val="16"/>
                    </w:rPr>
                    <w:t>+40.8%</w:t>
                  </w:r>
                </w:p>
              </w:tc>
              <w:tc>
                <w:tcPr>
                  <w:tcW w:type="dxa" w:w="1368"/>
                </w:tcPr>
                <w:p>
                  <w:pPr>
                    <w:spacing w:after="0" w:before="0" w:line="240" w:lineRule="auto"/>
                  </w:pPr>
                  <w:r/>
                  <w:r>
                    <w:rPr>
                      <w:rFonts w:ascii="Calibri" w:hAnsi="Calibri" w:eastAsia="Calibri"/>
                      <w:b/>
                      <w:i w:val="0"/>
                      <w:color w:val="1A1A1A"/>
                      <w:sz w:val="16"/>
                    </w:rPr>
                    <w:t>+35.6%</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+19.9%</w:t>
                  </w:r>
                </w:p>
              </w:tc>
              <w:tc>
                <w:tcPr>
                  <w:tcW w:type="dxa" w:w="1296"/>
                  <w:shd w:val="clear" w:color="auto" w:fill="EEF4F2"/>
                </w:tcPr>
                <w:p>
                  <w:pPr>
                    <w:spacing w:after="0" w:before="0" w:line="240" w:lineRule="auto"/>
                  </w:pPr>
                  <w:r/>
                  <w:r>
                    <w:rPr>
                      <w:rFonts w:ascii="Calibri" w:hAnsi="Calibri" w:eastAsia="Calibri"/>
                      <w:b w:val="0"/>
                      <w:i w:val="0"/>
                      <w:color w:val="1A1A1A"/>
                      <w:sz w:val="16"/>
                    </w:rPr>
                    <w:t>+42.0%</w:t>
                  </w:r>
                </w:p>
              </w:tc>
              <w:tc>
                <w:tcPr>
                  <w:tcW w:type="dxa" w:w="1368"/>
                  <w:shd w:val="clear" w:color="auto" w:fill="EEF4F2"/>
                </w:tcPr>
                <w:p>
                  <w:pPr>
                    <w:spacing w:after="0" w:before="0" w:line="240" w:lineRule="auto"/>
                  </w:pPr>
                  <w:r/>
                  <w:r>
                    <w:rPr>
                      <w:rFonts w:ascii="Calibri" w:hAnsi="Calibri" w:eastAsia="Calibri"/>
                      <w:b w:val="0"/>
                      <w:i w:val="0"/>
                      <w:color w:val="1A1A1A"/>
                      <w:sz w:val="16"/>
                    </w:rPr>
                    <w:t>+49.7%</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Kikkoman, Nissin, Kewpie, Ajinomoto (S&amp;B est.).</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House</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1.01x</w:t>
                  </w:r>
                </w:p>
              </w:tc>
              <w:tc>
                <w:tcPr>
                  <w:tcW w:type="dxa" w:w="1584"/>
                </w:tcPr>
                <w:p>
                  <w:pPr>
                    <w:spacing w:after="0" w:before="0" w:line="240" w:lineRule="auto"/>
                  </w:pPr>
                  <w:r/>
                  <w:r>
                    <w:rPr>
                      <w:rFonts w:ascii="Calibri" w:hAnsi="Calibri" w:eastAsia="Calibri"/>
                      <w:b w:val="0"/>
                      <w:i w:val="0"/>
                      <w:color w:val="1A1A1A"/>
                      <w:sz w:val="16"/>
                    </w:rPr>
                    <w:t>1.31x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17.6x</w:t>
                  </w:r>
                </w:p>
              </w:tc>
              <w:tc>
                <w:tcPr>
                  <w:tcW w:type="dxa" w:w="1584"/>
                  <w:shd w:val="clear" w:color="auto" w:fill="EEF4F2"/>
                </w:tcPr>
                <w:p>
                  <w:pPr>
                    <w:spacing w:after="0" w:before="0" w:line="240" w:lineRule="auto"/>
                  </w:pPr>
                  <w:r/>
                  <w:r>
                    <w:rPr>
                      <w:rFonts w:ascii="Calibri" w:hAnsi="Calibri" w:eastAsia="Calibri"/>
                      <w:b w:val="0"/>
                      <w:i w:val="0"/>
                      <w:color w:val="1A1A1A"/>
                      <w:sz w:val="16"/>
                    </w:rPr>
                    <w:t>18.4x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10.0x (core ~5x SOTP)</w:t>
                  </w:r>
                </w:p>
              </w:tc>
              <w:tc>
                <w:tcPr>
                  <w:tcW w:type="dxa" w:w="1584"/>
                </w:tcPr>
                <w:p>
                  <w:pPr>
                    <w:spacing w:after="0" w:before="0" w:line="240" w:lineRule="auto"/>
                  </w:pPr>
                  <w:r/>
                  <w:r>
                    <w:rPr>
                      <w:rFonts w:ascii="Calibri" w:hAnsi="Calibri" w:eastAsia="Calibri"/>
                      <w:b w:val="0"/>
                      <w:i w:val="0"/>
                      <w:color w:val="1A1A1A"/>
                      <w:sz w:val="16"/>
                    </w:rPr>
                    <w:t>11.2x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34.8x (impairments)</w:t>
                  </w:r>
                </w:p>
              </w:tc>
              <w:tc>
                <w:tcPr>
                  <w:tcW w:type="dxa" w:w="1584"/>
                  <w:shd w:val="clear" w:color="auto" w:fill="EEF4F2"/>
                </w:tcPr>
                <w:p>
                  <w:pPr>
                    <w:spacing w:after="0" w:before="0" w:line="240" w:lineRule="auto"/>
                  </w:pPr>
                  <w:r/>
                  <w:r>
                    <w:rPr>
                      <w:rFonts w:ascii="Calibri" w:hAnsi="Calibri" w:eastAsia="Calibri"/>
                      <w:b w:val="0"/>
                      <w:i w:val="0"/>
                      <w:color w:val="1A1A1A"/>
                      <w:sz w:val="16"/>
                    </w:rPr>
                    <w:t>22.7x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3.1%</w:t>
                  </w:r>
                </w:p>
              </w:tc>
              <w:tc>
                <w:tcPr>
                  <w:tcW w:type="dxa" w:w="1584"/>
                </w:tcPr>
                <w:p>
                  <w:pPr>
                    <w:spacing w:after="0" w:before="0" w:line="240" w:lineRule="auto"/>
                  </w:pPr>
                  <w:r/>
                  <w:r>
                    <w:rPr>
                      <w:rFonts w:ascii="Calibri" w:hAnsi="Calibri" w:eastAsia="Calibri"/>
                      <w:b w:val="0"/>
                      <w:i w:val="0"/>
                      <w:color w:val="1A1A1A"/>
                      <w:sz w:val="16"/>
                    </w:rPr>
                    <w:t>2.5%</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1.27x</w:t>
                  </w:r>
                </w:p>
              </w:tc>
              <w:tc>
                <w:tcPr>
                  <w:tcW w:type="dxa" w:w="1584"/>
                  <w:shd w:val="clear" w:color="auto" w:fill="EEF4F2"/>
                </w:tcPr>
                <w:p>
                  <w:pPr>
                    <w:spacing w:after="0" w:before="0" w:line="240" w:lineRule="auto"/>
                  </w:pPr>
                  <w:r/>
                  <w:r>
                    <w:rPr>
                      <w:rFonts w:ascii="Calibri" w:hAnsi="Calibri" w:eastAsia="Calibri"/>
                      <w:b w:val="0"/>
                      <w:i w:val="0"/>
                      <w:color w:val="1A1A1A"/>
                      <w:sz w:val="16"/>
                    </w:rPr>
                    <w:t>1.91x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5.7%</w:t>
                  </w:r>
                </w:p>
              </w:tc>
              <w:tc>
                <w:tcPr>
                  <w:tcW w:type="dxa" w:w="1584"/>
                </w:tcPr>
                <w:p>
                  <w:pPr>
                    <w:spacing w:after="0" w:before="0" w:line="240" w:lineRule="auto"/>
                  </w:pPr>
                  <w:r/>
                  <w:r>
                    <w:rPr>
                      <w:rFonts w:ascii="Calibri" w:hAnsi="Calibri" w:eastAsia="Calibri"/>
                      <w:b w:val="0"/>
                      <w:i w:val="0"/>
                      <w:color w:val="1A1A1A"/>
                      <w:sz w:val="16"/>
                    </w:rPr>
                    <w:t>9.1%</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10.0%</w:t>
                  </w:r>
                </w:p>
              </w:tc>
              <w:tc>
                <w:tcPr>
                  <w:tcW w:type="dxa" w:w="1584"/>
                  <w:shd w:val="clear" w:color="auto" w:fill="EEF4F2"/>
                </w:tcPr>
                <w:p>
                  <w:pPr>
                    <w:spacing w:after="0" w:before="0" w:line="240" w:lineRule="auto"/>
                  </w:pPr>
                  <w:r/>
                  <w:r>
                    <w:rPr>
                      <w:rFonts w:ascii="Calibri" w:hAnsi="Calibri" w:eastAsia="Calibri"/>
                      <w:b w:val="0"/>
                      <w:i w:val="0"/>
                      <w:color w:val="1A1A1A"/>
                      <w:sz w:val="16"/>
                    </w:rPr>
                    <w:t>11.8%</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3.7% LTM (2.5% FY3/26)</w:t>
                  </w:r>
                </w:p>
              </w:tc>
              <w:tc>
                <w:tcPr>
                  <w:tcW w:type="dxa" w:w="1584"/>
                </w:tcPr>
                <w:p>
                  <w:pPr>
                    <w:spacing w:after="0" w:before="0" w:line="240" w:lineRule="auto"/>
                  </w:pPr>
                  <w:r/>
                  <w:r>
                    <w:rPr>
                      <w:rFonts w:ascii="Calibri" w:hAnsi="Calibri" w:eastAsia="Calibri"/>
                      <w:b w:val="0"/>
                      <w:i w:val="0"/>
                      <w:color w:val="1A1A1A"/>
                      <w:sz w:val="16"/>
                    </w:rPr>
                    <w:t>10.6%</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−2.6x (net cash)</w:t>
                  </w:r>
                </w:p>
              </w:tc>
              <w:tc>
                <w:tcPr>
                  <w:tcW w:type="dxa" w:w="1584"/>
                  <w:shd w:val="clear" w:color="auto" w:fill="EEF4F2"/>
                </w:tcPr>
                <w:p>
                  <w:pPr>
                    <w:spacing w:after="0" w:before="0" w:line="240" w:lineRule="auto"/>
                  </w:pPr>
                  <w:r/>
                  <w:r>
                    <w:rPr>
                      <w:rFonts w:ascii="Calibri" w:hAnsi="Calibri" w:eastAsia="Calibri"/>
                      <w:b w:val="0"/>
                      <w:i w:val="0"/>
                      <w:color w:val="1A1A1A"/>
                      <w:sz w:val="16"/>
                    </w:rPr>
                    <w:t>—</w:t>
                  </w:r>
                </w:p>
              </w:tc>
            </w:tr>
            <w:tr>
              <w:tc>
                <w:tcPr>
                  <w:tcW w:type="dxa" w:w="2376"/>
                </w:tcPr>
                <w:p>
                  <w:pPr>
                    <w:spacing w:after="0" w:before="0" w:line="240" w:lineRule="auto"/>
                  </w:pPr>
                  <w:r/>
                  <w:r>
                    <w:rPr>
                      <w:rFonts w:ascii="Calibri" w:hAnsi="Calibri" w:eastAsia="Calibri"/>
                      <w:b w:val="0"/>
                      <w:i w:val="0"/>
                      <w:color w:val="1A1A1A"/>
                      <w:sz w:val="16"/>
                    </w:rPr>
                    <w:t>Cash + securities (+Ichibanya) / mkt cap</w:t>
                  </w:r>
                </w:p>
              </w:tc>
              <w:tc>
                <w:tcPr>
                  <w:tcW w:type="dxa" w:w="2520"/>
                </w:tcPr>
                <w:p>
                  <w:pPr>
                    <w:spacing w:after="0" w:before="0" w:line="240" w:lineRule="auto"/>
                  </w:pPr>
                  <w:r/>
                  <w:r>
                    <w:rPr>
                      <w:rFonts w:ascii="Calibri" w:hAnsi="Calibri" w:eastAsia="Calibri"/>
                      <w:b w:val="0"/>
                      <w:i w:val="0"/>
                      <w:color w:val="1A1A1A"/>
                      <w:sz w:val="16"/>
                    </w:rPr>
                    <w:t>52% (69%)</w:t>
                  </w:r>
                </w:p>
              </w:tc>
              <w:tc>
                <w:tcPr>
                  <w:tcW w:type="dxa" w:w="1584"/>
                </w:tcPr>
                <w:p>
                  <w:pPr>
                    <w:spacing w:after="0" w:before="0" w:line="240" w:lineRule="auto"/>
                  </w:pPr>
                  <w:r/>
                  <w:r>
                    <w:rPr>
                      <w:rFonts w:ascii="Calibri" w:hAnsi="Calibri" w:eastAsia="Calibri"/>
                      <w:b w:val="0"/>
                      <w:i w:val="0"/>
                      <w:color w:val="1A1A1A"/>
                      <w:sz w:val="16"/>
                    </w:rPr>
                    <w:t>—</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Master Trust Bank of Japan (trust)</w:t>
                  </w:r>
                </w:p>
              </w:tc>
              <w:tc>
                <w:tcPr>
                  <w:tcW w:type="dxa" w:w="936"/>
                </w:tcPr>
                <w:p>
                  <w:pPr>
                    <w:spacing w:after="0" w:before="0" w:line="240" w:lineRule="auto"/>
                  </w:pPr>
                  <w:r/>
                  <w:r>
                    <w:rPr>
                      <w:rFonts w:ascii="Calibri" w:hAnsi="Calibri" w:eastAsia="Calibri"/>
                      <w:b w:val="0"/>
                      <w:i w:val="0"/>
                      <w:color w:val="1A1A1A"/>
                      <w:sz w:val="16"/>
                    </w:rPr>
                    <w:t>9.6%</w:t>
                  </w:r>
                </w:p>
              </w:tc>
            </w:tr>
            <w:tr>
              <w:tc>
                <w:tcPr>
                  <w:tcW w:type="dxa" w:w="5544"/>
                  <w:shd w:val="clear" w:color="auto" w:fill="EEF4F2"/>
                </w:tcPr>
                <w:p>
                  <w:pPr>
                    <w:spacing w:after="0" w:before="0" w:line="240" w:lineRule="auto"/>
                  </w:pPr>
                  <w:r/>
                  <w:r>
                    <w:rPr>
                      <w:rFonts w:ascii="Calibri" w:hAnsi="Calibri" w:eastAsia="Calibri"/>
                      <w:b w:val="0"/>
                      <w:i w:val="0"/>
                      <w:color w:val="1A1A1A"/>
                      <w:sz w:val="16"/>
                    </w:rPr>
                    <w:t>House Kosan (Urakami family)</w:t>
                  </w:r>
                </w:p>
              </w:tc>
              <w:tc>
                <w:tcPr>
                  <w:tcW w:type="dxa" w:w="936"/>
                  <w:shd w:val="clear" w:color="auto" w:fill="EEF4F2"/>
                </w:tcPr>
                <w:p>
                  <w:pPr>
                    <w:spacing w:after="0" w:before="0" w:line="240" w:lineRule="auto"/>
                  </w:pPr>
                  <w:r/>
                  <w:r>
                    <w:rPr>
                      <w:rFonts w:ascii="Calibri" w:hAnsi="Calibri" w:eastAsia="Calibri"/>
                      <w:b w:val="0"/>
                      <w:i w:val="0"/>
                      <w:color w:val="1A1A1A"/>
                      <w:sz w:val="16"/>
                    </w:rPr>
                    <w:t>9.3%</w:t>
                  </w:r>
                </w:p>
              </w:tc>
            </w:tr>
            <w:tr>
              <w:tc>
                <w:tcPr>
                  <w:tcW w:type="dxa" w:w="5544"/>
                </w:tcPr>
                <w:p>
                  <w:pPr>
                    <w:spacing w:after="0" w:before="0" w:line="240" w:lineRule="auto"/>
                  </w:pPr>
                  <w:r/>
                  <w:r>
                    <w:rPr>
                      <w:rFonts w:ascii="Calibri" w:hAnsi="Calibri" w:eastAsia="Calibri"/>
                      <w:b w:val="0"/>
                      <w:i w:val="0"/>
                      <w:color w:val="1A1A1A"/>
                      <w:sz w:val="16"/>
                    </w:rPr>
                    <w:t>HKL Co. (Urakami family)</w:t>
                  </w:r>
                </w:p>
              </w:tc>
              <w:tc>
                <w:tcPr>
                  <w:tcW w:type="dxa" w:w="936"/>
                </w:tcPr>
                <w:p>
                  <w:pPr>
                    <w:spacing w:after="0" w:before="0" w:line="240" w:lineRule="auto"/>
                  </w:pPr>
                  <w:r/>
                  <w:r>
                    <w:rPr>
                      <w:rFonts w:ascii="Calibri" w:hAnsi="Calibri" w:eastAsia="Calibri"/>
                      <w:b w:val="0"/>
                      <w:i w:val="0"/>
                      <w:color w:val="1A1A1A"/>
                      <w:sz w:val="16"/>
                    </w:rPr>
                    <w:t>8.7%</w:t>
                  </w:r>
                </w:p>
              </w:tc>
            </w:tr>
            <w:tr>
              <w:tc>
                <w:tcPr>
                  <w:tcW w:type="dxa" w:w="5544"/>
                  <w:shd w:val="clear" w:color="auto" w:fill="EEF4F2"/>
                </w:tcPr>
                <w:p>
                  <w:pPr>
                    <w:spacing w:after="0" w:before="0" w:line="240" w:lineRule="auto"/>
                  </w:pPr>
                  <w:r/>
                  <w:r>
                    <w:rPr>
                      <w:rFonts w:ascii="Calibri" w:hAnsi="Calibri" w:eastAsia="Calibri"/>
                      <w:b w:val="0"/>
                      <w:i w:val="0"/>
                      <w:color w:val="1A1A1A"/>
                      <w:sz w:val="16"/>
                    </w:rPr>
                    <w:t>Urakami Foundation</w:t>
                  </w:r>
                </w:p>
              </w:tc>
              <w:tc>
                <w:tcPr>
                  <w:tcW w:type="dxa" w:w="936"/>
                  <w:shd w:val="clear" w:color="auto" w:fill="EEF4F2"/>
                </w:tcPr>
                <w:p>
                  <w:pPr>
                    <w:spacing w:after="0" w:before="0" w:line="240" w:lineRule="auto"/>
                  </w:pPr>
                  <w:r/>
                  <w:r>
                    <w:rPr>
                      <w:rFonts w:ascii="Calibri" w:hAnsi="Calibri" w:eastAsia="Calibri"/>
                      <w:b w:val="0"/>
                      <w:i w:val="0"/>
                      <w:color w:val="1A1A1A"/>
                      <w:sz w:val="16"/>
                    </w:rPr>
                    <w:t>3.2%</w:t>
                  </w:r>
                </w:p>
              </w:tc>
            </w:tr>
            <w:tr>
              <w:tc>
                <w:tcPr>
                  <w:tcW w:type="dxa" w:w="5544"/>
                </w:tcPr>
                <w:p>
                  <w:pPr>
                    <w:spacing w:after="0" w:before="0" w:line="240" w:lineRule="auto"/>
                  </w:pPr>
                  <w:r/>
                  <w:r>
                    <w:rPr>
                      <w:rFonts w:ascii="Calibri" w:hAnsi="Calibri" w:eastAsia="Calibri"/>
                      <w:b w:val="0"/>
                      <w:i w:val="0"/>
                      <w:color w:val="1A1A1A"/>
                      <w:sz w:val="16"/>
                    </w:rPr>
                    <w:t>Custody Bank of Japan (trust)</w:t>
                  </w:r>
                </w:p>
              </w:tc>
              <w:tc>
                <w:tcPr>
                  <w:tcW w:type="dxa" w:w="936"/>
                </w:tcPr>
                <w:p>
                  <w:pPr>
                    <w:spacing w:after="0" w:before="0" w:line="240" w:lineRule="auto"/>
                  </w:pPr>
                  <w:r/>
                  <w:r>
                    <w:rPr>
                      <w:rFonts w:ascii="Calibri" w:hAnsi="Calibri" w:eastAsia="Calibri"/>
                      <w:b w:val="0"/>
                      <w:i w:val="0"/>
                      <w:color w:val="1A1A1A"/>
                      <w:sz w:val="16"/>
                    </w:rPr>
                    <w:t>2.4%</w:t>
                  </w:r>
                </w:p>
              </w:tc>
            </w:tr>
          </w:tbl>
          <w:p>
            <w:pPr>
              <w:spacing w:after="0" w:before="20" w:line="240" w:lineRule="auto"/>
            </w:pPr>
            <w:r>
              <w:rPr>
                <w:rFonts w:ascii="Calibri" w:hAnsi="Calibri" w:eastAsia="Calibri"/>
                <w:b w:val="0"/>
                <w:i w:val="0"/>
                <w:color w:val="555555"/>
                <w:sz w:val="15"/>
              </w:rPr>
              <w:t>Register 31-Mar-26. Family/affiliate bloc ~23%; relationship banks and insurers ~8%. Mix: individuals 35% (perk-driven), other corporates 33%, financial institutions 21%, foreign only 9.6%.</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~69% of the ¥372bn mkt cap is cash, securities and the listed Ichibanya stake; the core curry/spice franchise (No.1 in roux, 9.7% segment margin) is valued at ~5x EBITDA vs ~11x for food peers.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A decade of empire-building — the 2015 Ichibanya TOB, US Keystone tofu/plant-based (two impairments), the cancelled Kentucky plant, Vox Trading (1.8% margin) — has produced a 2.5% ROE and 5Y TSR of +36% vs +129% for TOPIX TR.</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The May-26 reset proves management can move; the job now is to crystallise SOTP value rather than recycle it into new M&amp;A.</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Sell the 51% Ichibanya stake to the best bidder (≈¥82bn after tax at a 25% premium, ~22% of mkt cap) and return proceeds via tender offer — not a privatisation inside House.</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Return excess capital beyond the ¥26bn programme and go to zero cross-holdings by Mar-28: ~¥150bn total return capacity (~40% of mkt cap, est.).</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Exit Keystone/US soybean and Vox Trading, cut ¥3.8bn of unallocated HQ cost; ROE ≥10% by FY3/29 with pay linked to ROE/TSR.</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Medium–Low — </w:t>
            </w:r>
            <w:r>
              <w:rPr>
                <w:rFonts w:ascii="Calibri" w:hAnsi="Calibri" w:eastAsia="Calibri"/>
                <w:b w:val="0"/>
                <w:i w:val="0"/>
                <w:color w:val="1A1A1A"/>
                <w:sz w:val="17"/>
              </w:rPr>
              <w:t>Family ~23% plus ~8% relationship holders and a 35% perk-driven retail base; foreign only 9.6%. Helped by no pill, trust-bank stewardship votes (~12%) and a board that has publicly conceded the capital-efficiency problem.</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'Already acting' (buyback, DOE 3%, Ichibanya review, cross-holding sales); cash needed for growth capex (Tohoku, Indonesia, Malaysia) and global spice M&amp;A; don't disrupt the Ichibanya process or franchisee relationships.</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Sell Ichibanya, end the parent-sub listing; exit Keystone, Vox Trading</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Zero cross-holdings; tender offer funded by excess cash + Ichibanya</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Majority-independent board and a capital-allocation committee</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Family at only ~23% with ~69% of value liquid: natural MBO candidate</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Family CEO Hiroshi Urakami since 2009 (~17 years); ~12 directors with 4–5 outside (est.). Poison pill abolished 2019. Parent-subsidiary listing of Ichibanya (51%). May-26 reset: 8th MTP targets withdrawn (OP ¥27bn → ¥17.5bn guidance), ¥26bn buyback, DOE ≥3%, three cross-holdings to be sold. 31-Aug-26: 'considering all options' for Ichibanya incl. privatisation; PE interest reported.</w:t>
            </w:r>
          </w:p>
        </w:tc>
      </w:tr>
    </w:tbl>
    <w:p>
      <w:pPr>
        <w:spacing w:after="0"/>
      </w:pPr>
      <w:r>
        <w:br w:type="page"/>
      </w:r>
    </w:p>
    <w:p>
      <w:pPr>
        <w:spacing w:after="0" w:before="0" w:line="240" w:lineRule="auto"/>
      </w:pPr>
      <w:r>
        <w:rPr>
          <w:rFonts w:ascii="Calibri" w:hAnsi="Calibri" w:eastAsia="Calibri"/>
          <w:b/>
          <w:i w:val="0"/>
          <w:color w:val="0F5C4A"/>
          <w:sz w:val="24"/>
        </w:rPr>
        <w:t>3 · Hakuhodo DY Holdings (2433 JT)</w:t>
      </w:r>
      <w:r>
        <w:rPr>
          <w:rFonts w:ascii="Calibri" w:hAnsi="Calibri" w:eastAsia="Calibri"/>
          <w:b w:val="0"/>
          <w:i w:val="0"/>
          <w:color w:val="555555"/>
          <w:sz w:val="17"/>
        </w:rPr>
        <w:t xml:space="preserve">   Media / advertising agencies</w:t>
      </w:r>
      <w:r>
        <w:rPr>
          <w:rFonts w:ascii="Calibri" w:hAnsi="Calibri" w:eastAsia="Calibri"/>
          <w:b/>
          <w:i w:val="0"/>
          <w:color w:val="0F5C4A"/>
          <w:sz w:val="17"/>
        </w:rPr>
        <w:t xml:space="preserve">   Conviction: Medium–High</w:t>
      </w:r>
    </w:p>
    <w:p>
      <w:pPr>
        <w:spacing w:after="60" w:before="0" w:line="240" w:lineRule="auto"/>
      </w:pPr>
      <w:r>
        <w:rPr>
          <w:rFonts w:ascii="Calibri" w:hAnsi="Calibri" w:eastAsia="Calibri"/>
          <w:b w:val="0"/>
          <w:i w:val="0"/>
          <w:color w:val="555555"/>
          <w:sz w:val="15"/>
        </w:rPr>
        <w:t>Price ¥1,336 · Mkt cap ¥479.7bn (US$3.05bn) · EV ¥459.2bn (Jun-26; ¥372.8bn on Mar-26 net cash) · LTM revenue ¥867.4bn, gross profit ¥410.9bn, EBITDA ¥69.2bn · Net cash ¥120.2bn (Mar-26), ¥33.8bn (Jun-26, seasonal)</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Hakuhodo</w:t>
                  </w:r>
                </w:p>
              </w:tc>
              <w:tc>
                <w:tcPr>
                  <w:tcW w:type="dxa" w:w="1296"/>
                </w:tcPr>
                <w:p>
                  <w:pPr>
                    <w:spacing w:after="0" w:before="0" w:line="240" w:lineRule="auto"/>
                  </w:pPr>
                  <w:r/>
                  <w:r>
                    <w:rPr>
                      <w:rFonts w:ascii="Calibri" w:hAnsi="Calibri" w:eastAsia="Calibri"/>
                      <w:b/>
                      <w:i w:val="0"/>
                      <w:color w:val="1A1A1A"/>
                      <w:sz w:val="16"/>
                    </w:rPr>
                    <w:t>+24.2%</w:t>
                  </w:r>
                </w:p>
              </w:tc>
              <w:tc>
                <w:tcPr>
                  <w:tcW w:type="dxa" w:w="1296"/>
                </w:tcPr>
                <w:p>
                  <w:pPr>
                    <w:spacing w:after="0" w:before="0" w:line="240" w:lineRule="auto"/>
                  </w:pPr>
                  <w:r/>
                  <w:r>
                    <w:rPr>
                      <w:rFonts w:ascii="Calibri" w:hAnsi="Calibri" w:eastAsia="Calibri"/>
                      <w:b/>
                      <w:i w:val="0"/>
                      <w:color w:val="1A1A1A"/>
                      <w:sz w:val="16"/>
                    </w:rPr>
                    <w:t>+14.0%</w:t>
                  </w:r>
                </w:p>
              </w:tc>
              <w:tc>
                <w:tcPr>
                  <w:tcW w:type="dxa" w:w="1368"/>
                </w:tcPr>
                <w:p>
                  <w:pPr>
                    <w:spacing w:after="0" w:before="0" w:line="240" w:lineRule="auto"/>
                  </w:pPr>
                  <w:r/>
                  <w:r>
                    <w:rPr>
                      <w:rFonts w:ascii="Calibri" w:hAnsi="Calibri" w:eastAsia="Calibri"/>
                      <w:b/>
                      <w:i w:val="0"/>
                      <w:color w:val="1A1A1A"/>
                      <w:sz w:val="16"/>
                    </w:rPr>
                    <w:t>−16.7%</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+22.8%</w:t>
                  </w:r>
                </w:p>
              </w:tc>
              <w:tc>
                <w:tcPr>
                  <w:tcW w:type="dxa" w:w="1296"/>
                  <w:shd w:val="clear" w:color="auto" w:fill="EEF4F2"/>
                </w:tcPr>
                <w:p>
                  <w:pPr>
                    <w:spacing w:after="0" w:before="0" w:line="240" w:lineRule="auto"/>
                  </w:pPr>
                  <w:r/>
                  <w:r>
                    <w:rPr>
                      <w:rFonts w:ascii="Calibri" w:hAnsi="Calibri" w:eastAsia="Calibri"/>
                      <w:b w:val="0"/>
                      <w:i w:val="0"/>
                      <w:color w:val="1A1A1A"/>
                      <w:sz w:val="16"/>
                    </w:rPr>
                    <w:t>+53.1%</w:t>
                  </w:r>
                </w:p>
              </w:tc>
              <w:tc>
                <w:tcPr>
                  <w:tcW w:type="dxa" w:w="1368"/>
                  <w:shd w:val="clear" w:color="auto" w:fill="EEF4F2"/>
                </w:tcPr>
                <w:p>
                  <w:pPr>
                    <w:spacing w:after="0" w:before="0" w:line="240" w:lineRule="auto"/>
                  </w:pPr>
                  <w:r/>
                  <w:r>
                    <w:rPr>
                      <w:rFonts w:ascii="Calibri" w:hAnsi="Calibri" w:eastAsia="Calibri"/>
                      <w:b w:val="0"/>
                      <w:i w:val="0"/>
                      <w:color w:val="1A1A1A"/>
                      <w:sz w:val="16"/>
                    </w:rPr>
                    <w:t>+9.9%</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Dentsu, CyberAgent, Septeni, Vector.</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Hakuhodo</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0.53x (gross-basis revenue)</w:t>
                  </w:r>
                </w:p>
              </w:tc>
              <w:tc>
                <w:tcPr>
                  <w:tcW w:type="dxa" w:w="1584"/>
                </w:tcPr>
                <w:p>
                  <w:pPr>
                    <w:spacing w:after="0" w:before="0" w:line="240" w:lineRule="auto"/>
                  </w:pPr>
                  <w:r/>
                  <w:r>
                    <w:rPr>
                      <w:rFonts w:ascii="Calibri" w:hAnsi="Calibri" w:eastAsia="Calibri"/>
                      <w:b w:val="0"/>
                      <w:i w:val="0"/>
                      <w:color w:val="1A1A1A"/>
                      <w:sz w:val="16"/>
                    </w:rPr>
                    <w:t>1.00x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10.2x</w:t>
                  </w:r>
                </w:p>
              </w:tc>
              <w:tc>
                <w:tcPr>
                  <w:tcW w:type="dxa" w:w="1584"/>
                  <w:shd w:val="clear" w:color="auto" w:fill="EEF4F2"/>
                </w:tcPr>
                <w:p>
                  <w:pPr>
                    <w:spacing w:after="0" w:before="0" w:line="240" w:lineRule="auto"/>
                  </w:pPr>
                  <w:r/>
                  <w:r>
                    <w:rPr>
                      <w:rFonts w:ascii="Calibri" w:hAnsi="Calibri" w:eastAsia="Calibri"/>
                      <w:b w:val="0"/>
                      <w:i w:val="0"/>
                      <w:color w:val="1A1A1A"/>
                      <w:sz w:val="16"/>
                    </w:rPr>
                    <w:t>7.4x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6.6x</w:t>
                  </w:r>
                </w:p>
              </w:tc>
              <w:tc>
                <w:tcPr>
                  <w:tcW w:type="dxa" w:w="1584"/>
                </w:tcPr>
                <w:p>
                  <w:pPr>
                    <w:spacing w:after="0" w:before="0" w:line="240" w:lineRule="auto"/>
                  </w:pPr>
                  <w:r/>
                  <w:r>
                    <w:rPr>
                      <w:rFonts w:ascii="Calibri" w:hAnsi="Calibri" w:eastAsia="Calibri"/>
                      <w:b w:val="0"/>
                      <w:i w:val="0"/>
                      <w:color w:val="1A1A1A"/>
                      <w:sz w:val="16"/>
                    </w:rPr>
                    <w:t>6.6x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28.5x (17.7x pre-GW)</w:t>
                  </w:r>
                </w:p>
              </w:tc>
              <w:tc>
                <w:tcPr>
                  <w:tcW w:type="dxa" w:w="1584"/>
                  <w:shd w:val="clear" w:color="auto" w:fill="EEF4F2"/>
                </w:tcPr>
                <w:p>
                  <w:pPr>
                    <w:spacing w:after="0" w:before="0" w:line="240" w:lineRule="auto"/>
                  </w:pPr>
                  <w:r/>
                  <w:r>
                    <w:rPr>
                      <w:rFonts w:ascii="Calibri" w:hAnsi="Calibri" w:eastAsia="Calibri"/>
                      <w:b w:val="0"/>
                      <w:i w:val="0"/>
                      <w:color w:val="1A1A1A"/>
                      <w:sz w:val="16"/>
                    </w:rPr>
                    <w:t>14.8x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13.5% (adj. ~7%)</w:t>
                  </w:r>
                </w:p>
              </w:tc>
              <w:tc>
                <w:tcPr>
                  <w:tcW w:type="dxa" w:w="1584"/>
                </w:tcPr>
                <w:p>
                  <w:pPr>
                    <w:spacing w:after="0" w:before="0" w:line="240" w:lineRule="auto"/>
                  </w:pPr>
                  <w:r/>
                  <w:r>
                    <w:rPr>
                      <w:rFonts w:ascii="Calibri" w:hAnsi="Calibri" w:eastAsia="Calibri"/>
                      <w:b w:val="0"/>
                      <w:i w:val="0"/>
                      <w:color w:val="1A1A1A"/>
                      <w:sz w:val="16"/>
                    </w:rPr>
                    <w:t>9.6%</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1.25x</w:t>
                  </w:r>
                </w:p>
              </w:tc>
              <w:tc>
                <w:tcPr>
                  <w:tcW w:type="dxa" w:w="1584"/>
                  <w:shd w:val="clear" w:color="auto" w:fill="EEF4F2"/>
                </w:tcPr>
                <w:p>
                  <w:pPr>
                    <w:spacing w:after="0" w:before="0" w:line="240" w:lineRule="auto"/>
                  </w:pPr>
                  <w:r/>
                  <w:r>
                    <w:rPr>
                      <w:rFonts w:ascii="Calibri" w:hAnsi="Calibri" w:eastAsia="Calibri"/>
                      <w:b w:val="0"/>
                      <w:i w:val="0"/>
                      <w:color w:val="1A1A1A"/>
                      <w:sz w:val="16"/>
                    </w:rPr>
                    <w:t>2.65x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5.2% (11.0% of GP)</w:t>
                  </w:r>
                </w:p>
              </w:tc>
              <w:tc>
                <w:tcPr>
                  <w:tcW w:type="dxa" w:w="1584"/>
                </w:tcPr>
                <w:p>
                  <w:pPr>
                    <w:spacing w:after="0" w:before="0" w:line="240" w:lineRule="auto"/>
                  </w:pPr>
                  <w:r/>
                  <w:r>
                    <w:rPr>
                      <w:rFonts w:ascii="Calibri" w:hAnsi="Calibri" w:eastAsia="Calibri"/>
                      <w:b w:val="0"/>
                      <w:i w:val="0"/>
                      <w:color w:val="1A1A1A"/>
                      <w:sz w:val="16"/>
                    </w:rPr>
                    <w:t>13.4%</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8.0%</w:t>
                  </w:r>
                </w:p>
              </w:tc>
              <w:tc>
                <w:tcPr>
                  <w:tcW w:type="dxa" w:w="1584"/>
                  <w:shd w:val="clear" w:color="auto" w:fill="EEF4F2"/>
                </w:tcPr>
                <w:p>
                  <w:pPr>
                    <w:spacing w:after="0" w:before="0" w:line="240" w:lineRule="auto"/>
                  </w:pPr>
                  <w:r/>
                  <w:r>
                    <w:rPr>
                      <w:rFonts w:ascii="Calibri" w:hAnsi="Calibri" w:eastAsia="Calibri"/>
                      <w:b w:val="0"/>
                      <w:i w:val="0"/>
                      <w:color w:val="1A1A1A"/>
                      <w:sz w:val="16"/>
                    </w:rPr>
                    <w:t>17.1%</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4.4%</w:t>
                  </w:r>
                </w:p>
              </w:tc>
              <w:tc>
                <w:tcPr>
                  <w:tcW w:type="dxa" w:w="1584"/>
                </w:tcPr>
                <w:p>
                  <w:pPr>
                    <w:spacing w:after="0" w:before="0" w:line="240" w:lineRule="auto"/>
                  </w:pPr>
                  <w:r/>
                  <w:r>
                    <w:rPr>
                      <w:rFonts w:ascii="Calibri" w:hAnsi="Calibri" w:eastAsia="Calibri"/>
                      <w:b w:val="0"/>
                      <w:i w:val="0"/>
                      <w:color w:val="1A1A1A"/>
                      <w:sz w:val="16"/>
                    </w:rPr>
                    <w:t>14.8%</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−1.74x (Mar) / −0.49x (Jun)</w:t>
                  </w:r>
                </w:p>
              </w:tc>
              <w:tc>
                <w:tcPr>
                  <w:tcW w:type="dxa" w:w="1584"/>
                  <w:shd w:val="clear" w:color="auto" w:fill="EEF4F2"/>
                </w:tcPr>
                <w:p>
                  <w:pPr>
                    <w:spacing w:after="0" w:before="0" w:line="240" w:lineRule="auto"/>
                  </w:pPr>
                  <w:r/>
                  <w:r>
                    <w:rPr>
                      <w:rFonts w:ascii="Calibri" w:hAnsi="Calibri" w:eastAsia="Calibri"/>
                      <w:b w:val="0"/>
                      <w:i w:val="0"/>
                      <w:color w:val="1A1A1A"/>
                      <w:sz w:val="16"/>
                    </w:rPr>
                    <w:t>−1.27x</w:t>
                  </w:r>
                </w:p>
              </w:tc>
            </w:tr>
            <w:tr>
              <w:tc>
                <w:tcPr>
                  <w:tcW w:type="dxa" w:w="2376"/>
                </w:tcPr>
                <w:p>
                  <w:pPr>
                    <w:spacing w:after="0" w:before="0" w:line="240" w:lineRule="auto"/>
                  </w:pPr>
                  <w:r/>
                  <w:r>
                    <w:rPr>
                      <w:rFonts w:ascii="Calibri" w:hAnsi="Calibri" w:eastAsia="Calibri"/>
                      <w:b w:val="0"/>
                      <w:i w:val="0"/>
                      <w:color w:val="1A1A1A"/>
                      <w:sz w:val="16"/>
                    </w:rPr>
                    <w:t>Net cash + securities / mkt cap</w:t>
                  </w:r>
                </w:p>
              </w:tc>
              <w:tc>
                <w:tcPr>
                  <w:tcW w:type="dxa" w:w="2520"/>
                </w:tcPr>
                <w:p>
                  <w:pPr>
                    <w:spacing w:after="0" w:before="0" w:line="240" w:lineRule="auto"/>
                  </w:pPr>
                  <w:r/>
                  <w:r>
                    <w:rPr>
                      <w:rFonts w:ascii="Calibri" w:hAnsi="Calibri" w:eastAsia="Calibri"/>
                      <w:b w:val="0"/>
                      <w:i w:val="0"/>
                      <w:color w:val="1A1A1A"/>
                      <w:sz w:val="16"/>
                    </w:rPr>
                    <w:t>54% (Mar) / 36% (Jun)</w:t>
                  </w:r>
                </w:p>
              </w:tc>
              <w:tc>
                <w:tcPr>
                  <w:tcW w:type="dxa" w:w="1584"/>
                </w:tcPr>
                <w:p>
                  <w:pPr>
                    <w:spacing w:after="0" w:before="0" w:line="240" w:lineRule="auto"/>
                  </w:pPr>
                  <w:r/>
                  <w:r>
                    <w:rPr>
                      <w:rFonts w:ascii="Calibri" w:hAnsi="Calibri" w:eastAsia="Calibri"/>
                      <w:b w:val="0"/>
                      <w:i w:val="0"/>
                      <w:color w:val="1A1A1A"/>
                      <w:sz w:val="16"/>
                    </w:rPr>
                    <w:t>—</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Hakuhodo Educational Foundation</w:t>
                  </w:r>
                </w:p>
              </w:tc>
              <w:tc>
                <w:tcPr>
                  <w:tcW w:type="dxa" w:w="936"/>
                </w:tcPr>
                <w:p>
                  <w:pPr>
                    <w:spacing w:after="0" w:before="0" w:line="240" w:lineRule="auto"/>
                  </w:pPr>
                  <w:r/>
                  <w:r>
                    <w:rPr>
                      <w:rFonts w:ascii="Calibri" w:hAnsi="Calibri" w:eastAsia="Calibri"/>
                      <w:b w:val="0"/>
                      <w:i w:val="0"/>
                      <w:color w:val="1A1A1A"/>
                      <w:sz w:val="16"/>
                    </w:rPr>
                    <w:t>19.8%</w:t>
                  </w:r>
                </w:p>
              </w:tc>
            </w:tr>
            <w:tr>
              <w:tc>
                <w:tcPr>
                  <w:tcW w:type="dxa" w:w="5544"/>
                  <w:shd w:val="clear" w:color="auto" w:fill="EEF4F2"/>
                </w:tcPr>
                <w:p>
                  <w:pPr>
                    <w:spacing w:after="0" w:before="0" w:line="240" w:lineRule="auto"/>
                  </w:pPr>
                  <w:r/>
                  <w:r>
                    <w:rPr>
                      <w:rFonts w:ascii="Calibri" w:hAnsi="Calibri" w:eastAsia="Calibri"/>
                      <w:b w:val="0"/>
                      <w:i w:val="0"/>
                      <w:color w:val="1A1A1A"/>
                      <w:sz w:val="16"/>
                    </w:rPr>
                    <w:t>Master Trust Bank of Japan (trust)</w:t>
                  </w:r>
                </w:p>
              </w:tc>
              <w:tc>
                <w:tcPr>
                  <w:tcW w:type="dxa" w:w="936"/>
                  <w:shd w:val="clear" w:color="auto" w:fill="EEF4F2"/>
                </w:tcPr>
                <w:p>
                  <w:pPr>
                    <w:spacing w:after="0" w:before="0" w:line="240" w:lineRule="auto"/>
                  </w:pPr>
                  <w:r/>
                  <w:r>
                    <w:rPr>
                      <w:rFonts w:ascii="Calibri" w:hAnsi="Calibri" w:eastAsia="Calibri"/>
                      <w:b w:val="0"/>
                      <w:i w:val="0"/>
                      <w:color w:val="1A1A1A"/>
                      <w:sz w:val="16"/>
                    </w:rPr>
                    <w:t>8.3%</w:t>
                  </w:r>
                </w:p>
              </w:tc>
            </w:tr>
            <w:tr>
              <w:tc>
                <w:tcPr>
                  <w:tcW w:type="dxa" w:w="5544"/>
                </w:tcPr>
                <w:p>
                  <w:pPr>
                    <w:spacing w:after="0" w:before="0" w:line="240" w:lineRule="auto"/>
                  </w:pPr>
                  <w:r/>
                  <w:r>
                    <w:rPr>
                      <w:rFonts w:ascii="Calibri" w:hAnsi="Calibri" w:eastAsia="Calibri"/>
                      <w:b w:val="0"/>
                      <w:i w:val="0"/>
                      <w:color w:val="1A1A1A"/>
                      <w:sz w:val="16"/>
                    </w:rPr>
                    <w:t>Hakuseikai (general inc. association)</w:t>
                  </w:r>
                </w:p>
              </w:tc>
              <w:tc>
                <w:tcPr>
                  <w:tcW w:type="dxa" w:w="936"/>
                </w:tcPr>
                <w:p>
                  <w:pPr>
                    <w:spacing w:after="0" w:before="0" w:line="240" w:lineRule="auto"/>
                  </w:pPr>
                  <w:r/>
                  <w:r>
                    <w:rPr>
                      <w:rFonts w:ascii="Calibri" w:hAnsi="Calibri" w:eastAsia="Calibri"/>
                      <w:b w:val="0"/>
                      <w:i w:val="0"/>
                      <w:color w:val="1A1A1A"/>
                      <w:sz w:val="16"/>
                    </w:rPr>
                    <w:t>5.0%</w:t>
                  </w:r>
                </w:p>
              </w:tc>
            </w:tr>
            <w:tr>
              <w:tc>
                <w:tcPr>
                  <w:tcW w:type="dxa" w:w="5544"/>
                  <w:shd w:val="clear" w:color="auto" w:fill="EEF4F2"/>
                </w:tcPr>
                <w:p>
                  <w:pPr>
                    <w:spacing w:after="0" w:before="0" w:line="240" w:lineRule="auto"/>
                  </w:pPr>
                  <w:r/>
                  <w:r>
                    <w:rPr>
                      <w:rFonts w:ascii="Calibri" w:hAnsi="Calibri" w:eastAsia="Calibri"/>
                      <w:b w:val="0"/>
                      <w:i w:val="0"/>
                      <w:color w:val="1A1A1A"/>
                      <w:sz w:val="16"/>
                    </w:rPr>
                    <w:t>Asahi Shimbun</w:t>
                  </w:r>
                </w:p>
              </w:tc>
              <w:tc>
                <w:tcPr>
                  <w:tcW w:type="dxa" w:w="936"/>
                  <w:shd w:val="clear" w:color="auto" w:fill="EEF4F2"/>
                </w:tcPr>
                <w:p>
                  <w:pPr>
                    <w:spacing w:after="0" w:before="0" w:line="240" w:lineRule="auto"/>
                  </w:pPr>
                  <w:r/>
                  <w:r>
                    <w:rPr>
                      <w:rFonts w:ascii="Calibri" w:hAnsi="Calibri" w:eastAsia="Calibri"/>
                      <w:b w:val="0"/>
                      <w:i w:val="0"/>
                      <w:color w:val="1A1A1A"/>
                      <w:sz w:val="16"/>
                    </w:rPr>
                    <w:t>3.1%</w:t>
                  </w:r>
                </w:p>
              </w:tc>
            </w:tr>
            <w:tr>
              <w:tc>
                <w:tcPr>
                  <w:tcW w:type="dxa" w:w="5544"/>
                </w:tcPr>
                <w:p>
                  <w:pPr>
                    <w:spacing w:after="0" w:before="0" w:line="240" w:lineRule="auto"/>
                  </w:pPr>
                  <w:r/>
                  <w:r>
                    <w:rPr>
                      <w:rFonts w:ascii="Calibri" w:hAnsi="Calibri" w:eastAsia="Calibri"/>
                      <w:b w:val="0"/>
                      <w:i w:val="0"/>
                      <w:color w:val="1A1A1A"/>
                      <w:sz w:val="16"/>
                    </w:rPr>
                    <w:t>State Street Bank &amp; Trust</w:t>
                  </w:r>
                </w:p>
              </w:tc>
              <w:tc>
                <w:tcPr>
                  <w:tcW w:type="dxa" w:w="936"/>
                </w:tcPr>
                <w:p>
                  <w:pPr>
                    <w:spacing w:after="0" w:before="0" w:line="240" w:lineRule="auto"/>
                  </w:pPr>
                  <w:r/>
                  <w:r>
                    <w:rPr>
                      <w:rFonts w:ascii="Calibri" w:hAnsi="Calibri" w:eastAsia="Calibri"/>
                      <w:b w:val="0"/>
                      <w:i w:val="0"/>
                      <w:color w:val="1A1A1A"/>
                      <w:sz w:val="16"/>
                    </w:rPr>
                    <w:t>3.1%</w:t>
                  </w:r>
                </w:p>
              </w:tc>
            </w:tr>
          </w:tbl>
          <w:p>
            <w:pPr>
              <w:spacing w:after="0" w:before="20" w:line="240" w:lineRule="auto"/>
            </w:pPr>
            <w:r>
              <w:rPr>
                <w:rFonts w:ascii="Calibri" w:hAnsi="Calibri" w:eastAsia="Calibri"/>
                <w:b w:val="0"/>
                <w:i w:val="0"/>
                <w:color w:val="555555"/>
                <w:sz w:val="15"/>
              </w:rPr>
              <w:t>Register 31-Mar-26. Related/stable bloc ~30% (foundation, Hakuseikai, Fraternité 3.1%, ESOP 2.3%); ~36% incl. media cross-holders (Asahi Shimbun, NTV 2.4%). Silchester 2.0%. Mix: other corporates 40%, individuals 25%, foreign 18%, financial institutions 16%.</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Japan's No.2 agency earns a 4% ROE: operating profit is 38% below its FY3/22 peak while gross profit grew, absorbed by ¥361bn of SG&amp;A across ~385 subsidiaries.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¥180–260bn of non-operating assets (net cash plus ¥140bn of investment securities, half of it reciprocal broadcaster/client cross-holdings) = 36–54% of mkt cap.</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5Y TSR −17% vs sector +10% and TOPIX TR +129%; a new CEO and new board structure are the moment to reset capital allocation.</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Sell ≥¥50–60bn of the ¥73.5bn listed policy-stock book within 24 months, broadcasters first (~¥55bn net proceeds).</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¥60–80bn buyback (12–17% of mkt cap) over two years; replace the fixed ¥32 DPS with a ≥70% total-payout or DOE floor.</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Margin programme: pre-goodwill OP/GP from 14% to ≥17% (each 1pt ≈ ¥4bn OP) by merging Hakuhodo/Daiko/Yomiko back offices, integrating Hakuhodo DY ONE with Digital Holdings, and reviewing subscale kyu (IDEO, Sid Lee) units.</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Low–Medium — </w:t>
            </w:r>
            <w:r>
              <w:rPr>
                <w:rFonts w:ascii="Calibri" w:hAnsi="Calibri" w:eastAsia="Calibri"/>
                <w:b w:val="0"/>
                <w:i w:val="0"/>
                <w:color w:val="1A1A1A"/>
                <w:sz w:val="17"/>
              </w:rPr>
              <w:t>Foundation-led friendly bloc ~30% (≈36% with media cross-holders) means a binding resolution needs ~75% of the free float; but no family, 18% foreign and Silchester as a natural ally make a withhold/engagement campaign credible.</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Broadcaster stakes are 'media-buying access'; year-end cash is client working capital (¥79.5bn of deposits); ¥10bn buyback and 6.6% cancellation already done; pre-goodwill margin target met; new CEO needs time.</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Cross-shareholding unwind + large buyback; total-payout policy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Collapse three agency brands' back offices; review kyu</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Majority-independent board, refresh long-tenured directors, reported-ROE ≥10% target</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Discipline after the over-paid, contested Digital Holdings TOB</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Moved to Audit &amp; Supervisory Committee structure at Jun-26 AGM; pre-AGM board 11 with 4 independents (36%), long-tenured outside directors. New CEO Nishiyama since Apr-26. No founding family, no pill, no activist. Listed policy holdings ¥73.5bn (15% of mkt cap), ~¥33bn in TV broadcasters (TBS, Fuji Media, TV Asahi, NTV) that hold Hakuhodo back. Won a contested TOB for Digital Holdings (Dec-25) only after raising price and cutting the minimum threshold.</w:t>
            </w:r>
          </w:p>
        </w:tc>
      </w:tr>
    </w:tbl>
    <w:p>
      <w:pPr>
        <w:spacing w:after="0"/>
      </w:pPr>
      <w:r>
        <w:br w:type="page"/>
      </w:r>
    </w:p>
    <w:p>
      <w:pPr>
        <w:spacing w:after="0" w:before="0" w:line="240" w:lineRule="auto"/>
      </w:pPr>
      <w:r>
        <w:rPr>
          <w:rFonts w:ascii="Calibri" w:hAnsi="Calibri" w:eastAsia="Calibri"/>
          <w:b/>
          <w:i w:val="0"/>
          <w:color w:val="0F5C4A"/>
          <w:sz w:val="24"/>
        </w:rPr>
        <w:t>4 · Stanley Electric (6923 JT)</w:t>
      </w:r>
      <w:r>
        <w:rPr>
          <w:rFonts w:ascii="Calibri" w:hAnsi="Calibri" w:eastAsia="Calibri"/>
          <w:b w:val="0"/>
          <w:i w:val="0"/>
          <w:color w:val="555555"/>
          <w:sz w:val="17"/>
        </w:rPr>
        <w:t xml:space="preserve">   Automobile components (lighting)</w:t>
      </w:r>
      <w:r>
        <w:rPr>
          <w:rFonts w:ascii="Calibri" w:hAnsi="Calibri" w:eastAsia="Calibri"/>
          <w:b/>
          <w:i w:val="0"/>
          <w:color w:val="0F5C4A"/>
          <w:sz w:val="17"/>
        </w:rPr>
        <w:t xml:space="preserve">   Conviction: Medium–High</w:t>
      </w:r>
    </w:p>
    <w:p>
      <w:pPr>
        <w:spacing w:after="60" w:before="0" w:line="240" w:lineRule="auto"/>
      </w:pPr>
      <w:r>
        <w:rPr>
          <w:rFonts w:ascii="Calibri" w:hAnsi="Calibri" w:eastAsia="Calibri"/>
          <w:b w:val="0"/>
          <w:i w:val="0"/>
          <w:color w:val="555555"/>
          <w:sz w:val="15"/>
        </w:rPr>
        <w:t>Price ¥3,547 · Mkt cap ¥436.2bn (US$2.77bn) · EV ¥515.2bn (US$3.27bn) incl. ¥113bn minorities · LTM sales ¥544.5bn, EBITDA ¥84.2bn · Net cash ¥34.1bn (Jun-26, after ¥70bn Iwasaki loan; ¥106.1bn at Mar-26)</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Stanley Electric</w:t>
                  </w:r>
                </w:p>
              </w:tc>
              <w:tc>
                <w:tcPr>
                  <w:tcW w:type="dxa" w:w="1296"/>
                </w:tcPr>
                <w:p>
                  <w:pPr>
                    <w:spacing w:after="0" w:before="0" w:line="240" w:lineRule="auto"/>
                  </w:pPr>
                  <w:r/>
                  <w:r>
                    <w:rPr>
                      <w:rFonts w:ascii="Calibri" w:hAnsi="Calibri" w:eastAsia="Calibri"/>
                      <w:b/>
                      <w:i w:val="0"/>
                      <w:color w:val="1A1A1A"/>
                      <w:sz w:val="16"/>
                    </w:rPr>
                    <w:t>+23.8%</w:t>
                  </w:r>
                </w:p>
              </w:tc>
              <w:tc>
                <w:tcPr>
                  <w:tcW w:type="dxa" w:w="1296"/>
                </w:tcPr>
                <w:p>
                  <w:pPr>
                    <w:spacing w:after="0" w:before="0" w:line="240" w:lineRule="auto"/>
                  </w:pPr>
                  <w:r/>
                  <w:r>
                    <w:rPr>
                      <w:rFonts w:ascii="Calibri" w:hAnsi="Calibri" w:eastAsia="Calibri"/>
                      <w:b/>
                      <w:i w:val="0"/>
                      <w:color w:val="1A1A1A"/>
                      <w:sz w:val="16"/>
                    </w:rPr>
                    <w:t>+57.1%</w:t>
                  </w:r>
                </w:p>
              </w:tc>
              <w:tc>
                <w:tcPr>
                  <w:tcW w:type="dxa" w:w="1368"/>
                </w:tcPr>
                <w:p>
                  <w:pPr>
                    <w:spacing w:after="0" w:before="0" w:line="240" w:lineRule="auto"/>
                  </w:pPr>
                  <w:r/>
                  <w:r>
                    <w:rPr>
                      <w:rFonts w:ascii="Calibri" w:hAnsi="Calibri" w:eastAsia="Calibri"/>
                      <w:b/>
                      <w:i w:val="0"/>
                      <w:color w:val="1A1A1A"/>
                      <w:sz w:val="16"/>
                    </w:rPr>
                    <w:t>+45.3%</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+28.7%</w:t>
                  </w:r>
                </w:p>
              </w:tc>
              <w:tc>
                <w:tcPr>
                  <w:tcW w:type="dxa" w:w="1296"/>
                  <w:shd w:val="clear" w:color="auto" w:fill="EEF4F2"/>
                </w:tcPr>
                <w:p>
                  <w:pPr>
                    <w:spacing w:after="0" w:before="0" w:line="240" w:lineRule="auto"/>
                  </w:pPr>
                  <w:r/>
                  <w:r>
                    <w:rPr>
                      <w:rFonts w:ascii="Calibri" w:hAnsi="Calibri" w:eastAsia="Calibri"/>
                      <w:b w:val="0"/>
                      <w:i w:val="0"/>
                      <w:color w:val="1A1A1A"/>
                      <w:sz w:val="16"/>
                    </w:rPr>
                    <w:t>+37.9%</w:t>
                  </w:r>
                </w:p>
              </w:tc>
              <w:tc>
                <w:tcPr>
                  <w:tcW w:type="dxa" w:w="1368"/>
                  <w:shd w:val="clear" w:color="auto" w:fill="EEF4F2"/>
                </w:tcPr>
                <w:p>
                  <w:pPr>
                    <w:spacing w:after="0" w:before="0" w:line="240" w:lineRule="auto"/>
                  </w:pPr>
                  <w:r/>
                  <w:r>
                    <w:rPr>
                      <w:rFonts w:ascii="Calibri" w:hAnsi="Calibri" w:eastAsia="Calibri"/>
                      <w:b w:val="0"/>
                      <w:i w:val="0"/>
                      <w:color w:val="1A1A1A"/>
                      <w:sz w:val="16"/>
                    </w:rPr>
                    <w:t>+66.9%</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Koito, Ichikoh, Tokai Rika, Nippon Seiki.</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Stanley</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0.95x</w:t>
                  </w:r>
                </w:p>
              </w:tc>
              <w:tc>
                <w:tcPr>
                  <w:tcW w:type="dxa" w:w="1584"/>
                </w:tcPr>
                <w:p>
                  <w:pPr>
                    <w:spacing w:after="0" w:before="0" w:line="240" w:lineRule="auto"/>
                  </w:pPr>
                  <w:r/>
                  <w:r>
                    <w:rPr>
                      <w:rFonts w:ascii="Calibri" w:hAnsi="Calibri" w:eastAsia="Calibri"/>
                      <w:b w:val="0"/>
                      <w:i w:val="0"/>
                      <w:color w:val="1A1A1A"/>
                      <w:sz w:val="16"/>
                    </w:rPr>
                    <w:t>0.37x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12.0x</w:t>
                  </w:r>
                </w:p>
              </w:tc>
              <w:tc>
                <w:tcPr>
                  <w:tcW w:type="dxa" w:w="1584"/>
                  <w:shd w:val="clear" w:color="auto" w:fill="EEF4F2"/>
                </w:tcPr>
                <w:p>
                  <w:pPr>
                    <w:spacing w:after="0" w:before="0" w:line="240" w:lineRule="auto"/>
                  </w:pPr>
                  <w:r/>
                  <w:r>
                    <w:rPr>
                      <w:rFonts w:ascii="Calibri" w:hAnsi="Calibri" w:eastAsia="Calibri"/>
                      <w:b w:val="0"/>
                      <w:i w:val="0"/>
                      <w:color w:val="1A1A1A"/>
                      <w:sz w:val="16"/>
                    </w:rPr>
                    <w:t>7.8x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6.1x</w:t>
                  </w:r>
                </w:p>
              </w:tc>
              <w:tc>
                <w:tcPr>
                  <w:tcW w:type="dxa" w:w="1584"/>
                </w:tcPr>
                <w:p>
                  <w:pPr>
                    <w:spacing w:after="0" w:before="0" w:line="240" w:lineRule="auto"/>
                  </w:pPr>
                  <w:r/>
                  <w:r>
                    <w:rPr>
                      <w:rFonts w:ascii="Calibri" w:hAnsi="Calibri" w:eastAsia="Calibri"/>
                      <w:b w:val="0"/>
                      <w:i w:val="0"/>
                      <w:color w:val="1A1A1A"/>
                      <w:sz w:val="16"/>
                    </w:rPr>
                    <w:t>4.0x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13.7x</w:t>
                  </w:r>
                </w:p>
              </w:tc>
              <w:tc>
                <w:tcPr>
                  <w:tcW w:type="dxa" w:w="1584"/>
                  <w:shd w:val="clear" w:color="auto" w:fill="EEF4F2"/>
                </w:tcPr>
                <w:p>
                  <w:pPr>
                    <w:spacing w:after="0" w:before="0" w:line="240" w:lineRule="auto"/>
                  </w:pPr>
                  <w:r/>
                  <w:r>
                    <w:rPr>
                      <w:rFonts w:ascii="Calibri" w:hAnsi="Calibri" w:eastAsia="Calibri"/>
                      <w:b w:val="0"/>
                      <w:i w:val="0"/>
                      <w:color w:val="1A1A1A"/>
                      <w:sz w:val="16"/>
                    </w:rPr>
                    <w:t>12.6x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5.3%</w:t>
                  </w:r>
                </w:p>
              </w:tc>
              <w:tc>
                <w:tcPr>
                  <w:tcW w:type="dxa" w:w="1584"/>
                </w:tcPr>
                <w:p>
                  <w:pPr>
                    <w:spacing w:after="0" w:before="0" w:line="240" w:lineRule="auto"/>
                  </w:pPr>
                  <w:r/>
                  <w:r>
                    <w:rPr>
                      <w:rFonts w:ascii="Calibri" w:hAnsi="Calibri" w:eastAsia="Calibri"/>
                      <w:b w:val="0"/>
                      <w:i w:val="0"/>
                      <w:color w:val="1A1A1A"/>
                      <w:sz w:val="16"/>
                    </w:rPr>
                    <w:t>10.2%</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0.95x</w:t>
                  </w:r>
                </w:p>
              </w:tc>
              <w:tc>
                <w:tcPr>
                  <w:tcW w:type="dxa" w:w="1584"/>
                  <w:shd w:val="clear" w:color="auto" w:fill="EEF4F2"/>
                </w:tcPr>
                <w:p>
                  <w:pPr>
                    <w:spacing w:after="0" w:before="0" w:line="240" w:lineRule="auto"/>
                  </w:pPr>
                  <w:r/>
                  <w:r>
                    <w:rPr>
                      <w:rFonts w:ascii="Calibri" w:hAnsi="Calibri" w:eastAsia="Calibri"/>
                      <w:b w:val="0"/>
                      <w:i w:val="0"/>
                      <w:color w:val="1A1A1A"/>
                      <w:sz w:val="16"/>
                    </w:rPr>
                    <w:t>0.70x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7.9%</w:t>
                  </w:r>
                </w:p>
              </w:tc>
              <w:tc>
                <w:tcPr>
                  <w:tcW w:type="dxa" w:w="1584"/>
                </w:tcPr>
                <w:p>
                  <w:pPr>
                    <w:spacing w:after="0" w:before="0" w:line="240" w:lineRule="auto"/>
                  </w:pPr>
                  <w:r/>
                  <w:r>
                    <w:rPr>
                      <w:rFonts w:ascii="Calibri" w:hAnsi="Calibri" w:eastAsia="Calibri"/>
                      <w:b w:val="0"/>
                      <w:i w:val="0"/>
                      <w:color w:val="1A1A1A"/>
                      <w:sz w:val="16"/>
                    </w:rPr>
                    <w:t>5.5%</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15.5%</w:t>
                  </w:r>
                </w:p>
              </w:tc>
              <w:tc>
                <w:tcPr>
                  <w:tcW w:type="dxa" w:w="1584"/>
                  <w:shd w:val="clear" w:color="auto" w:fill="EEF4F2"/>
                </w:tcPr>
                <w:p>
                  <w:pPr>
                    <w:spacing w:after="0" w:before="0" w:line="240" w:lineRule="auto"/>
                  </w:pPr>
                  <w:r/>
                  <w:r>
                    <w:rPr>
                      <w:rFonts w:ascii="Calibri" w:hAnsi="Calibri" w:eastAsia="Calibri"/>
                      <w:b w:val="0"/>
                      <w:i w:val="0"/>
                      <w:color w:val="1A1A1A"/>
                      <w:sz w:val="16"/>
                    </w:rPr>
                    <w:t>9.8%</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6.9%</w:t>
                  </w:r>
                </w:p>
              </w:tc>
              <w:tc>
                <w:tcPr>
                  <w:tcW w:type="dxa" w:w="1584"/>
                </w:tcPr>
                <w:p>
                  <w:pPr>
                    <w:spacing w:after="0" w:before="0" w:line="240" w:lineRule="auto"/>
                  </w:pPr>
                  <w:r/>
                  <w:r>
                    <w:rPr>
                      <w:rFonts w:ascii="Calibri" w:hAnsi="Calibri" w:eastAsia="Calibri"/>
                      <w:b w:val="0"/>
                      <w:i w:val="0"/>
                      <w:color w:val="1A1A1A"/>
                      <w:sz w:val="16"/>
                    </w:rPr>
                    <w:t>6.1%</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−0.40x (net cash)</w:t>
                  </w:r>
                </w:p>
              </w:tc>
              <w:tc>
                <w:tcPr>
                  <w:tcW w:type="dxa" w:w="1584"/>
                  <w:shd w:val="clear" w:color="auto" w:fill="EEF4F2"/>
                </w:tcPr>
                <w:p>
                  <w:pPr>
                    <w:spacing w:after="0" w:before="0" w:line="240" w:lineRule="auto"/>
                  </w:pPr>
                  <w:r/>
                  <w:r>
                    <w:rPr>
                      <w:rFonts w:ascii="Calibri" w:hAnsi="Calibri" w:eastAsia="Calibri"/>
                      <w:b w:val="0"/>
                      <w:i w:val="0"/>
                      <w:color w:val="1A1A1A"/>
                      <w:sz w:val="16"/>
                    </w:rPr>
                    <w:t>−1.53x</w:t>
                  </w:r>
                </w:p>
              </w:tc>
            </w:tr>
            <w:tr>
              <w:tc>
                <w:tcPr>
                  <w:tcW w:type="dxa" w:w="2376"/>
                </w:tcPr>
                <w:p>
                  <w:pPr>
                    <w:spacing w:after="0" w:before="0" w:line="240" w:lineRule="auto"/>
                  </w:pPr>
                  <w:r/>
                  <w:r>
                    <w:rPr>
                      <w:rFonts w:ascii="Calibri" w:hAnsi="Calibri" w:eastAsia="Calibri"/>
                      <w:b w:val="0"/>
                      <w:i w:val="0"/>
                      <w:color w:val="1A1A1A"/>
                      <w:sz w:val="16"/>
                    </w:rPr>
                    <w:t>Net cash + LT investments / mkt cap</w:t>
                  </w:r>
                </w:p>
              </w:tc>
              <w:tc>
                <w:tcPr>
                  <w:tcW w:type="dxa" w:w="2520"/>
                </w:tcPr>
                <w:p>
                  <w:pPr>
                    <w:spacing w:after="0" w:before="0" w:line="240" w:lineRule="auto"/>
                  </w:pPr>
                  <w:r/>
                  <w:r>
                    <w:rPr>
                      <w:rFonts w:ascii="Calibri" w:hAnsi="Calibri" w:eastAsia="Calibri"/>
                      <w:b w:val="0"/>
                      <w:i w:val="0"/>
                      <w:color w:val="1A1A1A"/>
                      <w:sz w:val="16"/>
                    </w:rPr>
                    <w:t>26% (50% pre-Iwasaki)</w:t>
                  </w:r>
                </w:p>
              </w:tc>
              <w:tc>
                <w:tcPr>
                  <w:tcW w:type="dxa" w:w="1584"/>
                </w:tcPr>
                <w:p>
                  <w:pPr>
                    <w:spacing w:after="0" w:before="0" w:line="240" w:lineRule="auto"/>
                  </w:pPr>
                  <w:r/>
                  <w:r>
                    <w:rPr>
                      <w:rFonts w:ascii="Calibri" w:hAnsi="Calibri" w:eastAsia="Calibri"/>
                      <w:b w:val="0"/>
                      <w:i w:val="0"/>
                      <w:color w:val="1A1A1A"/>
                      <w:sz w:val="16"/>
                    </w:rPr>
                    <w:t>—</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Honda Motor</w:t>
                  </w:r>
                </w:p>
              </w:tc>
              <w:tc>
                <w:tcPr>
                  <w:tcW w:type="dxa" w:w="936"/>
                </w:tcPr>
                <w:p>
                  <w:pPr>
                    <w:spacing w:after="0" w:before="0" w:line="240" w:lineRule="auto"/>
                  </w:pPr>
                  <w:r/>
                  <w:r>
                    <w:rPr>
                      <w:rFonts w:ascii="Calibri" w:hAnsi="Calibri" w:eastAsia="Calibri"/>
                      <w:b w:val="0"/>
                      <w:i w:val="0"/>
                      <w:color w:val="1A1A1A"/>
                      <w:sz w:val="16"/>
                    </w:rPr>
                    <w:t>13.6%</w:t>
                  </w:r>
                </w:p>
              </w:tc>
            </w:tr>
            <w:tr>
              <w:tc>
                <w:tcPr>
                  <w:tcW w:type="dxa" w:w="5544"/>
                  <w:shd w:val="clear" w:color="auto" w:fill="EEF4F2"/>
                </w:tcPr>
                <w:p>
                  <w:pPr>
                    <w:spacing w:after="0" w:before="0" w:line="240" w:lineRule="auto"/>
                  </w:pPr>
                  <w:r/>
                  <w:r>
                    <w:rPr>
                      <w:rFonts w:ascii="Calibri" w:hAnsi="Calibri" w:eastAsia="Calibri"/>
                      <w:b w:val="0"/>
                      <w:i w:val="0"/>
                      <w:color w:val="1A1A1A"/>
                      <w:sz w:val="16"/>
                    </w:rPr>
                    <w:t>Master Trust Bank of Japan (trust)</w:t>
                  </w:r>
                </w:p>
              </w:tc>
              <w:tc>
                <w:tcPr>
                  <w:tcW w:type="dxa" w:w="936"/>
                  <w:shd w:val="clear" w:color="auto" w:fill="EEF4F2"/>
                </w:tcPr>
                <w:p>
                  <w:pPr>
                    <w:spacing w:after="0" w:before="0" w:line="240" w:lineRule="auto"/>
                  </w:pPr>
                  <w:r/>
                  <w:r>
                    <w:rPr>
                      <w:rFonts w:ascii="Calibri" w:hAnsi="Calibri" w:eastAsia="Calibri"/>
                      <w:b w:val="0"/>
                      <w:i w:val="0"/>
                      <w:color w:val="1A1A1A"/>
                      <w:sz w:val="16"/>
                    </w:rPr>
                    <w:t>12.1%</w:t>
                  </w:r>
                </w:p>
              </w:tc>
            </w:tr>
            <w:tr>
              <w:tc>
                <w:tcPr>
                  <w:tcW w:type="dxa" w:w="5544"/>
                </w:tcPr>
                <w:p>
                  <w:pPr>
                    <w:spacing w:after="0" w:before="0" w:line="240" w:lineRule="auto"/>
                  </w:pPr>
                  <w:r/>
                  <w:r>
                    <w:rPr>
                      <w:rFonts w:ascii="Calibri" w:hAnsi="Calibri" w:eastAsia="Calibri"/>
                      <w:b w:val="0"/>
                      <w:i w:val="0"/>
                      <w:color w:val="1A1A1A"/>
                      <w:sz w:val="16"/>
                    </w:rPr>
                    <w:t>Custody Bank of Japan (trust)</w:t>
                  </w:r>
                </w:p>
              </w:tc>
              <w:tc>
                <w:tcPr>
                  <w:tcW w:type="dxa" w:w="936"/>
                </w:tcPr>
                <w:p>
                  <w:pPr>
                    <w:spacing w:after="0" w:before="0" w:line="240" w:lineRule="auto"/>
                  </w:pPr>
                  <w:r/>
                  <w:r>
                    <w:rPr>
                      <w:rFonts w:ascii="Calibri" w:hAnsi="Calibri" w:eastAsia="Calibri"/>
                      <w:b w:val="0"/>
                      <w:i w:val="0"/>
                      <w:color w:val="1A1A1A"/>
                      <w:sz w:val="16"/>
                    </w:rPr>
                    <w:t>6.1%</w:t>
                  </w:r>
                </w:p>
              </w:tc>
            </w:tr>
            <w:tr>
              <w:tc>
                <w:tcPr>
                  <w:tcW w:type="dxa" w:w="5544"/>
                  <w:shd w:val="clear" w:color="auto" w:fill="EEF4F2"/>
                </w:tcPr>
                <w:p>
                  <w:pPr>
                    <w:spacing w:after="0" w:before="0" w:line="240" w:lineRule="auto"/>
                  </w:pPr>
                  <w:r/>
                  <w:r>
                    <w:rPr>
                      <w:rFonts w:ascii="Calibri" w:hAnsi="Calibri" w:eastAsia="Calibri"/>
                      <w:b w:val="0"/>
                      <w:i w:val="0"/>
                      <w:color w:val="1A1A1A"/>
                      <w:sz w:val="16"/>
                    </w:rPr>
                    <w:t>Nippon Life Insurance</w:t>
                  </w:r>
                </w:p>
              </w:tc>
              <w:tc>
                <w:tcPr>
                  <w:tcW w:type="dxa" w:w="936"/>
                  <w:shd w:val="clear" w:color="auto" w:fill="EEF4F2"/>
                </w:tcPr>
                <w:p>
                  <w:pPr>
                    <w:spacing w:after="0" w:before="0" w:line="240" w:lineRule="auto"/>
                  </w:pPr>
                  <w:r/>
                  <w:r>
                    <w:rPr>
                      <w:rFonts w:ascii="Calibri" w:hAnsi="Calibri" w:eastAsia="Calibri"/>
                      <w:b w:val="0"/>
                      <w:i w:val="0"/>
                      <w:color w:val="1A1A1A"/>
                      <w:sz w:val="16"/>
                    </w:rPr>
                    <w:t>5.6%</w:t>
                  </w:r>
                </w:p>
              </w:tc>
            </w:tr>
            <w:tr>
              <w:tc>
                <w:tcPr>
                  <w:tcW w:type="dxa" w:w="5544"/>
                </w:tcPr>
                <w:p>
                  <w:pPr>
                    <w:spacing w:after="0" w:before="0" w:line="240" w:lineRule="auto"/>
                  </w:pPr>
                  <w:r/>
                  <w:r>
                    <w:rPr>
                      <w:rFonts w:ascii="Calibri" w:hAnsi="Calibri" w:eastAsia="Calibri"/>
                      <w:b w:val="0"/>
                      <w:i w:val="0"/>
                      <w:color w:val="1A1A1A"/>
                      <w:sz w:val="16"/>
                    </w:rPr>
                    <w:t>State Street Bank &amp; Trust</w:t>
                  </w:r>
                </w:p>
              </w:tc>
              <w:tc>
                <w:tcPr>
                  <w:tcW w:type="dxa" w:w="936"/>
                </w:tcPr>
                <w:p>
                  <w:pPr>
                    <w:spacing w:after="0" w:before="0" w:line="240" w:lineRule="auto"/>
                  </w:pPr>
                  <w:r/>
                  <w:r>
                    <w:rPr>
                      <w:rFonts w:ascii="Calibri" w:hAnsi="Calibri" w:eastAsia="Calibri"/>
                      <w:b w:val="0"/>
                      <w:i w:val="0"/>
                      <w:color w:val="1A1A1A"/>
                      <w:sz w:val="16"/>
                    </w:rPr>
                    <w:t>3.2%</w:t>
                  </w:r>
                </w:p>
              </w:tc>
            </w:tr>
          </w:tbl>
          <w:p>
            <w:pPr>
              <w:spacing w:after="0" w:before="20" w:line="240" w:lineRule="auto"/>
            </w:pPr>
            <w:r>
              <w:rPr>
                <w:rFonts w:ascii="Calibri" w:hAnsi="Calibri" w:eastAsia="Calibri"/>
                <w:b w:val="0"/>
                <w:i w:val="0"/>
                <w:color w:val="555555"/>
                <w:sz w:val="15"/>
              </w:rPr>
              <w:t>Register 31-Mar-26. #6 City Index Eleventh (Murakami group) 3.1% — peaked at 6.05% in Mar-25. T. Rowe Price on register. Mix: foreign 31%, financial institutions 30%, other corporates 24%, individuals 10%.</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The highest-margin franchise in Japanese auto lighting (15.5% EBITDA margin vs 9.8% peers) delivers 5Y TSR of +45% vs +129% TOPIX TR, ~7% ROE and 0.95x P/B.</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Capital discipline arrived only with Murakami — and was immediately followed by a ¥77bn debt-funded, non-auto acquisition (Iwasaki, ~¥53bn goodwill) while unallocated HQ cost rose ~50% to ¥14bn.</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A Honda white-squire stake, minority-independent board, bank cross-holdings and a listed Thai subsidiary keep capital trapped.</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Exit all policy holdings (¥40–60bn saleable, est.) — not just to 10% of net assets — and run a further ¥50–60bn buyback (12–14% of mkt cap) once the Iwasaki bridge is refinanced (ND/EBITDA ~0.5x); ROE +1.5–2pp.</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Overhead programme: unallocated corporate cost from ¥14bn back to ~¥9bn (+¥5bn EBIT, ~¥60bn of value at 12x EV/EBIT).</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Portfolio and structure: Iwasaki ROIC &gt; WACC by FY3/28 or divest; review non-auto/applied-electronics (~14% of sales); resolve Thai Stanley listing (buy out or sell down).</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Medium — </w:t>
            </w:r>
            <w:r>
              <w:rPr>
                <w:rFonts w:ascii="Calibri" w:hAnsi="Calibri" w:eastAsia="Calibri"/>
                <w:b w:val="0"/>
                <w:i w:val="0"/>
                <w:color w:val="1A1A1A"/>
                <w:sz w:val="17"/>
              </w:rPr>
              <w:t>Foreign 31% (incl. T. Rowe Price) plus ~18% passive trust banks give a majority-capable base on capital-return items; Nippon Life increasingly votes against low-ROE, sub-1x P/B boards; Murakami's 3.1% an ally; 2023 CEO vote showed dissent. Honda (13.6%) will back management on control.</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¥80bn buyback (17.6% of shares) already done; DOE 3.5%/40% payout and ROE ≥10% MTP; Iwasaki and the Mitsubishi Electric JV are growth platforms; Honda alliance is strategic; cross-holdings already being cut.</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Policy-holding liquidation + buyback; capex/D&amp;A 1.3x needs returns discipline</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Iwasaki, non-auto segments, Thai Stanley parent-sub listing</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Independent-majority board; related-party committee for Honda as holder/customer</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Domestic lighting consolidation (Koito, Ichikoh Japan) — long shot given keiretsu ties</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Audit &amp; Supervisory Board company; 9 directors, 4 outside (44%) — minority-independent by the company's own admission. CEO Kaizumi since Apr-22; only 83.9% approval at 2023 AGM. Honda (largest holder and ~30% of sales, est.) via 2022 capital alliance. Policy holdings ~20% of net assets (target 10% by FY3/28). Listed Thai Stanley (~47% owned). Previous MTP missed every target (ROE 7.0% vs 8%; OPM 8.2% vs 10.5%).</w:t>
            </w:r>
          </w:p>
        </w:tc>
      </w:tr>
    </w:tbl>
    <w:p>
      <w:pPr>
        <w:spacing w:after="0"/>
      </w:pPr>
      <w:r>
        <w:br w:type="page"/>
      </w:r>
    </w:p>
    <w:p>
      <w:pPr>
        <w:spacing w:after="0" w:before="0" w:line="240" w:lineRule="auto"/>
      </w:pPr>
      <w:r>
        <w:rPr>
          <w:rFonts w:ascii="Calibri" w:hAnsi="Calibri" w:eastAsia="Calibri"/>
          <w:b/>
          <w:i w:val="0"/>
          <w:color w:val="0F5C4A"/>
          <w:sz w:val="24"/>
        </w:rPr>
        <w:t>5 · Nihon Kohden (6849 JT)</w:t>
      </w:r>
      <w:r>
        <w:rPr>
          <w:rFonts w:ascii="Calibri" w:hAnsi="Calibri" w:eastAsia="Calibri"/>
          <w:b w:val="0"/>
          <w:i w:val="0"/>
          <w:color w:val="555555"/>
          <w:sz w:val="17"/>
        </w:rPr>
        <w:t xml:space="preserve">   Health-care equipment (patient monitors, ECG, AEDs)</w:t>
      </w:r>
      <w:r>
        <w:rPr>
          <w:rFonts w:ascii="Calibri" w:hAnsi="Calibri" w:eastAsia="Calibri"/>
          <w:b/>
          <w:i w:val="0"/>
          <w:color w:val="0F5C4A"/>
          <w:sz w:val="17"/>
        </w:rPr>
        <w:t xml:space="preserve">   Conviction: Medium–High</w:t>
      </w:r>
    </w:p>
    <w:p>
      <w:pPr>
        <w:spacing w:after="60" w:before="0" w:line="240" w:lineRule="auto"/>
      </w:pPr>
      <w:r>
        <w:rPr>
          <w:rFonts w:ascii="Calibri" w:hAnsi="Calibri" w:eastAsia="Calibri"/>
          <w:b w:val="0"/>
          <w:i w:val="0"/>
          <w:color w:val="555555"/>
          <w:sz w:val="15"/>
        </w:rPr>
        <w:t>Price ¥1,648.5 · Mkt cap ¥263.7bn (US$1.67bn) · EV ¥236.8bn (US$1.50bn) · LTM sales ¥232.5bn, EBIT ¥15.5bn, EBITDA ¥21.6bn · Net cash ¥27.0bn (Jun-26) · FY3/27 OP guide ¥23.5bn vs 15% OPM target (~¥35bn)</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Nihon Kohden</w:t>
                  </w:r>
                </w:p>
              </w:tc>
              <w:tc>
                <w:tcPr>
                  <w:tcW w:type="dxa" w:w="1296"/>
                </w:tcPr>
                <w:p>
                  <w:pPr>
                    <w:spacing w:after="0" w:before="0" w:line="240" w:lineRule="auto"/>
                  </w:pPr>
                  <w:r/>
                  <w:r>
                    <w:rPr>
                      <w:rFonts w:ascii="Calibri" w:hAnsi="Calibri" w:eastAsia="Calibri"/>
                      <w:b/>
                      <w:i w:val="0"/>
                      <w:color w:val="1A1A1A"/>
                      <w:sz w:val="16"/>
                    </w:rPr>
                    <w:t>−2.4%</w:t>
                  </w:r>
                </w:p>
              </w:tc>
              <w:tc>
                <w:tcPr>
                  <w:tcW w:type="dxa" w:w="1296"/>
                </w:tcPr>
                <w:p>
                  <w:pPr>
                    <w:spacing w:after="0" w:before="0" w:line="240" w:lineRule="auto"/>
                  </w:pPr>
                  <w:r/>
                  <w:r>
                    <w:rPr>
                      <w:rFonts w:ascii="Calibri" w:hAnsi="Calibri" w:eastAsia="Calibri"/>
                      <w:b/>
                      <w:i w:val="0"/>
                      <w:color w:val="1A1A1A"/>
                      <w:sz w:val="16"/>
                    </w:rPr>
                    <w:t>−3.1%</w:t>
                  </w:r>
                </w:p>
              </w:tc>
              <w:tc>
                <w:tcPr>
                  <w:tcW w:type="dxa" w:w="1368"/>
                </w:tcPr>
                <w:p>
                  <w:pPr>
                    <w:spacing w:after="0" w:before="0" w:line="240" w:lineRule="auto"/>
                  </w:pPr>
                  <w:r/>
                  <w:r>
                    <w:rPr>
                      <w:rFonts w:ascii="Calibri" w:hAnsi="Calibri" w:eastAsia="Calibri"/>
                      <w:b/>
                      <w:i w:val="0"/>
                      <w:color w:val="1A1A1A"/>
                      <w:sz w:val="16"/>
                    </w:rPr>
                    <w:t>+1.9%</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+8.6%</w:t>
                  </w:r>
                </w:p>
              </w:tc>
              <w:tc>
                <w:tcPr>
                  <w:tcW w:type="dxa" w:w="1296"/>
                  <w:shd w:val="clear" w:color="auto" w:fill="EEF4F2"/>
                </w:tcPr>
                <w:p>
                  <w:pPr>
                    <w:spacing w:after="0" w:before="0" w:line="240" w:lineRule="auto"/>
                  </w:pPr>
                  <w:r/>
                  <w:r>
                    <w:rPr>
                      <w:rFonts w:ascii="Calibri" w:hAnsi="Calibri" w:eastAsia="Calibri"/>
                      <w:b w:val="0"/>
                      <w:i w:val="0"/>
                      <w:color w:val="1A1A1A"/>
                      <w:sz w:val="16"/>
                    </w:rPr>
                    <w:t>+15.5%</w:t>
                  </w:r>
                </w:p>
              </w:tc>
              <w:tc>
                <w:tcPr>
                  <w:tcW w:type="dxa" w:w="1368"/>
                  <w:shd w:val="clear" w:color="auto" w:fill="EEF4F2"/>
                </w:tcPr>
                <w:p>
                  <w:pPr>
                    <w:spacing w:after="0" w:before="0" w:line="240" w:lineRule="auto"/>
                  </w:pPr>
                  <w:r/>
                  <w:r>
                    <w:rPr>
                      <w:rFonts w:ascii="Calibri" w:hAnsi="Calibri" w:eastAsia="Calibri"/>
                      <w:b w:val="0"/>
                      <w:i w:val="0"/>
                      <w:color w:val="1A1A1A"/>
                      <w:sz w:val="16"/>
                    </w:rPr>
                    <w:t>−8.8%</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Fukuda Denshi (+63% / +119% / +165%), Terumo, Sysmex, Olympus.</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Nihon</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1.02x</w:t>
                  </w:r>
                </w:p>
              </w:tc>
              <w:tc>
                <w:tcPr>
                  <w:tcW w:type="dxa" w:w="1584"/>
                </w:tcPr>
                <w:p>
                  <w:pPr>
                    <w:spacing w:after="0" w:before="0" w:line="240" w:lineRule="auto"/>
                  </w:pPr>
                  <w:r/>
                  <w:r>
                    <w:rPr>
                      <w:rFonts w:ascii="Calibri" w:hAnsi="Calibri" w:eastAsia="Calibri"/>
                      <w:b w:val="0"/>
                      <w:i w:val="0"/>
                      <w:color w:val="1A1A1A"/>
                      <w:sz w:val="16"/>
                    </w:rPr>
                    <w:t>2.18x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15.2x</w:t>
                  </w:r>
                </w:p>
              </w:tc>
              <w:tc>
                <w:tcPr>
                  <w:tcW w:type="dxa" w:w="1584"/>
                  <w:shd w:val="clear" w:color="auto" w:fill="EEF4F2"/>
                </w:tcPr>
                <w:p>
                  <w:pPr>
                    <w:spacing w:after="0" w:before="0" w:line="240" w:lineRule="auto"/>
                  </w:pPr>
                  <w:r/>
                  <w:r>
                    <w:rPr>
                      <w:rFonts w:ascii="Calibri" w:hAnsi="Calibri" w:eastAsia="Calibri"/>
                      <w:b w:val="0"/>
                      <w:i w:val="0"/>
                      <w:color w:val="1A1A1A"/>
                      <w:sz w:val="16"/>
                    </w:rPr>
                    <w:t>15.3x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11.0x</w:t>
                  </w:r>
                </w:p>
              </w:tc>
              <w:tc>
                <w:tcPr>
                  <w:tcW w:type="dxa" w:w="1584"/>
                </w:tcPr>
                <w:p>
                  <w:pPr>
                    <w:spacing w:after="0" w:before="0" w:line="240" w:lineRule="auto"/>
                  </w:pPr>
                  <w:r/>
                  <w:r>
                    <w:rPr>
                      <w:rFonts w:ascii="Calibri" w:hAnsi="Calibri" w:eastAsia="Calibri"/>
                      <w:b w:val="0"/>
                      <w:i w:val="0"/>
                      <w:color w:val="1A1A1A"/>
                      <w:sz w:val="16"/>
                    </w:rPr>
                    <w:t>10.2x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19.4x (17.6x fwd)</w:t>
                  </w:r>
                </w:p>
              </w:tc>
              <w:tc>
                <w:tcPr>
                  <w:tcW w:type="dxa" w:w="1584"/>
                  <w:shd w:val="clear" w:color="auto" w:fill="EEF4F2"/>
                </w:tcPr>
                <w:p>
                  <w:pPr>
                    <w:spacing w:after="0" w:before="0" w:line="240" w:lineRule="auto"/>
                  </w:pPr>
                  <w:r/>
                  <w:r>
                    <w:rPr>
                      <w:rFonts w:ascii="Calibri" w:hAnsi="Calibri" w:eastAsia="Calibri"/>
                      <w:b w:val="0"/>
                      <w:i w:val="0"/>
                      <w:color w:val="1A1A1A"/>
                      <w:sz w:val="16"/>
                    </w:rPr>
                    <w:t>23.8x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6.7%</w:t>
                  </w:r>
                </w:p>
              </w:tc>
              <w:tc>
                <w:tcPr>
                  <w:tcW w:type="dxa" w:w="1584"/>
                </w:tcPr>
                <w:p>
                  <w:pPr>
                    <w:spacing w:after="0" w:before="0" w:line="240" w:lineRule="auto"/>
                  </w:pPr>
                  <w:r/>
                  <w:r>
                    <w:rPr>
                      <w:rFonts w:ascii="Calibri" w:hAnsi="Calibri" w:eastAsia="Calibri"/>
                      <w:b w:val="0"/>
                      <w:i w:val="0"/>
                      <w:color w:val="1A1A1A"/>
                      <w:sz w:val="16"/>
                    </w:rPr>
                    <w:t>4.5%</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1.49x</w:t>
                  </w:r>
                </w:p>
              </w:tc>
              <w:tc>
                <w:tcPr>
                  <w:tcW w:type="dxa" w:w="1584"/>
                  <w:shd w:val="clear" w:color="auto" w:fill="EEF4F2"/>
                </w:tcPr>
                <w:p>
                  <w:pPr>
                    <w:spacing w:after="0" w:before="0" w:line="240" w:lineRule="auto"/>
                  </w:pPr>
                  <w:r/>
                  <w:r>
                    <w:rPr>
                      <w:rFonts w:ascii="Calibri" w:hAnsi="Calibri" w:eastAsia="Calibri"/>
                      <w:b w:val="0"/>
                      <w:i w:val="0"/>
                      <w:color w:val="1A1A1A"/>
                      <w:sz w:val="16"/>
                    </w:rPr>
                    <w:t>2.20x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6.7% (Fukuda 19.3%)</w:t>
                  </w:r>
                </w:p>
              </w:tc>
              <w:tc>
                <w:tcPr>
                  <w:tcW w:type="dxa" w:w="1584"/>
                </w:tcPr>
                <w:p>
                  <w:pPr>
                    <w:spacing w:after="0" w:before="0" w:line="240" w:lineRule="auto"/>
                  </w:pPr>
                  <w:r/>
                  <w:r>
                    <w:rPr>
                      <w:rFonts w:ascii="Calibri" w:hAnsi="Calibri" w:eastAsia="Calibri"/>
                      <w:b w:val="0"/>
                      <w:i w:val="0"/>
                      <w:color w:val="1A1A1A"/>
                      <w:sz w:val="16"/>
                    </w:rPr>
                    <w:t>16.8%</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9.3%</w:t>
                  </w:r>
                </w:p>
              </w:tc>
              <w:tc>
                <w:tcPr>
                  <w:tcW w:type="dxa" w:w="1584"/>
                  <w:shd w:val="clear" w:color="auto" w:fill="EEF4F2"/>
                </w:tcPr>
                <w:p>
                  <w:pPr>
                    <w:spacing w:after="0" w:before="0" w:line="240" w:lineRule="auto"/>
                  </w:pPr>
                  <w:r/>
                  <w:r>
                    <w:rPr>
                      <w:rFonts w:ascii="Calibri" w:hAnsi="Calibri" w:eastAsia="Calibri"/>
                      <w:b w:val="0"/>
                      <w:i w:val="0"/>
                      <w:color w:val="1A1A1A"/>
                      <w:sz w:val="16"/>
                    </w:rPr>
                    <w:t>23.9%</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7.7% (target 12%)</w:t>
                  </w:r>
                </w:p>
              </w:tc>
              <w:tc>
                <w:tcPr>
                  <w:tcW w:type="dxa" w:w="1584"/>
                </w:tcPr>
                <w:p>
                  <w:pPr>
                    <w:spacing w:after="0" w:before="0" w:line="240" w:lineRule="auto"/>
                  </w:pPr>
                  <w:r/>
                  <w:r>
                    <w:rPr>
                      <w:rFonts w:ascii="Calibri" w:hAnsi="Calibri" w:eastAsia="Calibri"/>
                      <w:b w:val="0"/>
                      <w:i w:val="0"/>
                      <w:color w:val="1A1A1A"/>
                      <w:sz w:val="16"/>
                    </w:rPr>
                    <w:t>9.9%</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−1.25x (net cash)</w:t>
                  </w:r>
                </w:p>
              </w:tc>
              <w:tc>
                <w:tcPr>
                  <w:tcW w:type="dxa" w:w="1584"/>
                  <w:shd w:val="clear" w:color="auto" w:fill="EEF4F2"/>
                </w:tcPr>
                <w:p>
                  <w:pPr>
                    <w:spacing w:after="0" w:before="0" w:line="240" w:lineRule="auto"/>
                  </w:pPr>
                  <w:r/>
                  <w:r>
                    <w:rPr>
                      <w:rFonts w:ascii="Calibri" w:hAnsi="Calibri" w:eastAsia="Calibri"/>
                      <w:b w:val="0"/>
                      <w:i w:val="0"/>
                      <w:color w:val="1A1A1A"/>
                      <w:sz w:val="16"/>
                    </w:rPr>
                    <w:t>+0.24x</w:t>
                  </w:r>
                </w:p>
              </w:tc>
            </w:tr>
            <w:tr>
              <w:tc>
                <w:tcPr>
                  <w:tcW w:type="dxa" w:w="2376"/>
                </w:tcPr>
                <w:p>
                  <w:pPr>
                    <w:spacing w:after="0" w:before="0" w:line="240" w:lineRule="auto"/>
                  </w:pPr>
                  <w:r/>
                  <w:r>
                    <w:rPr>
                      <w:rFonts w:ascii="Calibri" w:hAnsi="Calibri" w:eastAsia="Calibri"/>
                      <w:b w:val="0"/>
                      <w:i w:val="0"/>
                      <w:color w:val="1A1A1A"/>
                      <w:sz w:val="16"/>
                    </w:rPr>
                    <w:t>Net cash + securities / mkt cap</w:t>
                  </w:r>
                </w:p>
              </w:tc>
              <w:tc>
                <w:tcPr>
                  <w:tcW w:type="dxa" w:w="2520"/>
                </w:tcPr>
                <w:p>
                  <w:pPr>
                    <w:spacing w:after="0" w:before="0" w:line="240" w:lineRule="auto"/>
                  </w:pPr>
                  <w:r/>
                  <w:r>
                    <w:rPr>
                      <w:rFonts w:ascii="Calibri" w:hAnsi="Calibri" w:eastAsia="Calibri"/>
                      <w:b w:val="0"/>
                      <w:i w:val="0"/>
                      <w:color w:val="1A1A1A"/>
                      <w:sz w:val="16"/>
                    </w:rPr>
                    <w:t>~12%</w:t>
                  </w:r>
                </w:p>
              </w:tc>
              <w:tc>
                <w:tcPr>
                  <w:tcW w:type="dxa" w:w="1584"/>
                </w:tcPr>
                <w:p>
                  <w:pPr>
                    <w:spacing w:after="0" w:before="0" w:line="240" w:lineRule="auto"/>
                  </w:pPr>
                  <w:r/>
                  <w:r>
                    <w:rPr>
                      <w:rFonts w:ascii="Calibri" w:hAnsi="Calibri" w:eastAsia="Calibri"/>
                      <w:b w:val="0"/>
                      <w:i w:val="0"/>
                      <w:color w:val="1A1A1A"/>
                      <w:sz w:val="16"/>
                    </w:rPr>
                    <w:t>1.5%</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Master Trust Bank of Japan (trust)</w:t>
                  </w:r>
                </w:p>
              </w:tc>
              <w:tc>
                <w:tcPr>
                  <w:tcW w:type="dxa" w:w="936"/>
                </w:tcPr>
                <w:p>
                  <w:pPr>
                    <w:spacing w:after="0" w:before="0" w:line="240" w:lineRule="auto"/>
                  </w:pPr>
                  <w:r/>
                  <w:r>
                    <w:rPr>
                      <w:rFonts w:ascii="Calibri" w:hAnsi="Calibri" w:eastAsia="Calibri"/>
                      <w:b w:val="0"/>
                      <w:i w:val="0"/>
                      <w:color w:val="1A1A1A"/>
                      <w:sz w:val="16"/>
                    </w:rPr>
                    <w:t>14.7%</w:t>
                  </w:r>
                </w:p>
              </w:tc>
            </w:tr>
            <w:tr>
              <w:tc>
                <w:tcPr>
                  <w:tcW w:type="dxa" w:w="5544"/>
                  <w:shd w:val="clear" w:color="auto" w:fill="EEF4F2"/>
                </w:tcPr>
                <w:p>
                  <w:pPr>
                    <w:spacing w:after="0" w:before="0" w:line="240" w:lineRule="auto"/>
                  </w:pPr>
                  <w:r/>
                  <w:r>
                    <w:rPr>
                      <w:rFonts w:ascii="Calibri" w:hAnsi="Calibri" w:eastAsia="Calibri"/>
                      <w:b w:val="0"/>
                      <w:i w:val="0"/>
                      <w:color w:val="1A1A1A"/>
                      <w:sz w:val="16"/>
                    </w:rPr>
                    <w:t>Custody Bank of Japan (trust)</w:t>
                  </w:r>
                </w:p>
              </w:tc>
              <w:tc>
                <w:tcPr>
                  <w:tcW w:type="dxa" w:w="936"/>
                  <w:shd w:val="clear" w:color="auto" w:fill="EEF4F2"/>
                </w:tcPr>
                <w:p>
                  <w:pPr>
                    <w:spacing w:after="0" w:before="0" w:line="240" w:lineRule="auto"/>
                  </w:pPr>
                  <w:r/>
                  <w:r>
                    <w:rPr>
                      <w:rFonts w:ascii="Calibri" w:hAnsi="Calibri" w:eastAsia="Calibri"/>
                      <w:b w:val="0"/>
                      <w:i w:val="0"/>
                      <w:color w:val="1A1A1A"/>
                      <w:sz w:val="16"/>
                    </w:rPr>
                    <w:t>5.0%</w:t>
                  </w:r>
                </w:p>
              </w:tc>
            </w:tr>
            <w:tr>
              <w:tc>
                <w:tcPr>
                  <w:tcW w:type="dxa" w:w="5544"/>
                </w:tcPr>
                <w:p>
                  <w:pPr>
                    <w:spacing w:after="0" w:before="0" w:line="240" w:lineRule="auto"/>
                  </w:pPr>
                  <w:r/>
                  <w:r>
                    <w:rPr>
                      <w:rFonts w:ascii="Calibri" w:hAnsi="Calibri" w:eastAsia="Calibri"/>
                      <w:b w:val="0"/>
                      <w:i w:val="0"/>
                      <w:color w:val="1A1A1A"/>
                      <w:sz w:val="16"/>
                    </w:rPr>
                    <w:t>Saitama Resona Bank (cut to ~2.0% Sep-26)</w:t>
                  </w:r>
                </w:p>
              </w:tc>
              <w:tc>
                <w:tcPr>
                  <w:tcW w:type="dxa" w:w="936"/>
                </w:tcPr>
                <w:p>
                  <w:pPr>
                    <w:spacing w:after="0" w:before="0" w:line="240" w:lineRule="auto"/>
                  </w:pPr>
                  <w:r/>
                  <w:r>
                    <w:rPr>
                      <w:rFonts w:ascii="Calibri" w:hAnsi="Calibri" w:eastAsia="Calibri"/>
                      <w:b w:val="0"/>
                      <w:i w:val="0"/>
                      <w:color w:val="1A1A1A"/>
                      <w:sz w:val="16"/>
                    </w:rPr>
                    <w:t>4.9%</w:t>
                  </w:r>
                </w:p>
              </w:tc>
            </w:tr>
            <w:tr>
              <w:tc>
                <w:tcPr>
                  <w:tcW w:type="dxa" w:w="5544"/>
                  <w:shd w:val="clear" w:color="auto" w:fill="EEF4F2"/>
                </w:tcPr>
                <w:p>
                  <w:pPr>
                    <w:spacing w:after="0" w:before="0" w:line="240" w:lineRule="auto"/>
                  </w:pPr>
                  <w:r/>
                  <w:r>
                    <w:rPr>
                      <w:rFonts w:ascii="Calibri" w:hAnsi="Calibri" w:eastAsia="Calibri"/>
                      <w:b w:val="0"/>
                      <w:i w:val="0"/>
                      <w:color w:val="1A1A1A"/>
                      <w:sz w:val="16"/>
                    </w:rPr>
                    <w:t>JPMorgan Chase Bank 380055 (omnibus)</w:t>
                  </w:r>
                </w:p>
              </w:tc>
              <w:tc>
                <w:tcPr>
                  <w:tcW w:type="dxa" w:w="936"/>
                  <w:shd w:val="clear" w:color="auto" w:fill="EEF4F2"/>
                </w:tcPr>
                <w:p>
                  <w:pPr>
                    <w:spacing w:after="0" w:before="0" w:line="240" w:lineRule="auto"/>
                  </w:pPr>
                  <w:r/>
                  <w:r>
                    <w:rPr>
                      <w:rFonts w:ascii="Calibri" w:hAnsi="Calibri" w:eastAsia="Calibri"/>
                      <w:b w:val="0"/>
                      <w:i w:val="0"/>
                      <w:color w:val="1A1A1A"/>
                      <w:sz w:val="16"/>
                    </w:rPr>
                    <w:t>4.9%</w:t>
                  </w:r>
                </w:p>
              </w:tc>
            </w:tr>
            <w:tr>
              <w:tc>
                <w:tcPr>
                  <w:tcW w:type="dxa" w:w="5544"/>
                </w:tcPr>
                <w:p>
                  <w:pPr>
                    <w:spacing w:after="0" w:before="0" w:line="240" w:lineRule="auto"/>
                  </w:pPr>
                  <w:r/>
                  <w:r>
                    <w:rPr>
                      <w:rFonts w:ascii="Calibri" w:hAnsi="Calibri" w:eastAsia="Calibri"/>
                      <w:b w:val="0"/>
                      <w:i w:val="0"/>
                      <w:color w:val="1A1A1A"/>
                      <w:sz w:val="16"/>
                    </w:rPr>
                    <w:t>GIC Private Ltd (n/d)</w:t>
                  </w:r>
                </w:p>
              </w:tc>
              <w:tc>
                <w:tcPr>
                  <w:tcW w:type="dxa" w:w="936"/>
                </w:tcPr>
                <w:p>
                  <w:pPr>
                    <w:spacing w:after="0" w:before="0" w:line="240" w:lineRule="auto"/>
                  </w:pPr>
                  <w:r/>
                  <w:r>
                    <w:rPr>
                      <w:rFonts w:ascii="Calibri" w:hAnsi="Calibri" w:eastAsia="Calibri"/>
                      <w:b w:val="0"/>
                      <w:i w:val="0"/>
                      <w:color w:val="1A1A1A"/>
                      <w:sz w:val="16"/>
                    </w:rPr>
                    <w:t>&lt;4.9%</w:t>
                  </w:r>
                </w:p>
              </w:tc>
            </w:tr>
          </w:tbl>
          <w:p>
            <w:pPr>
              <w:spacing w:after="0" w:before="20" w:line="240" w:lineRule="auto"/>
            </w:pPr>
            <w:r>
              <w:rPr>
                <w:rFonts w:ascii="Calibri" w:hAnsi="Calibri" w:eastAsia="Calibri"/>
                <w:b w:val="0"/>
                <w:i w:val="0"/>
                <w:color w:val="555555"/>
                <w:sz w:val="15"/>
              </w:rPr>
              <w:t>Register 31-Mar-26. Beneficial (5% filings): First Eagle 7.3% (adding), Japan Activation Capital 6.5% of votes (new partner, Sep-26), Sprucegrove ~6.1% (selling), BlackRock 5.1%; ValueAct last 3.85% (May-25). Bank cross-holders exiting. Mix: foreign 44.5%, financial institutions 32%, corporates 3.8%.</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Same market, half the margin: Nihon Kohden and Fukuda Denshi sell monitors, ECGs and AEDs to the same hospitals at similar gross margins, yet Fukuda earns 19% EBIT and +165% 5Y TSR vs Nihon Kohden's 6.7% and +2% (−127pp vs TOPIX TR).</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The gap is overhead: opex has risen 37% in five years to 43.8% of sales while operating profit fell 31% and headcount grew 11% — and the 15% FY3/27 margin target is now guided at 10% after a Q1 loss.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Idle balance sheet and unproductive M&amp;A: ¥27bn net cash plus ~¥18bn/yr FCF against a ≥35% return floor; ~¥22bn of US acquisitions with North America at a 5% margin.</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Opex reset to the company's own 38% KPI by FY3/28 — release (not redeploy) the Abbott-era sales/service capacity, consolidate branches, freeze hiring; at 55.5% gross margin that implies ~17% OPM (~¥40bn OP vs ¥23.5bn guided).</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¥30bn buyback over 12–18 months (~11% of shares, ~13% EPS accretion) and a ≥100% total return until ROE &gt;12%; cancel ~7m treasury shares.</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North America margin plan (≥10% by FY3/29) or partner/sell subscale units (OrangeMed, Defibtech); board-supervised review of alternatives incl. take-private (Paramount Bed MBO precedent).</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Medium — </w:t>
            </w:r>
            <w:r>
              <w:rPr>
                <w:rFonts w:ascii="Calibri" w:hAnsi="Calibri" w:eastAsia="Calibri"/>
                <w:b w:val="0"/>
                <w:i w:val="0"/>
                <w:color w:val="1A1A1A"/>
                <w:sz w:val="17"/>
              </w:rPr>
              <w:t>44.5% foreign; value long-onlys First Eagle (adding) and Sprucegrove (selling, fatigued); bank cross-holders exiting; no family block or parent. But JAC's new 6.5% management partnership and a majority-independent board mean buyback/return proposals win, a CEO challenge only if FY3/27 misses.</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FY3/27 is a transition year (gross margin to 55.5% post-Abbott, 90% of reform 'locked in', Phase III plan in May-27); ¥15bn of buybacks in two years; cash needed for US growth/M&amp;A and tariff-driven US manufacturing; Japanese hospital finances are the problem; JAC partnership is the value-up engagement.</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¥30bn buyback; ≥100% total return; explicit net-cash ceiling</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NA margin plan or partial exit; exit low-margin distributed products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CEO succession after 11 years of flat TSR; remove 10%-OPM pay cliff</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Moratorium on overseas deals; strategic review incl. take-private</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Audit &amp; Supervisory Committee company; 11 directors, 6 outside (55%), incl. ex-Terumo chairman Mimura (Jun-26). CEO Ogino since 2015 (~11 years; reportedly of the founding family, unverified); ~98% approval 2025. No pill, no parent. Phase II plan: OPM 15%, ROE 12% in FY3/27 — guidance now 10%, Q1 FY3/27 an operating loss; FY3/26 guide cut and still missed. Abbott distribution ends Dec-26. Return floor only ≥35% total payout; no FY3/27 buyback. JAC partnership signed 10-Sep-26.</w:t>
            </w:r>
          </w:p>
        </w:tc>
      </w:tr>
    </w:tbl>
    <w:p>
      <w:pPr>
        <w:spacing w:after="0"/>
      </w:pPr>
      <w:r>
        <w:br w:type="page"/>
      </w:r>
    </w:p>
    <w:p>
      <w:pPr>
        <w:spacing w:after="0" w:before="0" w:line="240" w:lineRule="auto"/>
      </w:pPr>
      <w:r>
        <w:rPr>
          <w:rFonts w:ascii="Calibri" w:hAnsi="Calibri" w:eastAsia="Calibri"/>
          <w:b/>
          <w:i w:val="0"/>
          <w:color w:val="0F5C4A"/>
          <w:sz w:val="24"/>
        </w:rPr>
        <w:t>6 · Lion Corporation (4912 JT)</w:t>
      </w:r>
      <w:r>
        <w:rPr>
          <w:rFonts w:ascii="Calibri" w:hAnsi="Calibri" w:eastAsia="Calibri"/>
          <w:b w:val="0"/>
          <w:i w:val="0"/>
          <w:color w:val="555555"/>
          <w:sz w:val="17"/>
        </w:rPr>
        <w:t xml:space="preserve">   Household &amp; personal products (oral care, detergents)</w:t>
      </w:r>
      <w:r>
        <w:rPr>
          <w:rFonts w:ascii="Calibri" w:hAnsi="Calibri" w:eastAsia="Calibri"/>
          <w:b/>
          <w:i w:val="0"/>
          <w:color w:val="0F5C4A"/>
          <w:sz w:val="17"/>
        </w:rPr>
        <w:t xml:space="preserve">   Conviction: Medium</w:t>
      </w:r>
    </w:p>
    <w:p>
      <w:pPr>
        <w:spacing w:after="60" w:before="0" w:line="240" w:lineRule="auto"/>
      </w:pPr>
      <w:r>
        <w:rPr>
          <w:rFonts w:ascii="Calibri" w:hAnsi="Calibri" w:eastAsia="Calibri"/>
          <w:b w:val="0"/>
          <w:i w:val="0"/>
          <w:color w:val="555555"/>
          <w:sz w:val="15"/>
        </w:rPr>
        <w:t>Price ¥1,793.5 · Mkt cap ¥496.3bn (US$3.15bn) · EV ¥470.5bn (US$2.99bn) · LTM sales ¥439.5bn, core OP ¥33.5bn, core EBITDA ~¥56bn · Net cash ¥51.6bn (Jun-26)</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Lion Corporation</w:t>
                  </w:r>
                </w:p>
              </w:tc>
              <w:tc>
                <w:tcPr>
                  <w:tcW w:type="dxa" w:w="1296"/>
                </w:tcPr>
                <w:p>
                  <w:pPr>
                    <w:spacing w:after="0" w:before="0" w:line="240" w:lineRule="auto"/>
                  </w:pPr>
                  <w:r/>
                  <w:r>
                    <w:rPr>
                      <w:rFonts w:ascii="Calibri" w:hAnsi="Calibri" w:eastAsia="Calibri"/>
                      <w:b/>
                      <w:i w:val="0"/>
                      <w:color w:val="1A1A1A"/>
                      <w:sz w:val="16"/>
                    </w:rPr>
                    <w:t>+19.0%</w:t>
                  </w:r>
                </w:p>
              </w:tc>
              <w:tc>
                <w:tcPr>
                  <w:tcW w:type="dxa" w:w="1296"/>
                </w:tcPr>
                <w:p>
                  <w:pPr>
                    <w:spacing w:after="0" w:before="0" w:line="240" w:lineRule="auto"/>
                  </w:pPr>
                  <w:r/>
                  <w:r>
                    <w:rPr>
                      <w:rFonts w:ascii="Calibri" w:hAnsi="Calibri" w:eastAsia="Calibri"/>
                      <w:b/>
                      <w:i w:val="0"/>
                      <w:color w:val="1A1A1A"/>
                      <w:sz w:val="16"/>
                    </w:rPr>
                    <w:t>+34.8%</w:t>
                  </w:r>
                </w:p>
              </w:tc>
              <w:tc>
                <w:tcPr>
                  <w:tcW w:type="dxa" w:w="1368"/>
                </w:tcPr>
                <w:p>
                  <w:pPr>
                    <w:spacing w:after="0" w:before="0" w:line="240" w:lineRule="auto"/>
                  </w:pPr>
                  <w:r/>
                  <w:r>
                    <w:rPr>
                      <w:rFonts w:ascii="Calibri" w:hAnsi="Calibri" w:eastAsia="Calibri"/>
                      <w:b/>
                      <w:i w:val="0"/>
                      <w:color w:val="1A1A1A"/>
                      <w:sz w:val="16"/>
                    </w:rPr>
                    <w:t>+6.9%</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+17.5%</w:t>
                  </w:r>
                </w:p>
              </w:tc>
              <w:tc>
                <w:tcPr>
                  <w:tcW w:type="dxa" w:w="1296"/>
                  <w:shd w:val="clear" w:color="auto" w:fill="EEF4F2"/>
                </w:tcPr>
                <w:p>
                  <w:pPr>
                    <w:spacing w:after="0" w:before="0" w:line="240" w:lineRule="auto"/>
                  </w:pPr>
                  <w:r/>
                  <w:r>
                    <w:rPr>
                      <w:rFonts w:ascii="Calibri" w:hAnsi="Calibri" w:eastAsia="Calibri"/>
                      <w:b w:val="0"/>
                      <w:i w:val="0"/>
                      <w:color w:val="1A1A1A"/>
                      <w:sz w:val="16"/>
                    </w:rPr>
                    <w:t>+4.2%</w:t>
                  </w:r>
                </w:p>
              </w:tc>
              <w:tc>
                <w:tcPr>
                  <w:tcW w:type="dxa" w:w="1368"/>
                  <w:shd w:val="clear" w:color="auto" w:fill="EEF4F2"/>
                </w:tcPr>
                <w:p>
                  <w:pPr>
                    <w:spacing w:after="0" w:before="0" w:line="240" w:lineRule="auto"/>
                  </w:pPr>
                  <w:r/>
                  <w:r>
                    <w:rPr>
                      <w:rFonts w:ascii="Calibri" w:hAnsi="Calibri" w:eastAsia="Calibri"/>
                      <w:b w:val="0"/>
                      <w:i w:val="0"/>
                      <w:color w:val="1A1A1A"/>
                      <w:sz w:val="16"/>
                    </w:rPr>
                    <w:t>−9.3%</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Kao, Unicharm, Kobayashi, Earth, Rohto.</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Lion</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1.07x</w:t>
                  </w:r>
                </w:p>
              </w:tc>
              <w:tc>
                <w:tcPr>
                  <w:tcW w:type="dxa" w:w="1584"/>
                </w:tcPr>
                <w:p>
                  <w:pPr>
                    <w:spacing w:after="0" w:before="0" w:line="240" w:lineRule="auto"/>
                  </w:pPr>
                  <w:r/>
                  <w:r>
                    <w:rPr>
                      <w:rFonts w:ascii="Calibri" w:hAnsi="Calibri" w:eastAsia="Calibri"/>
                      <w:b w:val="0"/>
                      <w:i w:val="0"/>
                      <w:color w:val="1A1A1A"/>
                      <w:sz w:val="16"/>
                    </w:rPr>
                    <w:t>1.77x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 (core)</w:t>
                  </w:r>
                </w:p>
              </w:tc>
              <w:tc>
                <w:tcPr>
                  <w:tcW w:type="dxa" w:w="2520"/>
                  <w:shd w:val="clear" w:color="auto" w:fill="EEF4F2"/>
                </w:tcPr>
                <w:p>
                  <w:pPr>
                    <w:spacing w:after="0" w:before="0" w:line="240" w:lineRule="auto"/>
                  </w:pPr>
                  <w:r/>
                  <w:r>
                    <w:rPr>
                      <w:rFonts w:ascii="Calibri" w:hAnsi="Calibri" w:eastAsia="Calibri"/>
                      <w:b w:val="0"/>
                      <w:i w:val="0"/>
                      <w:color w:val="1A1A1A"/>
                      <w:sz w:val="16"/>
                    </w:rPr>
                    <w:t>14.1x</w:t>
                  </w:r>
                </w:p>
              </w:tc>
              <w:tc>
                <w:tcPr>
                  <w:tcW w:type="dxa" w:w="1584"/>
                  <w:shd w:val="clear" w:color="auto" w:fill="EEF4F2"/>
                </w:tcPr>
                <w:p>
                  <w:pPr>
                    <w:spacing w:after="0" w:before="0" w:line="240" w:lineRule="auto"/>
                  </w:pPr>
                  <w:r/>
                  <w:r>
                    <w:rPr>
                      <w:rFonts w:ascii="Calibri" w:hAnsi="Calibri" w:eastAsia="Calibri"/>
                      <w:b w:val="0"/>
                      <w:i w:val="0"/>
                      <w:color w:val="1A1A1A"/>
                      <w:sz w:val="16"/>
                    </w:rPr>
                    <w:t>14.6x</w:t>
                  </w:r>
                </w:p>
              </w:tc>
            </w:tr>
            <w:tr>
              <w:tc>
                <w:tcPr>
                  <w:tcW w:type="dxa" w:w="2376"/>
                </w:tcPr>
                <w:p>
                  <w:pPr>
                    <w:spacing w:after="0" w:before="0" w:line="240" w:lineRule="auto"/>
                  </w:pPr>
                  <w:r/>
                  <w:r>
                    <w:rPr>
                      <w:rFonts w:ascii="Calibri" w:hAnsi="Calibri" w:eastAsia="Calibri"/>
                      <w:b w:val="0"/>
                      <w:i w:val="0"/>
                      <w:color w:val="1A1A1A"/>
                      <w:sz w:val="16"/>
                    </w:rPr>
                    <w:t>EV/EBITDA (core)</w:t>
                  </w:r>
                </w:p>
              </w:tc>
              <w:tc>
                <w:tcPr>
                  <w:tcW w:type="dxa" w:w="2520"/>
                </w:tcPr>
                <w:p>
                  <w:pPr>
                    <w:spacing w:after="0" w:before="0" w:line="240" w:lineRule="auto"/>
                  </w:pPr>
                  <w:r/>
                  <w:r>
                    <w:rPr>
                      <w:rFonts w:ascii="Calibri" w:hAnsi="Calibri" w:eastAsia="Calibri"/>
                      <w:b w:val="0"/>
                      <w:i w:val="0"/>
                      <w:color w:val="1A1A1A"/>
                      <w:sz w:val="16"/>
                    </w:rPr>
                    <w:t>8.4x</w:t>
                  </w:r>
                </w:p>
              </w:tc>
              <w:tc>
                <w:tcPr>
                  <w:tcW w:type="dxa" w:w="1584"/>
                </w:tcPr>
                <w:p>
                  <w:pPr>
                    <w:spacing w:after="0" w:before="0" w:line="240" w:lineRule="auto"/>
                  </w:pPr>
                  <w:r/>
                  <w:r>
                    <w:rPr>
                      <w:rFonts w:ascii="Calibri" w:hAnsi="Calibri" w:eastAsia="Calibri"/>
                      <w:b w:val="0"/>
                      <w:i w:val="0"/>
                      <w:color w:val="1A1A1A"/>
                      <w:sz w:val="16"/>
                    </w:rPr>
                    <w:t>10.2x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17.2x LTM / 19.8x fwd</w:t>
                  </w:r>
                </w:p>
              </w:tc>
              <w:tc>
                <w:tcPr>
                  <w:tcW w:type="dxa" w:w="1584"/>
                  <w:shd w:val="clear" w:color="auto" w:fill="EEF4F2"/>
                </w:tcPr>
                <w:p>
                  <w:pPr>
                    <w:spacing w:after="0" w:before="0" w:line="240" w:lineRule="auto"/>
                  </w:pPr>
                  <w:r/>
                  <w:r>
                    <w:rPr>
                      <w:rFonts w:ascii="Calibri" w:hAnsi="Calibri" w:eastAsia="Calibri"/>
                      <w:b w:val="0"/>
                      <w:i w:val="0"/>
                      <w:color w:val="1A1A1A"/>
                      <w:sz w:val="16"/>
                    </w:rPr>
                    <w:t>24.1x</w:t>
                  </w:r>
                </w:p>
              </w:tc>
            </w:tr>
            <w:tr>
              <w:tc>
                <w:tcPr>
                  <w:tcW w:type="dxa" w:w="2376"/>
                </w:tcPr>
                <w:p>
                  <w:pPr>
                    <w:spacing w:after="0" w:before="0" w:line="240" w:lineRule="auto"/>
                  </w:pPr>
                  <w:r/>
                  <w:r>
                    <w:rPr>
                      <w:rFonts w:ascii="Calibri" w:hAnsi="Calibri" w:eastAsia="Calibri"/>
                      <w:b w:val="0"/>
                      <w:i w:val="0"/>
                      <w:color w:val="1A1A1A"/>
                      <w:sz w:val="16"/>
                    </w:rPr>
                    <w:t>FCF yield (FY25)</w:t>
                  </w:r>
                </w:p>
              </w:tc>
              <w:tc>
                <w:tcPr>
                  <w:tcW w:type="dxa" w:w="2520"/>
                </w:tcPr>
                <w:p>
                  <w:pPr>
                    <w:spacing w:after="0" w:before="0" w:line="240" w:lineRule="auto"/>
                  </w:pPr>
                  <w:r/>
                  <w:r>
                    <w:rPr>
                      <w:rFonts w:ascii="Calibri" w:hAnsi="Calibri" w:eastAsia="Calibri"/>
                      <w:b w:val="0"/>
                      <w:i w:val="0"/>
                      <w:color w:val="1A1A1A"/>
                      <w:sz w:val="16"/>
                    </w:rPr>
                    <w:t>4.3%</w:t>
                  </w:r>
                </w:p>
              </w:tc>
              <w:tc>
                <w:tcPr>
                  <w:tcW w:type="dxa" w:w="1584"/>
                </w:tcPr>
                <w:p>
                  <w:pPr>
                    <w:spacing w:after="0" w:before="0" w:line="240" w:lineRule="auto"/>
                  </w:pPr>
                  <w:r/>
                  <w:r>
                    <w:rPr>
                      <w:rFonts w:ascii="Calibri" w:hAnsi="Calibri" w:eastAsia="Calibri"/>
                      <w:b w:val="0"/>
                      <w:i w:val="0"/>
                      <w:color w:val="1A1A1A"/>
                      <w:sz w:val="16"/>
                    </w:rPr>
                    <w:t>4.5%</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1.49x</w:t>
                  </w:r>
                </w:p>
              </w:tc>
              <w:tc>
                <w:tcPr>
                  <w:tcW w:type="dxa" w:w="1584"/>
                  <w:shd w:val="clear" w:color="auto" w:fill="EEF4F2"/>
                </w:tcPr>
                <w:p>
                  <w:pPr>
                    <w:spacing w:after="0" w:before="0" w:line="240" w:lineRule="auto"/>
                  </w:pPr>
                  <w:r/>
                  <w:r>
                    <w:rPr>
                      <w:rFonts w:ascii="Calibri" w:hAnsi="Calibri" w:eastAsia="Calibri"/>
                      <w:b w:val="0"/>
                      <w:i w:val="0"/>
                      <w:color w:val="1A1A1A"/>
                      <w:sz w:val="16"/>
                    </w:rPr>
                    <w:t>2.08x</w:t>
                  </w:r>
                </w:p>
              </w:tc>
            </w:tr>
            <w:tr>
              <w:tc>
                <w:tcPr>
                  <w:tcW w:type="dxa" w:w="2376"/>
                </w:tcPr>
                <w:p>
                  <w:pPr>
                    <w:spacing w:after="0" w:before="0" w:line="240" w:lineRule="auto"/>
                  </w:pPr>
                  <w:r/>
                  <w:r>
                    <w:rPr>
                      <w:rFonts w:ascii="Calibri" w:hAnsi="Calibri" w:eastAsia="Calibri"/>
                      <w:b w:val="0"/>
                      <w:i w:val="0"/>
                      <w:color w:val="1A1A1A"/>
                      <w:sz w:val="16"/>
                    </w:rPr>
                    <w:t>EBIT margin (core)</w:t>
                  </w:r>
                </w:p>
              </w:tc>
              <w:tc>
                <w:tcPr>
                  <w:tcW w:type="dxa" w:w="2520"/>
                </w:tcPr>
                <w:p>
                  <w:pPr>
                    <w:spacing w:after="0" w:before="0" w:line="240" w:lineRule="auto"/>
                  </w:pPr>
                  <w:r/>
                  <w:r>
                    <w:rPr>
                      <w:rFonts w:ascii="Calibri" w:hAnsi="Calibri" w:eastAsia="Calibri"/>
                      <w:b w:val="0"/>
                      <w:i w:val="0"/>
                      <w:color w:val="1A1A1A"/>
                      <w:sz w:val="16"/>
                    </w:rPr>
                    <w:t>7.6%</w:t>
                  </w:r>
                </w:p>
              </w:tc>
              <w:tc>
                <w:tcPr>
                  <w:tcW w:type="dxa" w:w="1584"/>
                </w:tcPr>
                <w:p>
                  <w:pPr>
                    <w:spacing w:after="0" w:before="0" w:line="240" w:lineRule="auto"/>
                  </w:pPr>
                  <w:r/>
                  <w:r>
                    <w:rPr>
                      <w:rFonts w:ascii="Calibri" w:hAnsi="Calibri" w:eastAsia="Calibri"/>
                      <w:b w:val="0"/>
                      <w:i w:val="0"/>
                      <w:color w:val="1A1A1A"/>
                      <w:sz w:val="16"/>
                    </w:rPr>
                    <w:t>11.1%</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 (core)</w:t>
                  </w:r>
                </w:p>
              </w:tc>
              <w:tc>
                <w:tcPr>
                  <w:tcW w:type="dxa" w:w="2520"/>
                  <w:shd w:val="clear" w:color="auto" w:fill="EEF4F2"/>
                </w:tcPr>
                <w:p>
                  <w:pPr>
                    <w:spacing w:after="0" w:before="0" w:line="240" w:lineRule="auto"/>
                  </w:pPr>
                  <w:r/>
                  <w:r>
                    <w:rPr>
                      <w:rFonts w:ascii="Calibri" w:hAnsi="Calibri" w:eastAsia="Calibri"/>
                      <w:b w:val="0"/>
                      <w:i w:val="0"/>
                      <w:color w:val="1A1A1A"/>
                      <w:sz w:val="16"/>
                    </w:rPr>
                    <w:t>12.8%</w:t>
                  </w:r>
                </w:p>
              </w:tc>
              <w:tc>
                <w:tcPr>
                  <w:tcW w:type="dxa" w:w="1584"/>
                  <w:shd w:val="clear" w:color="auto" w:fill="EEF4F2"/>
                </w:tcPr>
                <w:p>
                  <w:pPr>
                    <w:spacing w:after="0" w:before="0" w:line="240" w:lineRule="auto"/>
                  </w:pPr>
                  <w:r/>
                  <w:r>
                    <w:rPr>
                      <w:rFonts w:ascii="Calibri" w:hAnsi="Calibri" w:eastAsia="Calibri"/>
                      <w:b w:val="0"/>
                      <w:i w:val="0"/>
                      <w:color w:val="1A1A1A"/>
                      <w:sz w:val="16"/>
                    </w:rPr>
                    <w:t>14.5%</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8.7%</w:t>
                  </w:r>
                </w:p>
              </w:tc>
              <w:tc>
                <w:tcPr>
                  <w:tcW w:type="dxa" w:w="1584"/>
                </w:tcPr>
                <w:p>
                  <w:pPr>
                    <w:spacing w:after="0" w:before="0" w:line="240" w:lineRule="auto"/>
                  </w:pPr>
                  <w:r/>
                  <w:r>
                    <w:rPr>
                      <w:rFonts w:ascii="Calibri" w:hAnsi="Calibri" w:eastAsia="Calibri"/>
                      <w:b w:val="0"/>
                      <w:i w:val="0"/>
                      <w:color w:val="1A1A1A"/>
                      <w:sz w:val="16"/>
                    </w:rPr>
                    <w:t>7.9%</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−0.83x (net cash)</w:t>
                  </w:r>
                </w:p>
              </w:tc>
              <w:tc>
                <w:tcPr>
                  <w:tcW w:type="dxa" w:w="1584"/>
                  <w:shd w:val="clear" w:color="auto" w:fill="EEF4F2"/>
                </w:tcPr>
                <w:p>
                  <w:pPr>
                    <w:spacing w:after="0" w:before="0" w:line="240" w:lineRule="auto"/>
                  </w:pPr>
                  <w:r/>
                  <w:r>
                    <w:rPr>
                      <w:rFonts w:ascii="Calibri" w:hAnsi="Calibri" w:eastAsia="Calibri"/>
                      <w:b w:val="0"/>
                      <w:i w:val="0"/>
                      <w:color w:val="1A1A1A"/>
                      <w:sz w:val="16"/>
                    </w:rPr>
                    <w:t>−0.70x</w:t>
                  </w:r>
                </w:p>
              </w:tc>
            </w:tr>
            <w:tr>
              <w:tc>
                <w:tcPr>
                  <w:tcW w:type="dxa" w:w="2376"/>
                </w:tcPr>
                <w:p>
                  <w:pPr>
                    <w:spacing w:after="0" w:before="0" w:line="240" w:lineRule="auto"/>
                  </w:pPr>
                  <w:r/>
                  <w:r>
                    <w:rPr>
                      <w:rFonts w:ascii="Calibri" w:hAnsi="Calibri" w:eastAsia="Calibri"/>
                      <w:b w:val="0"/>
                      <w:i w:val="0"/>
                      <w:color w:val="1A1A1A"/>
                      <w:sz w:val="16"/>
                    </w:rPr>
                    <w:t>Cash + securities / mkt cap</w:t>
                  </w:r>
                </w:p>
              </w:tc>
              <w:tc>
                <w:tcPr>
                  <w:tcW w:type="dxa" w:w="2520"/>
                </w:tcPr>
                <w:p>
                  <w:pPr>
                    <w:spacing w:after="0" w:before="0" w:line="240" w:lineRule="auto"/>
                  </w:pPr>
                  <w:r/>
                  <w:r>
                    <w:rPr>
                      <w:rFonts w:ascii="Calibri" w:hAnsi="Calibri" w:eastAsia="Calibri"/>
                      <w:b w:val="0"/>
                      <w:i w:val="0"/>
                      <w:color w:val="1A1A1A"/>
                      <w:sz w:val="16"/>
                    </w:rPr>
                    <w:t>~24%</w:t>
                  </w:r>
                </w:p>
              </w:tc>
              <w:tc>
                <w:tcPr>
                  <w:tcW w:type="dxa" w:w="1584"/>
                </w:tcPr>
                <w:p>
                  <w:pPr>
                    <w:spacing w:after="0" w:before="0" w:line="240" w:lineRule="auto"/>
                  </w:pPr>
                  <w:r/>
                  <w:r>
                    <w:rPr>
                      <w:rFonts w:ascii="Calibri" w:hAnsi="Calibri" w:eastAsia="Calibri"/>
                      <w:b w:val="0"/>
                      <w:i w:val="0"/>
                      <w:color w:val="1A1A1A"/>
                      <w:sz w:val="16"/>
                    </w:rPr>
                    <w:t>16.9%</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Master Trust Bank of Japan (trust)</w:t>
                  </w:r>
                </w:p>
              </w:tc>
              <w:tc>
                <w:tcPr>
                  <w:tcW w:type="dxa" w:w="936"/>
                </w:tcPr>
                <w:p>
                  <w:pPr>
                    <w:spacing w:after="0" w:before="0" w:line="240" w:lineRule="auto"/>
                  </w:pPr>
                  <w:r/>
                  <w:r>
                    <w:rPr>
                      <w:rFonts w:ascii="Calibri" w:hAnsi="Calibri" w:eastAsia="Calibri"/>
                      <w:b w:val="0"/>
                      <w:i w:val="0"/>
                      <w:color w:val="1A1A1A"/>
                      <w:sz w:val="16"/>
                    </w:rPr>
                    <w:t>13.9%</w:t>
                  </w:r>
                </w:p>
              </w:tc>
            </w:tr>
            <w:tr>
              <w:tc>
                <w:tcPr>
                  <w:tcW w:type="dxa" w:w="5544"/>
                  <w:shd w:val="clear" w:color="auto" w:fill="EEF4F2"/>
                </w:tcPr>
                <w:p>
                  <w:pPr>
                    <w:spacing w:after="0" w:before="0" w:line="240" w:lineRule="auto"/>
                  </w:pPr>
                  <w:r/>
                  <w:r>
                    <w:rPr>
                      <w:rFonts w:ascii="Calibri" w:hAnsi="Calibri" w:eastAsia="Calibri"/>
                      <w:b w:val="0"/>
                      <w:i w:val="0"/>
                      <w:color w:val="1A1A1A"/>
                      <w:sz w:val="16"/>
                    </w:rPr>
                    <w:t>Custody Bank of Japan (trust)</w:t>
                  </w:r>
                </w:p>
              </w:tc>
              <w:tc>
                <w:tcPr>
                  <w:tcW w:type="dxa" w:w="936"/>
                  <w:shd w:val="clear" w:color="auto" w:fill="EEF4F2"/>
                </w:tcPr>
                <w:p>
                  <w:pPr>
                    <w:spacing w:after="0" w:before="0" w:line="240" w:lineRule="auto"/>
                  </w:pPr>
                  <w:r/>
                  <w:r>
                    <w:rPr>
                      <w:rFonts w:ascii="Calibri" w:hAnsi="Calibri" w:eastAsia="Calibri"/>
                      <w:b w:val="0"/>
                      <w:i w:val="0"/>
                      <w:color w:val="1A1A1A"/>
                      <w:sz w:val="16"/>
                    </w:rPr>
                    <w:t>10.2%</w:t>
                  </w:r>
                </w:p>
              </w:tc>
            </w:tr>
            <w:tr>
              <w:tc>
                <w:tcPr>
                  <w:tcW w:type="dxa" w:w="5544"/>
                </w:tcPr>
                <w:p>
                  <w:pPr>
                    <w:spacing w:after="0" w:before="0" w:line="240" w:lineRule="auto"/>
                  </w:pPr>
                  <w:r/>
                  <w:r>
                    <w:rPr>
                      <w:rFonts w:ascii="Calibri" w:hAnsi="Calibri" w:eastAsia="Calibri"/>
                      <w:b w:val="0"/>
                      <w:i w:val="0"/>
                      <w:color w:val="1A1A1A"/>
                      <w:sz w:val="16"/>
                    </w:rPr>
                    <w:t>Japan Activation Capital (JAC)</w:t>
                  </w:r>
                </w:p>
              </w:tc>
              <w:tc>
                <w:tcPr>
                  <w:tcW w:type="dxa" w:w="936"/>
                </w:tcPr>
                <w:p>
                  <w:pPr>
                    <w:spacing w:after="0" w:before="0" w:line="240" w:lineRule="auto"/>
                  </w:pPr>
                  <w:r/>
                  <w:r>
                    <w:rPr>
                      <w:rFonts w:ascii="Calibri" w:hAnsi="Calibri" w:eastAsia="Calibri"/>
                      <w:b w:val="0"/>
                      <w:i w:val="0"/>
                      <w:color w:val="1A1A1A"/>
                      <w:sz w:val="16"/>
                    </w:rPr>
                    <w:t>4.5%</w:t>
                  </w:r>
                </w:p>
              </w:tc>
            </w:tr>
            <w:tr>
              <w:tc>
                <w:tcPr>
                  <w:tcW w:type="dxa" w:w="5544"/>
                  <w:shd w:val="clear" w:color="auto" w:fill="EEF4F2"/>
                </w:tcPr>
                <w:p>
                  <w:pPr>
                    <w:spacing w:after="0" w:before="0" w:line="240" w:lineRule="auto"/>
                  </w:pPr>
                  <w:r/>
                  <w:r>
                    <w:rPr>
                      <w:rFonts w:ascii="Calibri" w:hAnsi="Calibri" w:eastAsia="Calibri"/>
                      <w:b w:val="0"/>
                      <w:i w:val="0"/>
                      <w:color w:val="1A1A1A"/>
                      <w:sz w:val="16"/>
                    </w:rPr>
                    <w:t>Mizuho Trust – retirement trust (Mizuho Bank)</w:t>
                  </w:r>
                </w:p>
              </w:tc>
              <w:tc>
                <w:tcPr>
                  <w:tcW w:type="dxa" w:w="936"/>
                  <w:shd w:val="clear" w:color="auto" w:fill="EEF4F2"/>
                </w:tcPr>
                <w:p>
                  <w:pPr>
                    <w:spacing w:after="0" w:before="0" w:line="240" w:lineRule="auto"/>
                  </w:pPr>
                  <w:r/>
                  <w:r>
                    <w:rPr>
                      <w:rFonts w:ascii="Calibri" w:hAnsi="Calibri" w:eastAsia="Calibri"/>
                      <w:b w:val="0"/>
                      <w:i w:val="0"/>
                      <w:color w:val="1A1A1A"/>
                      <w:sz w:val="16"/>
                    </w:rPr>
                    <w:t>3.0%</w:t>
                  </w:r>
                </w:p>
              </w:tc>
            </w:tr>
            <w:tr>
              <w:tc>
                <w:tcPr>
                  <w:tcW w:type="dxa" w:w="5544"/>
                </w:tcPr>
                <w:p>
                  <w:pPr>
                    <w:spacing w:after="0" w:before="0" w:line="240" w:lineRule="auto"/>
                  </w:pPr>
                  <w:r/>
                  <w:r>
                    <w:rPr>
                      <w:rFonts w:ascii="Calibri" w:hAnsi="Calibri" w:eastAsia="Calibri"/>
                      <w:b w:val="0"/>
                      <w:i w:val="0"/>
                      <w:color w:val="1A1A1A"/>
                      <w:sz w:val="16"/>
                    </w:rPr>
                    <w:t>State Street Bank &amp; Trust</w:t>
                  </w:r>
                </w:p>
              </w:tc>
              <w:tc>
                <w:tcPr>
                  <w:tcW w:type="dxa" w:w="936"/>
                </w:tcPr>
                <w:p>
                  <w:pPr>
                    <w:spacing w:after="0" w:before="0" w:line="240" w:lineRule="auto"/>
                  </w:pPr>
                  <w:r/>
                  <w:r>
                    <w:rPr>
                      <w:rFonts w:ascii="Calibri" w:hAnsi="Calibri" w:eastAsia="Calibri"/>
                      <w:b w:val="0"/>
                      <w:i w:val="0"/>
                      <w:color w:val="1A1A1A"/>
                      <w:sz w:val="16"/>
                    </w:rPr>
                    <w:t>2.5%</w:t>
                  </w:r>
                </w:p>
              </w:tc>
            </w:tr>
          </w:tbl>
          <w:p>
            <w:pPr>
              <w:spacing w:after="0" w:before="20" w:line="240" w:lineRule="auto"/>
            </w:pPr>
            <w:r>
              <w:rPr>
                <w:rFonts w:ascii="Calibri" w:hAnsi="Calibri" w:eastAsia="Calibri"/>
                <w:b w:val="0"/>
                <w:i w:val="0"/>
                <w:color w:val="555555"/>
                <w:sz w:val="15"/>
              </w:rPr>
              <w:t>Register 31-Dec-25. Nomura AM 5.5% (Nov-25 filing). Meiji Yasuda 1.3%, DNP 1.1% (reciprocal). 274k shareholders — very large perk-driven retail base. No controlling or &gt;10% strategic holder.</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Japan's No.1 oral-care franchise (Clinica, Systema) earns a 7.6% core margin vs ~11–12% at Kao, Unicharm and Rohto; operating income still below its FY20 peak.</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~¥120bn (~24% of mkt cap) sits in cash, time deposits, 15 listed cross-holdings and equity stakes, yet there has been no buyback since 2024 — cash has gone to bolt-on M&amp;A.</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Subscale, low-return pieces remain: North-East Asia (¥68bn sales at a 1.6% margin), residual industrial chemicals (5%) and a loss-making engineering arm; trades at 8.4x core EV/EBITDA and 1.5x book vs 10.2x and 2.1x for peers.</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¥50bn buyback over 2026–27 (~10% of shares, ~11% EPS accretion) funded by ~¥77bn of net cash/time deposits and sale of all ¥16.8bn listed policy holdings; adopt ROE ≥12% by 2028.</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Sell or JV North-East Asia (China, Korea) and exit residual industrial products and Lion Engineering (~¥30–50bn, est.); focus on Japan + SE Asia oral/personal care.</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Core margin to 10% by 2028 (~+¥10bn OP, ~¥100bn of EV at peer multiples) via SKU pruning, Japan SG&amp;A (~39% of sales) and price/mix; real-estate review of Tokyo sites carried at cost.</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Medium — </w:t>
            </w:r>
            <w:r>
              <w:rPr>
                <w:rFonts w:ascii="Calibri" w:hAnsi="Calibri" w:eastAsia="Calibri"/>
                <w:b w:val="0"/>
                <w:i w:val="0"/>
                <w:color w:val="1A1A1A"/>
                <w:sz w:val="17"/>
              </w:rPr>
              <w:t>No controller or &gt;10% strategic holder; custody/index and Nomura AM likely back capital-efficiency asks; outside-chaired board is open to dialogue. Against: JAC (4.5%) is contracted to management, huge retail base and stable bank/insurer/partner holders lean to management.</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2nd STAGE plan on track (EBITDA margin +1.1pt in H1-26), portfolio reform already under way (chemicals sale, Sukin, Vietnam), cash earmarked for ~¥50bn growth/oral-care M&amp;A, buybacks 'flexible', and JAC already brings an outside value-creation view.</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¥50bn buyback, ROE ≥12%, exit ¥16.8bn listed cross-holdings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Exit NE Asia, industrial products, engineering</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Majority-independent board; disclose JAC agreement; ROE/TSR-weighted LTIP</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Hurdle-rate discipline after ~¥32bn of bolt-ons at undisclosed returns</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11 directors, 5 outside (45%); outside chair since Mar-25; CEO Takemori since Mar-24. JAC (management-friendly engagement fund) signed a partnership in Oct-24 and has made no proposals. No buyback in 2025–26; ~¥32bn of bolt-on M&amp;A instead (Vietnam's Merap Lion, Australia's Sukin). Sold specialty chemicals to Advantage Partners (Feb-26). Vision2030 2nd STAGE targets EBITDA margin &gt;13% and ROIC 8–9% by 2027 — no ROE target.</w:t>
            </w:r>
          </w:p>
        </w:tc>
      </w:tr>
    </w:tbl>
    <w:p>
      <w:pPr>
        <w:spacing w:after="0"/>
      </w:pPr>
      <w:r>
        <w:br w:type="page"/>
      </w:r>
    </w:p>
    <w:p>
      <w:pPr>
        <w:spacing w:after="0" w:before="0" w:line="240" w:lineRule="auto"/>
      </w:pPr>
      <w:r>
        <w:rPr>
          <w:rFonts w:ascii="Calibri" w:hAnsi="Calibri" w:eastAsia="Calibri"/>
          <w:b/>
          <w:i w:val="0"/>
          <w:color w:val="0F5C4A"/>
          <w:sz w:val="24"/>
        </w:rPr>
        <w:t>7 · Koito Manufacturing (7276 JT)</w:t>
      </w:r>
      <w:r>
        <w:rPr>
          <w:rFonts w:ascii="Calibri" w:hAnsi="Calibri" w:eastAsia="Calibri"/>
          <w:b w:val="0"/>
          <w:i w:val="0"/>
          <w:color w:val="555555"/>
          <w:sz w:val="17"/>
        </w:rPr>
        <w:t xml:space="preserve">   Automobile components (lighting)</w:t>
      </w:r>
      <w:r>
        <w:rPr>
          <w:rFonts w:ascii="Calibri" w:hAnsi="Calibri" w:eastAsia="Calibri"/>
          <w:b/>
          <w:i w:val="0"/>
          <w:color w:val="0F5C4A"/>
          <w:sz w:val="17"/>
        </w:rPr>
        <w:t xml:space="preserve">   Conviction: Medium</w:t>
      </w:r>
    </w:p>
    <w:p>
      <w:pPr>
        <w:spacing w:after="60" w:before="0" w:line="240" w:lineRule="auto"/>
      </w:pPr>
      <w:r>
        <w:rPr>
          <w:rFonts w:ascii="Calibri" w:hAnsi="Calibri" w:eastAsia="Calibri"/>
          <w:b w:val="0"/>
          <w:i w:val="0"/>
          <w:color w:val="555555"/>
          <w:sz w:val="15"/>
        </w:rPr>
        <w:t>Price ¥2,748.5 · Mkt cap ¥721.2bn (US$4.58bn) · EV ¥490.3bn (US$3.11bn) · LTM EBITDA ¥102.4bn · Net cash ¥288.0bn + LT investments ¥106.9bn (Jun-26) · Treasury stock 16% of issued, uncancelled</w:t>
      </w:r>
    </w:p>
    <w:p>
      <w:pPr>
        <w:spacing w:after="60" w:before="0" w:line="240" w:lineRule="auto"/>
      </w:pPr>
      <w:r>
        <w:rPr>
          <w:rFonts w:ascii="Calibri" w:hAnsi="Calibri" w:eastAsia="Calibri"/>
          <w:b/>
          <w:i w:val="0"/>
          <w:color w:val="A61B1B"/>
          <w:sz w:val="15"/>
        </w:rPr>
        <w:t>Size flag: mkt cap ~US$4.5–4.6bn sits ~9–11% below the US$5bn ceiling — a successful campaign re-rates it out of the band.</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Koito</w:t>
                  </w:r>
                </w:p>
              </w:tc>
              <w:tc>
                <w:tcPr>
                  <w:tcW w:type="dxa" w:w="1296"/>
                </w:tcPr>
                <w:p>
                  <w:pPr>
                    <w:spacing w:after="0" w:before="0" w:line="240" w:lineRule="auto"/>
                  </w:pPr>
                  <w:r/>
                  <w:r>
                    <w:rPr>
                      <w:rFonts w:ascii="Calibri" w:hAnsi="Calibri" w:eastAsia="Calibri"/>
                      <w:b/>
                      <w:i w:val="0"/>
                      <w:color w:val="1A1A1A"/>
                      <w:sz w:val="16"/>
                    </w:rPr>
                    <w:t>+26.8%</w:t>
                  </w:r>
                </w:p>
              </w:tc>
              <w:tc>
                <w:tcPr>
                  <w:tcW w:type="dxa" w:w="1296"/>
                </w:tcPr>
                <w:p>
                  <w:pPr>
                    <w:spacing w:after="0" w:before="0" w:line="240" w:lineRule="auto"/>
                  </w:pPr>
                  <w:r/>
                  <w:r>
                    <w:rPr>
                      <w:rFonts w:ascii="Calibri" w:hAnsi="Calibri" w:eastAsia="Calibri"/>
                      <w:b/>
                      <w:i w:val="0"/>
                      <w:color w:val="1A1A1A"/>
                      <w:sz w:val="16"/>
                    </w:rPr>
                    <w:t>+26.5%</w:t>
                  </w:r>
                </w:p>
              </w:tc>
              <w:tc>
                <w:tcPr>
                  <w:tcW w:type="dxa" w:w="1368"/>
                </w:tcPr>
                <w:p>
                  <w:pPr>
                    <w:spacing w:after="0" w:before="0" w:line="240" w:lineRule="auto"/>
                  </w:pPr>
                  <w:r/>
                  <w:r>
                    <w:rPr>
                      <w:rFonts w:ascii="Calibri" w:hAnsi="Calibri" w:eastAsia="Calibri"/>
                      <w:b/>
                      <w:i w:val="0"/>
                      <w:color w:val="1A1A1A"/>
                      <w:sz w:val="16"/>
                    </w:rPr>
                    <w:t>−8.8%</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+24.4%</w:t>
                  </w:r>
                </w:p>
              </w:tc>
              <w:tc>
                <w:tcPr>
                  <w:tcW w:type="dxa" w:w="1296"/>
                  <w:shd w:val="clear" w:color="auto" w:fill="EEF4F2"/>
                </w:tcPr>
                <w:p>
                  <w:pPr>
                    <w:spacing w:after="0" w:before="0" w:line="240" w:lineRule="auto"/>
                  </w:pPr>
                  <w:r/>
                  <w:r>
                    <w:rPr>
                      <w:rFonts w:ascii="Calibri" w:hAnsi="Calibri" w:eastAsia="Calibri"/>
                      <w:b w:val="0"/>
                      <w:i w:val="0"/>
                      <w:color w:val="1A1A1A"/>
                      <w:sz w:val="16"/>
                    </w:rPr>
                    <w:t>+49.4%</w:t>
                  </w:r>
                </w:p>
              </w:tc>
              <w:tc>
                <w:tcPr>
                  <w:tcW w:type="dxa" w:w="1368"/>
                  <w:shd w:val="clear" w:color="auto" w:fill="EEF4F2"/>
                </w:tcPr>
                <w:p>
                  <w:pPr>
                    <w:spacing w:after="0" w:before="0" w:line="240" w:lineRule="auto"/>
                  </w:pPr>
                  <w:r/>
                  <w:r>
                    <w:rPr>
                      <w:rFonts w:ascii="Calibri" w:hAnsi="Calibri" w:eastAsia="Calibri"/>
                      <w:b w:val="0"/>
                      <w:i w:val="0"/>
                      <w:color w:val="1A1A1A"/>
                      <w:sz w:val="16"/>
                    </w:rPr>
                    <w:t>+45.3%</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Stanley Electric, Ichikoh (Valeo 61%), Nippon Seiki, Tokai Rika, Toyota Boshoku.</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Koito</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0.51x</w:t>
                  </w:r>
                </w:p>
              </w:tc>
              <w:tc>
                <w:tcPr>
                  <w:tcW w:type="dxa" w:w="1584"/>
                </w:tcPr>
                <w:p>
                  <w:pPr>
                    <w:spacing w:after="0" w:before="0" w:line="240" w:lineRule="auto"/>
                  </w:pPr>
                  <w:r/>
                  <w:r>
                    <w:rPr>
                      <w:rFonts w:ascii="Calibri" w:hAnsi="Calibri" w:eastAsia="Calibri"/>
                      <w:b w:val="0"/>
                      <w:i w:val="0"/>
                      <w:color w:val="1A1A1A"/>
                      <w:sz w:val="16"/>
                    </w:rPr>
                    <w:t>0.34x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8.7x (8.2x fwd)</w:t>
                  </w:r>
                </w:p>
              </w:tc>
              <w:tc>
                <w:tcPr>
                  <w:tcW w:type="dxa" w:w="1584"/>
                  <w:shd w:val="clear" w:color="auto" w:fill="EEF4F2"/>
                </w:tcPr>
                <w:p>
                  <w:pPr>
                    <w:spacing w:after="0" w:before="0" w:line="240" w:lineRule="auto"/>
                  </w:pPr>
                  <w:r/>
                  <w:r>
                    <w:rPr>
                      <w:rFonts w:ascii="Calibri" w:hAnsi="Calibri" w:eastAsia="Calibri"/>
                      <w:b w:val="0"/>
                      <w:i w:val="0"/>
                      <w:color w:val="1A1A1A"/>
                      <w:sz w:val="16"/>
                    </w:rPr>
                    <w:t>6.8x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4.8x</w:t>
                  </w:r>
                </w:p>
              </w:tc>
              <w:tc>
                <w:tcPr>
                  <w:tcW w:type="dxa" w:w="1584"/>
                </w:tcPr>
                <w:p>
                  <w:pPr>
                    <w:spacing w:after="0" w:before="0" w:line="240" w:lineRule="auto"/>
                  </w:pPr>
                  <w:r/>
                  <w:r>
                    <w:rPr>
                      <w:rFonts w:ascii="Calibri" w:hAnsi="Calibri" w:eastAsia="Calibri"/>
                      <w:b w:val="0"/>
                      <w:i w:val="0"/>
                      <w:color w:val="1A1A1A"/>
                      <w:sz w:val="16"/>
                    </w:rPr>
                    <w:t>3.7x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34.2x LTM (impairments) / 18.3x fwd</w:t>
                  </w:r>
                </w:p>
              </w:tc>
              <w:tc>
                <w:tcPr>
                  <w:tcW w:type="dxa" w:w="1584"/>
                  <w:shd w:val="clear" w:color="auto" w:fill="EEF4F2"/>
                </w:tcPr>
                <w:p>
                  <w:pPr>
                    <w:spacing w:after="0" w:before="0" w:line="240" w:lineRule="auto"/>
                  </w:pPr>
                  <w:r/>
                  <w:r>
                    <w:rPr>
                      <w:rFonts w:ascii="Calibri" w:hAnsi="Calibri" w:eastAsia="Calibri"/>
                      <w:b w:val="0"/>
                      <w:i w:val="0"/>
                      <w:color w:val="1A1A1A"/>
                      <w:sz w:val="16"/>
                    </w:rPr>
                    <w:t>13.7x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6.3%</w:t>
                  </w:r>
                </w:p>
              </w:tc>
              <w:tc>
                <w:tcPr>
                  <w:tcW w:type="dxa" w:w="1584"/>
                </w:tcPr>
                <w:p>
                  <w:pPr>
                    <w:spacing w:after="0" w:before="0" w:line="240" w:lineRule="auto"/>
                  </w:pPr>
                  <w:r/>
                  <w:r>
                    <w:rPr>
                      <w:rFonts w:ascii="Calibri" w:hAnsi="Calibri" w:eastAsia="Calibri"/>
                      <w:b w:val="0"/>
                      <w:i w:val="0"/>
                      <w:color w:val="1A1A1A"/>
                      <w:sz w:val="16"/>
                    </w:rPr>
                    <w:t>14.2%</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1.15x</w:t>
                  </w:r>
                </w:p>
              </w:tc>
              <w:tc>
                <w:tcPr>
                  <w:tcW w:type="dxa" w:w="1584"/>
                  <w:shd w:val="clear" w:color="auto" w:fill="EEF4F2"/>
                </w:tcPr>
                <w:p>
                  <w:pPr>
                    <w:spacing w:after="0" w:before="0" w:line="240" w:lineRule="auto"/>
                  </w:pPr>
                  <w:r/>
                  <w:r>
                    <w:rPr>
                      <w:rFonts w:ascii="Calibri" w:hAnsi="Calibri" w:eastAsia="Calibri"/>
                      <w:b w:val="0"/>
                      <w:i w:val="0"/>
                      <w:color w:val="1A1A1A"/>
                      <w:sz w:val="16"/>
                    </w:rPr>
                    <w:t>0.75x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5.8% (12.3% in FY3/19)</w:t>
                  </w:r>
                </w:p>
              </w:tc>
              <w:tc>
                <w:tcPr>
                  <w:tcW w:type="dxa" w:w="1584"/>
                </w:tcPr>
                <w:p>
                  <w:pPr>
                    <w:spacing w:after="0" w:before="0" w:line="240" w:lineRule="auto"/>
                  </w:pPr>
                  <w:r/>
                  <w:r>
                    <w:rPr>
                      <w:rFonts w:ascii="Calibri" w:hAnsi="Calibri" w:eastAsia="Calibri"/>
                      <w:b w:val="0"/>
                      <w:i w:val="0"/>
                      <w:color w:val="1A1A1A"/>
                      <w:sz w:val="16"/>
                    </w:rPr>
                    <w:t>5.4%</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10.6%</w:t>
                  </w:r>
                </w:p>
              </w:tc>
              <w:tc>
                <w:tcPr>
                  <w:tcW w:type="dxa" w:w="1584"/>
                  <w:shd w:val="clear" w:color="auto" w:fill="EEF4F2"/>
                </w:tcPr>
                <w:p>
                  <w:pPr>
                    <w:spacing w:after="0" w:before="0" w:line="240" w:lineRule="auto"/>
                  </w:pPr>
                  <w:r/>
                  <w:r>
                    <w:rPr>
                      <w:rFonts w:ascii="Calibri" w:hAnsi="Calibri" w:eastAsia="Calibri"/>
                      <w:b w:val="0"/>
                      <w:i w:val="0"/>
                      <w:color w:val="1A1A1A"/>
                      <w:sz w:val="16"/>
                    </w:rPr>
                    <w:t>9.0%</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3.4% LTM (target 9%)</w:t>
                  </w:r>
                </w:p>
              </w:tc>
              <w:tc>
                <w:tcPr>
                  <w:tcW w:type="dxa" w:w="1584"/>
                </w:tcPr>
                <w:p>
                  <w:pPr>
                    <w:spacing w:after="0" w:before="0" w:line="240" w:lineRule="auto"/>
                  </w:pPr>
                  <w:r/>
                  <w:r>
                    <w:rPr>
                      <w:rFonts w:ascii="Calibri" w:hAnsi="Calibri" w:eastAsia="Calibri"/>
                      <w:b w:val="0"/>
                      <w:i w:val="0"/>
                      <w:color w:val="1A1A1A"/>
                      <w:sz w:val="16"/>
                    </w:rPr>
                    <w:t>6.9%</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−2.81x (net cash)</w:t>
                  </w:r>
                </w:p>
              </w:tc>
              <w:tc>
                <w:tcPr>
                  <w:tcW w:type="dxa" w:w="1584"/>
                  <w:shd w:val="clear" w:color="auto" w:fill="EEF4F2"/>
                </w:tcPr>
                <w:p>
                  <w:pPr>
                    <w:spacing w:after="0" w:before="0" w:line="240" w:lineRule="auto"/>
                  </w:pPr>
                  <w:r/>
                  <w:r>
                    <w:rPr>
                      <w:rFonts w:ascii="Calibri" w:hAnsi="Calibri" w:eastAsia="Calibri"/>
                      <w:b w:val="0"/>
                      <w:i w:val="0"/>
                      <w:color w:val="1A1A1A"/>
                      <w:sz w:val="16"/>
                    </w:rPr>
                    <w:t>−0.97x</w:t>
                  </w:r>
                </w:p>
              </w:tc>
            </w:tr>
            <w:tr>
              <w:tc>
                <w:tcPr>
                  <w:tcW w:type="dxa" w:w="2376"/>
                </w:tcPr>
                <w:p>
                  <w:pPr>
                    <w:spacing w:after="0" w:before="0" w:line="240" w:lineRule="auto"/>
                  </w:pPr>
                  <w:r/>
                  <w:r>
                    <w:rPr>
                      <w:rFonts w:ascii="Calibri" w:hAnsi="Calibri" w:eastAsia="Calibri"/>
                      <w:b w:val="0"/>
                      <w:i w:val="0"/>
                      <w:color w:val="1A1A1A"/>
                      <w:sz w:val="16"/>
                    </w:rPr>
                    <w:t>Net cash + LT investments / mkt cap</w:t>
                  </w:r>
                </w:p>
              </w:tc>
              <w:tc>
                <w:tcPr>
                  <w:tcW w:type="dxa" w:w="2520"/>
                </w:tcPr>
                <w:p>
                  <w:pPr>
                    <w:spacing w:after="0" w:before="0" w:line="240" w:lineRule="auto"/>
                  </w:pPr>
                  <w:r/>
                  <w:r>
                    <w:rPr>
                      <w:rFonts w:ascii="Calibri" w:hAnsi="Calibri" w:eastAsia="Calibri"/>
                      <w:b w:val="0"/>
                      <w:i w:val="0"/>
                      <w:color w:val="1A1A1A"/>
                      <w:sz w:val="16"/>
                    </w:rPr>
                    <w:t>55%</w:t>
                  </w:r>
                </w:p>
              </w:tc>
              <w:tc>
                <w:tcPr>
                  <w:tcW w:type="dxa" w:w="1584"/>
                </w:tcPr>
                <w:p>
                  <w:pPr>
                    <w:spacing w:after="0" w:before="0" w:line="240" w:lineRule="auto"/>
                  </w:pPr>
                  <w:r/>
                  <w:r>
                    <w:rPr>
                      <w:rFonts w:ascii="Calibri" w:hAnsi="Calibri" w:eastAsia="Calibri"/>
                      <w:b w:val="0"/>
                      <w:i w:val="0"/>
                      <w:color w:val="1A1A1A"/>
                      <w:sz w:val="16"/>
                    </w:rPr>
                    <w:t>42%</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Toyota Motor</w:t>
                  </w:r>
                </w:p>
              </w:tc>
              <w:tc>
                <w:tcPr>
                  <w:tcW w:type="dxa" w:w="936"/>
                </w:tcPr>
                <w:p>
                  <w:pPr>
                    <w:spacing w:after="0" w:before="0" w:line="240" w:lineRule="auto"/>
                  </w:pPr>
                  <w:r/>
                  <w:r>
                    <w:rPr>
                      <w:rFonts w:ascii="Calibri" w:hAnsi="Calibri" w:eastAsia="Calibri"/>
                      <w:b w:val="0"/>
                      <w:i w:val="0"/>
                      <w:color w:val="1A1A1A"/>
                      <w:sz w:val="16"/>
                    </w:rPr>
                    <w:t>21.0%</w:t>
                  </w:r>
                </w:p>
              </w:tc>
            </w:tr>
            <w:tr>
              <w:tc>
                <w:tcPr>
                  <w:tcW w:type="dxa" w:w="5544"/>
                  <w:shd w:val="clear" w:color="auto" w:fill="EEF4F2"/>
                </w:tcPr>
                <w:p>
                  <w:pPr>
                    <w:spacing w:after="0" w:before="0" w:line="240" w:lineRule="auto"/>
                  </w:pPr>
                  <w:r/>
                  <w:r>
                    <w:rPr>
                      <w:rFonts w:ascii="Calibri" w:hAnsi="Calibri" w:eastAsia="Calibri"/>
                      <w:b w:val="0"/>
                      <w:i w:val="0"/>
                      <w:color w:val="1A1A1A"/>
                      <w:sz w:val="16"/>
                    </w:rPr>
                    <w:t>Master Trust Bank of Japan (trust)</w:t>
                  </w:r>
                </w:p>
              </w:tc>
              <w:tc>
                <w:tcPr>
                  <w:tcW w:type="dxa" w:w="936"/>
                  <w:shd w:val="clear" w:color="auto" w:fill="EEF4F2"/>
                </w:tcPr>
                <w:p>
                  <w:pPr>
                    <w:spacing w:after="0" w:before="0" w:line="240" w:lineRule="auto"/>
                  </w:pPr>
                  <w:r/>
                  <w:r>
                    <w:rPr>
                      <w:rFonts w:ascii="Calibri" w:hAnsi="Calibri" w:eastAsia="Calibri"/>
                      <w:b w:val="0"/>
                      <w:i w:val="0"/>
                      <w:color w:val="1A1A1A"/>
                      <w:sz w:val="16"/>
                    </w:rPr>
                    <w:t>10.7%</w:t>
                  </w:r>
                </w:p>
              </w:tc>
            </w:tr>
            <w:tr>
              <w:tc>
                <w:tcPr>
                  <w:tcW w:type="dxa" w:w="5544"/>
                </w:tcPr>
                <w:p>
                  <w:pPr>
                    <w:spacing w:after="0" w:before="0" w:line="240" w:lineRule="auto"/>
                  </w:pPr>
                  <w:r/>
                  <w:r>
                    <w:rPr>
                      <w:rFonts w:ascii="Calibri" w:hAnsi="Calibri" w:eastAsia="Calibri"/>
                      <w:b w:val="0"/>
                      <w:i w:val="0"/>
                      <w:color w:val="1A1A1A"/>
                      <w:sz w:val="16"/>
                    </w:rPr>
                    <w:t>State Street Bank &amp; Trust 505001</w:t>
                  </w:r>
                </w:p>
              </w:tc>
              <w:tc>
                <w:tcPr>
                  <w:tcW w:type="dxa" w:w="936"/>
                </w:tcPr>
                <w:p>
                  <w:pPr>
                    <w:spacing w:after="0" w:before="0" w:line="240" w:lineRule="auto"/>
                  </w:pPr>
                  <w:r/>
                  <w:r>
                    <w:rPr>
                      <w:rFonts w:ascii="Calibri" w:hAnsi="Calibri" w:eastAsia="Calibri"/>
                      <w:b w:val="0"/>
                      <w:i w:val="0"/>
                      <w:color w:val="1A1A1A"/>
                      <w:sz w:val="16"/>
                    </w:rPr>
                    <w:t>5.1%</w:t>
                  </w:r>
                </w:p>
              </w:tc>
            </w:tr>
            <w:tr>
              <w:tc>
                <w:tcPr>
                  <w:tcW w:type="dxa" w:w="5544"/>
                  <w:shd w:val="clear" w:color="auto" w:fill="EEF4F2"/>
                </w:tcPr>
                <w:p>
                  <w:pPr>
                    <w:spacing w:after="0" w:before="0" w:line="240" w:lineRule="auto"/>
                  </w:pPr>
                  <w:r/>
                  <w:r>
                    <w:rPr>
                      <w:rFonts w:ascii="Calibri" w:hAnsi="Calibri" w:eastAsia="Calibri"/>
                      <w:b w:val="0"/>
                      <w:i w:val="0"/>
                      <w:color w:val="1A1A1A"/>
                      <w:sz w:val="16"/>
                    </w:rPr>
                    <w:t>Goldman Sachs International</w:t>
                  </w:r>
                </w:p>
              </w:tc>
              <w:tc>
                <w:tcPr>
                  <w:tcW w:type="dxa" w:w="936"/>
                  <w:shd w:val="clear" w:color="auto" w:fill="EEF4F2"/>
                </w:tcPr>
                <w:p>
                  <w:pPr>
                    <w:spacing w:after="0" w:before="0" w:line="240" w:lineRule="auto"/>
                  </w:pPr>
                  <w:r/>
                  <w:r>
                    <w:rPr>
                      <w:rFonts w:ascii="Calibri" w:hAnsi="Calibri" w:eastAsia="Calibri"/>
                      <w:b w:val="0"/>
                      <w:i w:val="0"/>
                      <w:color w:val="1A1A1A"/>
                      <w:sz w:val="16"/>
                    </w:rPr>
                    <w:t>4.4%</w:t>
                  </w:r>
                </w:p>
              </w:tc>
            </w:tr>
            <w:tr>
              <w:tc>
                <w:tcPr>
                  <w:tcW w:type="dxa" w:w="5544"/>
                </w:tcPr>
                <w:p>
                  <w:pPr>
                    <w:spacing w:after="0" w:before="0" w:line="240" w:lineRule="auto"/>
                  </w:pPr>
                  <w:r/>
                  <w:r>
                    <w:rPr>
                      <w:rFonts w:ascii="Calibri" w:hAnsi="Calibri" w:eastAsia="Calibri"/>
                      <w:b w:val="0"/>
                      <w:i w:val="0"/>
                      <w:color w:val="1A1A1A"/>
                      <w:sz w:val="16"/>
                    </w:rPr>
                    <w:t>Nippon Life Insurance</w:t>
                  </w:r>
                </w:p>
              </w:tc>
              <w:tc>
                <w:tcPr>
                  <w:tcW w:type="dxa" w:w="936"/>
                </w:tcPr>
                <w:p>
                  <w:pPr>
                    <w:spacing w:after="0" w:before="0" w:line="240" w:lineRule="auto"/>
                  </w:pPr>
                  <w:r/>
                  <w:r>
                    <w:rPr>
                      <w:rFonts w:ascii="Calibri" w:hAnsi="Calibri" w:eastAsia="Calibri"/>
                      <w:b w:val="0"/>
                      <w:i w:val="0"/>
                      <w:color w:val="1A1A1A"/>
                      <w:sz w:val="16"/>
                    </w:rPr>
                    <w:t>3.7%</w:t>
                  </w:r>
                </w:p>
              </w:tc>
            </w:tr>
          </w:tbl>
          <w:p>
            <w:pPr>
              <w:spacing w:after="0" w:before="20" w:line="240" w:lineRule="auto"/>
            </w:pPr>
            <w:r>
              <w:rPr>
                <w:rFonts w:ascii="Calibri" w:hAnsi="Calibri" w:eastAsia="Calibri"/>
                <w:b w:val="0"/>
                <w:i w:val="0"/>
                <w:color w:val="555555"/>
                <w:sz w:val="15"/>
              </w:rPr>
              <w:t>Register 31-Mar-26 (ex-treasury). Toyota sold 9.15m shares into Koito's Oct-25 buyback but keeps ≥20% for equity-method status. Stable bloc ~33% (Toyota, life insurers, SMBC 2.1%, Nichia 1.5%). Mix ex-treasury: foreign ~33%, financial institutions ~32%, corporates ~27%.</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Massively over-capitalised: ¥395bn of net cash and securities = 55% of mkt cap, ~¥128bn above the company's own two-months-of-sales cash floor; net cash stuck at ¥270–300bn for six years despite ¥133bn of buybacks; ROE 3.4%.</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Margins halved under the same leadership (OPM 12.3% → 5.4%) while cash went to the wrong places: Cepton LiDAR (¥14.3bn write-off and ~¥9.6bn annual losses within 15 months), an over-built China footprint (sales halved, ¥7.2bn impairment) and a 1.1%-margin Americas segment. 5Y TSR −9% vs sector +45%.</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Governance is the root cause: a 19-year family dynasty with no ownership, a paid ex-chairman adviser running the largest subsidiary, a minority-independent board and 27.5% of votes against the President in 2026.</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¥150bn self-tender (~21% of shares), cancel ~50m treasury shares and sell the ~¥107bn securities book over 24 months: EPS +21%, ROE 6.3% → 8%+; structured so Toyota can tender ~¥40bn and stay at 20%.</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Exit Cepton/LiDAR (+~1pt of group OPM), consolidate three China plants into one or a JV, sell non-auto electrical equipment and fix the Americas margin — a credible path to the 8% MTP margin (~+¥15bn OP).</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Majority-independent board with an independent chair; end dynastic executive and paid-adviser roles; ROIC-gated capital-allocation framework with a hard cash cap; pay on ROE/ROIC/relative TSR.</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Medium (capital return) / Low (board) — </w:t>
            </w:r>
            <w:r>
              <w:rPr>
                <w:rFonts w:ascii="Calibri" w:hAnsi="Calibri" w:eastAsia="Calibri"/>
                <w:b w:val="0"/>
                <w:i w:val="0"/>
                <w:color w:val="1A1A1A"/>
                <w:sz w:val="17"/>
              </w:rPr>
              <w:t>Foreign ~33% and trust-bank accounts reachable; 2026 vote shows dissent; Toyota wants liquidity and insurers/banks are unwinding. But a ~33% stable bloc blocks special resolutions and makes board seats hard; Toyota won't destabilise a key supplier.</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Already returning ¥350bn over five years (¥50bn/yr buybacks, ≥40% payout, cross-holding sales); FY3/26 impairments 'cleaned up' LiDAR and China, FY3/27 OP +17%; cash needed for ADAS, India/Mexico/Brazil capacity and supply-chain risk; OEMs expect a financially robust Tier-1.</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¥150bn tender + treasury cancellation + securities sell-down; cash cap</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Exit LiDAR, consolidate China, sell non-auto; resolve Ta Yih listing</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End the Otake dynasty's executive/adviser roles; independent chair</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Strategic review: Toyota as buyer of the 79% or seller of its 21% amid global lighting consolidation</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13 directors, 5 independent (38%), kansayaku structure. Otake family has held the top job ~19 years (Chairman &amp; CEO Masahiro Otake) with ~0% ownership; former chairman Takashi Otake is a ¥102m paid adviser and CEO of the largest subsidiary (North American Lighting). 2026 AGM: President 72.5%, Chairman 83.1%. Auditor rotated to Deloitte. 1st MTP (OPM 8%, ROE 9%) will be missed. ¥50bn/yr buybacks via ToSTNeT-3. Taiwan-listed Ta Yih consolidated at 33%. History: T. Boone Pickens held 20%+ in 1989 and was refused a board seat.</w:t>
            </w:r>
          </w:p>
        </w:tc>
      </w:tr>
    </w:tbl>
    <w:p>
      <w:pPr>
        <w:spacing w:after="0"/>
      </w:pPr>
      <w:r>
        <w:br w:type="page"/>
      </w:r>
    </w:p>
    <w:p>
      <w:pPr>
        <w:spacing w:after="0" w:before="0" w:line="240" w:lineRule="auto"/>
      </w:pPr>
      <w:r>
        <w:rPr>
          <w:rFonts w:ascii="Calibri" w:hAnsi="Calibri" w:eastAsia="Calibri"/>
          <w:b/>
          <w:i w:val="0"/>
          <w:color w:val="0F5C4A"/>
          <w:sz w:val="24"/>
        </w:rPr>
        <w:t>8 · Ito En (2593 JT (pref. 25935 JT))</w:t>
      </w:r>
      <w:r>
        <w:rPr>
          <w:rFonts w:ascii="Calibri" w:hAnsi="Calibri" w:eastAsia="Calibri"/>
          <w:b w:val="0"/>
          <w:i w:val="0"/>
          <w:color w:val="555555"/>
          <w:sz w:val="17"/>
        </w:rPr>
        <w:t xml:space="preserve">   Beverages (green tea, Tully's Coffee)</w:t>
      </w:r>
      <w:r>
        <w:rPr>
          <w:rFonts w:ascii="Calibri" w:hAnsi="Calibri" w:eastAsia="Calibri"/>
          <w:b/>
          <w:i w:val="0"/>
          <w:color w:val="0F5C4A"/>
          <w:sz w:val="17"/>
        </w:rPr>
        <w:t xml:space="preserve">   Conviction: Medium</w:t>
      </w:r>
    </w:p>
    <w:p>
      <w:pPr>
        <w:spacing w:after="60" w:before="0" w:line="240" w:lineRule="auto"/>
      </w:pPr>
      <w:r>
        <w:rPr>
          <w:rFonts w:ascii="Calibri" w:hAnsi="Calibri" w:eastAsia="Calibri"/>
          <w:b w:val="0"/>
          <w:i w:val="0"/>
          <w:color w:val="555555"/>
          <w:sz w:val="15"/>
        </w:rPr>
        <w:t>Common ¥3,178; preferred ~¥1,800 (est.) · Total mkt cap ¥323.6bn (US$2.05bn; common ¥268.0bn + pref ¥55.6bn) · EV ¥315.8bn · LTM sales ¥502.2bn, EBITDA ¥32.9bn · Net cash ¥9.6bn (Apr-26), net debt ¥10.7bn (Jul-26, seasonal)</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Ito En</w:t>
                  </w:r>
                </w:p>
              </w:tc>
              <w:tc>
                <w:tcPr>
                  <w:tcW w:type="dxa" w:w="1296"/>
                </w:tcPr>
                <w:p>
                  <w:pPr>
                    <w:spacing w:after="0" w:before="0" w:line="240" w:lineRule="auto"/>
                  </w:pPr>
                  <w:r/>
                  <w:r>
                    <w:rPr>
                      <w:rFonts w:ascii="Calibri" w:hAnsi="Calibri" w:eastAsia="Calibri"/>
                      <w:b/>
                      <w:i w:val="0"/>
                      <w:color w:val="1A1A1A"/>
                      <w:sz w:val="16"/>
                    </w:rPr>
                    <w:t>−1.6%</w:t>
                  </w:r>
                </w:p>
              </w:tc>
              <w:tc>
                <w:tcPr>
                  <w:tcW w:type="dxa" w:w="1296"/>
                </w:tcPr>
                <w:p>
                  <w:pPr>
                    <w:spacing w:after="0" w:before="0" w:line="240" w:lineRule="auto"/>
                  </w:pPr>
                  <w:r/>
                  <w:r>
                    <w:rPr>
                      <w:rFonts w:ascii="Calibri" w:hAnsi="Calibri" w:eastAsia="Calibri"/>
                      <w:b/>
                      <w:i w:val="0"/>
                      <w:color w:val="1A1A1A"/>
                      <w:sz w:val="16"/>
                    </w:rPr>
                    <w:t>−27.9%</w:t>
                  </w:r>
                </w:p>
              </w:tc>
              <w:tc>
                <w:tcPr>
                  <w:tcW w:type="dxa" w:w="1368"/>
                </w:tcPr>
                <w:p>
                  <w:pPr>
                    <w:spacing w:after="0" w:before="0" w:line="240" w:lineRule="auto"/>
                  </w:pPr>
                  <w:r/>
                  <w:r>
                    <w:rPr>
                      <w:rFonts w:ascii="Calibri" w:hAnsi="Calibri" w:eastAsia="Calibri"/>
                      <w:b/>
                      <w:i w:val="0"/>
                      <w:color w:val="1A1A1A"/>
                      <w:sz w:val="16"/>
                    </w:rPr>
                    <w:t>−52.5%</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+19.5%</w:t>
                  </w:r>
                </w:p>
              </w:tc>
              <w:tc>
                <w:tcPr>
                  <w:tcW w:type="dxa" w:w="1296"/>
                  <w:shd w:val="clear" w:color="auto" w:fill="EEF4F2"/>
                </w:tcPr>
                <w:p>
                  <w:pPr>
                    <w:spacing w:after="0" w:before="0" w:line="240" w:lineRule="auto"/>
                  </w:pPr>
                  <w:r/>
                  <w:r>
                    <w:rPr>
                      <w:rFonts w:ascii="Calibri" w:hAnsi="Calibri" w:eastAsia="Calibri"/>
                      <w:b w:val="0"/>
                      <w:i w:val="0"/>
                      <w:color w:val="1A1A1A"/>
                      <w:sz w:val="16"/>
                    </w:rPr>
                    <w:t>+13.1%</w:t>
                  </w:r>
                </w:p>
              </w:tc>
              <w:tc>
                <w:tcPr>
                  <w:tcW w:type="dxa" w:w="1368"/>
                  <w:shd w:val="clear" w:color="auto" w:fill="EEF4F2"/>
                </w:tcPr>
                <w:p>
                  <w:pPr>
                    <w:spacing w:after="0" w:before="0" w:line="240" w:lineRule="auto"/>
                  </w:pPr>
                  <w:r/>
                  <w:r>
                    <w:rPr>
                      <w:rFonts w:ascii="Calibri" w:hAnsi="Calibri" w:eastAsia="Calibri"/>
                      <w:b w:val="0"/>
                      <w:i w:val="0"/>
                      <w:color w:val="1A1A1A"/>
                      <w:sz w:val="16"/>
                    </w:rPr>
                    <w:t>+13.2%</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Kirin, Suntory Beverage &amp; Food, Coca-Cola Bottlers Japan, DyDo, Asahi.</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Ito</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0.63x</w:t>
                  </w:r>
                </w:p>
              </w:tc>
              <w:tc>
                <w:tcPr>
                  <w:tcW w:type="dxa" w:w="1584"/>
                </w:tcPr>
                <w:p>
                  <w:pPr>
                    <w:spacing w:after="0" w:before="0" w:line="240" w:lineRule="auto"/>
                  </w:pPr>
                  <w:r/>
                  <w:r>
                    <w:rPr>
                      <w:rFonts w:ascii="Calibri" w:hAnsi="Calibri" w:eastAsia="Calibri"/>
                      <w:b w:val="0"/>
                      <w:i w:val="0"/>
                      <w:color w:val="1A1A1A"/>
                      <w:sz w:val="16"/>
                    </w:rPr>
                    <w:t>0.76x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13.4x</w:t>
                  </w:r>
                </w:p>
              </w:tc>
              <w:tc>
                <w:tcPr>
                  <w:tcW w:type="dxa" w:w="1584"/>
                  <w:shd w:val="clear" w:color="auto" w:fill="EEF4F2"/>
                </w:tcPr>
                <w:p>
                  <w:pPr>
                    <w:spacing w:after="0" w:before="0" w:line="240" w:lineRule="auto"/>
                  </w:pPr>
                  <w:r/>
                  <w:r>
                    <w:rPr>
                      <w:rFonts w:ascii="Calibri" w:hAnsi="Calibri" w:eastAsia="Calibri"/>
                      <w:b w:val="0"/>
                      <w:i w:val="0"/>
                      <w:color w:val="1A1A1A"/>
                      <w:sz w:val="16"/>
                    </w:rPr>
                    <w:t>10.4x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9.6x</w:t>
                  </w:r>
                </w:p>
              </w:tc>
              <w:tc>
                <w:tcPr>
                  <w:tcW w:type="dxa" w:w="1584"/>
                </w:tcPr>
                <w:p>
                  <w:pPr>
                    <w:spacing w:after="0" w:before="0" w:line="240" w:lineRule="auto"/>
                  </w:pPr>
                  <w:r/>
                  <w:r>
                    <w:rPr>
                      <w:rFonts w:ascii="Calibri" w:hAnsi="Calibri" w:eastAsia="Calibri"/>
                      <w:b w:val="0"/>
                      <w:i w:val="0"/>
                      <w:color w:val="1A1A1A"/>
                      <w:sz w:val="16"/>
                    </w:rPr>
                    <w:t>7.6x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75x LTM / 28.3x fwd</w:t>
                  </w:r>
                </w:p>
              </w:tc>
              <w:tc>
                <w:tcPr>
                  <w:tcW w:type="dxa" w:w="1584"/>
                  <w:shd w:val="clear" w:color="auto" w:fill="EEF4F2"/>
                </w:tcPr>
                <w:p>
                  <w:pPr>
                    <w:spacing w:after="0" w:before="0" w:line="240" w:lineRule="auto"/>
                  </w:pPr>
                  <w:r/>
                  <w:r>
                    <w:rPr>
                      <w:rFonts w:ascii="Calibri" w:hAnsi="Calibri" w:eastAsia="Calibri"/>
                      <w:b w:val="0"/>
                      <w:i w:val="0"/>
                      <w:color w:val="1A1A1A"/>
                      <w:sz w:val="16"/>
                    </w:rPr>
                    <w:t>15.3x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0.0%</w:t>
                  </w:r>
                </w:p>
              </w:tc>
              <w:tc>
                <w:tcPr>
                  <w:tcW w:type="dxa" w:w="1584"/>
                </w:tcPr>
                <w:p>
                  <w:pPr>
                    <w:spacing w:after="0" w:before="0" w:line="240" w:lineRule="auto"/>
                  </w:pPr>
                  <w:r/>
                  <w:r>
                    <w:rPr>
                      <w:rFonts w:ascii="Calibri" w:hAnsi="Calibri" w:eastAsia="Calibri"/>
                      <w:b w:val="0"/>
                      <w:i w:val="0"/>
                      <w:color w:val="1A1A1A"/>
                      <w:sz w:val="16"/>
                    </w:rPr>
                    <w:t>4.7%</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1.84x</w:t>
                  </w:r>
                </w:p>
              </w:tc>
              <w:tc>
                <w:tcPr>
                  <w:tcW w:type="dxa" w:w="1584"/>
                  <w:shd w:val="clear" w:color="auto" w:fill="EEF4F2"/>
                </w:tcPr>
                <w:p>
                  <w:pPr>
                    <w:spacing w:after="0" w:before="0" w:line="240" w:lineRule="auto"/>
                  </w:pPr>
                  <w:r/>
                  <w:r>
                    <w:rPr>
                      <w:rFonts w:ascii="Calibri" w:hAnsi="Calibri" w:eastAsia="Calibri"/>
                      <w:b w:val="0"/>
                      <w:i w:val="0"/>
                      <w:color w:val="1A1A1A"/>
                      <w:sz w:val="16"/>
                    </w:rPr>
                    <w:t>1.47x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4.7%</w:t>
                  </w:r>
                </w:p>
              </w:tc>
              <w:tc>
                <w:tcPr>
                  <w:tcW w:type="dxa" w:w="1584"/>
                </w:tcPr>
                <w:p>
                  <w:pPr>
                    <w:spacing w:after="0" w:before="0" w:line="240" w:lineRule="auto"/>
                  </w:pPr>
                  <w:r/>
                  <w:r>
                    <w:rPr>
                      <w:rFonts w:ascii="Calibri" w:hAnsi="Calibri" w:eastAsia="Calibri"/>
                      <w:b w:val="0"/>
                      <w:i w:val="0"/>
                      <w:color w:val="1A1A1A"/>
                      <w:sz w:val="16"/>
                    </w:rPr>
                    <w:t>8.9%</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6.5%</w:t>
                  </w:r>
                </w:p>
              </w:tc>
              <w:tc>
                <w:tcPr>
                  <w:tcW w:type="dxa" w:w="1584"/>
                  <w:shd w:val="clear" w:color="auto" w:fill="EEF4F2"/>
                </w:tcPr>
                <w:p>
                  <w:pPr>
                    <w:spacing w:after="0" w:before="0" w:line="240" w:lineRule="auto"/>
                  </w:pPr>
                  <w:r/>
                  <w:r>
                    <w:rPr>
                      <w:rFonts w:ascii="Calibri" w:hAnsi="Calibri" w:eastAsia="Calibri"/>
                      <w:b w:val="0"/>
                      <w:i w:val="0"/>
                      <w:color w:val="1A1A1A"/>
                      <w:sz w:val="16"/>
                    </w:rPr>
                    <w:t>12.8%</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2.4%</w:t>
                  </w:r>
                </w:p>
              </w:tc>
              <w:tc>
                <w:tcPr>
                  <w:tcW w:type="dxa" w:w="1584"/>
                </w:tcPr>
                <w:p>
                  <w:pPr>
                    <w:spacing w:after="0" w:before="0" w:line="240" w:lineRule="auto"/>
                  </w:pPr>
                  <w:r/>
                  <w:r>
                    <w:rPr>
                      <w:rFonts w:ascii="Calibri" w:hAnsi="Calibri" w:eastAsia="Calibri"/>
                      <w:b w:val="0"/>
                      <w:i w:val="0"/>
                      <w:color w:val="1A1A1A"/>
                      <w:sz w:val="16"/>
                    </w:rPr>
                    <w:t>5.4%</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−0.29x (Apr) / +0.32x (Jul)</w:t>
                  </w:r>
                </w:p>
              </w:tc>
              <w:tc>
                <w:tcPr>
                  <w:tcW w:type="dxa" w:w="1584"/>
                  <w:shd w:val="clear" w:color="auto" w:fill="EEF4F2"/>
                </w:tcPr>
                <w:p>
                  <w:pPr>
                    <w:spacing w:after="0" w:before="0" w:line="240" w:lineRule="auto"/>
                  </w:pPr>
                  <w:r/>
                  <w:r>
                    <w:rPr>
                      <w:rFonts w:ascii="Calibri" w:hAnsi="Calibri" w:eastAsia="Calibri"/>
                      <w:b w:val="0"/>
                      <w:i w:val="0"/>
                      <w:color w:val="1A1A1A"/>
                      <w:sz w:val="16"/>
                    </w:rPr>
                    <w:t>—</w:t>
                  </w:r>
                </w:p>
              </w:tc>
            </w:tr>
            <w:tr>
              <w:tc>
                <w:tcPr>
                  <w:tcW w:type="dxa" w:w="2376"/>
                </w:tcPr>
                <w:p>
                  <w:pPr>
                    <w:spacing w:after="0" w:before="0" w:line="240" w:lineRule="auto"/>
                  </w:pPr>
                  <w:r/>
                  <w:r>
                    <w:rPr>
                      <w:rFonts w:ascii="Calibri" w:hAnsi="Calibri" w:eastAsia="Calibri"/>
                      <w:b w:val="0"/>
                      <w:i w:val="0"/>
                      <w:color w:val="1A1A1A"/>
                      <w:sz w:val="16"/>
                    </w:rPr>
                    <w:t>Net cash + securities / mkt cap</w:t>
                  </w:r>
                </w:p>
              </w:tc>
              <w:tc>
                <w:tcPr>
                  <w:tcW w:type="dxa" w:w="2520"/>
                </w:tcPr>
                <w:p>
                  <w:pPr>
                    <w:spacing w:after="0" w:before="0" w:line="240" w:lineRule="auto"/>
                  </w:pPr>
                  <w:r/>
                  <w:r>
                    <w:rPr>
                      <w:rFonts w:ascii="Calibri" w:hAnsi="Calibri" w:eastAsia="Calibri"/>
                      <w:b w:val="0"/>
                      <w:i w:val="0"/>
                      <w:color w:val="1A1A1A"/>
                      <w:sz w:val="16"/>
                    </w:rPr>
                    <w:t>10% (30% gross)</w:t>
                  </w:r>
                </w:p>
              </w:tc>
              <w:tc>
                <w:tcPr>
                  <w:tcW w:type="dxa" w:w="1584"/>
                </w:tcPr>
                <w:p>
                  <w:pPr>
                    <w:spacing w:after="0" w:before="0" w:line="240" w:lineRule="auto"/>
                  </w:pPr>
                  <w:r/>
                  <w:r>
                    <w:rPr>
                      <w:rFonts w:ascii="Calibri" w:hAnsi="Calibri" w:eastAsia="Calibri"/>
                      <w:b w:val="0"/>
                      <w:i w:val="0"/>
                      <w:color w:val="1A1A1A"/>
                      <w:sz w:val="16"/>
                    </w:rPr>
                    <w:t>—</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Green Core (Honjo family company)</w:t>
                  </w:r>
                </w:p>
              </w:tc>
              <w:tc>
                <w:tcPr>
                  <w:tcW w:type="dxa" w:w="936"/>
                </w:tcPr>
                <w:p>
                  <w:pPr>
                    <w:spacing w:after="0" w:before="0" w:line="240" w:lineRule="auto"/>
                  </w:pPr>
                  <w:r/>
                  <w:r>
                    <w:rPr>
                      <w:rFonts w:ascii="Calibri" w:hAnsi="Calibri" w:eastAsia="Calibri"/>
                      <w:b w:val="0"/>
                      <w:i w:val="0"/>
                      <w:color w:val="1A1A1A"/>
                      <w:sz w:val="16"/>
                    </w:rPr>
                    <w:t>19.7%</w:t>
                  </w:r>
                </w:p>
              </w:tc>
            </w:tr>
            <w:tr>
              <w:tc>
                <w:tcPr>
                  <w:tcW w:type="dxa" w:w="5544"/>
                  <w:shd w:val="clear" w:color="auto" w:fill="EEF4F2"/>
                </w:tcPr>
                <w:p>
                  <w:pPr>
                    <w:spacing w:after="0" w:before="0" w:line="240" w:lineRule="auto"/>
                  </w:pPr>
                  <w:r/>
                  <w:r>
                    <w:rPr>
                      <w:rFonts w:ascii="Calibri" w:hAnsi="Calibri" w:eastAsia="Calibri"/>
                      <w:b w:val="0"/>
                      <w:i w:val="0"/>
                      <w:color w:val="1A1A1A"/>
                      <w:sz w:val="16"/>
                    </w:rPr>
                    <w:t>Master Trust Bank of Japan (trust)</w:t>
                  </w:r>
                </w:p>
              </w:tc>
              <w:tc>
                <w:tcPr>
                  <w:tcW w:type="dxa" w:w="936"/>
                  <w:shd w:val="clear" w:color="auto" w:fill="EEF4F2"/>
                </w:tcPr>
                <w:p>
                  <w:pPr>
                    <w:spacing w:after="0" w:before="0" w:line="240" w:lineRule="auto"/>
                  </w:pPr>
                  <w:r/>
                  <w:r>
                    <w:rPr>
                      <w:rFonts w:ascii="Calibri" w:hAnsi="Calibri" w:eastAsia="Calibri"/>
                      <w:b w:val="0"/>
                      <w:i w:val="0"/>
                      <w:color w:val="1A1A1A"/>
                      <w:sz w:val="16"/>
                    </w:rPr>
                    <w:t>~7.7%</w:t>
                  </w:r>
                </w:p>
              </w:tc>
            </w:tr>
            <w:tr>
              <w:tc>
                <w:tcPr>
                  <w:tcW w:type="dxa" w:w="5544"/>
                </w:tcPr>
                <w:p>
                  <w:pPr>
                    <w:spacing w:after="0" w:before="0" w:line="240" w:lineRule="auto"/>
                  </w:pPr>
                  <w:r/>
                  <w:r>
                    <w:rPr>
                      <w:rFonts w:ascii="Calibri" w:hAnsi="Calibri" w:eastAsia="Calibri"/>
                      <w:b w:val="0"/>
                      <w:i w:val="0"/>
                      <w:color w:val="1A1A1A"/>
                      <w:sz w:val="16"/>
                    </w:rPr>
                    <w:t>Honjo International Scholarship Foundation</w:t>
                  </w:r>
                </w:p>
              </w:tc>
              <w:tc>
                <w:tcPr>
                  <w:tcW w:type="dxa" w:w="936"/>
                </w:tcPr>
                <w:p>
                  <w:pPr>
                    <w:spacing w:after="0" w:before="0" w:line="240" w:lineRule="auto"/>
                  </w:pPr>
                  <w:r/>
                  <w:r>
                    <w:rPr>
                      <w:rFonts w:ascii="Calibri" w:hAnsi="Calibri" w:eastAsia="Calibri"/>
                      <w:b w:val="0"/>
                      <w:i w:val="0"/>
                      <w:color w:val="1A1A1A"/>
                      <w:sz w:val="16"/>
                    </w:rPr>
                    <w:t>~5.9%</w:t>
                  </w:r>
                </w:p>
              </w:tc>
            </w:tr>
            <w:tr>
              <w:tc>
                <w:tcPr>
                  <w:tcW w:type="dxa" w:w="5544"/>
                  <w:shd w:val="clear" w:color="auto" w:fill="EEF4F2"/>
                </w:tcPr>
                <w:p>
                  <w:pPr>
                    <w:spacing w:after="0" w:before="0" w:line="240" w:lineRule="auto"/>
                  </w:pPr>
                  <w:r/>
                  <w:r>
                    <w:rPr>
                      <w:rFonts w:ascii="Calibri" w:hAnsi="Calibri" w:eastAsia="Calibri"/>
                      <w:b w:val="0"/>
                      <w:i w:val="0"/>
                      <w:color w:val="1A1A1A"/>
                      <w:sz w:val="16"/>
                    </w:rPr>
                    <w:t>Hachiro Honjo (co-founder)</w:t>
                  </w:r>
                </w:p>
              </w:tc>
              <w:tc>
                <w:tcPr>
                  <w:tcW w:type="dxa" w:w="936"/>
                  <w:shd w:val="clear" w:color="auto" w:fill="EEF4F2"/>
                </w:tcPr>
                <w:p>
                  <w:pPr>
                    <w:spacing w:after="0" w:before="0" w:line="240" w:lineRule="auto"/>
                  </w:pPr>
                  <w:r/>
                  <w:r>
                    <w:rPr>
                      <w:rFonts w:ascii="Calibri" w:hAnsi="Calibri" w:eastAsia="Calibri"/>
                      <w:b w:val="0"/>
                      <w:i w:val="0"/>
                      <w:color w:val="1A1A1A"/>
                      <w:sz w:val="16"/>
                    </w:rPr>
                    <w:t>2.7%</w:t>
                  </w:r>
                </w:p>
              </w:tc>
            </w:tr>
            <w:tr>
              <w:tc>
                <w:tcPr>
                  <w:tcW w:type="dxa" w:w="5544"/>
                </w:tcPr>
                <w:p>
                  <w:pPr>
                    <w:spacing w:after="0" w:before="0" w:line="240" w:lineRule="auto"/>
                  </w:pPr>
                  <w:r/>
                  <w:r>
                    <w:rPr>
                      <w:rFonts w:ascii="Calibri" w:hAnsi="Calibri" w:eastAsia="Calibri"/>
                      <w:b w:val="0"/>
                      <w:i w:val="0"/>
                      <w:color w:val="1A1A1A"/>
                      <w:sz w:val="16"/>
                    </w:rPr>
                    <w:t>Custody Bank / employee association</w:t>
                  </w:r>
                </w:p>
              </w:tc>
              <w:tc>
                <w:tcPr>
                  <w:tcW w:type="dxa" w:w="936"/>
                </w:tcPr>
                <w:p>
                  <w:pPr>
                    <w:spacing w:after="0" w:before="0" w:line="240" w:lineRule="auto"/>
                  </w:pPr>
                  <w:r/>
                  <w:r>
                    <w:rPr>
                      <w:rFonts w:ascii="Calibri" w:hAnsi="Calibri" w:eastAsia="Calibri"/>
                      <w:b w:val="0"/>
                      <w:i w:val="0"/>
                      <w:color w:val="1A1A1A"/>
                      <w:sz w:val="16"/>
                    </w:rPr>
                    <w:t>~2.0%</w:t>
                  </w:r>
                </w:p>
              </w:tc>
            </w:tr>
          </w:tbl>
          <w:p>
            <w:pPr>
              <w:spacing w:after="0" w:before="20" w:line="240" w:lineRule="auto"/>
            </w:pPr>
            <w:r>
              <w:rPr>
                <w:rFonts w:ascii="Calibri" w:hAnsi="Calibri" w:eastAsia="Calibri"/>
                <w:b w:val="0"/>
                <w:i w:val="0"/>
                <w:color w:val="555555"/>
                <w:sz w:val="15"/>
              </w:rPr>
              <w:t>Combined common + preferred, Apr-26 (approx., aggregator-based). Honjo family bloc ~30% economic / 28–32% of votes. Common mix: individuals 37%, other corporates 34%, financial institutions 14%, foreign 13.7%. Preferred holders (27% of economic shares) have no vote.</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Owner of Japan's No.1 green-tea brand (Oi Ocha), a profitable Tully's chain and a global matcha tailwind earns a 4% operating margin and 2% ROE vs ~9% peer margins; 5Y TSR −53% vs beverage peers +13% and TOPIX TR +129%.</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A non-voting preferred line (27% of economic shares) trades at a 43% discount to the common despite a 1:1 change-of-control exchange — ~¥40bn of value left on the table to entrench family control.</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Family governance shows in the numbers: four Honjo directors, a 17-year CEO, related-party dealings and a loss-making vending network kept far too long.</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Collapse the preferred discount: tender for ~15m preferred at ~¥2,000 (¥30bn, debt-funded, ND/EBITDA &lt;1x), capturing ~¥18bn of value; then a voluntary exchange of the rest into common.</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6% operating margin by FY4/28 (+¥10bn EBIT, ~¥95bn of value): exit or JV the ITO EN NEOS vending business (−¥2.7bn OP plan) with CCBJI/DyDo/Asahi; cut SG&amp;A (31% of sales).</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Strategic review of Tully's Japan (IPO/sale at 10–12x EBITDA) and subscale US units; unwind related-party dealings; cut family board seats from four to two.</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Low — </w:t>
            </w:r>
            <w:r>
              <w:rPr>
                <w:rFonts w:ascii="Calibri" w:hAnsi="Calibri" w:eastAsia="Calibri"/>
                <w:b w:val="0"/>
                <w:i w:val="0"/>
                <w:color w:val="1A1A1A"/>
                <w:sz w:val="17"/>
              </w:rPr>
              <w:t>Family ~30% of votes plus ~14% friendly corporates; perk-driven retail 37%; foreign only 13.7%; preferred holders — the main beneficiaries — cannot vote. Best run as private engagement plus a preferred-line position rather than a proxy fight.</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Structural reforms (NEOS, outsourced manufacturing) and the 2029 plan are in place; tea-cost spike is temporary; preferred terms are fixed in the articles and need a class vote; the balance sheet is not over-capitalised.</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Buy back/exchange preferred at the discount; ROE ≥8% by FY4/28</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Exit/JV vending; review Tully's and US units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Related-party clean-up; fewer family directors; ROE-linked pay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Own the preferred as a cheap option on a family MBO — 1:1 exchange clause</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13 directors, 5 outside (38%, est.); four Honjo family members on the board; CEO Daisuke Honjo since 2009 (~17 years). Related-party dealings with Green Core-owned golf club and ryokan. Non-voting class-1 preferred pays ~125% of the common dividend and converts 1:1 on a &gt;50% TOB or delisting. FY4/26: ¥13.8bn vending impairment; NI −76%. 2029 plan targets 8% OPM and 10% ROE.</w:t>
            </w:r>
          </w:p>
        </w:tc>
      </w:tr>
    </w:tbl>
    <w:p>
      <w:pPr>
        <w:spacing w:after="0"/>
      </w:pPr>
      <w:r>
        <w:br w:type="page"/>
      </w:r>
    </w:p>
    <w:p>
      <w:pPr>
        <w:spacing w:after="0" w:before="0" w:line="240" w:lineRule="auto"/>
      </w:pPr>
      <w:r>
        <w:rPr>
          <w:rFonts w:ascii="Calibri" w:hAnsi="Calibri" w:eastAsia="Calibri"/>
          <w:b/>
          <w:i w:val="0"/>
          <w:color w:val="0F5C4A"/>
          <w:sz w:val="24"/>
        </w:rPr>
        <w:t>9 · Ezaki Glico (2206 JT)</w:t>
      </w:r>
      <w:r>
        <w:rPr>
          <w:rFonts w:ascii="Calibri" w:hAnsi="Calibri" w:eastAsia="Calibri"/>
          <w:b w:val="0"/>
          <w:i w:val="0"/>
          <w:color w:val="555555"/>
          <w:sz w:val="17"/>
        </w:rPr>
        <w:t xml:space="preserve">   Food products (confectionery, dairy)</w:t>
      </w:r>
      <w:r>
        <w:rPr>
          <w:rFonts w:ascii="Calibri" w:hAnsi="Calibri" w:eastAsia="Calibri"/>
          <w:b/>
          <w:i w:val="0"/>
          <w:color w:val="0F5C4A"/>
          <w:sz w:val="17"/>
        </w:rPr>
        <w:t xml:space="preserve">   Conviction: Medium (crowded)</w:t>
      </w:r>
    </w:p>
    <w:p>
      <w:pPr>
        <w:spacing w:after="60" w:before="0" w:line="240" w:lineRule="auto"/>
      </w:pPr>
      <w:r>
        <w:rPr>
          <w:rFonts w:ascii="Calibri" w:hAnsi="Calibri" w:eastAsia="Calibri"/>
          <w:b w:val="0"/>
          <w:i w:val="0"/>
          <w:color w:val="555555"/>
          <w:sz w:val="15"/>
        </w:rPr>
        <w:t>Price ¥5,069 · Mkt cap ¥310.8bn (US$1.97bn) · EV ¥260.6bn (US$1.65bn) · LTM sales ¥377.3bn, EBIT ¥10.1bn, EBITDA ¥29.6bn · Net cash ¥50.8bn + investment securities ¥61.5bn (Jun-26) · FY26 OP guide cut to ¥12.0bn (Aug-26)</w:t>
      </w:r>
    </w:p>
    <w:p>
      <w:pPr>
        <w:spacing w:after="60" w:before="0" w:line="240" w:lineRule="auto"/>
      </w:pPr>
      <w:r>
        <w:rPr>
          <w:rFonts w:ascii="Calibri" w:hAnsi="Calibri" w:eastAsia="Calibri"/>
          <w:b/>
          <w:i w:val="0"/>
          <w:color w:val="A61B1B"/>
          <w:sz w:val="15"/>
        </w:rPr>
        <w:t>Crowded: Dalton Investments / Nippon Active Value Fund hold ~10.3% (Aug-25 filing; ~11.5% of current shares) and have tabled proposals at the 2024, 2025 and 2026 AGMs. Lags TOPIX TR by 95pp over 5Y but is roughly in line with weak confectionery peers.</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Ezaki Glico</w:t>
                  </w:r>
                </w:p>
              </w:tc>
              <w:tc>
                <w:tcPr>
                  <w:tcW w:type="dxa" w:w="1296"/>
                </w:tcPr>
                <w:p>
                  <w:pPr>
                    <w:spacing w:after="0" w:before="0" w:line="240" w:lineRule="auto"/>
                  </w:pPr>
                  <w:r/>
                  <w:r>
                    <w:rPr>
                      <w:rFonts w:ascii="Calibri" w:hAnsi="Calibri" w:eastAsia="Calibri"/>
                      <w:b/>
                      <w:i w:val="0"/>
                      <w:color w:val="1A1A1A"/>
                      <w:sz w:val="16"/>
                    </w:rPr>
                    <w:t>+4.3%</w:t>
                  </w:r>
                </w:p>
              </w:tc>
              <w:tc>
                <w:tcPr>
                  <w:tcW w:type="dxa" w:w="1296"/>
                </w:tcPr>
                <w:p>
                  <w:pPr>
                    <w:spacing w:after="0" w:before="0" w:line="240" w:lineRule="auto"/>
                  </w:pPr>
                  <w:r/>
                  <w:r>
                    <w:rPr>
                      <w:rFonts w:ascii="Calibri" w:hAnsi="Calibri" w:eastAsia="Calibri"/>
                      <w:b/>
                      <w:i w:val="0"/>
                      <w:color w:val="1A1A1A"/>
                      <w:sz w:val="16"/>
                    </w:rPr>
                    <w:t>+30.1%</w:t>
                  </w:r>
                </w:p>
              </w:tc>
              <w:tc>
                <w:tcPr>
                  <w:tcW w:type="dxa" w:w="1368"/>
                </w:tcPr>
                <w:p>
                  <w:pPr>
                    <w:spacing w:after="0" w:before="0" w:line="240" w:lineRule="auto"/>
                  </w:pPr>
                  <w:r/>
                  <w:r>
                    <w:rPr>
                      <w:rFonts w:ascii="Calibri" w:hAnsi="Calibri" w:eastAsia="Calibri"/>
                      <w:b/>
                      <w:i w:val="0"/>
                      <w:color w:val="1A1A1A"/>
                      <w:sz w:val="16"/>
                    </w:rPr>
                    <w:t>+34.1%</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+4.1%</w:t>
                  </w:r>
                </w:p>
              </w:tc>
              <w:tc>
                <w:tcPr>
                  <w:tcW w:type="dxa" w:w="1296"/>
                  <w:shd w:val="clear" w:color="auto" w:fill="EEF4F2"/>
                </w:tcPr>
                <w:p>
                  <w:pPr>
                    <w:spacing w:after="0" w:before="0" w:line="240" w:lineRule="auto"/>
                  </w:pPr>
                  <w:r/>
                  <w:r>
                    <w:rPr>
                      <w:rFonts w:ascii="Calibri" w:hAnsi="Calibri" w:eastAsia="Calibri"/>
                      <w:b w:val="0"/>
                      <w:i w:val="0"/>
                      <w:color w:val="1A1A1A"/>
                      <w:sz w:val="16"/>
                    </w:rPr>
                    <w:t>+10.1%</w:t>
                  </w:r>
                </w:p>
              </w:tc>
              <w:tc>
                <w:tcPr>
                  <w:tcW w:type="dxa" w:w="1368"/>
                  <w:shd w:val="clear" w:color="auto" w:fill="EEF4F2"/>
                </w:tcPr>
                <w:p>
                  <w:pPr>
                    <w:spacing w:after="0" w:before="0" w:line="240" w:lineRule="auto"/>
                  </w:pPr>
                  <w:r/>
                  <w:r>
                    <w:rPr>
                      <w:rFonts w:ascii="Calibri" w:hAnsi="Calibri" w:eastAsia="Calibri"/>
                      <w:b w:val="0"/>
                      <w:i w:val="0"/>
                      <w:color w:val="1A1A1A"/>
                      <w:sz w:val="16"/>
                    </w:rPr>
                    <w:t>+29.5%</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Morinaga &amp; Co, Meiji HD, Calbee, Kameda Seika (est.).</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Ezaki</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0.69x</w:t>
                  </w:r>
                </w:p>
              </w:tc>
              <w:tc>
                <w:tcPr>
                  <w:tcW w:type="dxa" w:w="1584"/>
                </w:tcPr>
                <w:p>
                  <w:pPr>
                    <w:spacing w:after="0" w:before="0" w:line="240" w:lineRule="auto"/>
                  </w:pPr>
                  <w:r/>
                  <w:r>
                    <w:rPr>
                      <w:rFonts w:ascii="Calibri" w:hAnsi="Calibri" w:eastAsia="Calibri"/>
                      <w:b w:val="0"/>
                      <w:i w:val="0"/>
                      <w:color w:val="1A1A1A"/>
                      <w:sz w:val="16"/>
                    </w:rPr>
                    <w:t>0.98x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25.9x</w:t>
                  </w:r>
                </w:p>
              </w:tc>
              <w:tc>
                <w:tcPr>
                  <w:tcW w:type="dxa" w:w="1584"/>
                  <w:shd w:val="clear" w:color="auto" w:fill="EEF4F2"/>
                </w:tcPr>
                <w:p>
                  <w:pPr>
                    <w:spacing w:after="0" w:before="0" w:line="240" w:lineRule="auto"/>
                  </w:pPr>
                  <w:r/>
                  <w:r>
                    <w:rPr>
                      <w:rFonts w:ascii="Calibri" w:hAnsi="Calibri" w:eastAsia="Calibri"/>
                      <w:b w:val="0"/>
                      <w:i w:val="0"/>
                      <w:color w:val="1A1A1A"/>
                      <w:sz w:val="16"/>
                    </w:rPr>
                    <w:t>13.1x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8.8x</w:t>
                  </w:r>
                </w:p>
              </w:tc>
              <w:tc>
                <w:tcPr>
                  <w:tcW w:type="dxa" w:w="1584"/>
                </w:tcPr>
                <w:p>
                  <w:pPr>
                    <w:spacing w:after="0" w:before="0" w:line="240" w:lineRule="auto"/>
                  </w:pPr>
                  <w:r/>
                  <w:r>
                    <w:rPr>
                      <w:rFonts w:ascii="Calibri" w:hAnsi="Calibri" w:eastAsia="Calibri"/>
                      <w:b w:val="0"/>
                      <w:i w:val="0"/>
                      <w:color w:val="1A1A1A"/>
                      <w:sz w:val="16"/>
                    </w:rPr>
                    <w:t>7.6x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49.6x LTM / 34.5x fwd</w:t>
                  </w:r>
                </w:p>
              </w:tc>
              <w:tc>
                <w:tcPr>
                  <w:tcW w:type="dxa" w:w="1584"/>
                  <w:shd w:val="clear" w:color="auto" w:fill="EEF4F2"/>
                </w:tcPr>
                <w:p>
                  <w:pPr>
                    <w:spacing w:after="0" w:before="0" w:line="240" w:lineRule="auto"/>
                  </w:pPr>
                  <w:r/>
                  <w:r>
                    <w:rPr>
                      <w:rFonts w:ascii="Calibri" w:hAnsi="Calibri" w:eastAsia="Calibri"/>
                      <w:b w:val="0"/>
                      <w:i w:val="0"/>
                      <w:color w:val="1A1A1A"/>
                      <w:sz w:val="16"/>
                    </w:rPr>
                    <w:t>20.6x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5.9%</w:t>
                  </w:r>
                </w:p>
              </w:tc>
              <w:tc>
                <w:tcPr>
                  <w:tcW w:type="dxa" w:w="1584"/>
                </w:tcPr>
                <w:p>
                  <w:pPr>
                    <w:spacing w:after="0" w:before="0" w:line="240" w:lineRule="auto"/>
                  </w:pPr>
                  <w:r/>
                  <w:r>
                    <w:rPr>
                      <w:rFonts w:ascii="Calibri" w:hAnsi="Calibri" w:eastAsia="Calibri"/>
                      <w:b w:val="0"/>
                      <w:i w:val="0"/>
                      <w:color w:val="1A1A1A"/>
                      <w:sz w:val="16"/>
                    </w:rPr>
                    <w:t>3.4%</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1.15x</w:t>
                  </w:r>
                </w:p>
              </w:tc>
              <w:tc>
                <w:tcPr>
                  <w:tcW w:type="dxa" w:w="1584"/>
                  <w:shd w:val="clear" w:color="auto" w:fill="EEF4F2"/>
                </w:tcPr>
                <w:p>
                  <w:pPr>
                    <w:spacing w:after="0" w:before="0" w:line="240" w:lineRule="auto"/>
                  </w:pPr>
                  <w:r/>
                  <w:r>
                    <w:rPr>
                      <w:rFonts w:ascii="Calibri" w:hAnsi="Calibri" w:eastAsia="Calibri"/>
                      <w:b w:val="0"/>
                      <w:i w:val="0"/>
                      <w:color w:val="1A1A1A"/>
                      <w:sz w:val="16"/>
                    </w:rPr>
                    <w:t>1.45x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2.7%</w:t>
                  </w:r>
                </w:p>
              </w:tc>
              <w:tc>
                <w:tcPr>
                  <w:tcW w:type="dxa" w:w="1584"/>
                </w:tcPr>
                <w:p>
                  <w:pPr>
                    <w:spacing w:after="0" w:before="0" w:line="240" w:lineRule="auto"/>
                  </w:pPr>
                  <w:r/>
                  <w:r>
                    <w:rPr>
                      <w:rFonts w:ascii="Calibri" w:hAnsi="Calibri" w:eastAsia="Calibri"/>
                      <w:b w:val="0"/>
                      <w:i w:val="0"/>
                      <w:color w:val="1A1A1A"/>
                      <w:sz w:val="16"/>
                    </w:rPr>
                    <w:t>8.1%</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7.9%</w:t>
                  </w:r>
                </w:p>
              </w:tc>
              <w:tc>
                <w:tcPr>
                  <w:tcW w:type="dxa" w:w="1584"/>
                  <w:shd w:val="clear" w:color="auto" w:fill="EEF4F2"/>
                </w:tcPr>
                <w:p>
                  <w:pPr>
                    <w:spacing w:after="0" w:before="0" w:line="240" w:lineRule="auto"/>
                  </w:pPr>
                  <w:r/>
                  <w:r>
                    <w:rPr>
                      <w:rFonts w:ascii="Calibri" w:hAnsi="Calibri" w:eastAsia="Calibri"/>
                      <w:b w:val="0"/>
                      <w:i w:val="0"/>
                      <w:color w:val="1A1A1A"/>
                      <w:sz w:val="16"/>
                    </w:rPr>
                    <w:t>13.1%</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2.3% (target 6–8%)</w:t>
                  </w:r>
                </w:p>
              </w:tc>
              <w:tc>
                <w:tcPr>
                  <w:tcW w:type="dxa" w:w="1584"/>
                </w:tcPr>
                <w:p>
                  <w:pPr>
                    <w:spacing w:after="0" w:before="0" w:line="240" w:lineRule="auto"/>
                  </w:pPr>
                  <w:r/>
                  <w:r>
                    <w:rPr>
                      <w:rFonts w:ascii="Calibri" w:hAnsi="Calibri" w:eastAsia="Calibri"/>
                      <w:b w:val="0"/>
                      <w:i w:val="0"/>
                      <w:color w:val="1A1A1A"/>
                      <w:sz w:val="16"/>
                    </w:rPr>
                    <w:t>6.9%</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−1.72x (net cash)</w:t>
                  </w:r>
                </w:p>
              </w:tc>
              <w:tc>
                <w:tcPr>
                  <w:tcW w:type="dxa" w:w="1584"/>
                  <w:shd w:val="clear" w:color="auto" w:fill="EEF4F2"/>
                </w:tcPr>
                <w:p>
                  <w:pPr>
                    <w:spacing w:after="0" w:before="0" w:line="240" w:lineRule="auto"/>
                  </w:pPr>
                  <w:r/>
                  <w:r>
                    <w:rPr>
                      <w:rFonts w:ascii="Calibri" w:hAnsi="Calibri" w:eastAsia="Calibri"/>
                      <w:b w:val="0"/>
                      <w:i w:val="0"/>
                      <w:color w:val="1A1A1A"/>
                      <w:sz w:val="16"/>
                    </w:rPr>
                    <w:t>+0.42x</w:t>
                  </w:r>
                </w:p>
              </w:tc>
            </w:tr>
            <w:tr>
              <w:tc>
                <w:tcPr>
                  <w:tcW w:type="dxa" w:w="2376"/>
                </w:tcPr>
                <w:p>
                  <w:pPr>
                    <w:spacing w:after="0" w:before="0" w:line="240" w:lineRule="auto"/>
                  </w:pPr>
                  <w:r/>
                  <w:r>
                    <w:rPr>
                      <w:rFonts w:ascii="Calibri" w:hAnsi="Calibri" w:eastAsia="Calibri"/>
                      <w:b w:val="0"/>
                      <w:i w:val="0"/>
                      <w:color w:val="1A1A1A"/>
                      <w:sz w:val="16"/>
                    </w:rPr>
                    <w:t>Net cash + securities / mkt cap</w:t>
                  </w:r>
                </w:p>
              </w:tc>
              <w:tc>
                <w:tcPr>
                  <w:tcW w:type="dxa" w:w="2520"/>
                </w:tcPr>
                <w:p>
                  <w:pPr>
                    <w:spacing w:after="0" w:before="0" w:line="240" w:lineRule="auto"/>
                  </w:pPr>
                  <w:r/>
                  <w:r>
                    <w:rPr>
                      <w:rFonts w:ascii="Calibri" w:hAnsi="Calibri" w:eastAsia="Calibri"/>
                      <w:b w:val="0"/>
                      <w:i w:val="0"/>
                      <w:color w:val="1A1A1A"/>
                      <w:sz w:val="16"/>
                    </w:rPr>
                    <w:t>36% (40% incl. property)</w:t>
                  </w:r>
                </w:p>
              </w:tc>
              <w:tc>
                <w:tcPr>
                  <w:tcW w:type="dxa" w:w="1584"/>
                </w:tcPr>
                <w:p>
                  <w:pPr>
                    <w:spacing w:after="0" w:before="0" w:line="240" w:lineRule="auto"/>
                  </w:pPr>
                  <w:r/>
                  <w:r>
                    <w:rPr>
                      <w:rFonts w:ascii="Calibri" w:hAnsi="Calibri" w:eastAsia="Calibri"/>
                      <w:b w:val="0"/>
                      <w:i w:val="0"/>
                      <w:color w:val="1A1A1A"/>
                      <w:sz w:val="16"/>
                    </w:rPr>
                    <w:t>~0%</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Master Trust Bank of Japan (trust)</w:t>
                  </w:r>
                </w:p>
              </w:tc>
              <w:tc>
                <w:tcPr>
                  <w:tcW w:type="dxa" w:w="936"/>
                </w:tcPr>
                <w:p>
                  <w:pPr>
                    <w:spacing w:after="0" w:before="0" w:line="240" w:lineRule="auto"/>
                  </w:pPr>
                  <w:r/>
                  <w:r>
                    <w:rPr>
                      <w:rFonts w:ascii="Calibri" w:hAnsi="Calibri" w:eastAsia="Calibri"/>
                      <w:b w:val="0"/>
                      <w:i w:val="0"/>
                      <w:color w:val="1A1A1A"/>
                      <w:sz w:val="16"/>
                    </w:rPr>
                    <w:t>11.1%</w:t>
                  </w:r>
                </w:p>
              </w:tc>
            </w:tr>
            <w:tr>
              <w:tc>
                <w:tcPr>
                  <w:tcW w:type="dxa" w:w="5544"/>
                  <w:shd w:val="clear" w:color="auto" w:fill="EEF4F2"/>
                </w:tcPr>
                <w:p>
                  <w:pPr>
                    <w:spacing w:after="0" w:before="0" w:line="240" w:lineRule="auto"/>
                  </w:pPr>
                  <w:r/>
                  <w:r>
                    <w:rPr>
                      <w:rFonts w:ascii="Calibri" w:hAnsi="Calibri" w:eastAsia="Calibri"/>
                      <w:b w:val="0"/>
                      <w:i w:val="0"/>
                      <w:color w:val="1A1A1A"/>
                      <w:sz w:val="16"/>
                    </w:rPr>
                    <w:t>Kikusen Shoji (likely Ezaki family vehicle)</w:t>
                  </w:r>
                </w:p>
              </w:tc>
              <w:tc>
                <w:tcPr>
                  <w:tcW w:type="dxa" w:w="936"/>
                  <w:shd w:val="clear" w:color="auto" w:fill="EEF4F2"/>
                </w:tcPr>
                <w:p>
                  <w:pPr>
                    <w:spacing w:after="0" w:before="0" w:line="240" w:lineRule="auto"/>
                  </w:pPr>
                  <w:r/>
                  <w:r>
                    <w:rPr>
                      <w:rFonts w:ascii="Calibri" w:hAnsi="Calibri" w:eastAsia="Calibri"/>
                      <w:b w:val="0"/>
                      <w:i w:val="0"/>
                      <w:color w:val="1A1A1A"/>
                      <w:sz w:val="16"/>
                    </w:rPr>
                    <w:t>6.5%</w:t>
                  </w:r>
                </w:p>
              </w:tc>
            </w:tr>
            <w:tr>
              <w:tc>
                <w:tcPr>
                  <w:tcW w:type="dxa" w:w="5544"/>
                </w:tcPr>
                <w:p>
                  <w:pPr>
                    <w:spacing w:after="0" w:before="0" w:line="240" w:lineRule="auto"/>
                  </w:pPr>
                  <w:r/>
                  <w:r>
                    <w:rPr>
                      <w:rFonts w:ascii="Calibri" w:hAnsi="Calibri" w:eastAsia="Calibri"/>
                      <w:b w:val="0"/>
                      <w:i w:val="0"/>
                      <w:color w:val="1A1A1A"/>
                      <w:sz w:val="16"/>
                    </w:rPr>
                    <w:t>Daido Life Insurance</w:t>
                  </w:r>
                </w:p>
              </w:tc>
              <w:tc>
                <w:tcPr>
                  <w:tcW w:type="dxa" w:w="936"/>
                </w:tcPr>
                <w:p>
                  <w:pPr>
                    <w:spacing w:after="0" w:before="0" w:line="240" w:lineRule="auto"/>
                  </w:pPr>
                  <w:r/>
                  <w:r>
                    <w:rPr>
                      <w:rFonts w:ascii="Calibri" w:hAnsi="Calibri" w:eastAsia="Calibri"/>
                      <w:b w:val="0"/>
                      <w:i w:val="0"/>
                      <w:color w:val="1A1A1A"/>
                      <w:sz w:val="16"/>
                    </w:rPr>
                    <w:t>5.5%</w:t>
                  </w:r>
                </w:p>
              </w:tc>
            </w:tr>
            <w:tr>
              <w:tc>
                <w:tcPr>
                  <w:tcW w:type="dxa" w:w="5544"/>
                  <w:shd w:val="clear" w:color="auto" w:fill="EEF4F2"/>
                </w:tcPr>
                <w:p>
                  <w:pPr>
                    <w:spacing w:after="0" w:before="0" w:line="240" w:lineRule="auto"/>
                  </w:pPr>
                  <w:r/>
                  <w:r>
                    <w:rPr>
                      <w:rFonts w:ascii="Calibri" w:hAnsi="Calibri" w:eastAsia="Calibri"/>
                      <w:b w:val="0"/>
                      <w:i w:val="0"/>
                      <w:color w:val="1A1A1A"/>
                      <w:sz w:val="16"/>
                    </w:rPr>
                    <w:t>State Street Bank &amp; Trust 505223</w:t>
                  </w:r>
                </w:p>
              </w:tc>
              <w:tc>
                <w:tcPr>
                  <w:tcW w:type="dxa" w:w="936"/>
                  <w:shd w:val="clear" w:color="auto" w:fill="EEF4F2"/>
                </w:tcPr>
                <w:p>
                  <w:pPr>
                    <w:spacing w:after="0" w:before="0" w:line="240" w:lineRule="auto"/>
                  </w:pPr>
                  <w:r/>
                  <w:r>
                    <w:rPr>
                      <w:rFonts w:ascii="Calibri" w:hAnsi="Calibri" w:eastAsia="Calibri"/>
                      <w:b w:val="0"/>
                      <w:i w:val="0"/>
                      <w:color w:val="1A1A1A"/>
                      <w:sz w:val="16"/>
                    </w:rPr>
                    <w:t>3.9%</w:t>
                  </w:r>
                </w:p>
              </w:tc>
            </w:tr>
            <w:tr>
              <w:tc>
                <w:tcPr>
                  <w:tcW w:type="dxa" w:w="5544"/>
                </w:tcPr>
                <w:p>
                  <w:pPr>
                    <w:spacing w:after="0" w:before="0" w:line="240" w:lineRule="auto"/>
                  </w:pPr>
                  <w:r/>
                  <w:r>
                    <w:rPr>
                      <w:rFonts w:ascii="Calibri" w:hAnsi="Calibri" w:eastAsia="Calibri"/>
                      <w:b w:val="0"/>
                      <w:i w:val="0"/>
                      <w:color w:val="1A1A1A"/>
                      <w:sz w:val="16"/>
                    </w:rPr>
                    <w:t>JA Saga (agricultural co-op)</w:t>
                  </w:r>
                </w:p>
              </w:tc>
              <w:tc>
                <w:tcPr>
                  <w:tcW w:type="dxa" w:w="936"/>
                </w:tcPr>
                <w:p>
                  <w:pPr>
                    <w:spacing w:after="0" w:before="0" w:line="240" w:lineRule="auto"/>
                  </w:pPr>
                  <w:r/>
                  <w:r>
                    <w:rPr>
                      <w:rFonts w:ascii="Calibri" w:hAnsi="Calibri" w:eastAsia="Calibri"/>
                      <w:b w:val="0"/>
                      <w:i w:val="0"/>
                      <w:color w:val="1A1A1A"/>
                      <w:sz w:val="16"/>
                    </w:rPr>
                    <w:t>3.1%</w:t>
                  </w:r>
                </w:p>
              </w:tc>
            </w:tr>
          </w:tbl>
          <w:p>
            <w:pPr>
              <w:spacing w:after="0" w:before="20" w:line="240" w:lineRule="auto"/>
            </w:pPr>
            <w:r>
              <w:rPr>
                <w:rFonts w:ascii="Calibri" w:hAnsi="Calibri" w:eastAsia="Calibri"/>
                <w:b w:val="0"/>
                <w:i w:val="0"/>
                <w:color w:val="555555"/>
                <w:sz w:val="15"/>
              </w:rPr>
              <w:t>Register 31-Dec-25. Beneficial: Dalton group 10.3% (Aug-25); MFS cut below 5% (Jul-26). Friendly bloc ~21% (family-linked ~7%, Daido Life, JA Saga, Glico Kyoei-kai 2.8%, DNP 2.6%). Mix: foreign 30%, financial institutions 28%, individuals ~19%, corporates 16%.</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Iconic brands (Pocky, Pretz) and a 10%-margin, fast-growing China/Asia business sit on a broken Japan business: ~¥275bn of domestic sales earn &lt;1% and dairy loses ¥5–7bn a year; group EBIT margin 2.7% vs 8.1% for peers, ROE 2.3%.</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A record that would not survive an independent board: a ¥34bn ERP project that stopped chilled shipments for seven months, a 2025 recall, and OP &gt;40% below the board's own pay targets two years running — with an 85-year-old Representative Chairman setting director pay.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Over a third of the market cap is idle: ¥112bn of net cash and investment securities (36%) inside a company earning a 2–3% ROE.</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Exit, sell or JV chilled dairy and infant formula and reset domestic SG&amp;A/logistics to pre-ERP levels — removing the dairy loss alone adds ¥5–7bn of OP (+45–60% on FY26e); target a 6–8% EBIT margin by FY28.</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Return ~¥50bn beyond the remaining ¥11.6bn programme (~16% of mkt cap) via tender/ASR, funded by selling the ¥61.5bn securities book and ¥12bn of investment property; cancel 7.2m treasury shares; 60% payout or DOE floor.</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Independent chair (chairman steps down as Representative Director), outside-majority nomination/pay committee, separate disclosure of the overseas business to support a sum-of-the-parts.</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Medium — </w:t>
            </w:r>
            <w:r>
              <w:rPr>
                <w:rFonts w:ascii="Calibri" w:hAnsi="Calibri" w:eastAsia="Calibri"/>
                <w:b w:val="0"/>
                <w:i w:val="0"/>
                <w:color w:val="1A1A1A"/>
                <w:sz w:val="17"/>
              </w:rPr>
              <w:t>30% foreign; Dalton's 2024 articles proposal won 42.9% and the company has conceded twice. Against: ~21% friendly bloc, ~19% brand-loyal retail, Dalton's 2026 nominees lost. Enter only with a differentiated operating thesis (dairy exit, ERP accountability) or as price-setter in an eventual MBO — not as a second capital-return voice.</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Execution on track (FY26e OP +37%, China growth, ¥25bn buyback done); Dalton's ideas are short-term financial engineering; securities are 'strategic'; dairy is recovering. Tail risk: a family-led MBO on the company's terms (Hisamitsu ¥6,082 MBO precedent).</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Exit/partner dairy and infant formula; consider ring-fencing the overseas growth business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¥50bn+ return funded by the securities book; cancel treasury shares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Independent chair; accountability for the ERP and recall failures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Fair-price take-private with majority-of-minority protection (peer-margin value ~¥7,000–7,400/share)</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8 directors, 4 outside (50%); kansayaku structure. Representative Chairman Katsuhisa Ezaki (85; President 1982–2022) still sets individual director pay; his son Etsuro President since 2022. 2024 SAP S/4HANA go-live halted chilled/dairy shipments for ~7 months (¥6.4bn direct loss; ~¥34bn project); 2025 chocolate recall; OP missed the board's own pay targets by &gt;40% in FY24 and FY25. Dalton proposals all defeated (2024 articles item won 42.9%; 2026 board nominees lost), but the company conceded AGM dividend rights (2025) and a ¥25bn / 7.2% buyback (Feb-26).</w:t>
            </w:r>
          </w:p>
        </w:tc>
      </w:tr>
    </w:tbl>
    <w:p>
      <w:pPr>
        <w:spacing w:after="0"/>
      </w:pPr>
      <w:r>
        <w:br w:type="page"/>
      </w:r>
    </w:p>
    <w:p>
      <w:pPr>
        <w:spacing w:after="0" w:before="0" w:line="240" w:lineRule="auto"/>
      </w:pPr>
      <w:r>
        <w:rPr>
          <w:rFonts w:ascii="Calibri" w:hAnsi="Calibri" w:eastAsia="Calibri"/>
          <w:b/>
          <w:i w:val="0"/>
          <w:color w:val="0F5C4A"/>
          <w:sz w:val="24"/>
        </w:rPr>
        <w:t>10 · Santen Pharmaceutical (4536 JT)</w:t>
      </w:r>
      <w:r>
        <w:rPr>
          <w:rFonts w:ascii="Calibri" w:hAnsi="Calibri" w:eastAsia="Calibri"/>
          <w:b w:val="0"/>
          <w:i w:val="0"/>
          <w:color w:val="555555"/>
          <w:sz w:val="17"/>
        </w:rPr>
        <w:t xml:space="preserve">   Pharmaceuticals (ophthalmology)</w:t>
      </w:r>
      <w:r>
        <w:rPr>
          <w:rFonts w:ascii="Calibri" w:hAnsi="Calibri" w:eastAsia="Calibri"/>
          <w:b/>
          <w:i w:val="0"/>
          <w:color w:val="0F5C4A"/>
          <w:sz w:val="17"/>
        </w:rPr>
        <w:t xml:space="preserve">   Conviction: Medium–Low</w:t>
      </w:r>
    </w:p>
    <w:p>
      <w:pPr>
        <w:spacing w:after="60" w:before="0" w:line="240" w:lineRule="auto"/>
      </w:pPr>
      <w:r>
        <w:rPr>
          <w:rFonts w:ascii="Calibri" w:hAnsi="Calibri" w:eastAsia="Calibri"/>
          <w:b w:val="0"/>
          <w:i w:val="0"/>
          <w:color w:val="555555"/>
          <w:sz w:val="15"/>
        </w:rPr>
        <w:t>Price ¥1,699.5 · Mkt cap ¥545.9bn (US$3.47bn) · EV ¥499.7bn (US$3.17bn) · LTM revenue ¥291.8bn, EBIT ¥46.8bn, EBITDA ¥65.3bn · Net cash ¥46.1bn (Mar-26) · FY3/27 core OP guide ¥59bn</w:t>
      </w:r>
    </w:p>
    <w:p>
      <w:pPr>
        <w:spacing w:after="60" w:before="0" w:line="240" w:lineRule="auto"/>
      </w:pPr>
      <w:r>
        <w:rPr>
          <w:rFonts w:ascii="Calibri" w:hAnsi="Calibri" w:eastAsia="Calibri"/>
          <w:b/>
          <w:i w:val="0"/>
          <w:color w:val="A61B1B"/>
          <w:sz w:val="15"/>
        </w:rPr>
        <w:t>Screen note: Santen beats a weak domestic pharma peer group and earns above-peer margins — it qualifies on TOPIX underperformance (−102pp over 5Y) and capital-allocation record, not on sector-relative TSR.</w:t>
      </w:r>
    </w:p>
    <w:tbl>
      <w:tblPr>
        <w:tblW w:type="dxa" w:w="14400"/>
        <w:tblLook w:firstColumn="1" w:firstRow="1" w:lastColumn="0" w:lastRow="0" w:noHBand="0" w:noVBand="1" w:val="04A0"/>
        <w:tblBorders>
          <w:top w:val="nil"/>
          <w:left w:val="nil"/>
          <w:bottom w:val="nil"/>
          <w:right w:val="nil"/>
          <w:insideH w:val="nil"/>
          <w:insideV w:val="nil"/>
        </w:tblBorders>
        <w:tblLayout w:type="fixed"/>
        <w:tblCellMar>
          <w:top w:w="0" w:type="dxa"/>
          <w:left w:w="0" w:type="dxa"/>
          <w:bottom w:w="0" w:type="dxa"/>
          <w:right w:w="100" w:type="dxa"/>
        </w:tblCellMar>
        <w:tblLayout w:type="fixed"/>
      </w:tblPr>
      <w:tblGrid>
        <w:gridCol w:w="6552"/>
        <w:gridCol w:w="7848"/>
      </w:tblGrid>
      <w:tr>
        <w:tc>
          <w:tcPr>
            <w:tcW w:type="dxa" w:w="6552"/>
          </w:tcPr>
          <w:p>
            <w:pPr>
              <w:spacing w:after="0" w:before="0" w:line="240" w:lineRule="auto"/>
            </w:pPr>
            <w:r/>
            <w:r>
              <w:rPr>
                <w:rFonts w:ascii="Calibri" w:hAnsi="Calibri" w:eastAsia="Calibri"/>
                <w:b/>
                <w:i w:val="0"/>
                <w:color w:val="0F5C4A"/>
                <w:sz w:val="19"/>
              </w:rPr>
              <w:t>Total shareholder return (JPY, dividends included)</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520"/>
              <w:gridCol w:w="1296"/>
              <w:gridCol w:w="1296"/>
              <w:gridCol w:w="1368"/>
            </w:tblGrid>
            <w:tr>
              <w:tc>
                <w:tcPr>
                  <w:tcW w:type="dxa" w:w="2520"/>
                  <w:shd w:val="clear" w:color="auto" w:fill="0F5C4A"/>
                </w:tcPr>
                <w:p>
                  <w:pPr>
                    <w:spacing w:after="0" w:before="0" w:line="240" w:lineRule="auto"/>
                  </w:pPr>
                  <w:r/>
                  <w:r>
                    <w:rPr>
                      <w:rFonts w:ascii="Calibri" w:hAnsi="Calibri" w:eastAsia="Calibri"/>
                      <w:b/>
                      <w:i w:val="0"/>
                      <w:color w:val="FFFFFF"/>
                      <w:sz w:val="16"/>
                    </w:rPr>
                    <w:t>TSR</w:t>
                  </w:r>
                </w:p>
              </w:tc>
              <w:tc>
                <w:tcPr>
                  <w:tcW w:type="dxa" w:w="1296"/>
                  <w:shd w:val="clear" w:color="auto" w:fill="0F5C4A"/>
                </w:tcPr>
                <w:p>
                  <w:pPr>
                    <w:spacing w:after="0" w:before="0" w:line="240" w:lineRule="auto"/>
                  </w:pPr>
                  <w:r/>
                  <w:r>
                    <w:rPr>
                      <w:rFonts w:ascii="Calibri" w:hAnsi="Calibri" w:eastAsia="Calibri"/>
                      <w:b/>
                      <w:i w:val="0"/>
                      <w:color w:val="FFFFFF"/>
                      <w:sz w:val="16"/>
                    </w:rPr>
                    <w:t>1Y</w:t>
                  </w:r>
                </w:p>
              </w:tc>
              <w:tc>
                <w:tcPr>
                  <w:tcW w:type="dxa" w:w="1296"/>
                  <w:shd w:val="clear" w:color="auto" w:fill="0F5C4A"/>
                </w:tcPr>
                <w:p>
                  <w:pPr>
                    <w:spacing w:after="0" w:before="0" w:line="240" w:lineRule="auto"/>
                  </w:pPr>
                  <w:r/>
                  <w:r>
                    <w:rPr>
                      <w:rFonts w:ascii="Calibri" w:hAnsi="Calibri" w:eastAsia="Calibri"/>
                      <w:b/>
                      <w:i w:val="0"/>
                      <w:color w:val="FFFFFF"/>
                      <w:sz w:val="16"/>
                    </w:rPr>
                    <w:t>3Y</w:t>
                  </w:r>
                </w:p>
              </w:tc>
              <w:tc>
                <w:tcPr>
                  <w:tcW w:type="dxa" w:w="1368"/>
                  <w:shd w:val="clear" w:color="auto" w:fill="0F5C4A"/>
                </w:tcPr>
                <w:p>
                  <w:pPr>
                    <w:spacing w:after="0" w:before="0" w:line="240" w:lineRule="auto"/>
                  </w:pPr>
                  <w:r/>
                  <w:r>
                    <w:rPr>
                      <w:rFonts w:ascii="Calibri" w:hAnsi="Calibri" w:eastAsia="Calibri"/>
                      <w:b/>
                      <w:i w:val="0"/>
                      <w:color w:val="FFFFFF"/>
                      <w:sz w:val="16"/>
                    </w:rPr>
                    <w:t>5Y</w:t>
                  </w:r>
                </w:p>
              </w:tc>
            </w:tr>
            <w:tr>
              <w:tc>
                <w:tcPr>
                  <w:tcW w:type="dxa" w:w="2520"/>
                </w:tcPr>
                <w:p>
                  <w:pPr>
                    <w:spacing w:after="0" w:before="0" w:line="240" w:lineRule="auto"/>
                  </w:pPr>
                  <w:r/>
                  <w:r>
                    <w:rPr>
                      <w:rFonts w:ascii="Calibri" w:hAnsi="Calibri" w:eastAsia="Calibri"/>
                      <w:b/>
                      <w:i w:val="0"/>
                      <w:color w:val="1A1A1A"/>
                      <w:sz w:val="16"/>
                    </w:rPr>
                    <w:t>Santen</w:t>
                  </w:r>
                </w:p>
              </w:tc>
              <w:tc>
                <w:tcPr>
                  <w:tcW w:type="dxa" w:w="1296"/>
                </w:tcPr>
                <w:p>
                  <w:pPr>
                    <w:spacing w:after="0" w:before="0" w:line="240" w:lineRule="auto"/>
                  </w:pPr>
                  <w:r/>
                  <w:r>
                    <w:rPr>
                      <w:rFonts w:ascii="Calibri" w:hAnsi="Calibri" w:eastAsia="Calibri"/>
                      <w:b/>
                      <w:i w:val="0"/>
                      <w:color w:val="1A1A1A"/>
                      <w:sz w:val="16"/>
                    </w:rPr>
                    <w:t>+14.6%</w:t>
                  </w:r>
                </w:p>
              </w:tc>
              <w:tc>
                <w:tcPr>
                  <w:tcW w:type="dxa" w:w="1296"/>
                </w:tcPr>
                <w:p>
                  <w:pPr>
                    <w:spacing w:after="0" w:before="0" w:line="240" w:lineRule="auto"/>
                  </w:pPr>
                  <w:r/>
                  <w:r>
                    <w:rPr>
                      <w:rFonts w:ascii="Calibri" w:hAnsi="Calibri" w:eastAsia="Calibri"/>
                      <w:b/>
                      <w:i w:val="0"/>
                      <w:color w:val="1A1A1A"/>
                      <w:sz w:val="16"/>
                    </w:rPr>
                    <w:t>+36.2%</w:t>
                  </w:r>
                </w:p>
              </w:tc>
              <w:tc>
                <w:tcPr>
                  <w:tcW w:type="dxa" w:w="1368"/>
                </w:tcPr>
                <w:p>
                  <w:pPr>
                    <w:spacing w:after="0" w:before="0" w:line="240" w:lineRule="auto"/>
                  </w:pPr>
                  <w:r/>
                  <w:r>
                    <w:rPr>
                      <w:rFonts w:ascii="Calibri" w:hAnsi="Calibri" w:eastAsia="Calibri"/>
                      <w:b/>
                      <w:i w:val="0"/>
                      <w:color w:val="1A1A1A"/>
                      <w:sz w:val="16"/>
                    </w:rPr>
                    <w:t>+26.9%</w:t>
                  </w:r>
                </w:p>
              </w:tc>
            </w:tr>
            <w:tr>
              <w:tc>
                <w:tcPr>
                  <w:tcW w:type="dxa" w:w="2520"/>
                  <w:shd w:val="clear" w:color="auto" w:fill="EEF4F2"/>
                </w:tcPr>
                <w:p>
                  <w:pPr>
                    <w:spacing w:after="0" w:before="0" w:line="240" w:lineRule="auto"/>
                  </w:pPr>
                  <w:r/>
                  <w:r>
                    <w:rPr>
                      <w:rFonts w:ascii="Calibri" w:hAnsi="Calibri" w:eastAsia="Calibri"/>
                      <w:b w:val="0"/>
                      <w:i w:val="0"/>
                      <w:color w:val="1A1A1A"/>
                      <w:sz w:val="16"/>
                    </w:rPr>
                    <w:t>Sector median</w:t>
                  </w:r>
                </w:p>
              </w:tc>
              <w:tc>
                <w:tcPr>
                  <w:tcW w:type="dxa" w:w="1296"/>
                  <w:shd w:val="clear" w:color="auto" w:fill="EEF4F2"/>
                </w:tcPr>
                <w:p>
                  <w:pPr>
                    <w:spacing w:after="0" w:before="0" w:line="240" w:lineRule="auto"/>
                  </w:pPr>
                  <w:r/>
                  <w:r>
                    <w:rPr>
                      <w:rFonts w:ascii="Calibri" w:hAnsi="Calibri" w:eastAsia="Calibri"/>
                      <w:b w:val="0"/>
                      <w:i w:val="0"/>
                      <w:color w:val="1A1A1A"/>
                      <w:sz w:val="16"/>
                    </w:rPr>
                    <w:t>+9.6%</w:t>
                  </w:r>
                </w:p>
              </w:tc>
              <w:tc>
                <w:tcPr>
                  <w:tcW w:type="dxa" w:w="1296"/>
                  <w:shd w:val="clear" w:color="auto" w:fill="EEF4F2"/>
                </w:tcPr>
                <w:p>
                  <w:pPr>
                    <w:spacing w:after="0" w:before="0" w:line="240" w:lineRule="auto"/>
                  </w:pPr>
                  <w:r/>
                  <w:r>
                    <w:rPr>
                      <w:rFonts w:ascii="Calibri" w:hAnsi="Calibri" w:eastAsia="Calibri"/>
                      <w:b w:val="0"/>
                      <w:i w:val="0"/>
                      <w:color w:val="1A1A1A"/>
                      <w:sz w:val="16"/>
                    </w:rPr>
                    <w:t>+4.3%</w:t>
                  </w:r>
                </w:p>
              </w:tc>
              <w:tc>
                <w:tcPr>
                  <w:tcW w:type="dxa" w:w="1368"/>
                  <w:shd w:val="clear" w:color="auto" w:fill="EEF4F2"/>
                </w:tcPr>
                <w:p>
                  <w:pPr>
                    <w:spacing w:after="0" w:before="0" w:line="240" w:lineRule="auto"/>
                  </w:pPr>
                  <w:r/>
                  <w:r>
                    <w:rPr>
                      <w:rFonts w:ascii="Calibri" w:hAnsi="Calibri" w:eastAsia="Calibri"/>
                      <w:b w:val="0"/>
                      <w:i w:val="0"/>
                      <w:color w:val="1A1A1A"/>
                      <w:sz w:val="16"/>
                    </w:rPr>
                    <w:t>+10.1%</w:t>
                  </w:r>
                </w:p>
              </w:tc>
            </w:tr>
            <w:tr>
              <w:tc>
                <w:tcPr>
                  <w:tcW w:type="dxa" w:w="2520"/>
                </w:tcPr>
                <w:p>
                  <w:pPr>
                    <w:spacing w:after="0" w:before="0" w:line="240" w:lineRule="auto"/>
                  </w:pPr>
                  <w:r/>
                  <w:r>
                    <w:rPr>
                      <w:rFonts w:ascii="Calibri" w:hAnsi="Calibri" w:eastAsia="Calibri"/>
                      <w:b w:val="0"/>
                      <w:i w:val="0"/>
                      <w:color w:val="1A1A1A"/>
                      <w:sz w:val="16"/>
                    </w:rPr>
                    <w:t>TOPIX TR</w:t>
                  </w:r>
                </w:p>
              </w:tc>
              <w:tc>
                <w:tcPr>
                  <w:tcW w:type="dxa" w:w="1296"/>
                </w:tcPr>
                <w:p>
                  <w:pPr>
                    <w:spacing w:after="0" w:before="0" w:line="240" w:lineRule="auto"/>
                  </w:pPr>
                  <w:r/>
                  <w:r>
                    <w:rPr>
                      <w:rFonts w:ascii="Calibri" w:hAnsi="Calibri" w:eastAsia="Calibri"/>
                      <w:b w:val="0"/>
                      <w:i w:val="0"/>
                      <w:color w:val="1A1A1A"/>
                      <w:sz w:val="16"/>
                    </w:rPr>
                    <w:t>+33.9%</w:t>
                  </w:r>
                </w:p>
              </w:tc>
              <w:tc>
                <w:tcPr>
                  <w:tcW w:type="dxa" w:w="1296"/>
                </w:tcPr>
                <w:p>
                  <w:pPr>
                    <w:spacing w:after="0" w:before="0" w:line="240" w:lineRule="auto"/>
                  </w:pPr>
                  <w:r/>
                  <w:r>
                    <w:rPr>
                      <w:rFonts w:ascii="Calibri" w:hAnsi="Calibri" w:eastAsia="Calibri"/>
                      <w:b w:val="0"/>
                      <w:i w:val="0"/>
                      <w:color w:val="1A1A1A"/>
                      <w:sz w:val="16"/>
                    </w:rPr>
                    <w:t>+89.7%</w:t>
                  </w:r>
                </w:p>
              </w:tc>
              <w:tc>
                <w:tcPr>
                  <w:tcW w:type="dxa" w:w="1368"/>
                </w:tcPr>
                <w:p>
                  <w:pPr>
                    <w:spacing w:after="0" w:before="0" w:line="240" w:lineRule="auto"/>
                  </w:pPr>
                  <w:r/>
                  <w:r>
                    <w:rPr>
                      <w:rFonts w:ascii="Calibri" w:hAnsi="Calibri" w:eastAsia="Calibri"/>
                      <w:b w:val="0"/>
                      <w:i w:val="0"/>
                      <w:color w:val="1A1A1A"/>
                      <w:sz w:val="16"/>
                    </w:rPr>
                    <w:t>+128.7%</w:t>
                  </w:r>
                </w:p>
              </w:tc>
            </w:tr>
          </w:tbl>
          <w:p>
            <w:pPr>
              <w:spacing w:after="40" w:before="0" w:line="240" w:lineRule="auto"/>
            </w:pPr>
            <w:r>
              <w:rPr>
                <w:rFonts w:ascii="Calibri" w:hAnsi="Calibri" w:eastAsia="Calibri"/>
                <w:b w:val="0"/>
                <w:i/>
                <w:color w:val="555555"/>
                <w:sz w:val="14"/>
              </w:rPr>
              <w:t>Peers: Rohto, Nippon Shinyaku, Kaken, Kissei, Mochida.</w:t>
            </w:r>
          </w:p>
          <w:p>
            <w:pPr>
              <w:keepNext/>
              <w:spacing w:after="20" w:before="100" w:line="240" w:lineRule="auto"/>
            </w:pPr>
            <w:r>
              <w:rPr>
                <w:rFonts w:ascii="Calibri" w:hAnsi="Calibri" w:eastAsia="Calibri"/>
                <w:b/>
                <w:i w:val="0"/>
                <w:color w:val="0F5C4A"/>
                <w:sz w:val="19"/>
              </w:rPr>
              <w:t>Valuation, margins and leverage (LTM) vs peer median</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2376"/>
              <w:gridCol w:w="2520"/>
              <w:gridCol w:w="1584"/>
            </w:tblGrid>
            <w:tr>
              <w:tc>
                <w:tcPr>
                  <w:tcW w:type="dxa" w:w="2376"/>
                  <w:shd w:val="clear" w:color="auto" w:fill="0F5C4A"/>
                </w:tcPr>
                <w:p>
                  <w:pPr>
                    <w:spacing w:after="0" w:before="0" w:line="240" w:lineRule="auto"/>
                  </w:pPr>
                  <w:r/>
                  <w:r>
                    <w:rPr>
                      <w:rFonts w:ascii="Calibri" w:hAnsi="Calibri" w:eastAsia="Calibri"/>
                      <w:b/>
                      <w:i w:val="0"/>
                      <w:color w:val="FFFFFF"/>
                      <w:sz w:val="16"/>
                    </w:rPr>
                    <w:t>Metric</w:t>
                  </w:r>
                </w:p>
              </w:tc>
              <w:tc>
                <w:tcPr>
                  <w:tcW w:type="dxa" w:w="2520"/>
                  <w:shd w:val="clear" w:color="auto" w:fill="0F5C4A"/>
                </w:tcPr>
                <w:p>
                  <w:pPr>
                    <w:spacing w:after="0" w:before="0" w:line="240" w:lineRule="auto"/>
                  </w:pPr>
                  <w:r/>
                  <w:r>
                    <w:rPr>
                      <w:rFonts w:ascii="Calibri" w:hAnsi="Calibri" w:eastAsia="Calibri"/>
                      <w:b/>
                      <w:i w:val="0"/>
                      <w:color w:val="FFFFFF"/>
                      <w:sz w:val="16"/>
                    </w:rPr>
                    <w:t>Santen</w:t>
                  </w:r>
                </w:p>
              </w:tc>
              <w:tc>
                <w:tcPr>
                  <w:tcW w:type="dxa" w:w="1584"/>
                  <w:shd w:val="clear" w:color="auto" w:fill="0F5C4A"/>
                </w:tcPr>
                <w:p>
                  <w:pPr>
                    <w:spacing w:after="0" w:before="0" w:line="240" w:lineRule="auto"/>
                  </w:pPr>
                  <w:r/>
                  <w:r>
                    <w:rPr>
                      <w:rFonts w:ascii="Calibri" w:hAnsi="Calibri" w:eastAsia="Calibri"/>
                      <w:b/>
                      <w:i w:val="0"/>
                      <w:color w:val="FFFFFF"/>
                      <w:sz w:val="16"/>
                    </w:rPr>
                    <w:t>Peer median</w:t>
                  </w:r>
                </w:p>
              </w:tc>
            </w:tr>
            <w:tr>
              <w:tc>
                <w:tcPr>
                  <w:tcW w:type="dxa" w:w="2376"/>
                </w:tcPr>
                <w:p>
                  <w:pPr>
                    <w:spacing w:after="0" w:before="0" w:line="240" w:lineRule="auto"/>
                  </w:pPr>
                  <w:r/>
                  <w:r>
                    <w:rPr>
                      <w:rFonts w:ascii="Calibri" w:hAnsi="Calibri" w:eastAsia="Calibri"/>
                      <w:b w:val="0"/>
                      <w:i w:val="0"/>
                      <w:color w:val="1A1A1A"/>
                      <w:sz w:val="16"/>
                    </w:rPr>
                    <w:t>EV/Sales</w:t>
                  </w:r>
                </w:p>
              </w:tc>
              <w:tc>
                <w:tcPr>
                  <w:tcW w:type="dxa" w:w="2520"/>
                </w:tcPr>
                <w:p>
                  <w:pPr>
                    <w:spacing w:after="0" w:before="0" w:line="240" w:lineRule="auto"/>
                  </w:pPr>
                  <w:r/>
                  <w:r>
                    <w:rPr>
                      <w:rFonts w:ascii="Calibri" w:hAnsi="Calibri" w:eastAsia="Calibri"/>
                      <w:b w:val="0"/>
                      <w:i w:val="0"/>
                      <w:color w:val="1A1A1A"/>
                      <w:sz w:val="16"/>
                    </w:rPr>
                    <w:t>1.71x</w:t>
                  </w:r>
                </w:p>
              </w:tc>
              <w:tc>
                <w:tcPr>
                  <w:tcW w:type="dxa" w:w="1584"/>
                </w:tcPr>
                <w:p>
                  <w:pPr>
                    <w:spacing w:after="0" w:before="0" w:line="240" w:lineRule="auto"/>
                  </w:pPr>
                  <w:r/>
                  <w:r>
                    <w:rPr>
                      <w:rFonts w:ascii="Calibri" w:hAnsi="Calibri" w:eastAsia="Calibri"/>
                      <w:b w:val="0"/>
                      <w:i w:val="0"/>
                      <w:color w:val="1A1A1A"/>
                      <w:sz w:val="16"/>
                    </w:rPr>
                    <w:t>1.02x</w:t>
                  </w:r>
                </w:p>
              </w:tc>
            </w:tr>
            <w:tr>
              <w:tc>
                <w:tcPr>
                  <w:tcW w:type="dxa" w:w="2376"/>
                  <w:shd w:val="clear" w:color="auto" w:fill="EEF4F2"/>
                </w:tcPr>
                <w:p>
                  <w:pPr>
                    <w:spacing w:after="0" w:before="0" w:line="240" w:lineRule="auto"/>
                  </w:pPr>
                  <w:r/>
                  <w:r>
                    <w:rPr>
                      <w:rFonts w:ascii="Calibri" w:hAnsi="Calibri" w:eastAsia="Calibri"/>
                      <w:b w:val="0"/>
                      <w:i w:val="0"/>
                      <w:color w:val="1A1A1A"/>
                      <w:sz w:val="16"/>
                    </w:rPr>
                    <w:t>EV/EBIT</w:t>
                  </w:r>
                </w:p>
              </w:tc>
              <w:tc>
                <w:tcPr>
                  <w:tcW w:type="dxa" w:w="2520"/>
                  <w:shd w:val="clear" w:color="auto" w:fill="EEF4F2"/>
                </w:tcPr>
                <w:p>
                  <w:pPr>
                    <w:spacing w:after="0" w:before="0" w:line="240" w:lineRule="auto"/>
                  </w:pPr>
                  <w:r/>
                  <w:r>
                    <w:rPr>
                      <w:rFonts w:ascii="Calibri" w:hAnsi="Calibri" w:eastAsia="Calibri"/>
                      <w:b w:val="0"/>
                      <w:i w:val="0"/>
                      <w:color w:val="1A1A1A"/>
                      <w:sz w:val="16"/>
                    </w:rPr>
                    <w:t>10.7x</w:t>
                  </w:r>
                </w:p>
              </w:tc>
              <w:tc>
                <w:tcPr>
                  <w:tcW w:type="dxa" w:w="1584"/>
                  <w:shd w:val="clear" w:color="auto" w:fill="EEF4F2"/>
                </w:tcPr>
                <w:p>
                  <w:pPr>
                    <w:spacing w:after="0" w:before="0" w:line="240" w:lineRule="auto"/>
                  </w:pPr>
                  <w:r/>
                  <w:r>
                    <w:rPr>
                      <w:rFonts w:ascii="Calibri" w:hAnsi="Calibri" w:eastAsia="Calibri"/>
                      <w:b w:val="0"/>
                      <w:i w:val="0"/>
                      <w:color w:val="1A1A1A"/>
                      <w:sz w:val="16"/>
                    </w:rPr>
                    <w:t>8.7x</w:t>
                  </w:r>
                </w:p>
              </w:tc>
            </w:tr>
            <w:tr>
              <w:tc>
                <w:tcPr>
                  <w:tcW w:type="dxa" w:w="2376"/>
                </w:tcPr>
                <w:p>
                  <w:pPr>
                    <w:spacing w:after="0" w:before="0" w:line="240" w:lineRule="auto"/>
                  </w:pPr>
                  <w:r/>
                  <w:r>
                    <w:rPr>
                      <w:rFonts w:ascii="Calibri" w:hAnsi="Calibri" w:eastAsia="Calibri"/>
                      <w:b w:val="0"/>
                      <w:i w:val="0"/>
                      <w:color w:val="1A1A1A"/>
                      <w:sz w:val="16"/>
                    </w:rPr>
                    <w:t>EV/EBITDA</w:t>
                  </w:r>
                </w:p>
              </w:tc>
              <w:tc>
                <w:tcPr>
                  <w:tcW w:type="dxa" w:w="2520"/>
                </w:tcPr>
                <w:p>
                  <w:pPr>
                    <w:spacing w:after="0" w:before="0" w:line="240" w:lineRule="auto"/>
                  </w:pPr>
                  <w:r/>
                  <w:r>
                    <w:rPr>
                      <w:rFonts w:ascii="Calibri" w:hAnsi="Calibri" w:eastAsia="Calibri"/>
                      <w:b w:val="0"/>
                      <w:i w:val="0"/>
                      <w:color w:val="1A1A1A"/>
                      <w:sz w:val="16"/>
                    </w:rPr>
                    <w:t>7.6x</w:t>
                  </w:r>
                </w:p>
              </w:tc>
              <w:tc>
                <w:tcPr>
                  <w:tcW w:type="dxa" w:w="1584"/>
                </w:tcPr>
                <w:p>
                  <w:pPr>
                    <w:spacing w:after="0" w:before="0" w:line="240" w:lineRule="auto"/>
                  </w:pPr>
                  <w:r/>
                  <w:r>
                    <w:rPr>
                      <w:rFonts w:ascii="Calibri" w:hAnsi="Calibri" w:eastAsia="Calibri"/>
                      <w:b w:val="0"/>
                      <w:i w:val="0"/>
                      <w:color w:val="1A1A1A"/>
                      <w:sz w:val="16"/>
                    </w:rPr>
                    <w:t>6.6x</w:t>
                  </w:r>
                </w:p>
              </w:tc>
            </w:tr>
            <w:tr>
              <w:tc>
                <w:tcPr>
                  <w:tcW w:type="dxa" w:w="2376"/>
                  <w:shd w:val="clear" w:color="auto" w:fill="EEF4F2"/>
                </w:tcPr>
                <w:p>
                  <w:pPr>
                    <w:spacing w:after="0" w:before="0" w:line="240" w:lineRule="auto"/>
                  </w:pPr>
                  <w:r/>
                  <w:r>
                    <w:rPr>
                      <w:rFonts w:ascii="Calibri" w:hAnsi="Calibri" w:eastAsia="Calibri"/>
                      <w:b w:val="0"/>
                      <w:i w:val="0"/>
                      <w:color w:val="1A1A1A"/>
                      <w:sz w:val="16"/>
                    </w:rPr>
                    <w:t>P/E</w:t>
                  </w:r>
                </w:p>
              </w:tc>
              <w:tc>
                <w:tcPr>
                  <w:tcW w:type="dxa" w:w="2520"/>
                  <w:shd w:val="clear" w:color="auto" w:fill="EEF4F2"/>
                </w:tcPr>
                <w:p>
                  <w:pPr>
                    <w:spacing w:after="0" w:before="0" w:line="240" w:lineRule="auto"/>
                  </w:pPr>
                  <w:r/>
                  <w:r>
                    <w:rPr>
                      <w:rFonts w:ascii="Calibri" w:hAnsi="Calibri" w:eastAsia="Calibri"/>
                      <w:b w:val="0"/>
                      <w:i w:val="0"/>
                      <w:color w:val="1A1A1A"/>
                      <w:sz w:val="16"/>
                    </w:rPr>
                    <w:t>14.1x</w:t>
                  </w:r>
                </w:p>
              </w:tc>
              <w:tc>
                <w:tcPr>
                  <w:tcW w:type="dxa" w:w="1584"/>
                  <w:shd w:val="clear" w:color="auto" w:fill="EEF4F2"/>
                </w:tcPr>
                <w:p>
                  <w:pPr>
                    <w:spacing w:after="0" w:before="0" w:line="240" w:lineRule="auto"/>
                  </w:pPr>
                  <w:r/>
                  <w:r>
                    <w:rPr>
                      <w:rFonts w:ascii="Calibri" w:hAnsi="Calibri" w:eastAsia="Calibri"/>
                      <w:b w:val="0"/>
                      <w:i w:val="0"/>
                      <w:color w:val="1A1A1A"/>
                      <w:sz w:val="16"/>
                    </w:rPr>
                    <w:t>12.2x</w:t>
                  </w:r>
                </w:p>
              </w:tc>
            </w:tr>
            <w:tr>
              <w:tc>
                <w:tcPr>
                  <w:tcW w:type="dxa" w:w="2376"/>
                </w:tcPr>
                <w:p>
                  <w:pPr>
                    <w:spacing w:after="0" w:before="0" w:line="240" w:lineRule="auto"/>
                  </w:pPr>
                  <w:r/>
                  <w:r>
                    <w:rPr>
                      <w:rFonts w:ascii="Calibri" w:hAnsi="Calibri" w:eastAsia="Calibri"/>
                      <w:b w:val="0"/>
                      <w:i w:val="0"/>
                      <w:color w:val="1A1A1A"/>
                      <w:sz w:val="16"/>
                    </w:rPr>
                    <w:t>FCF yield</w:t>
                  </w:r>
                </w:p>
              </w:tc>
              <w:tc>
                <w:tcPr>
                  <w:tcW w:type="dxa" w:w="2520"/>
                </w:tcPr>
                <w:p>
                  <w:pPr>
                    <w:spacing w:after="0" w:before="0" w:line="240" w:lineRule="auto"/>
                  </w:pPr>
                  <w:r/>
                  <w:r>
                    <w:rPr>
                      <w:rFonts w:ascii="Calibri" w:hAnsi="Calibri" w:eastAsia="Calibri"/>
                      <w:b w:val="0"/>
                      <w:i w:val="0"/>
                      <w:color w:val="1A1A1A"/>
                      <w:sz w:val="16"/>
                    </w:rPr>
                    <w:t>6.4%</w:t>
                  </w:r>
                </w:p>
              </w:tc>
              <w:tc>
                <w:tcPr>
                  <w:tcW w:type="dxa" w:w="1584"/>
                </w:tcPr>
                <w:p>
                  <w:pPr>
                    <w:spacing w:after="0" w:before="0" w:line="240" w:lineRule="auto"/>
                  </w:pPr>
                  <w:r/>
                  <w:r>
                    <w:rPr>
                      <w:rFonts w:ascii="Calibri" w:hAnsi="Calibri" w:eastAsia="Calibri"/>
                      <w:b w:val="0"/>
                      <w:i w:val="0"/>
                      <w:color w:val="1A1A1A"/>
                      <w:sz w:val="16"/>
                    </w:rPr>
                    <w:t>−4.0%</w:t>
                  </w:r>
                </w:p>
              </w:tc>
            </w:tr>
            <w:tr>
              <w:tc>
                <w:tcPr>
                  <w:tcW w:type="dxa" w:w="2376"/>
                  <w:shd w:val="clear" w:color="auto" w:fill="EEF4F2"/>
                </w:tcPr>
                <w:p>
                  <w:pPr>
                    <w:spacing w:after="0" w:before="0" w:line="240" w:lineRule="auto"/>
                  </w:pPr>
                  <w:r/>
                  <w:r>
                    <w:rPr>
                      <w:rFonts w:ascii="Calibri" w:hAnsi="Calibri" w:eastAsia="Calibri"/>
                      <w:b w:val="0"/>
                      <w:i w:val="0"/>
                      <w:color w:val="1A1A1A"/>
                      <w:sz w:val="16"/>
                    </w:rPr>
                    <w:t>P/B</w:t>
                  </w:r>
                </w:p>
              </w:tc>
              <w:tc>
                <w:tcPr>
                  <w:tcW w:type="dxa" w:w="2520"/>
                  <w:shd w:val="clear" w:color="auto" w:fill="EEF4F2"/>
                </w:tcPr>
                <w:p>
                  <w:pPr>
                    <w:spacing w:after="0" w:before="0" w:line="240" w:lineRule="auto"/>
                  </w:pPr>
                  <w:r/>
                  <w:r>
                    <w:rPr>
                      <w:rFonts w:ascii="Calibri" w:hAnsi="Calibri" w:eastAsia="Calibri"/>
                      <w:b w:val="0"/>
                      <w:i w:val="0"/>
                      <w:color w:val="1A1A1A"/>
                      <w:sz w:val="16"/>
                    </w:rPr>
                    <w:t>1.82x</w:t>
                  </w:r>
                </w:p>
              </w:tc>
              <w:tc>
                <w:tcPr>
                  <w:tcW w:type="dxa" w:w="1584"/>
                  <w:shd w:val="clear" w:color="auto" w:fill="EEF4F2"/>
                </w:tcPr>
                <w:p>
                  <w:pPr>
                    <w:spacing w:after="0" w:before="0" w:line="240" w:lineRule="auto"/>
                  </w:pPr>
                  <w:r/>
                  <w:r>
                    <w:rPr>
                      <w:rFonts w:ascii="Calibri" w:hAnsi="Calibri" w:eastAsia="Calibri"/>
                      <w:b w:val="0"/>
                      <w:i w:val="0"/>
                      <w:color w:val="1A1A1A"/>
                      <w:sz w:val="16"/>
                    </w:rPr>
                    <w:t>0.80x</w:t>
                  </w:r>
                </w:p>
              </w:tc>
            </w:tr>
            <w:tr>
              <w:tc>
                <w:tcPr>
                  <w:tcW w:type="dxa" w:w="2376"/>
                </w:tcPr>
                <w:p>
                  <w:pPr>
                    <w:spacing w:after="0" w:before="0" w:line="240" w:lineRule="auto"/>
                  </w:pPr>
                  <w:r/>
                  <w:r>
                    <w:rPr>
                      <w:rFonts w:ascii="Calibri" w:hAnsi="Calibri" w:eastAsia="Calibri"/>
                      <w:b w:val="0"/>
                      <w:i w:val="0"/>
                      <w:color w:val="1A1A1A"/>
                      <w:sz w:val="16"/>
                    </w:rPr>
                    <w:t>EBIT margin</w:t>
                  </w:r>
                </w:p>
              </w:tc>
              <w:tc>
                <w:tcPr>
                  <w:tcW w:type="dxa" w:w="2520"/>
                </w:tcPr>
                <w:p>
                  <w:pPr>
                    <w:spacing w:after="0" w:before="0" w:line="240" w:lineRule="auto"/>
                  </w:pPr>
                  <w:r/>
                  <w:r>
                    <w:rPr>
                      <w:rFonts w:ascii="Calibri" w:hAnsi="Calibri" w:eastAsia="Calibri"/>
                      <w:b w:val="0"/>
                      <w:i w:val="0"/>
                      <w:color w:val="1A1A1A"/>
                      <w:sz w:val="16"/>
                    </w:rPr>
                    <w:t>16.0% (core ~19%)</w:t>
                  </w:r>
                </w:p>
              </w:tc>
              <w:tc>
                <w:tcPr>
                  <w:tcW w:type="dxa" w:w="1584"/>
                </w:tcPr>
                <w:p>
                  <w:pPr>
                    <w:spacing w:after="0" w:before="0" w:line="240" w:lineRule="auto"/>
                  </w:pPr>
                  <w:r/>
                  <w:r>
                    <w:rPr>
                      <w:rFonts w:ascii="Calibri" w:hAnsi="Calibri" w:eastAsia="Calibri"/>
                      <w:b w:val="0"/>
                      <w:i w:val="0"/>
                      <w:color w:val="1A1A1A"/>
                      <w:sz w:val="16"/>
                    </w:rPr>
                    <w:t>11.3%</w:t>
                  </w:r>
                </w:p>
              </w:tc>
            </w:tr>
            <w:tr>
              <w:tc>
                <w:tcPr>
                  <w:tcW w:type="dxa" w:w="2376"/>
                  <w:shd w:val="clear" w:color="auto" w:fill="EEF4F2"/>
                </w:tcPr>
                <w:p>
                  <w:pPr>
                    <w:spacing w:after="0" w:before="0" w:line="240" w:lineRule="auto"/>
                  </w:pPr>
                  <w:r/>
                  <w:r>
                    <w:rPr>
                      <w:rFonts w:ascii="Calibri" w:hAnsi="Calibri" w:eastAsia="Calibri"/>
                      <w:b w:val="0"/>
                      <w:i w:val="0"/>
                      <w:color w:val="1A1A1A"/>
                      <w:sz w:val="16"/>
                    </w:rPr>
                    <w:t>EBITDA margin</w:t>
                  </w:r>
                </w:p>
              </w:tc>
              <w:tc>
                <w:tcPr>
                  <w:tcW w:type="dxa" w:w="2520"/>
                  <w:shd w:val="clear" w:color="auto" w:fill="EEF4F2"/>
                </w:tcPr>
                <w:p>
                  <w:pPr>
                    <w:spacing w:after="0" w:before="0" w:line="240" w:lineRule="auto"/>
                  </w:pPr>
                  <w:r/>
                  <w:r>
                    <w:rPr>
                      <w:rFonts w:ascii="Calibri" w:hAnsi="Calibri" w:eastAsia="Calibri"/>
                      <w:b w:val="0"/>
                      <w:i w:val="0"/>
                      <w:color w:val="1A1A1A"/>
                      <w:sz w:val="16"/>
                    </w:rPr>
                    <w:t>22.4%</w:t>
                  </w:r>
                </w:p>
              </w:tc>
              <w:tc>
                <w:tcPr>
                  <w:tcW w:type="dxa" w:w="1584"/>
                  <w:shd w:val="clear" w:color="auto" w:fill="EEF4F2"/>
                </w:tcPr>
                <w:p>
                  <w:pPr>
                    <w:spacing w:after="0" w:before="0" w:line="240" w:lineRule="auto"/>
                  </w:pPr>
                  <w:r/>
                  <w:r>
                    <w:rPr>
                      <w:rFonts w:ascii="Calibri" w:hAnsi="Calibri" w:eastAsia="Calibri"/>
                      <w:b w:val="0"/>
                      <w:i w:val="0"/>
                      <w:color w:val="1A1A1A"/>
                      <w:sz w:val="16"/>
                    </w:rPr>
                    <w:t>15.3%</w:t>
                  </w:r>
                </w:p>
              </w:tc>
            </w:tr>
            <w:tr>
              <w:tc>
                <w:tcPr>
                  <w:tcW w:type="dxa" w:w="2376"/>
                </w:tcPr>
                <w:p>
                  <w:pPr>
                    <w:spacing w:after="0" w:before="0" w:line="240" w:lineRule="auto"/>
                  </w:pPr>
                  <w:r/>
                  <w:r>
                    <w:rPr>
                      <w:rFonts w:ascii="Calibri" w:hAnsi="Calibri" w:eastAsia="Calibri"/>
                      <w:b w:val="0"/>
                      <w:i w:val="0"/>
                      <w:color w:val="1A1A1A"/>
                      <w:sz w:val="16"/>
                    </w:rPr>
                    <w:t>ROE</w:t>
                  </w:r>
                </w:p>
              </w:tc>
              <w:tc>
                <w:tcPr>
                  <w:tcW w:type="dxa" w:w="2520"/>
                </w:tcPr>
                <w:p>
                  <w:pPr>
                    <w:spacing w:after="0" w:before="0" w:line="240" w:lineRule="auto"/>
                  </w:pPr>
                  <w:r/>
                  <w:r>
                    <w:rPr>
                      <w:rFonts w:ascii="Calibri" w:hAnsi="Calibri" w:eastAsia="Calibri"/>
                      <w:b w:val="0"/>
                      <w:i w:val="0"/>
                      <w:color w:val="1A1A1A"/>
                      <w:sz w:val="16"/>
                    </w:rPr>
                    <w:t>12.9% (target &gt;14%)</w:t>
                  </w:r>
                </w:p>
              </w:tc>
              <w:tc>
                <w:tcPr>
                  <w:tcW w:type="dxa" w:w="1584"/>
                </w:tcPr>
                <w:p>
                  <w:pPr>
                    <w:spacing w:after="0" w:before="0" w:line="240" w:lineRule="auto"/>
                  </w:pPr>
                  <w:r/>
                  <w:r>
                    <w:rPr>
                      <w:rFonts w:ascii="Calibri" w:hAnsi="Calibri" w:eastAsia="Calibri"/>
                      <w:b w:val="0"/>
                      <w:i w:val="0"/>
                      <w:color w:val="1A1A1A"/>
                      <w:sz w:val="16"/>
                    </w:rPr>
                    <w:t>6.7%</w:t>
                  </w:r>
                </w:p>
              </w:tc>
            </w:tr>
            <w:tr>
              <w:tc>
                <w:tcPr>
                  <w:tcW w:type="dxa" w:w="2376"/>
                  <w:shd w:val="clear" w:color="auto" w:fill="EEF4F2"/>
                </w:tcPr>
                <w:p>
                  <w:pPr>
                    <w:spacing w:after="0" w:before="0" w:line="240" w:lineRule="auto"/>
                  </w:pPr>
                  <w:r/>
                  <w:r>
                    <w:rPr>
                      <w:rFonts w:ascii="Calibri" w:hAnsi="Calibri" w:eastAsia="Calibri"/>
                      <w:b w:val="0"/>
                      <w:i w:val="0"/>
                      <w:color w:val="1A1A1A"/>
                      <w:sz w:val="16"/>
                    </w:rPr>
                    <w:t>Net debt/EBITDA</w:t>
                  </w:r>
                </w:p>
              </w:tc>
              <w:tc>
                <w:tcPr>
                  <w:tcW w:type="dxa" w:w="2520"/>
                  <w:shd w:val="clear" w:color="auto" w:fill="EEF4F2"/>
                </w:tcPr>
                <w:p>
                  <w:pPr>
                    <w:spacing w:after="0" w:before="0" w:line="240" w:lineRule="auto"/>
                  </w:pPr>
                  <w:r/>
                  <w:r>
                    <w:rPr>
                      <w:rFonts w:ascii="Calibri" w:hAnsi="Calibri" w:eastAsia="Calibri"/>
                      <w:b w:val="0"/>
                      <w:i w:val="0"/>
                      <w:color w:val="1A1A1A"/>
                      <w:sz w:val="16"/>
                    </w:rPr>
                    <w:t>−0.71x (net cash)</w:t>
                  </w:r>
                </w:p>
              </w:tc>
              <w:tc>
                <w:tcPr>
                  <w:tcW w:type="dxa" w:w="1584"/>
                  <w:shd w:val="clear" w:color="auto" w:fill="EEF4F2"/>
                </w:tcPr>
                <w:p>
                  <w:pPr>
                    <w:spacing w:after="0" w:before="0" w:line="240" w:lineRule="auto"/>
                  </w:pPr>
                  <w:r/>
                  <w:r>
                    <w:rPr>
                      <w:rFonts w:ascii="Calibri" w:hAnsi="Calibri" w:eastAsia="Calibri"/>
                      <w:b w:val="0"/>
                      <w:i w:val="0"/>
                      <w:color w:val="1A1A1A"/>
                      <w:sz w:val="16"/>
                    </w:rPr>
                    <w:t>−1.67x</w:t>
                  </w:r>
                </w:p>
              </w:tc>
            </w:tr>
            <w:tr>
              <w:tc>
                <w:tcPr>
                  <w:tcW w:type="dxa" w:w="2376"/>
                </w:tcPr>
                <w:p>
                  <w:pPr>
                    <w:spacing w:after="0" w:before="0" w:line="240" w:lineRule="auto"/>
                  </w:pPr>
                  <w:r/>
                  <w:r>
                    <w:rPr>
                      <w:rFonts w:ascii="Calibri" w:hAnsi="Calibri" w:eastAsia="Calibri"/>
                      <w:b w:val="0"/>
                      <w:i w:val="0"/>
                      <w:color w:val="1A1A1A"/>
                      <w:sz w:val="16"/>
                    </w:rPr>
                    <w:t>Net cash + financial assets / mkt cap</w:t>
                  </w:r>
                </w:p>
              </w:tc>
              <w:tc>
                <w:tcPr>
                  <w:tcW w:type="dxa" w:w="2520"/>
                </w:tcPr>
                <w:p>
                  <w:pPr>
                    <w:spacing w:after="0" w:before="0" w:line="240" w:lineRule="auto"/>
                  </w:pPr>
                  <w:r/>
                  <w:r>
                    <w:rPr>
                      <w:rFonts w:ascii="Calibri" w:hAnsi="Calibri" w:eastAsia="Calibri"/>
                      <w:b w:val="0"/>
                      <w:i w:val="0"/>
                      <w:color w:val="1A1A1A"/>
                      <w:sz w:val="16"/>
                    </w:rPr>
                    <w:t>15%</w:t>
                  </w:r>
                </w:p>
              </w:tc>
              <w:tc>
                <w:tcPr>
                  <w:tcW w:type="dxa" w:w="1584"/>
                </w:tcPr>
                <w:p>
                  <w:pPr>
                    <w:spacing w:after="0" w:before="0" w:line="240" w:lineRule="auto"/>
                  </w:pPr>
                  <w:r/>
                  <w:r>
                    <w:rPr>
                      <w:rFonts w:ascii="Calibri" w:hAnsi="Calibri" w:eastAsia="Calibri"/>
                      <w:b w:val="0"/>
                      <w:i w:val="0"/>
                      <w:color w:val="1A1A1A"/>
                      <w:sz w:val="16"/>
                    </w:rPr>
                    <w:t>61%</w:t>
                  </w:r>
                </w:p>
              </w:tc>
            </w:tr>
          </w:tbl>
          <w:p>
            <w:pPr>
              <w:keepNext/>
              <w:spacing w:after="20" w:before="100" w:line="240" w:lineRule="auto"/>
            </w:pPr>
            <w:r>
              <w:rPr>
                <w:rFonts w:ascii="Calibri" w:hAnsi="Calibri" w:eastAsia="Calibri"/>
                <w:b/>
                <w:i w:val="0"/>
                <w:color w:val="0F5C4A"/>
                <w:sz w:val="19"/>
              </w:rPr>
              <w:t>Top 5 shareholders</w:t>
            </w:r>
          </w:p>
          <w:tbl>
            <w:tblPr>
              <w:tblW w:type="dxa" w:w="6480"/>
              <w:jc w:val="left"/>
              <w:tblLook w:firstColumn="1" w:firstRow="1" w:lastColumn="0" w:lastRow="0" w:noHBand="0" w:noVBand="1" w:val="04A0"/>
              <w:tblBorders>
                <w:top w:val="single" w:sz="4" w:color="BFCFCA"/>
                <w:left w:val="single" w:sz="4" w:color="BFCFCA"/>
                <w:bottom w:val="single" w:sz="4" w:color="BFCFCA"/>
                <w:right w:val="single" w:sz="4" w:color="BFCFCA"/>
                <w:insideH w:val="single" w:sz="4" w:color="BFCFCA"/>
                <w:insideV w:val="single" w:sz="4" w:color="BFCFCA"/>
              </w:tblBorders>
              <w:tblLayout w:type="fixed"/>
              <w:tblCellMar>
                <w:top w:w="30" w:type="dxa"/>
                <w:left w:w="60" w:type="dxa"/>
                <w:bottom w:w="30" w:type="dxa"/>
                <w:right w:w="60" w:type="dxa"/>
              </w:tblCellMar>
              <w:tblLayout w:type="fixed"/>
            </w:tblPr>
            <w:tblGrid>
              <w:gridCol w:w="5544"/>
              <w:gridCol w:w="936"/>
            </w:tblGrid>
            <w:tr>
              <w:tc>
                <w:tcPr>
                  <w:tcW w:type="dxa" w:w="5544"/>
                  <w:shd w:val="clear" w:color="auto" w:fill="0F5C4A"/>
                </w:tcPr>
                <w:p>
                  <w:pPr>
                    <w:spacing w:after="0" w:before="0" w:line="240" w:lineRule="auto"/>
                  </w:pPr>
                  <w:r/>
                  <w:r>
                    <w:rPr>
                      <w:rFonts w:ascii="Calibri" w:hAnsi="Calibri" w:eastAsia="Calibri"/>
                      <w:b/>
                      <w:i w:val="0"/>
                      <w:color w:val="FFFFFF"/>
                      <w:sz w:val="16"/>
                    </w:rPr>
                    <w:t>Holder</w:t>
                  </w:r>
                </w:p>
              </w:tc>
              <w:tc>
                <w:tcPr>
                  <w:tcW w:type="dxa" w:w="936"/>
                  <w:shd w:val="clear" w:color="auto" w:fill="0F5C4A"/>
                </w:tcPr>
                <w:p>
                  <w:pPr>
                    <w:spacing w:after="0" w:before="0" w:line="240" w:lineRule="auto"/>
                  </w:pPr>
                  <w:r/>
                  <w:r>
                    <w:rPr>
                      <w:rFonts w:ascii="Calibri" w:hAnsi="Calibri" w:eastAsia="Calibri"/>
                      <w:b/>
                      <w:i w:val="0"/>
                      <w:color w:val="FFFFFF"/>
                      <w:sz w:val="16"/>
                    </w:rPr>
                    <w:t>%</w:t>
                  </w:r>
                </w:p>
              </w:tc>
            </w:tr>
            <w:tr>
              <w:tc>
                <w:tcPr>
                  <w:tcW w:type="dxa" w:w="5544"/>
                </w:tcPr>
                <w:p>
                  <w:pPr>
                    <w:spacing w:after="0" w:before="0" w:line="240" w:lineRule="auto"/>
                  </w:pPr>
                  <w:r/>
                  <w:r>
                    <w:rPr>
                      <w:rFonts w:ascii="Calibri" w:hAnsi="Calibri" w:eastAsia="Calibri"/>
                      <w:b w:val="0"/>
                      <w:i w:val="0"/>
                      <w:color w:val="1A1A1A"/>
                      <w:sz w:val="16"/>
                    </w:rPr>
                    <w:t>Master Trust Bank of Japan (trust)</w:t>
                  </w:r>
                </w:p>
              </w:tc>
              <w:tc>
                <w:tcPr>
                  <w:tcW w:type="dxa" w:w="936"/>
                </w:tcPr>
                <w:p>
                  <w:pPr>
                    <w:spacing w:after="0" w:before="0" w:line="240" w:lineRule="auto"/>
                  </w:pPr>
                  <w:r/>
                  <w:r>
                    <w:rPr>
                      <w:rFonts w:ascii="Calibri" w:hAnsi="Calibri" w:eastAsia="Calibri"/>
                      <w:b w:val="0"/>
                      <w:i w:val="0"/>
                      <w:color w:val="1A1A1A"/>
                      <w:sz w:val="16"/>
                    </w:rPr>
                    <w:t>17.4%</w:t>
                  </w:r>
                </w:p>
              </w:tc>
            </w:tr>
            <w:tr>
              <w:tc>
                <w:tcPr>
                  <w:tcW w:type="dxa" w:w="5544"/>
                  <w:shd w:val="clear" w:color="auto" w:fill="EEF4F2"/>
                </w:tcPr>
                <w:p>
                  <w:pPr>
                    <w:spacing w:after="0" w:before="0" w:line="240" w:lineRule="auto"/>
                  </w:pPr>
                  <w:r/>
                  <w:r>
                    <w:rPr>
                      <w:rFonts w:ascii="Calibri" w:hAnsi="Calibri" w:eastAsia="Calibri"/>
                      <w:b w:val="0"/>
                      <w:i w:val="0"/>
                      <w:color w:val="1A1A1A"/>
                      <w:sz w:val="16"/>
                    </w:rPr>
                    <w:t>Custody Bank of Japan (trust)</w:t>
                  </w:r>
                </w:p>
              </w:tc>
              <w:tc>
                <w:tcPr>
                  <w:tcW w:type="dxa" w:w="936"/>
                  <w:shd w:val="clear" w:color="auto" w:fill="EEF4F2"/>
                </w:tcPr>
                <w:p>
                  <w:pPr>
                    <w:spacing w:after="0" w:before="0" w:line="240" w:lineRule="auto"/>
                  </w:pPr>
                  <w:r/>
                  <w:r>
                    <w:rPr>
                      <w:rFonts w:ascii="Calibri" w:hAnsi="Calibri" w:eastAsia="Calibri"/>
                      <w:b w:val="0"/>
                      <w:i w:val="0"/>
                      <w:color w:val="1A1A1A"/>
                      <w:sz w:val="16"/>
                    </w:rPr>
                    <w:t>5.7%</w:t>
                  </w:r>
                </w:p>
              </w:tc>
            </w:tr>
            <w:tr>
              <w:tc>
                <w:tcPr>
                  <w:tcW w:type="dxa" w:w="5544"/>
                </w:tcPr>
                <w:p>
                  <w:pPr>
                    <w:spacing w:after="0" w:before="0" w:line="240" w:lineRule="auto"/>
                  </w:pPr>
                  <w:r/>
                  <w:r>
                    <w:rPr>
                      <w:rFonts w:ascii="Calibri" w:hAnsi="Calibri" w:eastAsia="Calibri"/>
                      <w:b w:val="0"/>
                      <w:i w:val="0"/>
                      <w:color w:val="1A1A1A"/>
                      <w:sz w:val="16"/>
                    </w:rPr>
                    <w:t>Northern Trust re Silchester Intl Value Equity Trust</w:t>
                  </w:r>
                </w:p>
              </w:tc>
              <w:tc>
                <w:tcPr>
                  <w:tcW w:type="dxa" w:w="936"/>
                </w:tcPr>
                <w:p>
                  <w:pPr>
                    <w:spacing w:after="0" w:before="0" w:line="240" w:lineRule="auto"/>
                  </w:pPr>
                  <w:r/>
                  <w:r>
                    <w:rPr>
                      <w:rFonts w:ascii="Calibri" w:hAnsi="Calibri" w:eastAsia="Calibri"/>
                      <w:b w:val="0"/>
                      <w:i w:val="0"/>
                      <w:color w:val="1A1A1A"/>
                      <w:sz w:val="16"/>
                    </w:rPr>
                    <w:t>3.8%</w:t>
                  </w:r>
                </w:p>
              </w:tc>
            </w:tr>
            <w:tr>
              <w:tc>
                <w:tcPr>
                  <w:tcW w:type="dxa" w:w="5544"/>
                  <w:shd w:val="clear" w:color="auto" w:fill="EEF4F2"/>
                </w:tcPr>
                <w:p>
                  <w:pPr>
                    <w:spacing w:after="0" w:before="0" w:line="240" w:lineRule="auto"/>
                  </w:pPr>
                  <w:r/>
                  <w:r>
                    <w:rPr>
                      <w:rFonts w:ascii="Calibri" w:hAnsi="Calibri" w:eastAsia="Calibri"/>
                      <w:b w:val="0"/>
                      <w:i w:val="0"/>
                      <w:color w:val="1A1A1A"/>
                      <w:sz w:val="16"/>
                    </w:rPr>
                    <w:t>Nippon Life Insurance</w:t>
                  </w:r>
                </w:p>
              </w:tc>
              <w:tc>
                <w:tcPr>
                  <w:tcW w:type="dxa" w:w="936"/>
                  <w:shd w:val="clear" w:color="auto" w:fill="EEF4F2"/>
                </w:tcPr>
                <w:p>
                  <w:pPr>
                    <w:spacing w:after="0" w:before="0" w:line="240" w:lineRule="auto"/>
                  </w:pPr>
                  <w:r/>
                  <w:r>
                    <w:rPr>
                      <w:rFonts w:ascii="Calibri" w:hAnsi="Calibri" w:eastAsia="Calibri"/>
                      <w:b w:val="0"/>
                      <w:i w:val="0"/>
                      <w:color w:val="1A1A1A"/>
                      <w:sz w:val="16"/>
                    </w:rPr>
                    <w:t>3.3%</w:t>
                  </w:r>
                </w:p>
              </w:tc>
            </w:tr>
            <w:tr>
              <w:tc>
                <w:tcPr>
                  <w:tcW w:type="dxa" w:w="5544"/>
                </w:tcPr>
                <w:p>
                  <w:pPr>
                    <w:spacing w:after="0" w:before="0" w:line="240" w:lineRule="auto"/>
                  </w:pPr>
                  <w:r/>
                  <w:r>
                    <w:rPr>
                      <w:rFonts w:ascii="Calibri" w:hAnsi="Calibri" w:eastAsia="Calibri"/>
                      <w:b w:val="0"/>
                      <w:i w:val="0"/>
                      <w:color w:val="1A1A1A"/>
                      <w:sz w:val="16"/>
                    </w:rPr>
                    <w:t>Northern Trust re US tax-exempt pension funds</w:t>
                  </w:r>
                </w:p>
              </w:tc>
              <w:tc>
                <w:tcPr>
                  <w:tcW w:type="dxa" w:w="936"/>
                </w:tcPr>
                <w:p>
                  <w:pPr>
                    <w:spacing w:after="0" w:before="0" w:line="240" w:lineRule="auto"/>
                  </w:pPr>
                  <w:r/>
                  <w:r>
                    <w:rPr>
                      <w:rFonts w:ascii="Calibri" w:hAnsi="Calibri" w:eastAsia="Calibri"/>
                      <w:b w:val="0"/>
                      <w:i w:val="0"/>
                      <w:color w:val="1A1A1A"/>
                      <w:sz w:val="16"/>
                    </w:rPr>
                    <w:t>2.5%</w:t>
                  </w:r>
                </w:p>
              </w:tc>
            </w:tr>
          </w:tbl>
          <w:p>
            <w:pPr>
              <w:spacing w:after="0" w:before="20" w:line="240" w:lineRule="auto"/>
            </w:pPr>
            <w:r>
              <w:rPr>
                <w:rFonts w:ascii="Calibri" w:hAnsi="Calibri" w:eastAsia="Calibri"/>
                <w:b w:val="0"/>
                <w:i w:val="0"/>
                <w:color w:val="555555"/>
                <w:sz w:val="15"/>
              </w:rPr>
              <w:t>Register 30-Sep-25. Beneficial: Silchester International Investors 8.6% (long-only value). Government of Norway 2.5%, MUFG Bank 2.2%, Ono Pharmaceutical 1.9% (strategic). Foreign ~50% (approx.); no family or corporate bloc; stable holders only ~7–8%.</w:t>
            </w:r>
          </w:p>
        </w:tc>
        <w:tc>
          <w:tcPr>
            <w:tcW w:type="dxa" w:w="7848"/>
          </w:tcPr>
          <w:p>
            <w:pPr>
              <w:spacing w:after="0" w:before="0" w:line="240" w:lineRule="auto"/>
            </w:pPr>
            <w:r/>
            <w:r>
              <w:rPr>
                <w:rFonts w:ascii="Calibri" w:hAnsi="Calibri" w:eastAsia="Calibri"/>
                <w:b/>
                <w:i w:val="0"/>
                <w:color w:val="0F5C4A"/>
                <w:sz w:val="19"/>
              </w:rPr>
              <w:t>What an activist would say</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Asia's ophthalmology leader is priced like a generic-exposed domestic drugmaker: 7.6x EBITDA, 8.5x FY27e core OP and a 6.4% FCF yield; 5Y TSR +27% vs TOPIX TR +129%.</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A decade of value-destroying capital allocation — ~¥84bn of impairments in five years (InnFocus, Eyevance, China plant) and a failed US entry — yet management again ranks business development ahead of buybacks.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val="0"/>
                <w:i w:val="0"/>
                <w:color w:val="1A1A1A"/>
                <w:sz w:val="17"/>
              </w:rPr>
              <w:t>The Japan base is about to lose its biggest product (EYLEA, ~19% of revenue) while the ¥400bn FY3/30 target needs ~9% annual growth: test the standalone plan against a sale now, while EBITDA is near its peak.</w:t>
            </w:r>
          </w:p>
          <w:p>
            <w:pPr>
              <w:keepNext/>
              <w:spacing w:after="20" w:before="100" w:line="240" w:lineRule="auto"/>
            </w:pPr>
            <w:r>
              <w:rPr>
                <w:rFonts w:ascii="Calibri" w:hAnsi="Calibri" w:eastAsia="Calibri"/>
                <w:b/>
                <w:i w:val="0"/>
                <w:color w:val="0F5C4A"/>
                <w:sz w:val="19"/>
              </w:rPr>
              <w:t>Most actionable changes</w:t>
            </w:r>
          </w:p>
          <w:p>
            <w:pPr>
              <w:spacing w:after="24" w:line="240" w:lineRule="auto"/>
              <w:ind w:left="202" w:hanging="202"/>
            </w:pPr>
            <w:r>
              <w:rPr>
                <w:rFonts w:ascii="Calibri" w:hAnsi="Calibri" w:eastAsia="Calibri"/>
                <w:b/>
                <w:i w:val="0"/>
                <w:color w:val="0F5C4A"/>
                <w:sz w:val="17"/>
              </w:rPr>
              <w:t xml:space="preserve">1. </w:t>
            </w:r>
            <w:r>
              <w:rPr>
                <w:rFonts w:ascii="Calibri" w:hAnsi="Calibri" w:eastAsia="Calibri"/>
                <w:b w:val="0"/>
                <w:i w:val="0"/>
                <w:color w:val="1A1A1A"/>
                <w:sz w:val="17"/>
              </w:rPr>
              <w:t>~¥100bn tender or ASR (~18% of mkt cap) funded by net cash, ¥33.7bn of financial assets and debt to ~1.0x ND/EBITDA; hard business-development hurdle (disclosed IRR/ROIC, cap of ~1x EBITDA a year).</w:t>
            </w:r>
          </w:p>
          <w:p>
            <w:pPr>
              <w:spacing w:after="24" w:line="240" w:lineRule="auto"/>
              <w:ind w:left="202" w:hanging="202"/>
            </w:pPr>
            <w:r>
              <w:rPr>
                <w:rFonts w:ascii="Calibri" w:hAnsi="Calibri" w:eastAsia="Calibri"/>
                <w:b/>
                <w:i w:val="0"/>
                <w:color w:val="0F5C4A"/>
                <w:sz w:val="17"/>
              </w:rPr>
              <w:t xml:space="preserve">2. </w:t>
            </w:r>
            <w:r>
              <w:rPr>
                <w:rFonts w:ascii="Calibri" w:hAnsi="Calibri" w:eastAsia="Calibri"/>
                <w:b w:val="0"/>
                <w:i w:val="0"/>
                <w:color w:val="1A1A1A"/>
                <w:sz w:val="17"/>
              </w:rPr>
              <w:t>Strategic review with independent advisers: sale or PE take-private (~10x EBITDA; ¥2,100–2,400/share at a 25–40% premium); partner or divest subscale China (¥30bn, flat) and EMEA if they do not earn their cost of capital.</w:t>
            </w:r>
          </w:p>
          <w:p>
            <w:pPr>
              <w:spacing w:after="24" w:line="240" w:lineRule="auto"/>
              <w:ind w:left="202" w:hanging="202"/>
            </w:pPr>
            <w:r>
              <w:rPr>
                <w:rFonts w:ascii="Calibri" w:hAnsi="Calibri" w:eastAsia="Calibri"/>
                <w:b/>
                <w:i w:val="0"/>
                <w:color w:val="0F5C4A"/>
                <w:sz w:val="17"/>
              </w:rPr>
              <w:t xml:space="preserve">3. </w:t>
            </w:r>
            <w:r>
              <w:rPr>
                <w:rFonts w:ascii="Calibri" w:hAnsi="Calibri" w:eastAsia="Calibri"/>
                <w:b w:val="0"/>
                <w:i w:val="0"/>
                <w:color w:val="1A1A1A"/>
                <w:sz w:val="17"/>
              </w:rPr>
              <w:t>Freeze the planned +12% SG&amp;A step-up (each 2pp of sales ≈ ¥6bn EBIT); move long-term incentives to relative TSR and ROIC rather than revenue.</w:t>
            </w:r>
          </w:p>
          <w:p>
            <w:pPr>
              <w:keepNext/>
              <w:spacing w:after="20" w:before="100" w:line="240" w:lineRule="auto"/>
            </w:pPr>
            <w:r>
              <w:rPr>
                <w:rFonts w:ascii="Calibri" w:hAnsi="Calibri" w:eastAsia="Calibri"/>
                <w:b/>
                <w:i w:val="0"/>
                <w:color w:val="0F5C4A"/>
                <w:sz w:val="19"/>
              </w:rPr>
              <w:t>Ease of winning top-shareholder support</w:t>
            </w:r>
          </w:p>
          <w:p>
            <w:pPr>
              <w:spacing w:after="24" w:before="0" w:line="240" w:lineRule="auto"/>
            </w:pPr>
            <w:r>
              <w:rPr>
                <w:rFonts w:ascii="Calibri" w:hAnsi="Calibri" w:eastAsia="Calibri"/>
                <w:b/>
                <w:i w:val="0"/>
                <w:color w:val="0F5C4A"/>
                <w:sz w:val="17"/>
              </w:rPr>
              <w:t xml:space="preserve">Medium–High — </w:t>
            </w:r>
            <w:r>
              <w:rPr>
                <w:rFonts w:ascii="Calibri" w:hAnsi="Calibri" w:eastAsia="Calibri"/>
                <w:b w:val="0"/>
                <w:i w:val="0"/>
                <w:color w:val="1A1A1A"/>
                <w:sz w:val="17"/>
              </w:rPr>
              <w:t>~50% foreign, no family or corporate bloc, stable holders only ~7–8%; Silchester (8.6%) backs capital-efficiency asks; 57%-independent board. But above-peer margins and recent buybacks make it look 'reasonably run' — frame as strategy and capital allocation, not governance failure.</w:t>
            </w:r>
          </w:p>
          <w:p>
            <w:pPr>
              <w:keepNext/>
              <w:spacing w:after="20" w:before="100" w:line="240" w:lineRule="auto"/>
            </w:pPr>
            <w:r>
              <w:rPr>
                <w:rFonts w:ascii="Calibri" w:hAnsi="Calibri" w:eastAsia="Calibri"/>
                <w:b/>
                <w:i w:val="0"/>
                <w:color w:val="0F5C4A"/>
                <w:sz w:val="19"/>
              </w:rPr>
              <w:t>Likely company defence</w:t>
            </w:r>
          </w:p>
          <w:p>
            <w:pPr>
              <w:spacing w:after="24" w:before="0" w:line="240" w:lineRule="auto"/>
            </w:pPr>
            <w:r>
              <w:rPr>
                <w:rFonts w:ascii="Calibri" w:hAnsi="Calibri" w:eastAsia="Calibri"/>
                <w:b w:val="0"/>
                <w:i w:val="0"/>
                <w:color w:val="1A1A1A"/>
                <w:sz w:val="17"/>
              </w:rPr>
              <w:t>The plan is working (core OP beat; growth resumes in FY27 with myopia, ptosis and Rhopressa launches); ¥70bn of buybacks in two years; business development is essential to replace EYLEA; leverage is inappropriate given patent and price-cut risk.</w:t>
            </w:r>
          </w:p>
          <w:p>
            <w:pPr>
              <w:keepNext/>
              <w:spacing w:after="20" w:before="100" w:line="240" w:lineRule="auto"/>
            </w:pPr>
            <w:r>
              <w:rPr>
                <w:rFonts w:ascii="Calibri" w:hAnsi="Calibri" w:eastAsia="Calibri"/>
                <w:b/>
                <w:i w:val="0"/>
                <w:color w:val="0F5C4A"/>
                <w:sz w:val="19"/>
              </w:rPr>
              <w:t>Activist angles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[Capital allocation] </w:t>
            </w:r>
            <w:r>
              <w:rPr>
                <w:rFonts w:ascii="Calibri" w:hAnsi="Calibri" w:eastAsia="Calibri"/>
                <w:b w:val="0"/>
                <w:i w:val="0"/>
                <w:color w:val="1A1A1A"/>
                <w:sz w:val="17"/>
              </w:rPr>
              <w:t>¥100bn tender using ~¥111bn of debt capacity; BD hurdle-rate framework</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[M&amp;A] </w:t>
            </w:r>
            <w:r>
              <w:rPr>
                <w:rFonts w:ascii="Calibri" w:hAnsi="Calibri" w:eastAsia="Calibri"/>
                <w:b w:val="0"/>
                <w:i w:val="0"/>
                <w:color w:val="1A1A1A"/>
                <w:sz w:val="17"/>
              </w:rPr>
              <w:t>Strategic review incl. sale/PE take-private (Hisamitsu, Taisho MBO precedents)</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[Portfolio simplification] </w:t>
            </w:r>
            <w:r>
              <w:rPr>
                <w:rFonts w:ascii="Calibri" w:hAnsi="Calibri" w:eastAsia="Calibri"/>
                <w:b w:val="0"/>
                <w:i w:val="0"/>
                <w:color w:val="1A1A1A"/>
                <w:sz w:val="17"/>
              </w:rPr>
              <w:t>Partner or exit subscale China/EMEA; out-license non-core pipeline</w:t>
            </w:r>
          </w:p>
          <w:p>
            <w:pPr>
              <w:spacing w:after="24" w:line="240" w:lineRule="auto"/>
              <w:ind w:left="173" w:hanging="173"/>
            </w:pPr>
            <w:r>
              <w:rPr>
                <w:rFonts w:ascii="Calibri" w:hAnsi="Calibri" w:eastAsia="Calibri"/>
                <w:b/>
                <w:i w:val="0"/>
                <w:color w:val="0F5C4A"/>
                <w:sz w:val="17"/>
              </w:rPr>
              <w:t xml:space="preserve">• </w:t>
            </w:r>
            <w:r>
              <w:rPr>
                <w:rFonts w:ascii="Calibri" w:hAnsi="Calibri" w:eastAsia="Calibri"/>
                <w:b/>
                <w:i w:val="0"/>
                <w:color w:val="0F5C4A"/>
                <w:sz w:val="17"/>
              </w:rPr>
              <w:t xml:space="preserve">[Governance] </w:t>
            </w:r>
            <w:r>
              <w:rPr>
                <w:rFonts w:ascii="Calibri" w:hAnsi="Calibri" w:eastAsia="Calibri"/>
                <w:b w:val="0"/>
                <w:i w:val="0"/>
                <w:color w:val="1A1A1A"/>
                <w:sz w:val="17"/>
              </w:rPr>
              <w:t>TSR/ROIC-linked pay; post-mortem disclosure of the US losses</w:t>
            </w:r>
          </w:p>
          <w:p>
            <w:pPr>
              <w:keepNext/>
              <w:spacing w:after="20" w:before="100" w:line="240" w:lineRule="auto"/>
            </w:pPr>
            <w:r>
              <w:rPr>
                <w:rFonts w:ascii="Calibri" w:hAnsi="Calibri" w:eastAsia="Calibri"/>
                <w:b/>
                <w:i w:val="0"/>
                <w:color w:val="0F5C4A"/>
                <w:sz w:val="19"/>
              </w:rPr>
              <w:t>Governance and recent events</w:t>
            </w:r>
          </w:p>
          <w:p>
            <w:pPr>
              <w:spacing w:after="0" w:before="0" w:line="240" w:lineRule="auto"/>
            </w:pPr>
            <w:r>
              <w:rPr>
                <w:rFonts w:ascii="Calibri" w:hAnsi="Calibri" w:eastAsia="Calibri"/>
                <w:b w:val="0"/>
                <w:i w:val="0"/>
                <w:color w:val="1A1A1A"/>
                <w:sz w:val="16"/>
              </w:rPr>
              <w:t>7 directors, 4 independent (57%) after the Jun-26 AGM; voluntary nomination/pay committees chaired by outsiders. CEO Takeshi Ito since 2022. No family, parent or takeover defence; no activist on the register. ~¥84bn of impairments FY3/21–25 (InnFocus MicroShunt ¥40bn, Eyevance ¥35bn, China plant, myopia asset); US operations exited 2023. ¥70bn of buybacks FY3/25–26 but none announced in May-26 (business development prioritised). EYLEA (Bayer licence, ~19% of revenue) faces biosimilars and an authorised generic.</w:t>
            </w:r>
          </w:p>
        </w:tc>
      </w:tr>
    </w:tbl>
    <w:p>
      <w:pPr>
        <w:spacing w:after="0"/>
      </w:pPr>
      <w:r>
        <w:br w:type="page"/>
      </w:r>
    </w:p>
    <w:p>
      <w:pPr>
        <w:spacing w:after="40" w:before="0" w:line="240" w:lineRule="auto"/>
      </w:pPr>
      <w:r>
        <w:rPr>
          <w:rFonts w:ascii="Calibri" w:hAnsi="Calibri" w:eastAsia="Calibri"/>
          <w:b/>
          <w:i w:val="0"/>
          <w:color w:val="0F5C4A"/>
          <w:sz w:val="21"/>
        </w:rPr>
        <w:t>Methodology, data caveats and sources</w:t>
      </w:r>
    </w:p>
    <w:p>
      <w:pPr>
        <w:spacing w:after="24" w:line="240" w:lineRule="auto"/>
        <w:ind w:left="173" w:hanging="173"/>
      </w:pPr>
      <w:r>
        <w:rPr>
          <w:rFonts w:ascii="Calibri" w:hAnsi="Calibri" w:eastAsia="Calibri"/>
          <w:b/>
          <w:i w:val="0"/>
          <w:color w:val="0F5C4A"/>
          <w:sz w:val="15"/>
        </w:rPr>
        <w:t xml:space="preserve">• </w:t>
      </w:r>
      <w:r>
        <w:rPr>
          <w:rFonts w:ascii="Calibri" w:hAnsi="Calibri" w:eastAsia="Calibri"/>
          <w:b/>
          <w:i w:val="0"/>
          <w:color w:val="0F5C4A"/>
          <w:sz w:val="15"/>
        </w:rPr>
        <w:t xml:space="preserve">Prices and market caps: </w:t>
      </w:r>
      <w:r>
        <w:rPr>
          <w:rFonts w:ascii="Calibri" w:hAnsi="Calibri" w:eastAsia="Calibri"/>
          <w:b w:val="0"/>
          <w:i w:val="0"/>
          <w:color w:val="1A1A1A"/>
          <w:sz w:val="15"/>
        </w:rPr>
        <w:t>ProntoNLP daily closes on 13-Oct-26; shares ex-treasury from the latest Capital IQ quarter. USDJPY 157.5.</w:t>
      </w:r>
    </w:p>
    <w:p>
      <w:pPr>
        <w:spacing w:after="24" w:line="240" w:lineRule="auto"/>
        <w:ind w:left="173" w:hanging="173"/>
      </w:pPr>
      <w:r>
        <w:rPr>
          <w:rFonts w:ascii="Calibri" w:hAnsi="Calibri" w:eastAsia="Calibri"/>
          <w:b/>
          <w:i w:val="0"/>
          <w:color w:val="0F5C4A"/>
          <w:sz w:val="15"/>
        </w:rPr>
        <w:t xml:space="preserve">• </w:t>
      </w:r>
      <w:r>
        <w:rPr>
          <w:rFonts w:ascii="Calibri" w:hAnsi="Calibri" w:eastAsia="Calibri"/>
          <w:b/>
          <w:i w:val="0"/>
          <w:color w:val="0F5C4A"/>
          <w:sz w:val="15"/>
        </w:rPr>
        <w:t xml:space="preserve">Financials: </w:t>
      </w:r>
      <w:r>
        <w:rPr>
          <w:rFonts w:ascii="Calibri" w:hAnsi="Calibri" w:eastAsia="Calibri"/>
          <w:b w:val="0"/>
          <w:i w:val="0"/>
          <w:color w:val="1A1A1A"/>
          <w:sz w:val="15"/>
        </w:rPr>
        <w:t>S&amp;P Capital IQ, LTM to Jun-26 (Mar/Apr/Jul-26 for some fiscal year-ends). EV = mkt cap + net debt (Capital IQ definition, incl. leases; negative = net cash) + book minorities. FCF = CFO − capex (fiscal year where LTM cash flow is unavailable).</w:t>
      </w:r>
    </w:p>
    <w:p>
      <w:pPr>
        <w:spacing w:after="24" w:line="240" w:lineRule="auto"/>
        <w:ind w:left="173" w:hanging="173"/>
      </w:pPr>
      <w:r>
        <w:rPr>
          <w:rFonts w:ascii="Calibri" w:hAnsi="Calibri" w:eastAsia="Calibri"/>
          <w:b/>
          <w:i w:val="0"/>
          <w:color w:val="0F5C4A"/>
          <w:sz w:val="15"/>
        </w:rPr>
        <w:t xml:space="preserve">• </w:t>
      </w:r>
      <w:r>
        <w:rPr>
          <w:rFonts w:ascii="Calibri" w:hAnsi="Calibri" w:eastAsia="Calibri"/>
          <w:b/>
          <w:i w:val="0"/>
          <w:color w:val="0F5C4A"/>
          <w:sz w:val="15"/>
        </w:rPr>
        <w:t xml:space="preserve">TSR: </w:t>
      </w:r>
      <w:r>
        <w:rPr>
          <w:rFonts w:ascii="Calibri" w:hAnsi="Calibri" w:eastAsia="Calibri"/>
          <w:b w:val="0"/>
          <w:i w:val="0"/>
          <w:color w:val="1A1A1A"/>
          <w:sz w:val="15"/>
        </w:rPr>
        <w:t>Pronto price series are split- and dividend-adjusted up to a company-specific date in late 2024 (Dec-25 for Mabuchi) and unadjusted thereafter. TSR = (end price + dividends with ex-dates after that date) ÷ adjusted start price − 1, verified against known unadjusted closes and buyback execution prices. Windows start 13-Oct-21, 13-Oct-23 and 14-Oct-25 and end 13-Oct-26. Undeclared Sep-26 interims estimated. A few peers use USD ADR lines converted at historical USDJPY (flagged est.).</w:t>
      </w:r>
    </w:p>
    <w:p>
      <w:pPr>
        <w:spacing w:after="24" w:line="240" w:lineRule="auto"/>
        <w:ind w:left="173" w:hanging="173"/>
      </w:pPr>
      <w:r>
        <w:rPr>
          <w:rFonts w:ascii="Calibri" w:hAnsi="Calibri" w:eastAsia="Calibri"/>
          <w:b/>
          <w:i w:val="0"/>
          <w:color w:val="0F5C4A"/>
          <w:sz w:val="15"/>
        </w:rPr>
        <w:t xml:space="preserve">• </w:t>
      </w:r>
      <w:r>
        <w:rPr>
          <w:rFonts w:ascii="Calibri" w:hAnsi="Calibri" w:eastAsia="Calibri"/>
          <w:b/>
          <w:i w:val="0"/>
          <w:color w:val="0F5C4A"/>
          <w:sz w:val="15"/>
        </w:rPr>
        <w:t xml:space="preserve">Benchmark: </w:t>
      </w:r>
      <w:r>
        <w:rPr>
          <w:rFonts w:ascii="Calibri" w:hAnsi="Calibri" w:eastAsia="Calibri"/>
          <w:b w:val="0"/>
          <w:i w:val="0"/>
          <w:color w:val="1A1A1A"/>
          <w:sz w:val="15"/>
        </w:rPr>
        <w:t>TOPIX Total Return to 30-Sep-26 (BlackRock iShares Core TOPIX ETF factsheet): 1Y +33.9%, 3Y +89.7% cumulative (+23.8% p.a.), 5Y +128.7% (+18.0% p.a.). Note the ~2-week window mismatch vs company TSRs.</w:t>
      </w:r>
    </w:p>
    <w:p>
      <w:pPr>
        <w:spacing w:after="24" w:line="240" w:lineRule="auto"/>
        <w:ind w:left="173" w:hanging="173"/>
      </w:pPr>
      <w:r>
        <w:rPr>
          <w:rFonts w:ascii="Calibri" w:hAnsi="Calibri" w:eastAsia="Calibri"/>
          <w:b/>
          <w:i w:val="0"/>
          <w:color w:val="0F5C4A"/>
          <w:sz w:val="15"/>
        </w:rPr>
        <w:t xml:space="preserve">• </w:t>
      </w:r>
      <w:r>
        <w:rPr>
          <w:rFonts w:ascii="Calibri" w:hAnsi="Calibri" w:eastAsia="Calibri"/>
          <w:b/>
          <w:i w:val="0"/>
          <w:color w:val="0F5C4A"/>
          <w:sz w:val="15"/>
        </w:rPr>
        <w:t xml:space="preserve">Sector medians: </w:t>
      </w:r>
      <w:r>
        <w:rPr>
          <w:rFonts w:ascii="Calibri" w:hAnsi="Calibri" w:eastAsia="Calibri"/>
          <w:b w:val="0"/>
          <w:i w:val="0"/>
          <w:color w:val="1A1A1A"/>
          <w:sz w:val="15"/>
        </w:rPr>
        <w:t>3–6 listed Japanese peers per company, named on each page; same TSR and multiple methodology.</w:t>
      </w:r>
    </w:p>
    <w:p>
      <w:pPr>
        <w:spacing w:after="24" w:line="240" w:lineRule="auto"/>
        <w:ind w:left="173" w:hanging="173"/>
      </w:pPr>
      <w:r>
        <w:rPr>
          <w:rFonts w:ascii="Calibri" w:hAnsi="Calibri" w:eastAsia="Calibri"/>
          <w:b/>
          <w:i w:val="0"/>
          <w:color w:val="0F5C4A"/>
          <w:sz w:val="15"/>
        </w:rPr>
        <w:t xml:space="preserve">• </w:t>
      </w:r>
      <w:r>
        <w:rPr>
          <w:rFonts w:ascii="Calibri" w:hAnsi="Calibri" w:eastAsia="Calibri"/>
          <w:b/>
          <w:i w:val="0"/>
          <w:color w:val="0F5C4A"/>
          <w:sz w:val="15"/>
        </w:rPr>
        <w:t xml:space="preserve">Shareholders: </w:t>
      </w:r>
      <w:r>
        <w:rPr>
          <w:rFonts w:ascii="Calibri" w:hAnsi="Calibri" w:eastAsia="Calibri"/>
          <w:b w:val="0"/>
          <w:i w:val="0"/>
          <w:color w:val="1A1A1A"/>
          <w:sz w:val="15"/>
        </w:rPr>
        <w:t>Annual securities report (yuho) registers where available, otherwise aggregators (kabutore, finboard, IR Bank). Master Trust / Custody Bank are trust-bank nominee accounts, not beneficial owners; beneficial stakes are from EDINET large-holding (5%) reports.</w:t>
      </w:r>
    </w:p>
    <w:p>
      <w:pPr>
        <w:spacing w:after="24" w:line="240" w:lineRule="auto"/>
        <w:ind w:left="173" w:hanging="173"/>
      </w:pPr>
      <w:r>
        <w:rPr>
          <w:rFonts w:ascii="Calibri" w:hAnsi="Calibri" w:eastAsia="Calibri"/>
          <w:b/>
          <w:i w:val="0"/>
          <w:color w:val="0F5C4A"/>
          <w:sz w:val="15"/>
        </w:rPr>
        <w:t xml:space="preserve">• </w:t>
      </w:r>
      <w:r>
        <w:rPr>
          <w:rFonts w:ascii="Calibri" w:hAnsi="Calibri" w:eastAsia="Calibri"/>
          <w:b/>
          <w:i w:val="0"/>
          <w:color w:val="0F5C4A"/>
          <w:sz w:val="15"/>
        </w:rPr>
        <w:t xml:space="preserve">Caveats: </w:t>
      </w:r>
      <w:r>
        <w:rPr>
          <w:rFonts w:ascii="Calibri" w:hAnsi="Calibri" w:eastAsia="Calibri"/>
          <w:b w:val="0"/>
          <w:i w:val="0"/>
          <w:color w:val="1A1A1A"/>
          <w:sz w:val="15"/>
        </w:rPr>
        <w:t>Items marked est./approx. are estimates or secondary-source figures; several AGM approval rates were not retrievable; scenario maths (buyback accretion, margin-uplift values, disposal proceeds) is illustrative. This is a research screen, not investment advice.</w:t>
      </w:r>
    </w:p>
    <w:p>
      <w:pPr>
        <w:spacing w:after="40" w:before="0" w:line="240" w:lineRule="auto"/>
      </w:pPr>
    </w:p>
    <w:p>
      <w:pPr>
        <w:spacing w:after="20" w:before="0" w:line="240" w:lineRule="auto"/>
      </w:pPr>
      <w:r>
        <w:rPr>
          <w:rFonts w:ascii="Calibri" w:hAnsi="Calibri" w:eastAsia="Calibri"/>
          <w:b/>
          <w:i w:val="0"/>
          <w:color w:val="0F5C4A"/>
          <w:sz w:val="18"/>
        </w:rPr>
        <w:t>Key sources</w:t>
      </w:r>
    </w:p>
    <w:p>
      <w:pPr>
        <w:spacing w:after="24" w:line="240" w:lineRule="auto"/>
        <w:ind w:left="173" w:hanging="173"/>
      </w:pPr>
      <w:r>
        <w:rPr>
          <w:rFonts w:ascii="Calibri" w:hAnsi="Calibri" w:eastAsia="Calibri"/>
          <w:b/>
          <w:i w:val="0"/>
          <w:color w:val="0F5C4A"/>
          <w:sz w:val="14"/>
        </w:rPr>
        <w:t xml:space="preserve">• </w:t>
      </w:r>
      <w:r>
        <w:rPr>
          <w:rFonts w:ascii="Calibri" w:hAnsi="Calibri" w:eastAsia="Calibri"/>
          <w:b w:val="0"/>
          <w:i w:val="0"/>
          <w:color w:val="1A1A1A"/>
          <w:sz w:val="14"/>
        </w:rPr>
        <w:t>S&amp;P Capital IQ (via S&amp;P Global MCP): LTM income statement, balance sheet, cash flow, shares, DPS for all companies and peers (doc-viewer references retained in the research notes).</w:t>
      </w:r>
    </w:p>
    <w:p>
      <w:pPr>
        <w:spacing w:after="24" w:line="240" w:lineRule="auto"/>
        <w:ind w:left="173" w:hanging="173"/>
      </w:pPr>
      <w:r>
        <w:rPr>
          <w:rFonts w:ascii="Calibri" w:hAnsi="Calibri" w:eastAsia="Calibri"/>
          <w:b/>
          <w:i w:val="0"/>
          <w:color w:val="0F5C4A"/>
          <w:sz w:val="14"/>
        </w:rPr>
        <w:t xml:space="preserve">• </w:t>
      </w:r>
      <w:r>
        <w:rPr>
          <w:rFonts w:ascii="Calibri" w:hAnsi="Calibri" w:eastAsia="Calibri"/>
          <w:b w:val="0"/>
          <w:i w:val="0"/>
          <w:color w:val="1A1A1A"/>
          <w:sz w:val="14"/>
        </w:rPr>
        <w:t>ProntoNLP: daily price series and market caps; Japanese annual securities reports (yuho), tanshin, integrated reports and earnings-call transcripts (shareholder registers, segment data, guidance, management commentary).</w:t>
      </w:r>
    </w:p>
    <w:p>
      <w:pPr>
        <w:spacing w:after="24" w:line="240" w:lineRule="auto"/>
        <w:ind w:left="173" w:hanging="173"/>
      </w:pPr>
      <w:r>
        <w:rPr>
          <w:rFonts w:ascii="Calibri" w:hAnsi="Calibri" w:eastAsia="Calibri"/>
          <w:b/>
          <w:i w:val="0"/>
          <w:color w:val="0F5C4A"/>
          <w:sz w:val="14"/>
        </w:rPr>
        <w:t xml:space="preserve">• </w:t>
      </w:r>
      <w:r>
        <w:rPr>
          <w:rFonts w:ascii="Calibri" w:hAnsi="Calibri" w:eastAsia="Calibri"/>
          <w:b w:val="0"/>
          <w:i w:val="0"/>
          <w:color w:val="1A1A1A"/>
          <w:sz w:val="14"/>
        </w:rPr>
        <w:t>EDINET / JPX TDnet: large-shareholding (5%) reports, extraordinary reports with AGM vote results, buyback and TOB notices.</w:t>
      </w:r>
    </w:p>
    <w:p>
      <w:pPr>
        <w:spacing w:after="24" w:line="240" w:lineRule="auto"/>
        <w:ind w:left="173" w:hanging="173"/>
      </w:pPr>
      <w:r>
        <w:rPr>
          <w:rFonts w:ascii="Calibri" w:hAnsi="Calibri" w:eastAsia="Calibri"/>
          <w:b/>
          <w:i w:val="0"/>
          <w:color w:val="0F5C4A"/>
          <w:sz w:val="14"/>
        </w:rPr>
        <w:t xml:space="preserve">• </w:t>
      </w:r>
      <w:r>
        <w:rPr>
          <w:rFonts w:ascii="Calibri" w:hAnsi="Calibri" w:eastAsia="Calibri"/>
          <w:b w:val="0"/>
          <w:i w:val="0"/>
          <w:color w:val="1A1A1A"/>
          <w:sz w:val="14"/>
        </w:rPr>
        <w:t>Market and press: BlackRock iShares Core TOPIX ETF factsheet (TOPIX TR); Nikkei, Bloomberg, Kabutan, Matsui, Nihon M&amp;A Center, FilingReader, MarketScreener, the-shashi, edinetdb, kabutore, finboard.</w:t>
      </w:r>
    </w:p>
    <w:sectPr w:rsidR="00FC693F" w:rsidRPr="0006063C" w:rsidSect="00034616">
      <w:footerReference w:type="default" r:id="rId9"/>
      <w:pgSz w:w="15840" w:h="12240" w:orient="landscape"/>
      <w:pgMar w:top="620" w:right="720" w:bottom="6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55555"/>
        <w:sz w:val="13"/>
      </w:rPr>
      <w:t>Japan TOPIX activist screen · as at 14 October 2026 · Sources: S&amp;P Capital IQ, ProntoNLP, company filings (yuho/tanshin), EDINET large-holding reports. Not investment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