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b/>
          <w:bCs/>
          <w:color w:val="1F3864"/>
          <w:sz w:val="32"/>
          <w:szCs w:val="32"/>
        </w:rPr>
        <w:t xml:space="preserve">Japan &amp; Korea Activist Target Screen</w:t>
      </w:r>
    </w:p>
    <w:p>
      <w:pPr>
        <w:pStyle w:val="Heading2"/>
        <w:keepNext/>
        <w:pBdr>
          <w:bottom w:val="single" w:color="2E75B6" w:sz="8" w:space="2"/>
        </w:pBdr>
        <w:spacing w:after="100" w:before="240"/>
      </w:pPr>
      <w:r>
        <w:rPr>
          <w:rFonts w:ascii="Calibri" w:cs="Calibri" w:eastAsia="Calibri" w:hAnsi="Calibri"/>
          <w:b/>
          <w:bCs/>
          <w:color w:val="1F3864"/>
          <w:sz w:val="26"/>
          <w:szCs w:val="26"/>
        </w:rPr>
        <w:t xml:space="preserve">20 structurally sound, mis-managed businesses with fixable problems</w:t>
      </w:r>
    </w:p>
    <w:p>
      <w:pPr>
        <w:spacing w:after="100" w:line="264"/>
      </w:pPr>
      <w:r>
        <w:rPr>
          <w:rFonts w:ascii="Calibri" w:cs="Calibri" w:eastAsia="Calibri" w:hAnsi="Calibri"/>
          <w:b/>
          <w:bCs/>
          <w:sz w:val="19"/>
          <w:szCs w:val="19"/>
        </w:rPr>
        <w:t xml:space="preserve">Universe:</w:t>
      </w:r>
      <w:r>
        <w:rPr>
          <w:rFonts w:ascii="Calibri" w:cs="Calibri" w:eastAsia="Calibri" w:hAnsi="Calibri"/>
          <w:sz w:val="19"/>
          <w:szCs w:val="19"/>
        </w:rPr>
        <w:t xml:space="preserve"> 124 unique securities from the supplied list: 90 listed in Tokyo and 34 in Korea. </w:t>
      </w:r>
      <w:r>
        <w:rPr>
          <w:rFonts w:ascii="Calibri" w:cs="Calibri" w:eastAsia="Calibri" w:hAnsi="Calibri"/>
          <w:b/>
          <w:bCs/>
          <w:sz w:val="19"/>
          <w:szCs w:val="19"/>
        </w:rPr>
        <w:t xml:space="preserve">Data as of:</w:t>
      </w:r>
      <w:r>
        <w:rPr>
          <w:rFonts w:ascii="Calibri" w:cs="Calibri" w:eastAsia="Calibri" w:hAnsi="Calibri"/>
          <w:sz w:val="19"/>
          <w:szCs w:val="19"/>
        </w:rPr>
        <w:t xml:space="preserve"> prices at 14-Oct-2026; financials LTM to 30-Jun-2026 unless stated. </w:t>
      </w:r>
      <w:r>
        <w:rPr>
          <w:rFonts w:ascii="Calibri" w:cs="Calibri" w:eastAsia="Calibri" w:hAnsi="Calibri"/>
          <w:b/>
          <w:bCs/>
          <w:sz w:val="19"/>
          <w:szCs w:val="19"/>
        </w:rPr>
        <w:t xml:space="preserve">Prepared for:</w:t>
      </w:r>
      <w:r>
        <w:rPr>
          <w:rFonts w:ascii="Calibri" w:cs="Calibri" w:eastAsia="Calibri" w:hAnsi="Calibri"/>
          <w:sz w:val="19"/>
          <w:szCs w:val="19"/>
        </w:rPr>
        <w:t xml:space="preserve"> internal idea generation for activist and constructivist engagement. </w:t>
      </w:r>
      <w:r>
        <w:rPr>
          <w:rFonts w:ascii="Calibri" w:cs="Calibri" w:eastAsia="Calibri" w:hAnsi="Calibri"/>
          <w:b/>
          <w:bCs/>
          <w:sz w:val="19"/>
          <w:szCs w:val="19"/>
        </w:rPr>
        <w:t xml:space="preserve">Sources:</w:t>
      </w:r>
    </w:p>
    <w:p>
      <w:pPr>
        <w:pStyle w:val="ListParagraph"/>
        <w:numPr>
          <w:ilvl w:val="0"/>
          <w:numId w:val="2"/>
        </w:numPr>
        <w:spacing w:after="50" w:line="252"/>
      </w:pPr>
      <w:r>
        <w:rPr>
          <w:rFonts w:ascii="Calibri" w:cs="Calibri" w:eastAsia="Calibri" w:hAnsi="Calibri"/>
          <w:sz w:val="19"/>
          <w:szCs w:val="19"/>
        </w:rPr>
        <w:t xml:space="preserve">S&amp;P Capital IQ, via Adaptive Retrieval and the deterministic financial API, for market data, financials and dividends.</w:t>
      </w:r>
    </w:p>
    <w:p>
      <w:pPr>
        <w:pStyle w:val="ListParagraph"/>
        <w:numPr>
          <w:ilvl w:val="0"/>
          <w:numId w:val="2"/>
        </w:numPr>
        <w:spacing w:after="50" w:line="252"/>
      </w:pPr>
      <w:r>
        <w:rPr>
          <w:rFonts w:ascii="Calibri" w:cs="Calibri" w:eastAsia="Calibri" w:hAnsi="Calibri"/>
          <w:sz w:val="19"/>
          <w:szCs w:val="19"/>
        </w:rPr>
        <w:t xml:space="preserve">ProntoNLP-indexed annual securities reports, tanshin and earnings calls.</w:t>
      </w:r>
    </w:p>
    <w:p>
      <w:pPr>
        <w:pStyle w:val="ListParagraph"/>
        <w:numPr>
          <w:ilvl w:val="0"/>
          <w:numId w:val="2"/>
        </w:numPr>
        <w:spacing w:after="50" w:line="252"/>
      </w:pPr>
      <w:r>
        <w:rPr>
          <w:rFonts w:ascii="Calibri" w:cs="Calibri" w:eastAsia="Calibri" w:hAnsi="Calibri"/>
          <w:sz w:val="19"/>
          <w:szCs w:val="19"/>
        </w:rPr>
        <w:t xml:space="preserve">Company filings, DART and large-holding reports.</w:t>
      </w:r>
    </w:p>
    <w:p>
      <w:pPr>
        <w:pStyle w:val="ListParagraph"/>
        <w:numPr>
          <w:ilvl w:val="0"/>
          <w:numId w:val="2"/>
        </w:numPr>
        <w:spacing w:after="50" w:line="252"/>
      </w:pPr>
      <w:r>
        <w:rPr>
          <w:rFonts w:ascii="Calibri" w:cs="Calibri" w:eastAsia="Calibri" w:hAnsi="Calibri"/>
          <w:sz w:val="19"/>
          <w:szCs w:val="19"/>
        </w:rPr>
        <w:t xml:space="preserve">Press and web sources cited in the working files.</w:t>
      </w:r>
    </w:p>
    <w:p>
      <w:pPr>
        <w:pBdr>
          <w:bottom w:val="single" w:color="BFBFBF" w:sz="6" w:space="1"/>
        </w:pBdr>
        <w:spacing w:after="120" w:before="60"/>
      </w:pPr>
    </w:p>
    <w:p>
      <w:pPr>
        <w:pStyle w:val="Heading3"/>
        <w:keepNext/>
        <w:spacing w:after="80" w:before="180"/>
      </w:pPr>
      <w:r>
        <w:rPr>
          <w:rFonts w:ascii="Calibri" w:cs="Calibri" w:eastAsia="Calibri" w:hAnsi="Calibri"/>
          <w:b/>
          <w:bCs/>
          <w:color w:val="2E75B6"/>
          <w:sz w:val="22"/>
          <w:szCs w:val="22"/>
        </w:rPr>
        <w:t xml:space="preserve">Key conclusions</w:t>
      </w:r>
    </w:p>
    <w:p>
      <w:pPr>
        <w:pStyle w:val="ListParagraph"/>
        <w:numPr>
          <w:ilvl w:val="0"/>
          <w:numId w:val="2"/>
        </w:numPr>
        <w:spacing w:after="50" w:line="252"/>
      </w:pPr>
      <w:r>
        <w:rPr>
          <w:rFonts w:ascii="Calibri" w:cs="Calibri" w:eastAsia="Calibri" w:hAnsi="Calibri"/>
          <w:b/>
          <w:bCs/>
          <w:sz w:val="19"/>
          <w:szCs w:val="19"/>
        </w:rPr>
        <w:t xml:space="preserve">The market moved on; these 20 did not.</w:t>
      </w:r>
    </w:p>
    <w:p>
      <w:pPr>
        <w:pStyle w:val="ListParagraph"/>
        <w:numPr>
          <w:ilvl w:val="1"/>
          <w:numId w:val="2"/>
        </w:numPr>
        <w:spacing w:after="50" w:line="252"/>
      </w:pPr>
      <w:r>
        <w:rPr>
          <w:rFonts w:ascii="Calibri" w:cs="Calibri" w:eastAsia="Calibri" w:hAnsi="Calibri"/>
          <w:sz w:val="19"/>
          <w:szCs w:val="19"/>
        </w:rPr>
        <w:t xml:space="preserve">Over five years TOPIX rose 105% and KOSPI 200 141% (price).</w:t>
      </w:r>
    </w:p>
    <w:p>
      <w:pPr>
        <w:pStyle w:val="ListParagraph"/>
        <w:numPr>
          <w:ilvl w:val="1"/>
          <w:numId w:val="2"/>
        </w:numPr>
        <w:spacing w:after="50" w:line="252"/>
      </w:pPr>
      <w:r>
        <w:rPr>
          <w:rFonts w:ascii="Calibri" w:cs="Calibri" w:eastAsia="Calibri" w:hAnsi="Calibri"/>
          <w:sz w:val="19"/>
          <w:szCs w:val="19"/>
        </w:rPr>
        <w:t xml:space="preserve">The median 5-year TSR of the 20 names is +19%, and the median shortfall against their home index is 86 percentage points.</w:t>
      </w:r>
    </w:p>
    <w:p>
      <w:pPr>
        <w:pStyle w:val="ListParagraph"/>
        <w:numPr>
          <w:ilvl w:val="1"/>
          <w:numId w:val="2"/>
        </w:numPr>
        <w:spacing w:after="50" w:line="252"/>
      </w:pPr>
      <w:r>
        <w:rPr>
          <w:rFonts w:ascii="Calibri" w:cs="Calibri" w:eastAsia="Calibri" w:hAnsi="Calibri"/>
          <w:sz w:val="19"/>
          <w:szCs w:val="19"/>
        </w:rPr>
        <w:t xml:space="preserve">These are not broken businesses: all 20 are below 1x net debt/EBITDA, and 14 hold net cash outright.</w:t>
      </w:r>
    </w:p>
    <w:p>
      <w:pPr>
        <w:pStyle w:val="ListParagraph"/>
        <w:numPr>
          <w:ilvl w:val="0"/>
          <w:numId w:val="2"/>
        </w:numPr>
        <w:spacing w:after="50" w:line="252"/>
      </w:pPr>
      <w:r>
        <w:rPr>
          <w:rFonts w:ascii="Calibri" w:cs="Calibri" w:eastAsia="Calibri" w:hAnsi="Calibri"/>
          <w:b/>
          <w:bCs/>
          <w:sz w:val="19"/>
          <w:szCs w:val="19"/>
        </w:rPr>
        <w:t xml:space="preserve">The problems repeat, and most are board-actionable.</w:t>
      </w:r>
      <w:r>
        <w:rPr>
          <w:rFonts w:ascii="Calibri" w:cs="Calibri" w:eastAsia="Calibri" w:hAnsi="Calibri"/>
          <w:sz w:val="19"/>
          <w:szCs w:val="19"/>
        </w:rPr>
        <w:t xml:space="preserve"> Five patterns account for almost all of the value gap:</w:t>
      </w:r>
    </w:p>
    <w:p>
      <w:pPr>
        <w:pStyle w:val="ListParagraph"/>
        <w:numPr>
          <w:ilvl w:val="1"/>
          <w:numId w:val="2"/>
        </w:numPr>
        <w:spacing w:after="50" w:line="252"/>
      </w:pPr>
      <w:r>
        <w:rPr>
          <w:rFonts w:ascii="Calibri" w:cs="Calibri" w:eastAsia="Calibri" w:hAnsi="Calibri"/>
          <w:b/>
          <w:bCs/>
          <w:sz w:val="19"/>
          <w:szCs w:val="19"/>
        </w:rPr>
        <w:t xml:space="preserve">Idle cash and securities.</w:t>
      </w:r>
      <w:r>
        <w:rPr>
          <w:rFonts w:ascii="Calibri" w:cs="Calibri" w:eastAsia="Calibri" w:hAnsi="Calibri"/>
          <w:sz w:val="19"/>
          <w:szCs w:val="19"/>
        </w:rPr>
        <w:t xml:space="preserve"> Cash and investments exceed half of market cap at Hi-Lex, Teikoku Sen-i, Kumho, GungHo, Mitsubishi Motors (auto net cash), TS Tech and NC.</w:t>
      </w:r>
    </w:p>
    <w:p>
      <w:pPr>
        <w:pStyle w:val="ListParagraph"/>
        <w:numPr>
          <w:ilvl w:val="1"/>
          <w:numId w:val="2"/>
        </w:numPr>
        <w:spacing w:after="50" w:line="252"/>
      </w:pPr>
      <w:r>
        <w:rPr>
          <w:rFonts w:ascii="Calibri" w:cs="Calibri" w:eastAsia="Calibri" w:hAnsi="Calibri"/>
          <w:b/>
          <w:bCs/>
          <w:sz w:val="19"/>
          <w:szCs w:val="19"/>
        </w:rPr>
        <w:t xml:space="preserve">Margin gaps against peers.</w:t>
      </w:r>
      <w:r>
        <w:rPr>
          <w:rFonts w:ascii="Calibri" w:cs="Calibri" w:eastAsia="Calibri" w:hAnsi="Calibri"/>
          <w:sz w:val="19"/>
          <w:szCs w:val="19"/>
        </w:rPr>
        <w:t xml:space="preserve"> Omron 9.0% vs 19.8%; Daikin 8.1% vs 14.2%; NC 13.5% vs 29.7%; Hi-Lex 1.0% vs 4.7%.</w:t>
      </w:r>
    </w:p>
    <w:p>
      <w:pPr>
        <w:pStyle w:val="ListParagraph"/>
        <w:numPr>
          <w:ilvl w:val="1"/>
          <w:numId w:val="2"/>
        </w:numPr>
        <w:spacing w:after="50" w:line="252"/>
      </w:pPr>
      <w:r>
        <w:rPr>
          <w:rFonts w:ascii="Calibri" w:cs="Calibri" w:eastAsia="Calibri" w:hAnsi="Calibri"/>
          <w:b/>
          <w:bCs/>
          <w:sz w:val="19"/>
          <w:szCs w:val="19"/>
        </w:rPr>
        <w:t xml:space="preserve">Undisciplined M&amp;A and write-downs.</w:t>
      </w:r>
      <w:r>
        <w:rPr>
          <w:rFonts w:ascii="Calibri" w:cs="Calibri" w:eastAsia="Calibri" w:hAnsi="Calibri"/>
          <w:sz w:val="19"/>
          <w:szCs w:val="19"/>
        </w:rPr>
        <w:t xml:space="preserve"> Dentsu (¥638bn of impairments in two years), Canon (Toshiba Medical), NAVER (Poshmark), NC (₩449bn of mobile-casual deals in four months), T. Hasegawa (US), Hodogaya (Framochem), Omron (JMDC).</w:t>
      </w:r>
    </w:p>
    <w:p>
      <w:pPr>
        <w:pStyle w:val="ListParagraph"/>
        <w:numPr>
          <w:ilvl w:val="1"/>
          <w:numId w:val="2"/>
        </w:numPr>
        <w:spacing w:after="50" w:line="252"/>
      </w:pPr>
      <w:r>
        <w:rPr>
          <w:rFonts w:ascii="Calibri" w:cs="Calibri" w:eastAsia="Calibri" w:hAnsi="Calibri"/>
          <w:b/>
          <w:bCs/>
          <w:sz w:val="19"/>
          <w:szCs w:val="19"/>
        </w:rPr>
        <w:t xml:space="preserve">Holding-company and parent–subsidiary discounts.</w:t>
      </w:r>
      <w:r>
        <w:rPr>
          <w:rFonts w:ascii="Calibri" w:cs="Calibri" w:eastAsia="Calibri" w:hAnsi="Calibri"/>
          <w:sz w:val="19"/>
          <w:szCs w:val="19"/>
        </w:rPr>
        <w:t xml:space="preserve"> Toei/Toei Animation, Omron/JMDC, Canon/Canon Marketing Japan, GungHo/Gravity, Hodogaya/SFC, NAVER/LY Corp.</w:t>
      </w:r>
    </w:p>
    <w:p>
      <w:pPr>
        <w:pStyle w:val="ListParagraph"/>
        <w:numPr>
          <w:ilvl w:val="1"/>
          <w:numId w:val="2"/>
        </w:numPr>
        <w:spacing w:after="50" w:line="252"/>
      </w:pPr>
      <w:r>
        <w:rPr>
          <w:rFonts w:ascii="Calibri" w:cs="Calibri" w:eastAsia="Calibri" w:hAnsi="Calibri"/>
          <w:b/>
          <w:bCs/>
          <w:sz w:val="19"/>
          <w:szCs w:val="19"/>
        </w:rPr>
        <w:t xml:space="preserve">Entrenched governance.</w:t>
      </w:r>
      <w:r>
        <w:rPr>
          <w:rFonts w:ascii="Calibri" w:cs="Calibri" w:eastAsia="Calibri" w:hAnsi="Calibri"/>
          <w:sz w:val="19"/>
          <w:szCs w:val="19"/>
        </w:rPr>
        <w:t xml:space="preserve"> Long-tenured chair-CEOs (Canon, Daikin, Teikoku Sen-i), takeover defences (Hodogaya, Hi-Lex) and cross-holding webs (Toei, Teikoku Sen-i).</w:t>
      </w:r>
    </w:p>
    <w:p>
      <w:pPr>
        <w:pStyle w:val="ListParagraph"/>
        <w:numPr>
          <w:ilvl w:val="0"/>
          <w:numId w:val="2"/>
        </w:numPr>
        <w:spacing w:after="50" w:line="252"/>
      </w:pPr>
      <w:r>
        <w:rPr>
          <w:rFonts w:ascii="Calibri" w:cs="Calibri" w:eastAsia="Calibri" w:hAnsi="Calibri"/>
          <w:b/>
          <w:bCs/>
          <w:sz w:val="19"/>
          <w:szCs w:val="19"/>
        </w:rPr>
        <w:t xml:space="preserve">The regulatory wind is behind activists in both markets.</w:t>
      </w:r>
    </w:p>
    <w:p>
      <w:pPr>
        <w:pStyle w:val="ListParagraph"/>
        <w:numPr>
          <w:ilvl w:val="1"/>
          <w:numId w:val="2"/>
        </w:numPr>
        <w:spacing w:after="50" w:line="252"/>
      </w:pPr>
      <w:r>
        <w:rPr>
          <w:rFonts w:ascii="Calibri" w:cs="Calibri" w:eastAsia="Calibri" w:hAnsi="Calibri"/>
          <w:b/>
          <w:bCs/>
          <w:sz w:val="19"/>
          <w:szCs w:val="19"/>
        </w:rPr>
        <w:t xml:space="preserve">Korea:</w:t>
      </w:r>
      <w:r>
        <w:rPr>
          <w:rFonts w:ascii="Calibri" w:cs="Calibri" w:eastAsia="Calibri" w:hAnsi="Calibri"/>
          <w:sz w:val="19"/>
          <w:szCs w:val="19"/>
        </w:rPr>
        <w:t xml:space="preserve"> the third Commercial Act amendment (effective 6-Mar-2026) makes cancellation of newly acquired treasury shares the default. Cumulative voting is now mandatory for listed companies with more than ₩2tn of assets. NAVER, NC and Kumho all qualify.</w:t>
      </w:r>
    </w:p>
    <w:p>
      <w:pPr>
        <w:pStyle w:val="ListParagraph"/>
        <w:numPr>
          <w:ilvl w:val="1"/>
          <w:numId w:val="2"/>
        </w:numPr>
        <w:spacing w:after="50" w:line="252"/>
      </w:pPr>
      <w:r>
        <w:rPr>
          <w:rFonts w:ascii="Calibri" w:cs="Calibri" w:eastAsia="Calibri" w:hAnsi="Calibri"/>
          <w:b/>
          <w:bCs/>
          <w:sz w:val="19"/>
          <w:szCs w:val="19"/>
        </w:rPr>
        <w:t xml:space="preserve">Japan:</w:t>
      </w:r>
      <w:r>
        <w:rPr>
          <w:rFonts w:ascii="Calibri" w:cs="Calibri" w:eastAsia="Calibri" w:hAnsi="Calibri"/>
          <w:sz w:val="19"/>
          <w:szCs w:val="19"/>
        </w:rPr>
        <w:t xml:space="preserve"> shareholder proposals were filed at 106 companies in the June-2026 season. TSE cost-of-capital disclosure and ISS's 20%-of-net-assets cross-holding policy give institutions a framework to vote with activists.</w:t>
      </w:r>
    </w:p>
    <w:p>
      <w:pPr>
        <w:pStyle w:val="ListParagraph"/>
        <w:numPr>
          <w:ilvl w:val="0"/>
          <w:numId w:val="2"/>
        </w:numPr>
        <w:spacing w:after="50" w:line="252"/>
      </w:pPr>
      <w:r>
        <w:rPr>
          <w:rFonts w:ascii="Calibri" w:cs="Calibri" w:eastAsia="Calibri" w:hAnsi="Calibri"/>
          <w:b/>
          <w:bCs/>
          <w:sz w:val="19"/>
          <w:szCs w:val="19"/>
        </w:rPr>
        <w:t xml:space="preserve">Half the list is already "in play".</w:t>
      </w:r>
    </w:p>
    <w:p>
      <w:pPr>
        <w:pStyle w:val="ListParagraph"/>
        <w:numPr>
          <w:ilvl w:val="1"/>
          <w:numId w:val="2"/>
        </w:numPr>
        <w:spacing w:after="50" w:line="252"/>
      </w:pPr>
      <w:r>
        <w:rPr>
          <w:rFonts w:ascii="Calibri" w:cs="Calibri" w:eastAsia="Calibri" w:hAnsi="Calibri"/>
          <w:sz w:val="19"/>
          <w:szCs w:val="19"/>
        </w:rPr>
        <w:t xml:space="preserve">An activist is already on the register at Daikin (Elliott), GungHo and KH Neochem (Strategic Capital), Wacom (AVI), Rinnai (Dalton), Teikoku Sen-i (NAVF/Dalton), Shibaura Machine (Oasis) and Hi-Lex (LIM, Catalyst/Monex). For these, the opportunity is co-investment and coalition voting.</w:t>
      </w:r>
    </w:p>
    <w:p>
      <w:pPr>
        <w:pStyle w:val="ListParagraph"/>
        <w:numPr>
          <w:ilvl w:val="1"/>
          <w:numId w:val="2"/>
        </w:numPr>
        <w:spacing w:after="50" w:line="252"/>
      </w:pPr>
      <w:r>
        <w:rPr>
          <w:rFonts w:ascii="Calibri" w:cs="Calibri" w:eastAsia="Calibri" w:hAnsi="Calibri"/>
          <w:b/>
          <w:bCs/>
          <w:sz w:val="19"/>
          <w:szCs w:val="19"/>
        </w:rPr>
        <w:t xml:space="preserve">First-mover opportunities</w:t>
      </w:r>
      <w:r>
        <w:rPr>
          <w:rFonts w:ascii="Calibri" w:cs="Calibri" w:eastAsia="Calibri" w:hAnsi="Calibri"/>
          <w:sz w:val="19"/>
          <w:szCs w:val="19"/>
        </w:rPr>
        <w:t xml:space="preserve">, with no incumbent campaign: Omron, Dentsu, NAVER, Yamaha, Hodogaya, NC, T. Hasegawa, TS Tech, Canon, Toei and Mitsubishi Motors.</w:t>
      </w:r>
    </w:p>
    <w:p>
      <w:pPr>
        <w:pStyle w:val="ListParagraph"/>
        <w:numPr>
          <w:ilvl w:val="0"/>
          <w:numId w:val="2"/>
        </w:numPr>
        <w:spacing w:after="50" w:line="252"/>
      </w:pPr>
      <w:r>
        <w:rPr>
          <w:rFonts w:ascii="Calibri" w:cs="Calibri" w:eastAsia="Calibri" w:hAnsi="Calibri"/>
          <w:b/>
          <w:bCs/>
          <w:sz w:val="19"/>
          <w:szCs w:val="19"/>
        </w:rPr>
        <w:t xml:space="preserve">Where we would start: Omron, Dentsu and Yamaha in Japan, NAVER in Korea, and Hodogaya as an event trade.</w:t>
      </w:r>
      <w:r>
        <w:rPr>
          <w:rFonts w:ascii="Calibri" w:cs="Calibri" w:eastAsia="Calibri" w:hAnsi="Calibri"/>
          <w:sz w:val="19"/>
          <w:szCs w:val="19"/>
        </w:rPr>
        <w:t xml:space="preserve"> Each combines an open, institutional register, a quantifiable value gap and a clear, board-level ask.</w:t>
      </w:r>
    </w:p>
    <w:p>
      <w:pPr>
        <w:pStyle w:val="Heading3"/>
        <w:keepNext/>
        <w:spacing w:after="80" w:before="180"/>
      </w:pPr>
      <w:r>
        <w:rPr>
          <w:rFonts w:ascii="Calibri" w:cs="Calibri" w:eastAsia="Calibri" w:hAnsi="Calibri"/>
          <w:b/>
          <w:bCs/>
          <w:color w:val="2E75B6"/>
          <w:sz w:val="22"/>
          <w:szCs w:val="22"/>
        </w:rPr>
        <w:t xml:space="preserve">Tiering</w:t>
      </w:r>
    </w:p>
    <w:p>
      <w:pPr>
        <w:pStyle w:val="ListParagraph"/>
        <w:numPr>
          <w:ilvl w:val="0"/>
          <w:numId w:val="2"/>
        </w:numPr>
        <w:spacing w:after="50" w:line="252"/>
      </w:pPr>
      <w:r>
        <w:rPr>
          <w:rFonts w:ascii="Calibri" w:cs="Calibri" w:eastAsia="Calibri" w:hAnsi="Calibri"/>
          <w:b/>
          <w:bCs/>
          <w:sz w:val="19"/>
          <w:szCs w:val="19"/>
        </w:rPr>
        <w:t xml:space="preserve">Tier 1 (7 names): highest conviction.</w:t>
      </w:r>
      <w:r>
        <w:rPr>
          <w:rFonts w:ascii="Calibri" w:cs="Calibri" w:eastAsia="Calibri" w:hAnsi="Calibri"/>
          <w:sz w:val="19"/>
          <w:szCs w:val="19"/>
        </w:rPr>
        <w:t xml:space="preserve"> Large and identifiable value gap, a register that will engage, and in most cases a dated catalyst. Omron, Dentsu, NAVER, Yamaha, Daikin, GungHo, Hodogaya.</w:t>
      </w:r>
    </w:p>
    <w:p>
      <w:pPr>
        <w:pStyle w:val="ListParagraph"/>
        <w:numPr>
          <w:ilvl w:val="0"/>
          <w:numId w:val="2"/>
        </w:numPr>
        <w:spacing w:after="50" w:line="252"/>
      </w:pPr>
      <w:r>
        <w:rPr>
          <w:rFonts w:ascii="Calibri" w:cs="Calibri" w:eastAsia="Calibri" w:hAnsi="Calibri"/>
          <w:b/>
          <w:bCs/>
          <w:sz w:val="19"/>
          <w:szCs w:val="19"/>
        </w:rPr>
        <w:t xml:space="preserve">Tier 2 (8 names): strong thesis, harder execution or an incumbent activist.</w:t>
      </w:r>
      <w:r>
        <w:rPr>
          <w:rFonts w:ascii="Calibri" w:cs="Calibri" w:eastAsia="Calibri" w:hAnsi="Calibri"/>
          <w:sz w:val="19"/>
          <w:szCs w:val="19"/>
        </w:rPr>
        <w:t xml:space="preserve"> NC, Kumho, Rinnai, T. Hasegawa, Shibaura Machine, KH Neochem, Wacom, Teikoku Sen-i.</w:t>
      </w:r>
    </w:p>
    <w:p>
      <w:pPr>
        <w:pStyle w:val="ListParagraph"/>
        <w:numPr>
          <w:ilvl w:val="0"/>
          <w:numId w:val="2"/>
        </w:numPr>
        <w:spacing w:after="50" w:line="252"/>
      </w:pPr>
      <w:r>
        <w:rPr>
          <w:rFonts w:ascii="Calibri" w:cs="Calibri" w:eastAsia="Calibri" w:hAnsi="Calibri"/>
          <w:b/>
          <w:bCs/>
          <w:sz w:val="19"/>
          <w:szCs w:val="19"/>
        </w:rPr>
        <w:t xml:space="preserve">Tier 3 (5 names): good economics, difficult registers.</w:t>
      </w:r>
      <w:r>
        <w:rPr>
          <w:rFonts w:ascii="Calibri" w:cs="Calibri" w:eastAsia="Calibri" w:hAnsi="Calibri"/>
          <w:sz w:val="19"/>
          <w:szCs w:val="19"/>
        </w:rPr>
        <w:t xml:space="preserve"> TS Tech, Hi-Lex, Canon, Toei, Mitsubishi Motors. Each has a family, strategic or anchor bloc, or a scale issue, that makes a campaign a multi-year commitment or an event-driven trade.</w:t>
      </w:r>
    </w:p>
    <w:p>
      <w:pPr>
        <w:spacing w:after="100" w:line="264"/>
      </w:pPr>
      <w:r>
        <w:rPr>
          <w:rFonts w:ascii="Calibri" w:cs="Calibri" w:eastAsia="Calibri" w:hAnsi="Calibri"/>
          <w:b/>
          <w:bCs/>
          <w:sz w:val="19"/>
          <w:szCs w:val="19"/>
        </w:rPr>
        <w:t xml:space="preserve">Support score</w:t>
      </w:r>
      <w:r>
        <w:rPr>
          <w:rFonts w:ascii="Calibri" w:cs="Calibri" w:eastAsia="Calibri" w:hAnsi="Calibri"/>
          <w:sz w:val="19"/>
          <w:szCs w:val="19"/>
        </w:rPr>
        <w:t xml:space="preserve"> (1–5) is a judgement of how easily a supportive coalition of top shareholders could be assembled. It considers register composition, blocking or quasi-blocking stakes, existing activists, past vote outcomes and AGM mechanics.</w:t>
      </w:r>
    </w:p>
    <w:p>
      <w:pPr>
        <w:pStyle w:val="ListParagraph"/>
        <w:numPr>
          <w:ilvl w:val="0"/>
          <w:numId w:val="2"/>
        </w:numPr>
        <w:spacing w:after="50" w:line="252"/>
      </w:pPr>
      <w:r>
        <w:rPr>
          <w:rFonts w:ascii="Calibri" w:cs="Calibri" w:eastAsia="Calibri" w:hAnsi="Calibri"/>
          <w:sz w:val="19"/>
          <w:szCs w:val="19"/>
        </w:rPr>
        <w:t xml:space="preserve">5 = a fully institutional, visibly frustrated register with no anchor.</w:t>
      </w:r>
    </w:p>
    <w:p>
      <w:pPr>
        <w:pStyle w:val="ListParagraph"/>
        <w:numPr>
          <w:ilvl w:val="0"/>
          <w:numId w:val="2"/>
        </w:numPr>
        <w:spacing w:after="50" w:line="252"/>
      </w:pPr>
      <w:r>
        <w:rPr>
          <w:rFonts w:ascii="Calibri" w:cs="Calibri" w:eastAsia="Calibri" w:hAnsi="Calibri"/>
          <w:sz w:val="19"/>
          <w:szCs w:val="19"/>
        </w:rPr>
        <w:t xml:space="preserve">1 = effectively impossible without the anchor.</w:t>
      </w:r>
    </w:p>
    <w:p>
      <w:pPr>
        <w:pStyle w:val="Heading1"/>
        <w:pageBreakBefore/>
        <w:spacing w:after="160" w:before="120"/>
      </w:pPr>
      <w:r>
        <w:rPr>
          <w:rFonts w:ascii="Calibri" w:cs="Calibri" w:eastAsia="Calibri" w:hAnsi="Calibri"/>
          <w:b/>
          <w:bCs/>
          <w:color w:val="1F3864"/>
          <w:sz w:val="32"/>
          <w:szCs w:val="32"/>
        </w:rPr>
        <w:t xml:space="preserve">1. Summary tables</w:t>
      </w:r>
    </w:p>
    <w:p>
      <w:pPr>
        <w:pStyle w:val="Heading3"/>
        <w:keepNext/>
        <w:spacing w:after="80" w:before="180"/>
      </w:pPr>
      <w:r>
        <w:rPr>
          <w:rFonts w:ascii="Calibri" w:cs="Calibri" w:eastAsia="Calibri" w:hAnsi="Calibri"/>
          <w:b/>
          <w:bCs/>
          <w:color w:val="2E75B6"/>
          <w:sz w:val="22"/>
          <w:szCs w:val="22"/>
        </w:rPr>
        <w:t xml:space="preserve">Table 1 — Summary screen: the 20 names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5"/>
        <w:gridCol w:w="3014"/>
        <w:gridCol w:w="528"/>
        <w:gridCol w:w="505"/>
        <w:gridCol w:w="586"/>
        <w:gridCol w:w="704"/>
        <w:gridCol w:w="704"/>
        <w:gridCol w:w="704"/>
        <w:gridCol w:w="704"/>
        <w:gridCol w:w="704"/>
        <w:gridCol w:w="739"/>
        <w:gridCol w:w="509"/>
      </w:tblGrid>
      <w:tr>
        <w:trPr>
          <w:cantSplit/>
          <w:tblHeader/>
        </w:trPr>
        <w:tc>
          <w:tcPr>
            <w:tcW w:type="dxa" w:w="50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w:t>
            </w:r>
          </w:p>
        </w:tc>
        <w:tc>
          <w:tcPr>
            <w:tcW w:type="dxa" w:w="30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Company</w:t>
            </w:r>
          </w:p>
        </w:tc>
        <w:tc>
          <w:tcPr>
            <w:tcW w:type="dxa" w:w="5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Mkt cap ($bn)</w:t>
            </w:r>
          </w:p>
        </w:tc>
        <w:tc>
          <w:tcPr>
            <w:tcW w:type="dxa" w:w="50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3y TSR</w:t>
            </w:r>
          </w:p>
        </w:tc>
        <w:tc>
          <w:tcPr>
            <w:tcW w:type="dxa" w:w="58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5y TSR</w:t>
            </w:r>
          </w:p>
        </w:tc>
        <w:tc>
          <w:tcPr>
            <w:tcW w:type="dxa" w:w="70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3y vs peers</w:t>
            </w:r>
          </w:p>
        </w:tc>
        <w:tc>
          <w:tcPr>
            <w:tcW w:type="dxa" w:w="70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5y vs peers</w:t>
            </w:r>
          </w:p>
        </w:tc>
        <w:tc>
          <w:tcPr>
            <w:tcW w:type="dxa" w:w="70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5y vs sector index</w:t>
            </w:r>
          </w:p>
        </w:tc>
        <w:tc>
          <w:tcPr>
            <w:tcW w:type="dxa" w:w="70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5y vs market</w:t>
            </w:r>
          </w:p>
        </w:tc>
        <w:tc>
          <w:tcPr>
            <w:tcW w:type="dxa" w:w="70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 EBITDA</w:t>
            </w:r>
          </w:p>
        </w:tc>
        <w:tc>
          <w:tcPr>
            <w:tcW w:type="dxa" w:w="73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Support (1–5)</w:t>
            </w:r>
          </w:p>
        </w:tc>
        <w:tc>
          <w:tcPr>
            <w:tcW w:type="dxa" w:w="5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Tier</w:t>
            </w:r>
          </w:p>
        </w:tc>
      </w:tr>
      <w:tr>
        <w:trPr>
          <w:cantSplit/>
        </w:trPr>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w:t>
            </w:r>
          </w:p>
        </w:tc>
        <w:tc>
          <w:tcPr>
            <w:tcW w:type="dxa" w:w="301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Omron (6645 JP)</w:t>
            </w:r>
          </w:p>
        </w:tc>
        <w:tc>
          <w:tcPr>
            <w:tcW w:type="dxa" w:w="5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7.3</w:t>
            </w:r>
          </w:p>
        </w:tc>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w:t>
            </w:r>
          </w:p>
        </w:tc>
        <w:tc>
          <w:tcPr>
            <w:tcW w:type="dxa" w:w="5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−37%</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−39pp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−74pp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−155pp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−142pp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0.52x</w:t>
            </w:r>
          </w:p>
        </w:tc>
        <w:tc>
          <w:tcPr>
            <w:tcW w:type="dxa" w:w="7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w:t>
            </w:r>
          </w:p>
        </w:tc>
        <w:tc>
          <w:tcPr>
            <w:tcW w:type="dxa" w:w="5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w:t>
            </w:r>
          </w:p>
        </w:tc>
      </w:tr>
      <w:tr>
        <w:trPr>
          <w:cantSplit/>
        </w:trPr>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w:t>
            </w:r>
          </w:p>
        </w:tc>
        <w:tc>
          <w:tcPr>
            <w:tcW w:type="dxa" w:w="30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Dentsu Group (4324 JP)</w:t>
            </w:r>
          </w:p>
        </w:tc>
        <w:tc>
          <w:tcPr>
            <w:tcW w:type="dxa" w:w="5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6.2</w:t>
            </w:r>
          </w:p>
        </w:tc>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w:t>
            </w:r>
          </w:p>
        </w:tc>
        <w:tc>
          <w:tcPr>
            <w:tcW w:type="dxa" w:w="5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−28pp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+18pp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−63pp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−108pp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0.36x</w:t>
            </w:r>
          </w:p>
        </w:tc>
        <w:tc>
          <w:tcPr>
            <w:tcW w:type="dxa" w:w="7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w:t>
            </w:r>
          </w:p>
        </w:tc>
        <w:tc>
          <w:tcPr>
            <w:tcW w:type="dxa" w:w="5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w:t>
            </w:r>
          </w:p>
        </w:tc>
      </w:tr>
      <w:tr>
        <w:trPr>
          <w:cantSplit/>
        </w:trPr>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3</w:t>
            </w:r>
          </w:p>
        </w:tc>
        <w:tc>
          <w:tcPr>
            <w:tcW w:type="dxa" w:w="301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NAVER (035420 KS)</w:t>
            </w:r>
          </w:p>
        </w:tc>
        <w:tc>
          <w:tcPr>
            <w:tcW w:type="dxa" w:w="5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18.5</w:t>
            </w:r>
          </w:p>
        </w:tc>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w:t>
            </w:r>
          </w:p>
        </w:tc>
        <w:tc>
          <w:tcPr>
            <w:tcW w:type="dxa" w:w="5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−53%</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−19pp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n/a</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−193pp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−1.1x</w:t>
            </w:r>
          </w:p>
        </w:tc>
        <w:tc>
          <w:tcPr>
            <w:tcW w:type="dxa" w:w="7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w:t>
            </w:r>
          </w:p>
        </w:tc>
        <w:tc>
          <w:tcPr>
            <w:tcW w:type="dxa" w:w="5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w:t>
            </w:r>
          </w:p>
        </w:tc>
      </w:tr>
      <w:tr>
        <w:trPr>
          <w:cantSplit/>
        </w:trPr>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4</w:t>
            </w:r>
          </w:p>
        </w:tc>
        <w:tc>
          <w:tcPr>
            <w:tcW w:type="dxa" w:w="30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Yamaha (7951 JP)</w:t>
            </w:r>
          </w:p>
        </w:tc>
        <w:tc>
          <w:tcPr>
            <w:tcW w:type="dxa" w:w="5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3.4</w:t>
            </w:r>
          </w:p>
        </w:tc>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w:t>
            </w:r>
          </w:p>
        </w:tc>
        <w:tc>
          <w:tcPr>
            <w:tcW w:type="dxa" w:w="5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−45%</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−34pp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−73pp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−106pp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−150pp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−1.96x</w:t>
            </w:r>
          </w:p>
        </w:tc>
        <w:tc>
          <w:tcPr>
            <w:tcW w:type="dxa" w:w="7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w:t>
            </w:r>
          </w:p>
        </w:tc>
        <w:tc>
          <w:tcPr>
            <w:tcW w:type="dxa" w:w="5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w:t>
            </w:r>
          </w:p>
        </w:tc>
      </w:tr>
      <w:tr>
        <w:trPr>
          <w:cantSplit/>
        </w:trPr>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5</w:t>
            </w:r>
          </w:p>
        </w:tc>
        <w:tc>
          <w:tcPr>
            <w:tcW w:type="dxa" w:w="301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Daikin Industries (6367 JP)</w:t>
            </w:r>
          </w:p>
        </w:tc>
        <w:tc>
          <w:tcPr>
            <w:tcW w:type="dxa" w:w="5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37.5</w:t>
            </w:r>
          </w:p>
        </w:tc>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w:t>
            </w:r>
          </w:p>
        </w:tc>
        <w:tc>
          <w:tcPr>
            <w:tcW w:type="dxa" w:w="5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−138pp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−134pp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−115pp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−116pp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0.39x</w:t>
            </w:r>
          </w:p>
        </w:tc>
        <w:tc>
          <w:tcPr>
            <w:tcW w:type="dxa" w:w="7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w:t>
            </w:r>
          </w:p>
        </w:tc>
        <w:tc>
          <w:tcPr>
            <w:tcW w:type="dxa" w:w="5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w:t>
            </w:r>
          </w:p>
        </w:tc>
      </w:tr>
      <w:tr>
        <w:trPr>
          <w:cantSplit/>
        </w:trPr>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6</w:t>
            </w:r>
          </w:p>
        </w:tc>
        <w:tc>
          <w:tcPr>
            <w:tcW w:type="dxa" w:w="30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GungHo Online (3765 JP)</w:t>
            </w:r>
          </w:p>
        </w:tc>
        <w:tc>
          <w:tcPr>
            <w:tcW w:type="dxa" w:w="5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0.8</w:t>
            </w:r>
          </w:p>
        </w:tc>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w:t>
            </w:r>
          </w:p>
        </w:tc>
        <w:tc>
          <w:tcPr>
            <w:tcW w:type="dxa" w:w="5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+27%</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−67pp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−93pp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−33pp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−78pp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−17.5x</w:t>
            </w:r>
          </w:p>
        </w:tc>
        <w:tc>
          <w:tcPr>
            <w:tcW w:type="dxa" w:w="7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w:t>
            </w:r>
          </w:p>
        </w:tc>
        <w:tc>
          <w:tcPr>
            <w:tcW w:type="dxa" w:w="5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w:t>
            </w:r>
          </w:p>
        </w:tc>
      </w:tr>
      <w:tr>
        <w:trPr>
          <w:cantSplit/>
        </w:trPr>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7</w:t>
            </w:r>
          </w:p>
        </w:tc>
        <w:tc>
          <w:tcPr>
            <w:tcW w:type="dxa" w:w="301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Hodogaya Chemical (4112 JP)</w:t>
            </w:r>
          </w:p>
        </w:tc>
        <w:tc>
          <w:tcPr>
            <w:tcW w:type="dxa" w:w="5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0.2</w:t>
            </w:r>
          </w:p>
        </w:tc>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+43%</w:t>
            </w:r>
          </w:p>
        </w:tc>
        <w:tc>
          <w:tcPr>
            <w:tcW w:type="dxa" w:w="5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−30pp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−133pp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−48pp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−117pp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−0.2x‡</w:t>
            </w:r>
          </w:p>
        </w:tc>
        <w:tc>
          <w:tcPr>
            <w:tcW w:type="dxa" w:w="7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w:t>
            </w:r>
          </w:p>
        </w:tc>
        <w:tc>
          <w:tcPr>
            <w:tcW w:type="dxa" w:w="5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w:t>
            </w:r>
          </w:p>
        </w:tc>
      </w:tr>
      <w:tr>
        <w:trPr>
          <w:cantSplit/>
        </w:trPr>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8</w:t>
            </w:r>
          </w:p>
        </w:tc>
        <w:tc>
          <w:tcPr>
            <w:tcW w:type="dxa" w:w="30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NC Corp (036570 KS)</w:t>
            </w:r>
          </w:p>
        </w:tc>
        <w:tc>
          <w:tcPr>
            <w:tcW w:type="dxa" w:w="5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2.8</w:t>
            </w:r>
          </w:p>
        </w:tc>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w:t>
            </w:r>
          </w:p>
        </w:tc>
        <w:tc>
          <w:tcPr>
            <w:tcW w:type="dxa" w:w="5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−63%</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n/a</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−204pp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−4.0x</w:t>
            </w:r>
          </w:p>
        </w:tc>
        <w:tc>
          <w:tcPr>
            <w:tcW w:type="dxa" w:w="7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w:t>
            </w:r>
          </w:p>
        </w:tc>
        <w:tc>
          <w:tcPr>
            <w:tcW w:type="dxa" w:w="5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w:t>
            </w:r>
          </w:p>
        </w:tc>
      </w:tr>
      <w:tr>
        <w:trPr>
          <w:cantSplit/>
        </w:trPr>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9</w:t>
            </w:r>
          </w:p>
        </w:tc>
        <w:tc>
          <w:tcPr>
            <w:tcW w:type="dxa" w:w="301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Kumho Petrochemical (011780 KS)</w:t>
            </w:r>
          </w:p>
        </w:tc>
        <w:tc>
          <w:tcPr>
            <w:tcW w:type="dxa" w:w="5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1.9</w:t>
            </w:r>
          </w:p>
        </w:tc>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w:t>
            </w:r>
          </w:p>
        </w:tc>
        <w:tc>
          <w:tcPr>
            <w:tcW w:type="dxa" w:w="5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−23%</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+24pp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n/a</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−163pp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−0.1x</w:t>
            </w:r>
          </w:p>
        </w:tc>
        <w:tc>
          <w:tcPr>
            <w:tcW w:type="dxa" w:w="7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w:t>
            </w:r>
          </w:p>
        </w:tc>
        <w:tc>
          <w:tcPr>
            <w:tcW w:type="dxa" w:w="5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w:t>
            </w:r>
          </w:p>
        </w:tc>
      </w:tr>
      <w:tr>
        <w:trPr>
          <w:cantSplit/>
        </w:trPr>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10</w:t>
            </w:r>
          </w:p>
        </w:tc>
        <w:tc>
          <w:tcPr>
            <w:tcW w:type="dxa" w:w="30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Rinnai (5947 JP)</w:t>
            </w:r>
          </w:p>
        </w:tc>
        <w:tc>
          <w:tcPr>
            <w:tcW w:type="dxa" w:w="5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3.0</w:t>
            </w:r>
          </w:p>
        </w:tc>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+32%</w:t>
            </w:r>
          </w:p>
        </w:tc>
        <w:tc>
          <w:tcPr>
            <w:tcW w:type="dxa" w:w="5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+24pp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−17pp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−93pp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−104pp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−2.62x</w:t>
            </w:r>
          </w:p>
        </w:tc>
        <w:tc>
          <w:tcPr>
            <w:tcW w:type="dxa" w:w="7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w:t>
            </w:r>
          </w:p>
        </w:tc>
        <w:tc>
          <w:tcPr>
            <w:tcW w:type="dxa" w:w="5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w:t>
            </w:r>
          </w:p>
        </w:tc>
      </w:tr>
      <w:tr>
        <w:trPr>
          <w:cantSplit/>
        </w:trPr>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w:t>
            </w:r>
          </w:p>
        </w:tc>
        <w:tc>
          <w:tcPr>
            <w:tcW w:type="dxa" w:w="301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T. Hasegawa (4958 JP)</w:t>
            </w:r>
          </w:p>
        </w:tc>
        <w:tc>
          <w:tcPr>
            <w:tcW w:type="dxa" w:w="5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0.9</w:t>
            </w:r>
          </w:p>
        </w:tc>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+14%</w:t>
            </w:r>
          </w:p>
        </w:tc>
        <w:tc>
          <w:tcPr>
            <w:tcW w:type="dxa" w:w="5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+37%</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−29pp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+42pp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−69pp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−2.36x</w:t>
            </w:r>
          </w:p>
        </w:tc>
        <w:tc>
          <w:tcPr>
            <w:tcW w:type="dxa" w:w="7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w:t>
            </w:r>
          </w:p>
        </w:tc>
        <w:tc>
          <w:tcPr>
            <w:tcW w:type="dxa" w:w="5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w:t>
            </w:r>
          </w:p>
        </w:tc>
      </w:tr>
      <w:tr>
        <w:trPr>
          <w:cantSplit/>
        </w:trPr>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12</w:t>
            </w:r>
          </w:p>
        </w:tc>
        <w:tc>
          <w:tcPr>
            <w:tcW w:type="dxa" w:w="30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Shibaura Machine (6104 JP)</w:t>
            </w:r>
          </w:p>
        </w:tc>
        <w:tc>
          <w:tcPr>
            <w:tcW w:type="dxa" w:w="5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0.7</w:t>
            </w:r>
          </w:p>
        </w:tc>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+38%</w:t>
            </w:r>
          </w:p>
        </w:tc>
        <w:tc>
          <w:tcPr>
            <w:tcW w:type="dxa" w:w="5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+107%</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−78pp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−4.5x</w:t>
            </w:r>
          </w:p>
        </w:tc>
        <w:tc>
          <w:tcPr>
            <w:tcW w:type="dxa" w:w="7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w:t>
            </w:r>
          </w:p>
        </w:tc>
        <w:tc>
          <w:tcPr>
            <w:tcW w:type="dxa" w:w="5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w:t>
            </w:r>
          </w:p>
        </w:tc>
      </w:tr>
      <w:tr>
        <w:trPr>
          <w:cantSplit/>
        </w:trPr>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13</w:t>
            </w:r>
          </w:p>
        </w:tc>
        <w:tc>
          <w:tcPr>
            <w:tcW w:type="dxa" w:w="301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KH Neochem (4189 JP)</w:t>
            </w:r>
          </w:p>
        </w:tc>
        <w:tc>
          <w:tcPr>
            <w:tcW w:type="dxa" w:w="5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0.8</w:t>
            </w:r>
          </w:p>
        </w:tc>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+69%</w:t>
            </w:r>
          </w:p>
        </w:tc>
        <w:tc>
          <w:tcPr>
            <w:tcW w:type="dxa" w:w="5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+32%</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−67pp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−73pp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0.45x</w:t>
            </w:r>
          </w:p>
        </w:tc>
        <w:tc>
          <w:tcPr>
            <w:tcW w:type="dxa" w:w="7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w:t>
            </w:r>
          </w:p>
        </w:tc>
        <w:tc>
          <w:tcPr>
            <w:tcW w:type="dxa" w:w="5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w:t>
            </w:r>
          </w:p>
        </w:tc>
      </w:tr>
      <w:tr>
        <w:trPr>
          <w:cantSplit/>
        </w:trPr>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14</w:t>
            </w:r>
          </w:p>
        </w:tc>
        <w:tc>
          <w:tcPr>
            <w:tcW w:type="dxa" w:w="30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Wacom (6727 JP)</w:t>
            </w:r>
          </w:p>
        </w:tc>
        <w:tc>
          <w:tcPr>
            <w:tcW w:type="dxa" w:w="5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0.7</w:t>
            </w:r>
          </w:p>
        </w:tc>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+60%</w:t>
            </w:r>
          </w:p>
        </w:tc>
        <w:tc>
          <w:tcPr>
            <w:tcW w:type="dxa" w:w="5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+34%</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+37pp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−84pp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−71pp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−0.62x</w:t>
            </w:r>
          </w:p>
        </w:tc>
        <w:tc>
          <w:tcPr>
            <w:tcW w:type="dxa" w:w="7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w:t>
            </w:r>
          </w:p>
        </w:tc>
        <w:tc>
          <w:tcPr>
            <w:tcW w:type="dxa" w:w="5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w:t>
            </w:r>
          </w:p>
        </w:tc>
      </w:tr>
      <w:tr>
        <w:trPr>
          <w:cantSplit/>
        </w:trPr>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15</w:t>
            </w:r>
          </w:p>
        </w:tc>
        <w:tc>
          <w:tcPr>
            <w:tcW w:type="dxa" w:w="301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Teikoku Sen-i (3302 JP)</w:t>
            </w:r>
          </w:p>
        </w:tc>
        <w:tc>
          <w:tcPr>
            <w:tcW w:type="dxa" w:w="5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0.5</w:t>
            </w:r>
          </w:p>
        </w:tc>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+69%</w:t>
            </w:r>
          </w:p>
        </w:tc>
        <w:tc>
          <w:tcPr>
            <w:tcW w:type="dxa" w:w="5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+57%</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−40pp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−45pp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+20pp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−48pp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−4.1x</w:t>
            </w:r>
          </w:p>
        </w:tc>
        <w:tc>
          <w:tcPr>
            <w:tcW w:type="dxa" w:w="7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w:t>
            </w:r>
          </w:p>
        </w:tc>
        <w:tc>
          <w:tcPr>
            <w:tcW w:type="dxa" w:w="5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w:t>
            </w:r>
          </w:p>
        </w:tc>
      </w:tr>
      <w:tr>
        <w:trPr>
          <w:cantSplit/>
        </w:trPr>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16</w:t>
            </w:r>
          </w:p>
        </w:tc>
        <w:tc>
          <w:tcPr>
            <w:tcW w:type="dxa" w:w="30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TS Tech (7313 JP)</w:t>
            </w:r>
          </w:p>
        </w:tc>
        <w:tc>
          <w:tcPr>
            <w:tcW w:type="dxa" w:w="5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w:t>
            </w:r>
          </w:p>
        </w:tc>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+25%</w:t>
            </w:r>
          </w:p>
        </w:tc>
        <w:tc>
          <w:tcPr>
            <w:tcW w:type="dxa" w:w="5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+58%</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+32pp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+60pp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−48pp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−3.53x</w:t>
            </w:r>
          </w:p>
        </w:tc>
        <w:tc>
          <w:tcPr>
            <w:tcW w:type="dxa" w:w="7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w:t>
            </w:r>
          </w:p>
        </w:tc>
        <w:tc>
          <w:tcPr>
            <w:tcW w:type="dxa" w:w="5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w:t>
            </w:r>
          </w:p>
        </w:tc>
      </w:tr>
      <w:tr>
        <w:trPr>
          <w:cantSplit/>
        </w:trPr>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17</w:t>
            </w:r>
          </w:p>
        </w:tc>
        <w:tc>
          <w:tcPr>
            <w:tcW w:type="dxa" w:w="301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Hi-Lex (7279 JP)</w:t>
            </w:r>
          </w:p>
        </w:tc>
        <w:tc>
          <w:tcPr>
            <w:tcW w:type="dxa" w:w="5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0.5</w:t>
            </w:r>
          </w:p>
        </w:tc>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+68%</w:t>
            </w:r>
          </w:p>
        </w:tc>
        <w:tc>
          <w:tcPr>
            <w:tcW w:type="dxa" w:w="5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+30%</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+8pp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−48pp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−75pp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−3.76x</w:t>
            </w:r>
          </w:p>
        </w:tc>
        <w:tc>
          <w:tcPr>
            <w:tcW w:type="dxa" w:w="7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w:t>
            </w:r>
          </w:p>
        </w:tc>
        <w:tc>
          <w:tcPr>
            <w:tcW w:type="dxa" w:w="5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w:t>
            </w:r>
          </w:p>
        </w:tc>
      </w:tr>
      <w:tr>
        <w:trPr>
          <w:cantSplit/>
        </w:trPr>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18</w:t>
            </w:r>
          </w:p>
        </w:tc>
        <w:tc>
          <w:tcPr>
            <w:tcW w:type="dxa" w:w="30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Canon (7751 JP)</w:t>
            </w:r>
          </w:p>
        </w:tc>
        <w:tc>
          <w:tcPr>
            <w:tcW w:type="dxa" w:w="5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25.6</w:t>
            </w:r>
          </w:p>
        </w:tc>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+44%</w:t>
            </w:r>
          </w:p>
        </w:tc>
        <w:tc>
          <w:tcPr>
            <w:tcW w:type="dxa" w:w="5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+94%</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+16pp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+69pp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−24pp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0.72x</w:t>
            </w:r>
          </w:p>
        </w:tc>
        <w:tc>
          <w:tcPr>
            <w:tcW w:type="dxa" w:w="7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w:t>
            </w:r>
          </w:p>
        </w:tc>
        <w:tc>
          <w:tcPr>
            <w:tcW w:type="dxa" w:w="5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w:t>
            </w:r>
          </w:p>
        </w:tc>
      </w:tr>
      <w:tr>
        <w:trPr>
          <w:cantSplit/>
        </w:trPr>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19</w:t>
            </w:r>
          </w:p>
        </w:tc>
        <w:tc>
          <w:tcPr>
            <w:tcW w:type="dxa" w:w="301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Toei (9605 JP)</w:t>
            </w:r>
          </w:p>
        </w:tc>
        <w:tc>
          <w:tcPr>
            <w:tcW w:type="dxa" w:w="5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2.3</w:t>
            </w:r>
          </w:p>
        </w:tc>
        <w:tc>
          <w:tcPr>
            <w:tcW w:type="dxa" w:w="5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+58%</w:t>
            </w:r>
          </w:p>
        </w:tc>
        <w:tc>
          <w:tcPr>
            <w:tcW w:type="dxa" w:w="5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+34%</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+37pp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+29pp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−27pp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−72pp</w:t>
            </w:r>
          </w:p>
        </w:tc>
        <w:tc>
          <w:tcPr>
            <w:tcW w:type="dxa" w:w="70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−2.39x</w:t>
            </w:r>
          </w:p>
        </w:tc>
        <w:tc>
          <w:tcPr>
            <w:tcW w:type="dxa" w:w="7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w:t>
            </w:r>
          </w:p>
        </w:tc>
        <w:tc>
          <w:tcPr>
            <w:tcW w:type="dxa" w:w="5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w:t>
            </w:r>
          </w:p>
        </w:tc>
      </w:tr>
      <w:tr>
        <w:trPr>
          <w:cantSplit/>
        </w:trPr>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20</w:t>
            </w:r>
          </w:p>
        </w:tc>
        <w:tc>
          <w:tcPr>
            <w:tcW w:type="dxa" w:w="30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Mitsubishi Motors (7211 JP)</w:t>
            </w:r>
          </w:p>
        </w:tc>
        <w:tc>
          <w:tcPr>
            <w:tcW w:type="dxa" w:w="5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3.0</w:t>
            </w:r>
          </w:p>
        </w:tc>
        <w:tc>
          <w:tcPr>
            <w:tcW w:type="dxa" w:w="5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−30%</w:t>
            </w:r>
          </w:p>
        </w:tc>
        <w:tc>
          <w:tcPr>
            <w:tcW w:type="dxa" w:w="5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−21pp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−20pp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−34pp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−95pp</w:t>
            </w:r>
          </w:p>
        </w:tc>
        <w:tc>
          <w:tcPr>
            <w:tcW w:type="dxa" w:w="70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0.65x†</w:t>
            </w:r>
          </w:p>
        </w:tc>
        <w:tc>
          <w:tcPr>
            <w:tcW w:type="dxa" w:w="7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w:t>
            </w:r>
          </w:p>
        </w:tc>
        <w:tc>
          <w:tcPr>
            <w:tcW w:type="dxa" w:w="5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w:t>
            </w:r>
          </w:p>
        </w:tc>
      </w:tr>
    </w:tbl>
    <w:p>
      <w:pPr>
        <w:spacing w:after="100"/>
      </w:pPr>
    </w:p>
    <w:p>
      <w:pPr>
        <w:spacing w:after="100" w:line="264"/>
      </w:pPr>
      <w:r>
        <w:rPr>
          <w:rFonts w:ascii="Calibri" w:cs="Calibri" w:eastAsia="Calibri" w:hAnsi="Calibri"/>
          <w:i/>
          <w:iCs/>
          <w:sz w:val="19"/>
          <w:szCs w:val="19"/>
        </w:rPr>
        <w:t xml:space="preserve">TSR is approximate (S&amp;P closes plus dividends, no reinvestment). Sector index is the relevant NEXT FUNDS TOPIX-17 ETF (price). Market is TOPIX (Japan) or KOSPI 200 (Korea), price. The index comparisons are therefore conservative by roughly 2pp a year of dividends. † Mitsubishi Motors' consolidated figure includes its finance arm; the auto business holds ¥406bn of net cash. ‡ Hodogaya ≈2.0x pro forma after the Framochem acquisition.</w:t>
      </w:r>
    </w:p>
    <w:p>
      <w:pPr>
        <w:pStyle w:val="Heading3"/>
        <w:keepNext/>
        <w:spacing w:after="80" w:before="180"/>
      </w:pPr>
      <w:r>
        <w:rPr>
          <w:rFonts w:ascii="Calibri" w:cs="Calibri" w:eastAsia="Calibri" w:hAnsi="Calibri"/>
          <w:b/>
          <w:bCs/>
          <w:color w:val="2E75B6"/>
          <w:sz w:val="22"/>
          <w:szCs w:val="22"/>
        </w:rPr>
        <w:t xml:space="preserve">Table 2 — TSR: company vs peers, sector and market (1y / 3y / 5y)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8"/>
        <w:gridCol w:w="1427"/>
        <w:gridCol w:w="1781"/>
        <w:gridCol w:w="1857"/>
        <w:gridCol w:w="2405"/>
        <w:gridCol w:w="1928"/>
      </w:tblGrid>
      <w:tr>
        <w:trPr>
          <w:cantSplit/>
          <w:tblHeader/>
        </w:trPr>
        <w:tc>
          <w:tcPr>
            <w:tcW w:type="dxa" w:w="50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5"/>
                <w:szCs w:val="15"/>
              </w:rPr>
              <w:t xml:space="preserve">#</w:t>
            </w:r>
          </w:p>
        </w:tc>
        <w:tc>
          <w:tcPr>
            <w:tcW w:type="dxa" w:w="14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5"/>
                <w:szCs w:val="15"/>
              </w:rPr>
              <w:t xml:space="preserve">Company</w:t>
            </w:r>
          </w:p>
        </w:tc>
        <w:tc>
          <w:tcPr>
            <w:tcW w:type="dxa" w:w="178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5"/>
                <w:szCs w:val="15"/>
              </w:rPr>
              <w:t xml:space="preserve">Company TSR</w:t>
            </w:r>
          </w:p>
        </w:tc>
        <w:tc>
          <w:tcPr>
            <w:tcW w:type="dxa" w:w="18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5"/>
                <w:szCs w:val="15"/>
              </w:rPr>
              <w:t xml:space="preserve">Peer median TSR</w:t>
            </w:r>
          </w:p>
        </w:tc>
        <w:tc>
          <w:tcPr>
            <w:tcW w:type="dxa" w:w="240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5"/>
                <w:szCs w:val="15"/>
              </w:rPr>
              <w:t xml:space="preserve">Sector index (ETF)</w:t>
            </w:r>
          </w:p>
        </w:tc>
        <w:tc>
          <w:tcPr>
            <w:tcW w:type="dxa" w:w="192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5"/>
                <w:szCs w:val="15"/>
              </w:rPr>
              <w:t xml:space="preserve">Market index</w:t>
            </w:r>
          </w:p>
        </w:tc>
      </w:tr>
      <w:tr>
        <w:trPr>
          <w:cantSplit/>
        </w:trPr>
        <w:tc>
          <w:tcPr>
            <w:tcW w:type="dxa" w:w="50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w:t>
            </w:r>
          </w:p>
        </w:tc>
        <w:tc>
          <w:tcPr>
            <w:tcW w:type="dxa" w:w="14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Omron</w:t>
            </w:r>
          </w:p>
        </w:tc>
        <w:tc>
          <w:tcPr>
            <w:tcW w:type="dxa" w:w="178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+50% / +4% / −37%</w:t>
            </w:r>
          </w:p>
        </w:tc>
        <w:tc>
          <w:tcPr>
            <w:tcW w:type="dxa" w:w="18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+22% / +42% / +37%</w:t>
            </w:r>
          </w:p>
        </w:tc>
        <w:tc>
          <w:tcPr>
            <w:tcW w:type="dxa" w:w="24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+47% / +114% / +118% (1625)</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w:t>
            </w:r>
          </w:p>
        </w:tc>
        <w:tc>
          <w:tcPr>
            <w:tcW w:type="dxa" w:w="14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Dentsu Group</w:t>
            </w:r>
          </w:p>
        </w:tc>
        <w:tc>
          <w:tcPr>
            <w:tcW w:type="dxa" w:w="178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+19% / −12% / −2%</w:t>
            </w:r>
          </w:p>
        </w:tc>
        <w:tc>
          <w:tcPr>
            <w:tcW w:type="dxa" w:w="18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+15% / +17% / −21%</w:t>
            </w:r>
          </w:p>
        </w:tc>
        <w:tc>
          <w:tcPr>
            <w:tcW w:type="dxa" w:w="24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+14% / +65% / +61% (1626)</w:t>
            </w:r>
          </w:p>
        </w:tc>
        <w:tc>
          <w:tcPr>
            <w:tcW w:type="dxa" w:w="19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3</w:t>
            </w:r>
          </w:p>
        </w:tc>
        <w:tc>
          <w:tcPr>
            <w:tcW w:type="dxa" w:w="14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NAVER</w:t>
            </w:r>
          </w:p>
        </w:tc>
        <w:tc>
          <w:tcPr>
            <w:tcW w:type="dxa" w:w="178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−30% / −4% / −53%</w:t>
            </w:r>
          </w:p>
        </w:tc>
        <w:tc>
          <w:tcPr>
            <w:tcW w:type="dxa" w:w="18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−14% / +7% / −34%</w:t>
            </w:r>
          </w:p>
        </w:tc>
        <w:tc>
          <w:tcPr>
            <w:tcW w:type="dxa" w:w="24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n/a</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+85% / +189% / +140%</w:t>
            </w:r>
          </w:p>
        </w:tc>
      </w:tr>
      <w:tr>
        <w:trPr>
          <w:cantSplit/>
        </w:trPr>
        <w:tc>
          <w:tcPr>
            <w:tcW w:type="dxa" w:w="50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4</w:t>
            </w:r>
          </w:p>
        </w:tc>
        <w:tc>
          <w:tcPr>
            <w:tcW w:type="dxa" w:w="14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Yamaha</w:t>
            </w:r>
          </w:p>
        </w:tc>
        <w:tc>
          <w:tcPr>
            <w:tcW w:type="dxa" w:w="178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+26% / −6% / −45%</w:t>
            </w:r>
          </w:p>
        </w:tc>
        <w:tc>
          <w:tcPr>
            <w:tcW w:type="dxa" w:w="18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+26% / +27% / +28%</w:t>
            </w:r>
          </w:p>
        </w:tc>
        <w:tc>
          <w:tcPr>
            <w:tcW w:type="dxa" w:w="24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+14% / +65% / +61% (1626)</w:t>
            </w:r>
          </w:p>
        </w:tc>
        <w:tc>
          <w:tcPr>
            <w:tcW w:type="dxa" w:w="19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5</w:t>
            </w:r>
          </w:p>
        </w:tc>
        <w:tc>
          <w:tcPr>
            <w:tcW w:type="dxa" w:w="14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Daikin Industries</w:t>
            </w:r>
          </w:p>
        </w:tc>
        <w:tc>
          <w:tcPr>
            <w:tcW w:type="dxa" w:w="178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+24% / −3% / −10%</w:t>
            </w:r>
          </w:p>
        </w:tc>
        <w:tc>
          <w:tcPr>
            <w:tcW w:type="dxa" w:w="18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+12% / +135% / +124%</w:t>
            </w:r>
          </w:p>
        </w:tc>
        <w:tc>
          <w:tcPr>
            <w:tcW w:type="dxa" w:w="24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+15% / +78% / +105% (1624)</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6</w:t>
            </w:r>
          </w:p>
        </w:tc>
        <w:tc>
          <w:tcPr>
            <w:tcW w:type="dxa" w:w="14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GungHo Online</w:t>
            </w:r>
          </w:p>
        </w:tc>
        <w:tc>
          <w:tcPr>
            <w:tcW w:type="dxa" w:w="178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−3% / +11% / +27%</w:t>
            </w:r>
          </w:p>
        </w:tc>
        <w:tc>
          <w:tcPr>
            <w:tcW w:type="dxa" w:w="18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+10% / +78% / +120%</w:t>
            </w:r>
          </w:p>
        </w:tc>
        <w:tc>
          <w:tcPr>
            <w:tcW w:type="dxa" w:w="24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+14% / +65% / +61% (1626)</w:t>
            </w:r>
          </w:p>
        </w:tc>
        <w:tc>
          <w:tcPr>
            <w:tcW w:type="dxa" w:w="19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7</w:t>
            </w:r>
          </w:p>
        </w:tc>
        <w:tc>
          <w:tcPr>
            <w:tcW w:type="dxa" w:w="14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Hodogaya Chemical</w:t>
            </w:r>
          </w:p>
        </w:tc>
        <w:tc>
          <w:tcPr>
            <w:tcW w:type="dxa" w:w="178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+16% / +43% / −12%</w:t>
            </w:r>
          </w:p>
        </w:tc>
        <w:tc>
          <w:tcPr>
            <w:tcW w:type="dxa" w:w="18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+43% / +73% / +121%</w:t>
            </w:r>
          </w:p>
        </w:tc>
        <w:tc>
          <w:tcPr>
            <w:tcW w:type="dxa" w:w="24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+26% / +41% / +37% (1620)</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8</w:t>
            </w:r>
          </w:p>
        </w:tc>
        <w:tc>
          <w:tcPr>
            <w:tcW w:type="dxa" w:w="14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NC Corp</w:t>
            </w:r>
          </w:p>
        </w:tc>
        <w:tc>
          <w:tcPr>
            <w:tcW w:type="dxa" w:w="178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 / −6% / −63%</w:t>
            </w:r>
          </w:p>
        </w:tc>
        <w:tc>
          <w:tcPr>
            <w:tcW w:type="dxa" w:w="18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−20% / −6% / −62%</w:t>
            </w:r>
          </w:p>
        </w:tc>
        <w:tc>
          <w:tcPr>
            <w:tcW w:type="dxa" w:w="24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n/a</w:t>
            </w:r>
          </w:p>
        </w:tc>
        <w:tc>
          <w:tcPr>
            <w:tcW w:type="dxa" w:w="19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+85% / +189% / +140%</w:t>
            </w:r>
          </w:p>
        </w:tc>
      </w:tr>
      <w:tr>
        <w:trPr>
          <w:cantSplit/>
        </w:trPr>
        <w:tc>
          <w:tcPr>
            <w:tcW w:type="dxa" w:w="50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9</w:t>
            </w:r>
          </w:p>
        </w:tc>
        <w:tc>
          <w:tcPr>
            <w:tcW w:type="dxa" w:w="14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Kumho Petrochemical</w:t>
            </w:r>
          </w:p>
        </w:tc>
        <w:tc>
          <w:tcPr>
            <w:tcW w:type="dxa" w:w="178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+8% / −4% / −23%</w:t>
            </w:r>
          </w:p>
        </w:tc>
        <w:tc>
          <w:tcPr>
            <w:tcW w:type="dxa" w:w="18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+6% / −16% / −47%</w:t>
            </w:r>
          </w:p>
        </w:tc>
        <w:tc>
          <w:tcPr>
            <w:tcW w:type="dxa" w:w="24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n/a</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+85% / +189% / +140%</w:t>
            </w:r>
          </w:p>
        </w:tc>
      </w:tr>
      <w:tr>
        <w:trPr>
          <w:cantSplit/>
        </w:trPr>
        <w:tc>
          <w:tcPr>
            <w:tcW w:type="dxa" w:w="50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10</w:t>
            </w:r>
          </w:p>
        </w:tc>
        <w:tc>
          <w:tcPr>
            <w:tcW w:type="dxa" w:w="14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Rinnai</w:t>
            </w:r>
          </w:p>
        </w:tc>
        <w:tc>
          <w:tcPr>
            <w:tcW w:type="dxa" w:w="178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 / +32% / +1%</w:t>
            </w:r>
          </w:p>
        </w:tc>
        <w:tc>
          <w:tcPr>
            <w:tcW w:type="dxa" w:w="18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+5% / +8% / +18%</w:t>
            </w:r>
          </w:p>
        </w:tc>
        <w:tc>
          <w:tcPr>
            <w:tcW w:type="dxa" w:w="24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+19% / +71% / +94% (1619)</w:t>
            </w:r>
          </w:p>
        </w:tc>
        <w:tc>
          <w:tcPr>
            <w:tcW w:type="dxa" w:w="19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11</w:t>
            </w:r>
          </w:p>
        </w:tc>
        <w:tc>
          <w:tcPr>
            <w:tcW w:type="dxa" w:w="14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 Hasegawa</w:t>
            </w:r>
          </w:p>
        </w:tc>
        <w:tc>
          <w:tcPr>
            <w:tcW w:type="dxa" w:w="178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+28% / +14% / +37%</w:t>
            </w:r>
          </w:p>
        </w:tc>
        <w:tc>
          <w:tcPr>
            <w:tcW w:type="dxa" w:w="18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+22% / +44% / −6%</w:t>
            </w:r>
          </w:p>
        </w:tc>
        <w:tc>
          <w:tcPr>
            <w:tcW w:type="dxa" w:w="24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+26% / +41% / +37% (1620)</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12</w:t>
            </w:r>
          </w:p>
        </w:tc>
        <w:tc>
          <w:tcPr>
            <w:tcW w:type="dxa" w:w="14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Shibaura Machine</w:t>
            </w:r>
          </w:p>
        </w:tc>
        <w:tc>
          <w:tcPr>
            <w:tcW w:type="dxa" w:w="178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+23% / +38% / +107%</w:t>
            </w:r>
          </w:p>
        </w:tc>
        <w:tc>
          <w:tcPr>
            <w:tcW w:type="dxa" w:w="18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+45% / +116% / +102%</w:t>
            </w:r>
          </w:p>
        </w:tc>
        <w:tc>
          <w:tcPr>
            <w:tcW w:type="dxa" w:w="24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+15% / +78% / +105% (1624)</w:t>
            </w:r>
          </w:p>
        </w:tc>
        <w:tc>
          <w:tcPr>
            <w:tcW w:type="dxa" w:w="19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13</w:t>
            </w:r>
          </w:p>
        </w:tc>
        <w:tc>
          <w:tcPr>
            <w:tcW w:type="dxa" w:w="14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KH Neochem</w:t>
            </w:r>
          </w:p>
        </w:tc>
        <w:tc>
          <w:tcPr>
            <w:tcW w:type="dxa" w:w="178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+32% / +69% / +32%</w:t>
            </w:r>
          </w:p>
        </w:tc>
        <w:tc>
          <w:tcPr>
            <w:tcW w:type="dxa" w:w="18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+34% / +66% / +99%</w:t>
            </w:r>
          </w:p>
        </w:tc>
        <w:tc>
          <w:tcPr>
            <w:tcW w:type="dxa" w:w="24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+26% / +41% / +37% (1620)</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14</w:t>
            </w:r>
          </w:p>
        </w:tc>
        <w:tc>
          <w:tcPr>
            <w:tcW w:type="dxa" w:w="14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Wacom</w:t>
            </w:r>
          </w:p>
        </w:tc>
        <w:tc>
          <w:tcPr>
            <w:tcW w:type="dxa" w:w="178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+11% / +60% / +34%</w:t>
            </w:r>
          </w:p>
        </w:tc>
        <w:tc>
          <w:tcPr>
            <w:tcW w:type="dxa" w:w="18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+13% / +23% / +19%</w:t>
            </w:r>
          </w:p>
        </w:tc>
        <w:tc>
          <w:tcPr>
            <w:tcW w:type="dxa" w:w="24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+47% / +114% / +118% (1625)</w:t>
            </w:r>
          </w:p>
        </w:tc>
        <w:tc>
          <w:tcPr>
            <w:tcW w:type="dxa" w:w="19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15</w:t>
            </w:r>
          </w:p>
        </w:tc>
        <w:tc>
          <w:tcPr>
            <w:tcW w:type="dxa" w:w="14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Teikoku Sen-i</w:t>
            </w:r>
          </w:p>
        </w:tc>
        <w:tc>
          <w:tcPr>
            <w:tcW w:type="dxa" w:w="178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−8% / +69% / +57%</w:t>
            </w:r>
          </w:p>
        </w:tc>
        <w:tc>
          <w:tcPr>
            <w:tcW w:type="dxa" w:w="18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+19% / +109% / +102%</w:t>
            </w:r>
          </w:p>
        </w:tc>
        <w:tc>
          <w:tcPr>
            <w:tcW w:type="dxa" w:w="24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+26% / +41% / +37% (1620)</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16</w:t>
            </w:r>
          </w:p>
        </w:tc>
        <w:tc>
          <w:tcPr>
            <w:tcW w:type="dxa" w:w="14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TS Tech</w:t>
            </w:r>
          </w:p>
        </w:tc>
        <w:tc>
          <w:tcPr>
            <w:tcW w:type="dxa" w:w="178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 / +25% / +58%</w:t>
            </w:r>
          </w:p>
        </w:tc>
        <w:tc>
          <w:tcPr>
            <w:tcW w:type="dxa" w:w="18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+8% / −8% / −2%</w:t>
            </w:r>
          </w:p>
        </w:tc>
        <w:tc>
          <w:tcPr>
            <w:tcW w:type="dxa" w:w="24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+7% / +16% / +45% (1622)</w:t>
            </w:r>
          </w:p>
        </w:tc>
        <w:tc>
          <w:tcPr>
            <w:tcW w:type="dxa" w:w="19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17</w:t>
            </w:r>
          </w:p>
        </w:tc>
        <w:tc>
          <w:tcPr>
            <w:tcW w:type="dxa" w:w="14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Hi-Lex</w:t>
            </w:r>
          </w:p>
        </w:tc>
        <w:tc>
          <w:tcPr>
            <w:tcW w:type="dxa" w:w="178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−17% / +68% / +30%</w:t>
            </w:r>
          </w:p>
        </w:tc>
        <w:tc>
          <w:tcPr>
            <w:tcW w:type="dxa" w:w="18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+27% / +59% / +78%</w:t>
            </w:r>
          </w:p>
        </w:tc>
        <w:tc>
          <w:tcPr>
            <w:tcW w:type="dxa" w:w="24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+7% / +16% / +45% (1622)</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18</w:t>
            </w:r>
          </w:p>
        </w:tc>
        <w:tc>
          <w:tcPr>
            <w:tcW w:type="dxa" w:w="14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Canon</w:t>
            </w:r>
          </w:p>
        </w:tc>
        <w:tc>
          <w:tcPr>
            <w:tcW w:type="dxa" w:w="178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+11% / +44% / +94%</w:t>
            </w:r>
          </w:p>
        </w:tc>
        <w:tc>
          <w:tcPr>
            <w:tcW w:type="dxa" w:w="18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+10% / +27% / +26%</w:t>
            </w:r>
          </w:p>
        </w:tc>
        <w:tc>
          <w:tcPr>
            <w:tcW w:type="dxa" w:w="24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+47% / +114% / +118% (1625)</w:t>
            </w:r>
          </w:p>
        </w:tc>
        <w:tc>
          <w:tcPr>
            <w:tcW w:type="dxa" w:w="19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19</w:t>
            </w:r>
          </w:p>
        </w:tc>
        <w:tc>
          <w:tcPr>
            <w:tcW w:type="dxa" w:w="14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Toei</w:t>
            </w:r>
          </w:p>
        </w:tc>
        <w:tc>
          <w:tcPr>
            <w:tcW w:type="dxa" w:w="178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+6% / +58% / +34%</w:t>
            </w:r>
          </w:p>
        </w:tc>
        <w:tc>
          <w:tcPr>
            <w:tcW w:type="dxa" w:w="18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−14% / +21% / +5%</w:t>
            </w:r>
          </w:p>
        </w:tc>
        <w:tc>
          <w:tcPr>
            <w:tcW w:type="dxa" w:w="24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+14% / +65% / +61% (1626)</w:t>
            </w:r>
          </w:p>
        </w:tc>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r>
        <w:trPr>
          <w:cantSplit/>
        </w:trPr>
        <w:tc>
          <w:tcPr>
            <w:tcW w:type="dxa" w:w="50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20</w:t>
            </w:r>
          </w:p>
        </w:tc>
        <w:tc>
          <w:tcPr>
            <w:tcW w:type="dxa" w:w="14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Mitsubishi Motors</w:t>
            </w:r>
          </w:p>
        </w:tc>
        <w:tc>
          <w:tcPr>
            <w:tcW w:type="dxa" w:w="178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−7% / −30% / +10%</w:t>
            </w:r>
          </w:p>
        </w:tc>
        <w:tc>
          <w:tcPr>
            <w:tcW w:type="dxa" w:w="18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−9% / −9% / +30%</w:t>
            </w:r>
          </w:p>
        </w:tc>
        <w:tc>
          <w:tcPr>
            <w:tcW w:type="dxa" w:w="24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+7% / +16% / +45% (1622)</w:t>
            </w:r>
          </w:p>
        </w:tc>
        <w:tc>
          <w:tcPr>
            <w:tcW w:type="dxa" w:w="192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+29% / +79% / +105%</w:t>
            </w:r>
          </w:p>
        </w:tc>
      </w:tr>
    </w:tbl>
    <w:p>
      <w:pPr>
        <w:spacing w:after="100"/>
      </w:pPr>
    </w:p>
    <w:p>
      <w:pPr>
        <w:pStyle w:val="Heading3"/>
        <w:keepNext/>
        <w:spacing w:after="80" w:before="180"/>
      </w:pPr>
      <w:r>
        <w:rPr>
          <w:rFonts w:ascii="Calibri" w:cs="Calibri" w:eastAsia="Calibri" w:hAnsi="Calibri"/>
          <w:b/>
          <w:bCs/>
          <w:color w:val="2E75B6"/>
          <w:sz w:val="22"/>
          <w:szCs w:val="22"/>
        </w:rPr>
        <w:t xml:space="preserve">Table 3 — Valuation and margins vs peer median (company / peer median, LTM)</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6"/>
        <w:gridCol w:w="1211"/>
        <w:gridCol w:w="1084"/>
        <w:gridCol w:w="1084"/>
        <w:gridCol w:w="1084"/>
        <w:gridCol w:w="1167"/>
        <w:gridCol w:w="1084"/>
        <w:gridCol w:w="1084"/>
        <w:gridCol w:w="1602"/>
      </w:tblGrid>
      <w:tr>
        <w:trPr>
          <w:cantSplit/>
          <w:tblHeader/>
        </w:trPr>
        <w:tc>
          <w:tcPr>
            <w:tcW w:type="dxa" w:w="5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w:t>
            </w:r>
          </w:p>
        </w:tc>
        <w:tc>
          <w:tcPr>
            <w:tcW w:type="dxa" w:w="12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Company</w:t>
            </w:r>
          </w:p>
        </w:tc>
        <w:tc>
          <w:tcPr>
            <w:tcW w:type="dxa" w:w="108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108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108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116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108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108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60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5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w:t>
            </w:r>
          </w:p>
        </w:tc>
        <w:tc>
          <w:tcPr>
            <w:tcW w:type="dxa" w:w="12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Omron</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1.53x / 5.34x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17.0x / 25.6x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33.5x / 30.8x</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4.6% / 3.2%</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9.0% / 19.8%</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13.1% / 20.7%</w:t>
            </w:r>
          </w:p>
        </w:tc>
        <w:tc>
          <w:tcPr>
            <w:tcW w:type="dxa" w:w="160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0.52x / net cash</w:t>
            </w:r>
          </w:p>
        </w:tc>
      </w:tr>
      <w:tr>
        <w:trPr>
          <w:cantSplit/>
        </w:trPr>
        <w:tc>
          <w:tcPr>
            <w:tcW w:type="dxa" w:w="5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w:t>
            </w:r>
          </w:p>
        </w:tc>
        <w:tc>
          <w:tcPr>
            <w:tcW w:type="dxa" w:w="12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Dentsu Group</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0.76x / 0.70x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7.0x / 10.6x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n.m. / 22.8x</w:t>
            </w:r>
          </w:p>
        </w:tc>
        <w:tc>
          <w:tcPr>
            <w:tcW w:type="dxa" w:w="116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15.4% / 11.1%</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10.8% / 9.5%</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15.8% / 10.3%</w:t>
            </w:r>
          </w:p>
        </w:tc>
        <w:tc>
          <w:tcPr>
            <w:tcW w:type="dxa" w:w="160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0.36x / 1.14x</w:t>
            </w:r>
          </w:p>
        </w:tc>
      </w:tr>
      <w:tr>
        <w:trPr>
          <w:cantSplit/>
        </w:trPr>
        <w:tc>
          <w:tcPr>
            <w:tcW w:type="dxa" w:w="5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3</w:t>
            </w:r>
          </w:p>
        </w:tc>
        <w:tc>
          <w:tcPr>
            <w:tcW w:type="dxa" w:w="12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NAVER</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1.86x / 1.64x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10.8x / 17.8x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12.9x / 17.7x</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5.6% / 1.3%</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17.3% / 12.3%</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23.3% / 21.5%</w:t>
            </w:r>
          </w:p>
        </w:tc>
        <w:tc>
          <w:tcPr>
            <w:tcW w:type="dxa" w:w="160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−1.1x / −0.7x</w:t>
            </w:r>
          </w:p>
        </w:tc>
      </w:tr>
      <w:tr>
        <w:trPr>
          <w:cantSplit/>
        </w:trPr>
        <w:tc>
          <w:tcPr>
            <w:tcW w:type="dxa" w:w="5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4</w:t>
            </w:r>
          </w:p>
        </w:tc>
        <w:tc>
          <w:tcPr>
            <w:tcW w:type="dxa" w:w="12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Yamaha</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0.91x / 1.16x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11.7x / 12.7x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16.7x / 23.8x</w:t>
            </w:r>
          </w:p>
        </w:tc>
        <w:tc>
          <w:tcPr>
            <w:tcW w:type="dxa" w:w="116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8.1% / 5.3%</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7.8% / 10.3%</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11.1% / 13.4%</w:t>
            </w:r>
          </w:p>
        </w:tc>
        <w:tc>
          <w:tcPr>
            <w:tcW w:type="dxa" w:w="160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−1.96x / —</w:t>
            </w:r>
          </w:p>
        </w:tc>
      </w:tr>
      <w:tr>
        <w:trPr>
          <w:cantSplit/>
        </w:trPr>
        <w:tc>
          <w:tcPr>
            <w:tcW w:type="dxa" w:w="5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5</w:t>
            </w:r>
          </w:p>
        </w:tc>
        <w:tc>
          <w:tcPr>
            <w:tcW w:type="dxa" w:w="12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Daikin Industries</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1.20x / 2.65x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14.8x / 27.1x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21.7x / 25.8x</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5.6% / 4.3%</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8.1% / 14.2%</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13.6% / 17.3%</w:t>
            </w:r>
          </w:p>
        </w:tc>
        <w:tc>
          <w:tcPr>
            <w:tcW w:type="dxa" w:w="160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0.39x / 1.68x</w:t>
            </w:r>
          </w:p>
        </w:tc>
      </w:tr>
      <w:tr>
        <w:trPr>
          <w:cantSplit/>
        </w:trPr>
        <w:tc>
          <w:tcPr>
            <w:tcW w:type="dxa" w:w="5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6</w:t>
            </w:r>
          </w:p>
        </w:tc>
        <w:tc>
          <w:tcPr>
            <w:tcW w:type="dxa" w:w="12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GungHo Online</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0.28x / 2.52x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4.2x / 13.6x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53.0x / 28.0x</w:t>
            </w:r>
          </w:p>
        </w:tc>
        <w:tc>
          <w:tcPr>
            <w:tcW w:type="dxa" w:w="116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2.3% / 2.9%</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6.8% / 19.8%</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7.9% / 22.6%</w:t>
            </w:r>
          </w:p>
        </w:tc>
        <w:tc>
          <w:tcPr>
            <w:tcW w:type="dxa" w:w="160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−17.5x / −1.66x</w:t>
            </w:r>
          </w:p>
        </w:tc>
      </w:tr>
      <w:tr>
        <w:trPr>
          <w:cantSplit/>
        </w:trPr>
        <w:tc>
          <w:tcPr>
            <w:tcW w:type="dxa" w:w="5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7</w:t>
            </w:r>
          </w:p>
        </w:tc>
        <w:tc>
          <w:tcPr>
            <w:tcW w:type="dxa" w:w="12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Hodogaya Chemical</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0.85x / 1.10x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9.7x / 12.0x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9.3x / 12.1x</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3.5% / 2.7%</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8.8% / 9.9%</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15.5% / 15.3%</w:t>
            </w:r>
          </w:p>
        </w:tc>
        <w:tc>
          <w:tcPr>
            <w:tcW w:type="dxa" w:w="160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−0.2x (≈2.0x pf) / 0.49x</w:t>
            </w:r>
          </w:p>
        </w:tc>
      </w:tr>
      <w:tr>
        <w:trPr>
          <w:cantSplit/>
        </w:trPr>
        <w:tc>
          <w:tcPr>
            <w:tcW w:type="dxa" w:w="5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8</w:t>
            </w:r>
          </w:p>
        </w:tc>
        <w:tc>
          <w:tcPr>
            <w:tcW w:type="dxa" w:w="12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NC Corp</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1.18x / 1.72x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8.7x / 6.9x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6.3x / 9.3x</w:t>
            </w:r>
          </w:p>
        </w:tc>
        <w:tc>
          <w:tcPr>
            <w:tcW w:type="dxa" w:w="116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5.4% / 9.4%</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13.5% / 29.7%</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18.0% / 33.9%</w:t>
            </w:r>
          </w:p>
        </w:tc>
        <w:tc>
          <w:tcPr>
            <w:tcW w:type="dxa" w:w="160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−4.0x / −2.3x</w:t>
            </w:r>
          </w:p>
        </w:tc>
      </w:tr>
      <w:tr>
        <w:trPr>
          <w:cantSplit/>
        </w:trPr>
        <w:tc>
          <w:tcPr>
            <w:tcW w:type="dxa" w:w="5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9</w:t>
            </w:r>
          </w:p>
        </w:tc>
        <w:tc>
          <w:tcPr>
            <w:tcW w:type="dxa" w:w="12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Kumho Petrochemical</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0.36x / 1.15x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5.4x / 11.1x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5.4x / 10.7x</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12.5% / −18.8%</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6.7% / −1.2%</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11.1% / 7.6%</w:t>
            </w:r>
          </w:p>
        </w:tc>
        <w:tc>
          <w:tcPr>
            <w:tcW w:type="dxa" w:w="160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−0.1x / 6.8x</w:t>
            </w:r>
          </w:p>
        </w:tc>
      </w:tr>
      <w:tr>
        <w:trPr>
          <w:cantSplit/>
        </w:trPr>
        <w:tc>
          <w:tcPr>
            <w:tcW w:type="dxa" w:w="5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10</w:t>
            </w:r>
          </w:p>
        </w:tc>
        <w:tc>
          <w:tcPr>
            <w:tcW w:type="dxa" w:w="12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Rinnai</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0.73x / 0.77x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7.0x / 16.1x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12.9x / 19.0x</w:t>
            </w:r>
          </w:p>
        </w:tc>
        <w:tc>
          <w:tcPr>
            <w:tcW w:type="dxa" w:w="116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7.4% / 0.5%</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10.4% / 3.5%</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13.5% / 7.3%</w:t>
            </w:r>
          </w:p>
        </w:tc>
        <w:tc>
          <w:tcPr>
            <w:tcW w:type="dxa" w:w="160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−2.62x / −2.86x</w:t>
            </w:r>
          </w:p>
        </w:tc>
      </w:tr>
      <w:tr>
        <w:trPr>
          <w:cantSplit/>
        </w:trPr>
        <w:tc>
          <w:tcPr>
            <w:tcW w:type="dxa" w:w="5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w:t>
            </w:r>
          </w:p>
        </w:tc>
        <w:tc>
          <w:tcPr>
            <w:tcW w:type="dxa" w:w="12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T. Hasegawa</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1.34x / 2.89x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11.5x / 28.0x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17.8x / 46.5x</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5.4% / 2.8%</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11.6% / 10.5%</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18.9% / 16.2%</w:t>
            </w:r>
          </w:p>
        </w:tc>
        <w:tc>
          <w:tcPr>
            <w:tcW w:type="dxa" w:w="160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−2.36x / 2.83x</w:t>
            </w:r>
          </w:p>
        </w:tc>
      </w:tr>
      <w:tr>
        <w:trPr>
          <w:cantSplit/>
        </w:trPr>
        <w:tc>
          <w:tcPr>
            <w:tcW w:type="dxa" w:w="5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12</w:t>
            </w:r>
          </w:p>
        </w:tc>
        <w:tc>
          <w:tcPr>
            <w:tcW w:type="dxa" w:w="12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Shibaura Machine</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0.70x / 1.07x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30.8x / 14.2x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n.m. / 14.7x</w:t>
            </w:r>
          </w:p>
        </w:tc>
        <w:tc>
          <w:tcPr>
            <w:tcW w:type="dxa" w:w="116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−9.8% / 4.0%</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2.3% / 7.5%</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5.1% / 11.5%</w:t>
            </w:r>
          </w:p>
        </w:tc>
        <w:tc>
          <w:tcPr>
            <w:tcW w:type="dxa" w:w="160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−4.5x / −0.5x</w:t>
            </w:r>
          </w:p>
        </w:tc>
      </w:tr>
      <w:tr>
        <w:trPr>
          <w:cantSplit/>
        </w:trPr>
        <w:tc>
          <w:tcPr>
            <w:tcW w:type="dxa" w:w="5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13</w:t>
            </w:r>
          </w:p>
        </w:tc>
        <w:tc>
          <w:tcPr>
            <w:tcW w:type="dxa" w:w="12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KH Neochem</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1.22x / 1.02x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10.5x / 13.9x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13.4x / 16.0x</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9.6% / 2.6%</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11.6% / 6.9%</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17.4% / 14.2%</w:t>
            </w:r>
          </w:p>
        </w:tc>
        <w:tc>
          <w:tcPr>
            <w:tcW w:type="dxa" w:w="160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0.45x / 1.51x</w:t>
            </w:r>
          </w:p>
        </w:tc>
      </w:tr>
      <w:tr>
        <w:trPr>
          <w:cantSplit/>
        </w:trPr>
        <w:tc>
          <w:tcPr>
            <w:tcW w:type="dxa" w:w="5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14</w:t>
            </w:r>
          </w:p>
        </w:tc>
        <w:tc>
          <w:tcPr>
            <w:tcW w:type="dxa" w:w="12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Wacom</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0.96x / 2.85x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7.8x / 12.6x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11.4x / 12.4x</w:t>
            </w:r>
          </w:p>
        </w:tc>
        <w:tc>
          <w:tcPr>
            <w:tcW w:type="dxa" w:w="116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7.5% / 3.6%</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12.3% / 14.9%</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14.1% / 17.0%</w:t>
            </w:r>
          </w:p>
        </w:tc>
        <w:tc>
          <w:tcPr>
            <w:tcW w:type="dxa" w:w="160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−0.62x / −1.18x</w:t>
            </w:r>
          </w:p>
        </w:tc>
      </w:tr>
      <w:tr>
        <w:trPr>
          <w:cantSplit/>
        </w:trPr>
        <w:tc>
          <w:tcPr>
            <w:tcW w:type="dxa" w:w="5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15</w:t>
            </w:r>
          </w:p>
        </w:tc>
        <w:tc>
          <w:tcPr>
            <w:tcW w:type="dxa" w:w="12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Teikoku Sen-i</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1.26x / 0.97x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9.1x / 10.1x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15.9x / 13.4x</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6.5% / 3.4%</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13.9% / 12.1%</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15.8% / 14.3%</w:t>
            </w:r>
          </w:p>
        </w:tc>
        <w:tc>
          <w:tcPr>
            <w:tcW w:type="dxa" w:w="160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−4.1x / −1.7x</w:t>
            </w:r>
          </w:p>
        </w:tc>
      </w:tr>
      <w:tr>
        <w:trPr>
          <w:cantSplit/>
        </w:trPr>
        <w:tc>
          <w:tcPr>
            <w:tcW w:type="dxa" w:w="5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16</w:t>
            </w:r>
          </w:p>
        </w:tc>
        <w:tc>
          <w:tcPr>
            <w:tcW w:type="dxa" w:w="12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TS Tech</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0.29x / 0.19x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12.5x / 6.8x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25.5x / 14.3x</w:t>
            </w:r>
          </w:p>
        </w:tc>
        <w:tc>
          <w:tcPr>
            <w:tcW w:type="dxa" w:w="116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−2.0% / 18.0%</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2.3% / 3.8%</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5.6% / 5.8%</w:t>
            </w:r>
          </w:p>
        </w:tc>
        <w:tc>
          <w:tcPr>
            <w:tcW w:type="dxa" w:w="160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−3.53x / +0.25x</w:t>
            </w:r>
          </w:p>
        </w:tc>
      </w:tr>
      <w:tr>
        <w:trPr>
          <w:cantSplit/>
        </w:trPr>
        <w:tc>
          <w:tcPr>
            <w:tcW w:type="dxa" w:w="5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17</w:t>
            </w:r>
          </w:p>
        </w:tc>
        <w:tc>
          <w:tcPr>
            <w:tcW w:type="dxa" w:w="12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Hi-Lex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0.11x / 0.27x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11.0x / 4.7x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1.8x§ / 7.9x</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2.1% / 14.6%</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1.0% / 4.7%</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3.8% / 8.0%</w:t>
            </w:r>
          </w:p>
        </w:tc>
        <w:tc>
          <w:tcPr>
            <w:tcW w:type="dxa" w:w="160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−3.76x / −0.55x</w:t>
            </w:r>
          </w:p>
        </w:tc>
      </w:tr>
      <w:tr>
        <w:trPr>
          <w:cantSplit/>
        </w:trPr>
        <w:tc>
          <w:tcPr>
            <w:tcW w:type="dxa" w:w="5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18</w:t>
            </w:r>
          </w:p>
        </w:tc>
        <w:tc>
          <w:tcPr>
            <w:tcW w:type="dxa" w:w="12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Canon</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1.02x / 0.57x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9.9x / 11.0x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11.7x / 11.6x</w:t>
            </w:r>
          </w:p>
        </w:tc>
        <w:tc>
          <w:tcPr>
            <w:tcW w:type="dxa" w:w="116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6.3% / 14.1%</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10.2% / 5.0%</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15.4% / 7.8%</w:t>
            </w:r>
          </w:p>
        </w:tc>
        <w:tc>
          <w:tcPr>
            <w:tcW w:type="dxa" w:w="160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0.72x / 1.89x</w:t>
            </w:r>
          </w:p>
        </w:tc>
      </w:tr>
      <w:tr>
        <w:trPr>
          <w:cantSplit/>
        </w:trPr>
        <w:tc>
          <w:tcPr>
            <w:tcW w:type="dxa" w:w="5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19</w:t>
            </w:r>
          </w:p>
        </w:tc>
        <w:tc>
          <w:tcPr>
            <w:tcW w:type="dxa" w:w="12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Toei</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1.96x / 2.72x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9.9x / 28.7x</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15.8x / 26.9x</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4.3% / 2.9%</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19.9% / 11.3%</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22.3% / 15.9%</w:t>
            </w:r>
          </w:p>
        </w:tc>
        <w:tc>
          <w:tcPr>
            <w:tcW w:type="dxa" w:w="160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−2.39x / −1.95x</w:t>
            </w:r>
          </w:p>
        </w:tc>
      </w:tr>
      <w:tr>
        <w:trPr>
          <w:cantSplit/>
        </w:trPr>
        <w:tc>
          <w:tcPr>
            <w:tcW w:type="dxa" w:w="5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20</w:t>
            </w:r>
          </w:p>
        </w:tc>
        <w:tc>
          <w:tcPr>
            <w:tcW w:type="dxa" w:w="12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Mitsubishi Motors</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0.21x / 0.38x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7.7x / 23.2x</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43.6x / 7.6x</w:t>
            </w:r>
          </w:p>
        </w:tc>
        <w:tc>
          <w:tcPr>
            <w:tcW w:type="dxa" w:w="116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−16.5% / 2.2%</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2.8% / 2.2%</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5.7% / 5.5%</w:t>
            </w:r>
          </w:p>
        </w:tc>
        <w:tc>
          <w:tcPr>
            <w:tcW w:type="dxa" w:w="160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0.65x† / −0.84x</w:t>
            </w:r>
          </w:p>
        </w:tc>
      </w:tr>
    </w:tbl>
    <w:p>
      <w:pPr>
        <w:spacing w:after="100"/>
      </w:pPr>
    </w:p>
    <w:p>
      <w:pPr>
        <w:spacing w:after="100" w:line="264"/>
      </w:pPr>
      <w:r>
        <w:rPr>
          <w:rFonts w:ascii="Calibri" w:cs="Calibri" w:eastAsia="Calibri" w:hAnsi="Calibri"/>
          <w:i/>
          <w:iCs/>
          <w:sz w:val="19"/>
          <w:szCs w:val="19"/>
        </w:rPr>
        <w:t xml:space="preserve">§ Hi-Lex P/E is distorted by a ¥28bn bargain-purchase gain and ¥14bn of securities gains. Dentsu P/E is not meaningful on an LTM loss (13.6x on FY26 guidance). NC's P/E is flattered by a building-sale gain.</w:t>
      </w:r>
    </w:p>
    <w:p>
      <w:pPr>
        <w:pStyle w:val="Heading3"/>
        <w:keepNext/>
        <w:spacing w:after="80" w:before="180"/>
      </w:pPr>
      <w:r>
        <w:rPr>
          <w:rFonts w:ascii="Calibri" w:cs="Calibri" w:eastAsia="Calibri" w:hAnsi="Calibri"/>
          <w:b/>
          <w:bCs/>
          <w:color w:val="2E75B6"/>
          <w:sz w:val="22"/>
          <w:szCs w:val="22"/>
        </w:rPr>
        <w:t xml:space="preserve">Table 4 — Ownership, support and next catalyst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7"/>
        <w:gridCol w:w="880"/>
        <w:gridCol w:w="2168"/>
        <w:gridCol w:w="1757"/>
        <w:gridCol w:w="1249"/>
        <w:gridCol w:w="497"/>
        <w:gridCol w:w="2858"/>
      </w:tblGrid>
      <w:tr>
        <w:trPr>
          <w:cantSplit/>
          <w:tblHeader/>
        </w:trPr>
        <w:tc>
          <w:tcPr>
            <w:tcW w:type="dxa" w:w="49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5"/>
                <w:szCs w:val="15"/>
              </w:rPr>
              <w:t xml:space="preserve">#</w:t>
            </w:r>
          </w:p>
        </w:tc>
        <w:tc>
          <w:tcPr>
            <w:tcW w:type="dxa" w:w="8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5"/>
                <w:szCs w:val="15"/>
              </w:rPr>
              <w:t xml:space="preserve">Company</w:t>
            </w:r>
          </w:p>
        </w:tc>
        <w:tc>
          <w:tcPr>
            <w:tcW w:type="dxa" w:w="216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5"/>
                <w:szCs w:val="15"/>
              </w:rPr>
              <w:t xml:space="preserve">Largest holder</w:t>
            </w:r>
          </w:p>
        </w:tc>
        <w:tc>
          <w:tcPr>
            <w:tcW w:type="dxa" w:w="17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5"/>
                <w:szCs w:val="15"/>
              </w:rPr>
              <w:t xml:space="preserve">Controlling group</w:t>
            </w:r>
          </w:p>
        </w:tc>
        <w:tc>
          <w:tcPr>
            <w:tcW w:type="dxa" w:w="12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5"/>
                <w:szCs w:val="15"/>
              </w:rPr>
              <w:t xml:space="preserve">Activist on register</w:t>
            </w:r>
          </w:p>
        </w:tc>
        <w:tc>
          <w:tcPr>
            <w:tcW w:type="dxa" w:w="49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5"/>
                <w:szCs w:val="15"/>
              </w:rPr>
              <w:t xml:space="preserve">Support (1–5)</w:t>
            </w:r>
          </w:p>
        </w:tc>
        <w:tc>
          <w:tcPr>
            <w:tcW w:type="dxa" w:w="285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5"/>
                <w:szCs w:val="15"/>
              </w:rPr>
              <w:t xml:space="preserve">Next catalyst</w:t>
            </w:r>
          </w:p>
        </w:tc>
      </w:tr>
      <w:tr>
        <w:trPr>
          <w:cantSplit/>
        </w:trPr>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w:t>
            </w:r>
          </w:p>
        </w:tc>
        <w:tc>
          <w:tcPr>
            <w:tcW w:type="dxa" w:w="8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Omron</w:t>
            </w:r>
          </w:p>
        </w:tc>
        <w:tc>
          <w:tcPr>
            <w:tcW w:type="dxa" w:w="21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Custody a/c 21.5%; Japan Activation Capital 3.9%</w:t>
            </w:r>
          </w:p>
        </w:tc>
        <w:tc>
          <w:tcPr>
            <w:tcW w:type="dxa" w:w="17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JAC (engagement)</w:t>
            </w:r>
          </w:p>
        </w:tc>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4</w:t>
            </w:r>
          </w:p>
        </w:tc>
        <w:tc>
          <w:tcPr>
            <w:tcW w:type="dxa" w:w="285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JMDC stake sale; SF 2nd Stage; OnLogic integration</w:t>
            </w:r>
          </w:p>
        </w:tc>
      </w:tr>
      <w:tr>
        <w:trPr>
          <w:cantSplit/>
        </w:trPr>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w:t>
            </w:r>
          </w:p>
        </w:tc>
        <w:tc>
          <w:tcPr>
            <w:tcW w:type="dxa" w:w="8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Dentsu Group</w:t>
            </w:r>
          </w:p>
        </w:tc>
        <w:tc>
          <w:tcPr>
            <w:tcW w:type="dxa" w:w="21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Kyodo News 7.3%; Jiji Press 6.1%</w:t>
            </w:r>
          </w:p>
        </w:tc>
        <w:tc>
          <w:tcPr>
            <w:tcW w:type="dxa" w:w="17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 (news-agency bloc 13.4%)</w:t>
            </w:r>
          </w:p>
        </w:tc>
        <w:tc>
          <w:tcPr>
            <w:tcW w:type="dxa" w:w="1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4</w:t>
            </w:r>
          </w:p>
        </w:tc>
        <w:tc>
          <w:tcPr>
            <w:tcW w:type="dxa" w:w="285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International exits; dividend restoration; Mar-2027 AGM</w:t>
            </w:r>
          </w:p>
        </w:tc>
      </w:tr>
      <w:tr>
        <w:trPr>
          <w:cantSplit/>
        </w:trPr>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3</w:t>
            </w:r>
          </w:p>
        </w:tc>
        <w:tc>
          <w:tcPr>
            <w:tcW w:type="dxa" w:w="8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NAVER</w:t>
            </w:r>
          </w:p>
        </w:tc>
        <w:tc>
          <w:tcPr>
            <w:tcW w:type="dxa" w:w="21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NPS 9.25%</w:t>
            </w:r>
          </w:p>
        </w:tc>
        <w:tc>
          <w:tcPr>
            <w:tcW w:type="dxa" w:w="17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 (founder 3.8%)</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3</w:t>
            </w:r>
          </w:p>
        </w:tc>
        <w:tc>
          <w:tcPr>
            <w:tcW w:type="dxa" w:w="285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Dunamu exchange EGM 26-Feb-2027</w:t>
            </w:r>
          </w:p>
        </w:tc>
      </w:tr>
      <w:tr>
        <w:trPr>
          <w:cantSplit/>
        </w:trPr>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4</w:t>
            </w:r>
          </w:p>
        </w:tc>
        <w:tc>
          <w:tcPr>
            <w:tcW w:type="dxa" w:w="8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Yamaha</w:t>
            </w:r>
          </w:p>
        </w:tc>
        <w:tc>
          <w:tcPr>
            <w:tcW w:type="dxa" w:w="21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Sumitomo Life 5.0% (first non-custody)</w:t>
            </w:r>
          </w:p>
        </w:tc>
        <w:tc>
          <w:tcPr>
            <w:tcW w:type="dxa" w:w="17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 (stable bloc ~16.5%)</w:t>
            </w:r>
          </w:p>
        </w:tc>
        <w:tc>
          <w:tcPr>
            <w:tcW w:type="dxa" w:w="1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4</w:t>
            </w:r>
          </w:p>
        </w:tc>
        <w:tc>
          <w:tcPr>
            <w:tcW w:type="dxa" w:w="285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Rebuild &amp; Evolve MTP delivery; Yamaha Motor unwind</w:t>
            </w:r>
          </w:p>
        </w:tc>
      </w:tr>
      <w:tr>
        <w:trPr>
          <w:cantSplit/>
        </w:trPr>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5</w:t>
            </w:r>
          </w:p>
        </w:tc>
        <w:tc>
          <w:tcPr>
            <w:tcW w:type="dxa" w:w="8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Daikin Industries</w:t>
            </w:r>
          </w:p>
        </w:tc>
        <w:tc>
          <w:tcPr>
            <w:tcW w:type="dxa" w:w="21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Elliott 3.0% (first non-custody)</w:t>
            </w:r>
          </w:p>
        </w:tc>
        <w:tc>
          <w:tcPr>
            <w:tcW w:type="dxa" w:w="17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Elliott</w:t>
            </w:r>
          </w:p>
        </w:tc>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4</w:t>
            </w:r>
          </w:p>
        </w:tc>
        <w:tc>
          <w:tcPr>
            <w:tcW w:type="dxa" w:w="285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FUSION30; Elliott ¥1tn buyback ask; Jun-2027 AGM</w:t>
            </w:r>
          </w:p>
        </w:tc>
      </w:tr>
      <w:tr>
        <w:trPr>
          <w:cantSplit/>
        </w:trPr>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6</w:t>
            </w:r>
          </w:p>
        </w:tc>
        <w:tc>
          <w:tcPr>
            <w:tcW w:type="dxa" w:w="8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GungHo Online</w:t>
            </w:r>
          </w:p>
        </w:tc>
        <w:tc>
          <w:tcPr>
            <w:tcW w:type="dxa" w:w="21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Taizo Son 22.6% (sale to Sony Music)</w:t>
            </w:r>
          </w:p>
        </w:tc>
        <w:tc>
          <w:tcPr>
            <w:tcW w:type="dxa" w:w="17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 after closing (Sony 22.9%)</w:t>
            </w:r>
          </w:p>
        </w:tc>
        <w:tc>
          <w:tcPr>
            <w:tcW w:type="dxa" w:w="1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Strategic Capital 13.7%; LIM</w:t>
            </w:r>
          </w:p>
        </w:tc>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3</w:t>
            </w:r>
          </w:p>
        </w:tc>
        <w:tc>
          <w:tcPr>
            <w:tcW w:type="dxa" w:w="285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Sony Music closing 30-Dec-2026</w:t>
            </w:r>
          </w:p>
        </w:tc>
      </w:tr>
      <w:tr>
        <w:trPr>
          <w:cantSplit/>
        </w:trPr>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7</w:t>
            </w:r>
          </w:p>
        </w:tc>
        <w:tc>
          <w:tcPr>
            <w:tcW w:type="dxa" w:w="8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Hodogaya Chemical</w:t>
            </w:r>
          </w:p>
        </w:tc>
        <w:tc>
          <w:tcPr>
            <w:tcW w:type="dxa" w:w="21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Tosoh 8.6%</w:t>
            </w:r>
          </w:p>
        </w:tc>
        <w:tc>
          <w:tcPr>
            <w:tcW w:type="dxa" w:w="17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4</w:t>
            </w:r>
          </w:p>
        </w:tc>
        <w:tc>
          <w:tcPr>
            <w:tcW w:type="dxa" w:w="285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SFC KOSPI IPO (from late Nov-2026)</w:t>
            </w:r>
          </w:p>
        </w:tc>
      </w:tr>
      <w:tr>
        <w:trPr>
          <w:cantSplit/>
        </w:trPr>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8</w:t>
            </w:r>
          </w:p>
        </w:tc>
        <w:tc>
          <w:tcPr>
            <w:tcW w:type="dxa" w:w="8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NC Corp</w:t>
            </w:r>
          </w:p>
        </w:tc>
        <w:tc>
          <w:tcPr>
            <w:tcW w:type="dxa" w:w="21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Kim Taek-jin 12.2%</w:t>
            </w:r>
          </w:p>
        </w:tc>
        <w:tc>
          <w:tcPr>
            <w:tcW w:type="dxa" w:w="17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Founder 12.4% (+Netmarble 8.9% friendly)</w:t>
            </w:r>
          </w:p>
        </w:tc>
        <w:tc>
          <w:tcPr>
            <w:tcW w:type="dxa" w:w="1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3</w:t>
            </w:r>
          </w:p>
        </w:tc>
        <w:tc>
          <w:tcPr>
            <w:tcW w:type="dxa" w:w="285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Treasury cancellation; Aion 2 global; Mar-2027 AGM</w:t>
            </w:r>
          </w:p>
        </w:tc>
      </w:tr>
      <w:tr>
        <w:trPr>
          <w:cantSplit/>
        </w:trPr>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9</w:t>
            </w:r>
          </w:p>
        </w:tc>
        <w:tc>
          <w:tcPr>
            <w:tcW w:type="dxa" w:w="8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Kumho Petrochemical</w:t>
            </w:r>
          </w:p>
        </w:tc>
        <w:tc>
          <w:tcPr>
            <w:tcW w:type="dxa" w:w="21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Park Chul-wan 10.3%</w:t>
            </w:r>
          </w:p>
        </w:tc>
        <w:tc>
          <w:tcPr>
            <w:tcW w:type="dxa" w:w="17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Family 18.1% (DART group 26.4%)</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Cha Partners (2024)</w:t>
            </w:r>
          </w:p>
        </w:tc>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3</w:t>
            </w:r>
          </w:p>
        </w:tc>
        <w:tc>
          <w:tcPr>
            <w:tcW w:type="dxa" w:w="285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Treasury cancellation; Mar-2027 AGM</w:t>
            </w:r>
          </w:p>
        </w:tc>
      </w:tr>
      <w:tr>
        <w:trPr>
          <w:cantSplit/>
        </w:trPr>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10</w:t>
            </w:r>
          </w:p>
        </w:tc>
        <w:tc>
          <w:tcPr>
            <w:tcW w:type="dxa" w:w="8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Rinnai</w:t>
            </w:r>
          </w:p>
        </w:tc>
        <w:tc>
          <w:tcPr>
            <w:tcW w:type="dxa" w:w="21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Naito Co. 13.5%</w:t>
            </w:r>
          </w:p>
        </w:tc>
        <w:tc>
          <w:tcPr>
            <w:tcW w:type="dxa" w:w="17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Founder families ~23%</w:t>
            </w:r>
          </w:p>
        </w:tc>
        <w:tc>
          <w:tcPr>
            <w:tcW w:type="dxa" w:w="1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Dalton</w:t>
            </w:r>
          </w:p>
        </w:tc>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3</w:t>
            </w:r>
          </w:p>
        </w:tc>
        <w:tc>
          <w:tcPr>
            <w:tcW w:type="dxa" w:w="285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Third Dalton campaign likely Jun-2027</w:t>
            </w:r>
          </w:p>
        </w:tc>
      </w:tr>
      <w:tr>
        <w:trPr>
          <w:cantSplit/>
        </w:trPr>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11</w:t>
            </w:r>
          </w:p>
        </w:tc>
        <w:tc>
          <w:tcPr>
            <w:tcW w:type="dxa" w:w="8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 Hasegawa</w:t>
            </w:r>
          </w:p>
        </w:tc>
        <w:tc>
          <w:tcPr>
            <w:tcW w:type="dxa" w:w="21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Founder family co. 16.4%</w:t>
            </w:r>
          </w:p>
        </w:tc>
        <w:tc>
          <w:tcPr>
            <w:tcW w:type="dxa" w:w="17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Family ~21%</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3</w:t>
            </w:r>
          </w:p>
        </w:tc>
        <w:tc>
          <w:tcPr>
            <w:tcW w:type="dxa" w:w="285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FY9/26 results &amp; capital policy (Nov-2026); Dec-2026 AGM</w:t>
            </w:r>
          </w:p>
        </w:tc>
      </w:tr>
      <w:tr>
        <w:trPr>
          <w:cantSplit/>
        </w:trPr>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12</w:t>
            </w:r>
          </w:p>
        </w:tc>
        <w:tc>
          <w:tcPr>
            <w:tcW w:type="dxa" w:w="8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Shibaura Machine</w:t>
            </w:r>
          </w:p>
        </w:tc>
        <w:tc>
          <w:tcPr>
            <w:tcW w:type="dxa" w:w="21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Nomura group 7.9%; Oasis 5.2%</w:t>
            </w:r>
          </w:p>
        </w:tc>
        <w:tc>
          <w:tcPr>
            <w:tcW w:type="dxa" w:w="17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1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Oasis</w:t>
            </w:r>
          </w:p>
        </w:tc>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4</w:t>
            </w:r>
          </w:p>
        </w:tc>
        <w:tc>
          <w:tcPr>
            <w:tcW w:type="dxa" w:w="285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New MTP (May-2027); Jun-2027 AGM</w:t>
            </w:r>
          </w:p>
        </w:tc>
      </w:tr>
      <w:tr>
        <w:trPr>
          <w:cantSplit/>
        </w:trPr>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13</w:t>
            </w:r>
          </w:p>
        </w:tc>
        <w:tc>
          <w:tcPr>
            <w:tcW w:type="dxa" w:w="8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KH Neochem</w:t>
            </w:r>
          </w:p>
        </w:tc>
        <w:tc>
          <w:tcPr>
            <w:tcW w:type="dxa" w:w="21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Strategic Capital 18.2%</w:t>
            </w:r>
          </w:p>
        </w:tc>
        <w:tc>
          <w:tcPr>
            <w:tcW w:type="dxa" w:w="17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Strategic Capital</w:t>
            </w:r>
          </w:p>
        </w:tc>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4</w:t>
            </w:r>
          </w:p>
        </w:tc>
        <w:tc>
          <w:tcPr>
            <w:tcW w:type="dxa" w:w="285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Capital-allocation review; Mar-2027 AGM</w:t>
            </w:r>
          </w:p>
        </w:tc>
      </w:tr>
      <w:tr>
        <w:trPr>
          <w:cantSplit/>
        </w:trPr>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14</w:t>
            </w:r>
          </w:p>
        </w:tc>
        <w:tc>
          <w:tcPr>
            <w:tcW w:type="dxa" w:w="8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Wacom</w:t>
            </w:r>
          </w:p>
        </w:tc>
        <w:tc>
          <w:tcPr>
            <w:tcW w:type="dxa" w:w="21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AVI 14.8% (aggregate)</w:t>
            </w:r>
          </w:p>
        </w:tc>
        <w:tc>
          <w:tcPr>
            <w:tcW w:type="dxa" w:w="17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 (Samsung 6.2%)</w:t>
            </w:r>
          </w:p>
        </w:tc>
        <w:tc>
          <w:tcPr>
            <w:tcW w:type="dxa" w:w="1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AVI</w:t>
            </w:r>
          </w:p>
        </w:tc>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4</w:t>
            </w:r>
          </w:p>
        </w:tc>
        <w:tc>
          <w:tcPr>
            <w:tcW w:type="dxa" w:w="285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Jun-2027 AGM (CEO at 64.3% in 2026)</w:t>
            </w:r>
          </w:p>
        </w:tc>
      </w:tr>
      <w:tr>
        <w:trPr>
          <w:cantSplit/>
        </w:trPr>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15</w:t>
            </w:r>
          </w:p>
        </w:tc>
        <w:tc>
          <w:tcPr>
            <w:tcW w:type="dxa" w:w="8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Teikoku Sen-i</w:t>
            </w:r>
          </w:p>
        </w:tc>
        <w:tc>
          <w:tcPr>
            <w:tcW w:type="dxa" w:w="21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NAVF/Dalton group 10.1%</w:t>
            </w:r>
          </w:p>
        </w:tc>
        <w:tc>
          <w:tcPr>
            <w:tcW w:type="dxa" w:w="17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 (stable bloc ~26%)</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NAVF; Dalton</w:t>
            </w:r>
          </w:p>
        </w:tc>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2</w:t>
            </w:r>
          </w:p>
        </w:tc>
        <w:tc>
          <w:tcPr>
            <w:tcW w:type="dxa" w:w="285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Mar-2027 AGM (third round)</w:t>
            </w:r>
          </w:p>
        </w:tc>
      </w:tr>
      <w:tr>
        <w:trPr>
          <w:cantSplit/>
        </w:trPr>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16</w:t>
            </w:r>
          </w:p>
        </w:tc>
        <w:tc>
          <w:tcPr>
            <w:tcW w:type="dxa" w:w="8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TS Tech</w:t>
            </w:r>
          </w:p>
        </w:tc>
        <w:tc>
          <w:tcPr>
            <w:tcW w:type="dxa" w:w="21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Honda 21.9%</w:t>
            </w:r>
          </w:p>
        </w:tc>
        <w:tc>
          <w:tcPr>
            <w:tcW w:type="dxa" w:w="17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Honda 21.9%</w:t>
            </w:r>
          </w:p>
        </w:tc>
        <w:tc>
          <w:tcPr>
            <w:tcW w:type="dxa" w:w="1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3</w:t>
            </w:r>
          </w:p>
        </w:tc>
        <w:tc>
          <w:tcPr>
            <w:tcW w:type="dxa" w:w="285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Honda cross-holding unwind</w:t>
            </w:r>
          </w:p>
        </w:tc>
      </w:tr>
      <w:tr>
        <w:trPr>
          <w:cantSplit/>
        </w:trPr>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17</w:t>
            </w:r>
          </w:p>
        </w:tc>
        <w:tc>
          <w:tcPr>
            <w:tcW w:type="dxa" w:w="8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Hi-Lex</w:t>
            </w:r>
          </w:p>
        </w:tc>
        <w:tc>
          <w:tcPr>
            <w:tcW w:type="dxa" w:w="21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Teraura Kosan 27.7%</w:t>
            </w:r>
          </w:p>
        </w:tc>
        <w:tc>
          <w:tcPr>
            <w:tcW w:type="dxa" w:w="17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Teraura group 31.8%</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LIM; Catalyst/Monex; Zennor 7.7%</w:t>
            </w:r>
          </w:p>
        </w:tc>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2</w:t>
            </w:r>
          </w:p>
        </w:tc>
        <w:tc>
          <w:tcPr>
            <w:tcW w:type="dxa" w:w="285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Jan-2027 AGM; take-private optionality</w:t>
            </w:r>
          </w:p>
        </w:tc>
      </w:tr>
      <w:tr>
        <w:trPr>
          <w:cantSplit/>
        </w:trPr>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18</w:t>
            </w:r>
          </w:p>
        </w:tc>
        <w:tc>
          <w:tcPr>
            <w:tcW w:type="dxa" w:w="8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Canon</w:t>
            </w:r>
          </w:p>
        </w:tc>
        <w:tc>
          <w:tcPr>
            <w:tcW w:type="dxa" w:w="21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Mizuho Bank 2.6% (first non-custody)</w:t>
            </w:r>
          </w:p>
        </w:tc>
        <w:tc>
          <w:tcPr>
            <w:tcW w:type="dxa" w:w="17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1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3</w:t>
            </w:r>
          </w:p>
        </w:tc>
        <w:tc>
          <w:tcPr>
            <w:tcW w:type="dxa" w:w="285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Mar-2027 AGM; treasury cancellation</w:t>
            </w:r>
          </w:p>
        </w:tc>
      </w:tr>
      <w:tr>
        <w:trPr>
          <w:cantSplit/>
        </w:trPr>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19</w:t>
            </w:r>
          </w:p>
        </w:tc>
        <w:tc>
          <w:tcPr>
            <w:tcW w:type="dxa" w:w="8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Toei</w:t>
            </w:r>
          </w:p>
        </w:tc>
        <w:tc>
          <w:tcPr>
            <w:tcW w:type="dxa" w:w="21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TV Asahi HD 19.4%</w:t>
            </w:r>
          </w:p>
        </w:tc>
        <w:tc>
          <w:tcPr>
            <w:tcW w:type="dxa" w:w="17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 (strategic bloc ~49%)</w:t>
            </w:r>
          </w:p>
        </w:tc>
        <w:tc>
          <w:tcPr>
            <w:tcW w:type="dxa" w:w="1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4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2</w:t>
            </w:r>
          </w:p>
        </w:tc>
        <w:tc>
          <w:tcPr>
            <w:tcW w:type="dxa" w:w="285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Broadcaster cross-holding unwinds</w:t>
            </w:r>
          </w:p>
        </w:tc>
      </w:tr>
      <w:tr>
        <w:trPr>
          <w:cantSplit/>
        </w:trPr>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20</w:t>
            </w:r>
          </w:p>
        </w:tc>
        <w:tc>
          <w:tcPr>
            <w:tcW w:type="dxa" w:w="8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Mitsubishi Motors</w:t>
            </w:r>
          </w:p>
        </w:tc>
        <w:tc>
          <w:tcPr>
            <w:tcW w:type="dxa" w:w="21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Nissan 26.7%</w:t>
            </w:r>
          </w:p>
        </w:tc>
        <w:tc>
          <w:tcPr>
            <w:tcW w:type="dxa" w:w="17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Anchors 50.5% (Nissan, MC, MHI)</w:t>
            </w:r>
          </w:p>
        </w:tc>
        <w:tc>
          <w:tcPr>
            <w:tcW w:type="dxa" w:w="1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None</w:t>
            </w:r>
          </w:p>
        </w:tc>
        <w:tc>
          <w:tcPr>
            <w:tcW w:type="dxa" w:w="4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5"/>
                <w:szCs w:val="15"/>
              </w:rPr>
              <w:t xml:space="preserve">2</w:t>
            </w:r>
          </w:p>
        </w:tc>
        <w:tc>
          <w:tcPr>
            <w:tcW w:type="dxa" w:w="285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5"/>
                <w:szCs w:val="15"/>
              </w:rPr>
              <w:t xml:space="preserve">Lock-up expiry 20-Oct-2026</w:t>
            </w:r>
          </w:p>
        </w:tc>
      </w:tr>
    </w:tbl>
    <w:p>
      <w:pPr>
        <w:spacing w:after="100"/>
      </w:pPr>
    </w:p>
    <w:p>
      <w:pPr>
        <w:pStyle w:val="Heading1"/>
        <w:pageBreakBefore/>
        <w:spacing w:after="160" w:before="120"/>
      </w:pPr>
      <w:r>
        <w:rPr>
          <w:rFonts w:ascii="Calibri" w:cs="Calibri" w:eastAsia="Calibri" w:hAnsi="Calibri"/>
          <w:b/>
          <w:bCs/>
          <w:color w:val="1F3864"/>
          <w:sz w:val="32"/>
          <w:szCs w:val="32"/>
        </w:rPr>
        <w:t xml:space="preserve">2. Scope, method and screen</w:t>
      </w:r>
    </w:p>
    <w:p>
      <w:pPr>
        <w:pStyle w:val="Heading3"/>
        <w:keepNext/>
        <w:spacing w:after="80" w:before="180"/>
      </w:pPr>
      <w:r>
        <w:rPr>
          <w:rFonts w:ascii="Calibri" w:cs="Calibri" w:eastAsia="Calibri" w:hAnsi="Calibri"/>
          <w:b/>
          <w:bCs/>
          <w:color w:val="2E75B6"/>
          <w:sz w:val="22"/>
          <w:szCs w:val="22"/>
        </w:rPr>
        <w:t xml:space="preserve">Screen criteria applied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3"/>
        <w:gridCol w:w="3918"/>
        <w:gridCol w:w="4565"/>
      </w:tblGrid>
      <w:tr>
        <w:trPr>
          <w:cantSplit/>
          <w:tblHeader/>
        </w:trPr>
        <w:tc>
          <w:tcPr>
            <w:tcW w:type="dxa" w:w="142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Criterion</w:t>
            </w:r>
          </w:p>
        </w:tc>
        <w:tc>
          <w:tcPr>
            <w:tcW w:type="dxa" w:w="391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Threshold</w:t>
            </w:r>
          </w:p>
        </w:tc>
        <w:tc>
          <w:tcPr>
            <w:tcW w:type="dxa" w:w="45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Application</w:t>
            </w:r>
          </w:p>
        </w:tc>
      </w:tr>
      <w:tr>
        <w:trPr>
          <w:cantSplit/>
        </w:trPr>
        <w:tc>
          <w:tcPr>
            <w:tcW w:type="dxa" w:w="142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Balance-sheet capacity</w:t>
            </w:r>
          </w:p>
        </w:tc>
        <w:tc>
          <w:tcPr>
            <w:tcW w:type="dxa" w:w="391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Net debt/EBITDA &lt; 1.0x, or net cash</w:t>
            </w:r>
          </w:p>
        </w:tc>
        <w:tc>
          <w:tcPr>
            <w:tcW w:type="dxa" w:w="456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LTM to Jun-2026, S&amp;P Capital IQ. Two stated exceptions (below).</w:t>
            </w:r>
          </w:p>
        </w:tc>
      </w:tr>
      <w:tr>
        <w:trPr>
          <w:cantSplit/>
        </w:trPr>
        <w:tc>
          <w:tcPr>
            <w:tcW w:type="dxa" w:w="142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Ownership</w:t>
            </w:r>
          </w:p>
        </w:tc>
        <w:tc>
          <w:tcPr>
            <w:tcW w:type="dxa" w:w="39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No single holder or controlling group &gt; 40%</w:t>
            </w:r>
          </w:p>
        </w:tc>
        <w:tc>
          <w:tcPr>
            <w:tcW w:type="dxa" w:w="45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Family members, family asset companies and family foundations are aggregated, as are parents with subsidiaries and Korean "specially related parties". Custody nominees are not treated as holders.</w:t>
            </w:r>
          </w:p>
        </w:tc>
      </w:tr>
      <w:tr>
        <w:trPr>
          <w:cantSplit/>
        </w:trPr>
        <w:tc>
          <w:tcPr>
            <w:tcW w:type="dxa" w:w="142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TSR underperformance</w:t>
            </w:r>
          </w:p>
        </w:tc>
        <w:tc>
          <w:tcPr>
            <w:tcW w:type="dxa" w:w="391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 or 5-year TSR below the market index </w:t>
            </w:r>
            <w:r>
              <w:rPr>
                <w:rFonts w:ascii="Calibri" w:cs="Calibri" w:eastAsia="Calibri" w:hAnsi="Calibri"/>
                <w:b/>
                <w:bCs/>
                <w:sz w:val="16"/>
                <w:szCs w:val="16"/>
              </w:rPr>
              <w:t xml:space="preserve">and</w:t>
            </w:r>
            <w:r>
              <w:rPr>
                <w:rFonts w:ascii="Calibri" w:cs="Calibri" w:eastAsia="Calibri" w:hAnsi="Calibri"/>
                <w:sz w:val="16"/>
                <w:szCs w:val="16"/>
              </w:rPr>
              <w:t xml:space="preserve"> below the sector benchmark</w:t>
            </w:r>
          </w:p>
        </w:tc>
        <w:tc>
          <w:tcPr>
            <w:tcW w:type="dxa" w:w="456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Sector benchmark is the TOPIX-17 sector index (Japan) and/or a listed peer median. Market index is TOPIX or KOSPI 200.</w:t>
            </w:r>
          </w:p>
        </w:tc>
      </w:tr>
      <w:tr>
        <w:trPr>
          <w:cantSplit/>
        </w:trPr>
        <w:tc>
          <w:tcPr>
            <w:tcW w:type="dxa" w:w="142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Business quality</w:t>
            </w:r>
          </w:p>
        </w:tc>
        <w:tc>
          <w:tcPr>
            <w:tcW w:type="dxa" w:w="39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Structurally sound franchise</w:t>
            </w:r>
          </w:p>
        </w:tc>
        <w:tc>
          <w:tcPr>
            <w:tcW w:type="dxa" w:w="45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Excludes loss-making or structurally challenged models (e.g. Sanken, gumi) and founder-led growth stories (SHIFT, Appier).</w:t>
            </w:r>
          </w:p>
        </w:tc>
      </w:tr>
      <w:tr>
        <w:trPr>
          <w:cantSplit/>
        </w:trPr>
        <w:tc>
          <w:tcPr>
            <w:tcW w:type="dxa" w:w="142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Fixability</w:t>
            </w:r>
          </w:p>
        </w:tc>
        <w:tc>
          <w:tcPr>
            <w:tcW w:type="dxa" w:w="391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Identifiable, board-actionable remedies</w:t>
            </w:r>
          </w:p>
        </w:tc>
        <w:tc>
          <w:tcPr>
            <w:tcW w:type="dxa" w:w="456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Excess cash or overhead, undisciplined M&amp;A, sub-scale or non-core segments, undervalued assets, cross-holdings, poor management or board</w:t>
            </w:r>
          </w:p>
        </w:tc>
      </w:tr>
    </w:tbl>
    <w:p>
      <w:pPr>
        <w:spacing w:after="100"/>
      </w:pPr>
    </w:p>
    <w:p>
      <w:pPr>
        <w:pStyle w:val="Heading3"/>
        <w:keepNext/>
        <w:spacing w:after="80" w:before="180"/>
      </w:pPr>
      <w:r>
        <w:rPr>
          <w:rFonts w:ascii="Calibri" w:cs="Calibri" w:eastAsia="Calibri" w:hAnsi="Calibri"/>
          <w:b/>
          <w:bCs/>
          <w:color w:val="2E75B6"/>
          <w:sz w:val="22"/>
          <w:szCs w:val="22"/>
        </w:rPr>
        <w:t xml:space="preserve">The funnel</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3"/>
        <w:gridCol w:w="2755"/>
        <w:gridCol w:w="516"/>
        <w:gridCol w:w="4352"/>
      </w:tblGrid>
      <w:tr>
        <w:trPr>
          <w:cantSplit/>
          <w:tblHeader/>
        </w:trPr>
        <w:tc>
          <w:tcPr>
            <w:tcW w:type="dxa" w:w="228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Step</w:t>
            </w:r>
          </w:p>
        </w:tc>
        <w:tc>
          <w:tcPr>
            <w:tcW w:type="dxa" w:w="275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Names remaining</w:t>
            </w:r>
          </w:p>
        </w:tc>
        <w:tc>
          <w:tcPr>
            <w:tcW w:type="dxa" w:w="51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Removed</w:t>
            </w:r>
          </w:p>
        </w:tc>
        <w:tc>
          <w:tcPr>
            <w:tcW w:type="dxa" w:w="435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Main reasons</w:t>
            </w:r>
          </w:p>
        </w:tc>
      </w:tr>
      <w:tr>
        <w:trPr>
          <w:cantSplit/>
        </w:trPr>
        <w:tc>
          <w:tcPr>
            <w:tcW w:type="dxa" w:w="228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Unique securities in the supplied list</w:t>
            </w:r>
          </w:p>
        </w:tc>
        <w:tc>
          <w:tcPr>
            <w:tcW w:type="dxa" w:w="275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124</w:t>
            </w:r>
          </w:p>
        </w:tc>
        <w:tc>
          <w:tcPr>
            <w:tcW w:type="dxa" w:w="5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w:t>
            </w:r>
          </w:p>
        </w:tc>
        <w:tc>
          <w:tcPr>
            <w:tcW w:type="dxa" w:w="435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90 Japan, 34 Korea</w:t>
            </w:r>
          </w:p>
        </w:tc>
      </w:tr>
      <w:tr>
        <w:trPr>
          <w:cantSplit/>
        </w:trPr>
        <w:tc>
          <w:tcPr>
            <w:tcW w:type="dxa" w:w="228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Leverage test</w:t>
            </w:r>
          </w:p>
        </w:tc>
        <w:tc>
          <w:tcPr>
            <w:tcW w:type="dxa" w:w="275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90</w:t>
            </w:r>
          </w:p>
        </w:tc>
        <w:tc>
          <w:tcPr>
            <w:tcW w:type="dxa" w:w="5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34</w:t>
            </w:r>
          </w:p>
        </w:tc>
        <w:tc>
          <w:tcPr>
            <w:tcW w:type="dxa" w:w="435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Utilities, railways, chemical majors, Korean holding companies, developers</w:t>
            </w:r>
          </w:p>
        </w:tc>
      </w:tr>
      <w:tr>
        <w:trPr>
          <w:cantSplit/>
        </w:trPr>
        <w:tc>
          <w:tcPr>
            <w:tcW w:type="dxa" w:w="228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Control / investability test</w:t>
            </w:r>
          </w:p>
        </w:tc>
        <w:tc>
          <w:tcPr>
            <w:tcW w:type="dxa" w:w="275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68</w:t>
            </w:r>
          </w:p>
        </w:tc>
        <w:tc>
          <w:tcPr>
            <w:tcW w:type="dxa" w:w="5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22</w:t>
            </w:r>
          </w:p>
        </w:tc>
        <w:tc>
          <w:tcPr>
            <w:tcW w:type="dxa" w:w="435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Family or parent &gt; 40% (mostly Korean small caps and Japanese founder companies); 3 delisted or under tender offer</w:t>
            </w:r>
          </w:p>
        </w:tc>
      </w:tr>
      <w:tr>
        <w:trPr>
          <w:cantSplit/>
        </w:trPr>
        <w:tc>
          <w:tcPr>
            <w:tcW w:type="dxa" w:w="228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TSR and business-quality triage</w:t>
            </w:r>
          </w:p>
        </w:tc>
        <w:tc>
          <w:tcPr>
            <w:tcW w:type="dxa" w:w="275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42 researched in depth (registers, TSR vs peers, valuation, governance)</w:t>
            </w:r>
          </w:p>
        </w:tc>
        <w:tc>
          <w:tcPr>
            <w:tcW w:type="dxa" w:w="5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w:t>
            </w:r>
          </w:p>
        </w:tc>
        <w:tc>
          <w:tcPr>
            <w:tcW w:type="dxa" w:w="435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Names already re-rated, micro-caps, growth stories; control failures found during deep dives are counted above</w:t>
            </w:r>
          </w:p>
        </w:tc>
      </w:tr>
      <w:tr>
        <w:trPr>
          <w:cantSplit/>
        </w:trPr>
        <w:tc>
          <w:tcPr>
            <w:tcW w:type="dxa" w:w="228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Final selection</w:t>
            </w:r>
          </w:p>
        </w:tc>
        <w:tc>
          <w:tcPr>
            <w:tcW w:type="dxa" w:w="275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20</w:t>
            </w:r>
          </w:p>
        </w:tc>
        <w:tc>
          <w:tcPr>
            <w:tcW w:type="dxa" w:w="5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w:t>
            </w:r>
          </w:p>
        </w:tc>
        <w:tc>
          <w:tcPr>
            <w:tcW w:type="dxa" w:w="435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Ranked on size of value gap × fixability × support</w:t>
            </w:r>
          </w:p>
        </w:tc>
      </w:tr>
    </w:tbl>
    <w:p>
      <w:pPr>
        <w:spacing w:after="100"/>
      </w:pPr>
    </w:p>
    <w:p>
      <w:pPr>
        <w:pStyle w:val="Heading3"/>
        <w:keepNext/>
        <w:spacing w:after="80" w:before="180"/>
      </w:pPr>
      <w:r>
        <w:rPr>
          <w:rFonts w:ascii="Calibri" w:cs="Calibri" w:eastAsia="Calibri" w:hAnsi="Calibri"/>
          <w:b/>
          <w:bCs/>
          <w:color w:val="2E75B6"/>
          <w:sz w:val="22"/>
          <w:szCs w:val="22"/>
        </w:rPr>
        <w:t xml:space="preserve">Stated exceptions</w:t>
      </w:r>
    </w:p>
    <w:p>
      <w:pPr>
        <w:pStyle w:val="ListParagraph"/>
        <w:numPr>
          <w:ilvl w:val="0"/>
          <w:numId w:val="2"/>
        </w:numPr>
        <w:spacing w:after="50" w:line="252"/>
      </w:pPr>
      <w:r>
        <w:rPr>
          <w:rFonts w:ascii="Calibri" w:cs="Calibri" w:eastAsia="Calibri" w:hAnsi="Calibri"/>
          <w:b/>
          <w:bCs/>
          <w:sz w:val="19"/>
          <w:szCs w:val="19"/>
        </w:rPr>
        <w:t xml:space="preserve">Hodogaya (#7), leverage.</w:t>
      </w:r>
      <w:r>
        <w:rPr>
          <w:rFonts w:ascii="Calibri" w:cs="Calibri" w:eastAsia="Calibri" w:hAnsi="Calibri"/>
          <w:sz w:val="19"/>
          <w:szCs w:val="19"/>
        </w:rPr>
        <w:t xml:space="preserve"> Reported ND/EBITDA is −0.2x, but about 2.0x pro forma after the Framochem deal (Aug-2026). Included because its 53% SFC stake is worth about 1.85x Hodogaya's market cap: on a look-through basis it is substantially over-capitalised.</w:t>
      </w:r>
    </w:p>
    <w:p>
      <w:pPr>
        <w:pStyle w:val="ListParagraph"/>
        <w:numPr>
          <w:ilvl w:val="0"/>
          <w:numId w:val="2"/>
        </w:numPr>
        <w:spacing w:after="50" w:line="252"/>
      </w:pPr>
      <w:r>
        <w:rPr>
          <w:rFonts w:ascii="Calibri" w:cs="Calibri" w:eastAsia="Calibri" w:hAnsi="Calibri"/>
          <w:b/>
          <w:bCs/>
          <w:sz w:val="19"/>
          <w:szCs w:val="19"/>
        </w:rPr>
        <w:t xml:space="preserve">Mitsubishi Motors (#20), leverage definition.</w:t>
      </w:r>
      <w:r>
        <w:rPr>
          <w:rFonts w:ascii="Calibri" w:cs="Calibri" w:eastAsia="Calibri" w:hAnsi="Calibri"/>
          <w:sz w:val="19"/>
          <w:szCs w:val="19"/>
        </w:rPr>
        <w:t xml:space="preserve"> Consolidated ND/EBITDA of 0.65x includes the finance subsidiary. The automobile business has ¥406bn of net cash.</w:t>
      </w:r>
    </w:p>
    <w:p>
      <w:pPr>
        <w:pStyle w:val="ListParagraph"/>
        <w:numPr>
          <w:ilvl w:val="0"/>
          <w:numId w:val="2"/>
        </w:numPr>
        <w:spacing w:after="50" w:line="252"/>
      </w:pPr>
      <w:r>
        <w:rPr>
          <w:rFonts w:ascii="Calibri" w:cs="Calibri" w:eastAsia="Calibri" w:hAnsi="Calibri"/>
          <w:b/>
          <w:bCs/>
          <w:sz w:val="19"/>
          <w:szCs w:val="19"/>
        </w:rPr>
        <w:t xml:space="preserve">TS Tech (#16) and Kumho Petrochemical (#9), TSR.</w:t>
      </w:r>
      <w:r>
        <w:rPr>
          <w:rFonts w:ascii="Calibri" w:cs="Calibri" w:eastAsia="Calibri" w:hAnsi="Calibri"/>
          <w:sz w:val="19"/>
          <w:szCs w:val="19"/>
        </w:rPr>
        <w:t xml:space="preserve"> Both trail their market index by wide margins (TS Tech by 48pp over 5 years, Kumho by 163pp). However, both </w:t>
      </w:r>
      <w:r>
        <w:rPr>
          <w:rFonts w:ascii="Calibri" w:cs="Calibri" w:eastAsia="Calibri" w:hAnsi="Calibri"/>
          <w:i/>
          <w:iCs/>
          <w:sz w:val="19"/>
          <w:szCs w:val="19"/>
        </w:rPr>
        <w:t xml:space="preserve">beat</w:t>
      </w:r>
      <w:r>
        <w:rPr>
          <w:rFonts w:ascii="Calibri" w:cs="Calibri" w:eastAsia="Calibri" w:hAnsi="Calibri"/>
          <w:sz w:val="19"/>
          <w:szCs w:val="19"/>
        </w:rPr>
        <w:t xml:space="preserve"> weak sector peer sets: auto-seat makers in TS Tech's case, levered and loss-making Korean petrochemicals in Kumho's. They are included because the fixable capital-allocation issues are among the clearest on the list. A strict reader can treat them as alternates.</w:t>
      </w:r>
    </w:p>
    <w:p>
      <w:pPr>
        <w:pStyle w:val="ListParagraph"/>
        <w:numPr>
          <w:ilvl w:val="0"/>
          <w:numId w:val="2"/>
        </w:numPr>
        <w:spacing w:after="50" w:line="252"/>
      </w:pPr>
      <w:r>
        <w:rPr>
          <w:rFonts w:ascii="Calibri" w:cs="Calibri" w:eastAsia="Calibri" w:hAnsi="Calibri"/>
          <w:b/>
          <w:bCs/>
          <w:sz w:val="19"/>
          <w:szCs w:val="19"/>
        </w:rPr>
        <w:t xml:space="preserve">Canon (#18), Toei (#19) and Wacom (#14)</w:t>
      </w:r>
      <w:r>
        <w:rPr>
          <w:rFonts w:ascii="Calibri" w:cs="Calibri" w:eastAsia="Calibri" w:hAnsi="Calibri"/>
          <w:sz w:val="19"/>
          <w:szCs w:val="19"/>
        </w:rPr>
        <w:t xml:space="preserve"> beat their hand-picked peer medians but trail their TOPIX-17 sector index by 24–84pp over 5 years. They pass the TSR test on the sector-index definition.</w:t>
      </w:r>
    </w:p>
    <w:p>
      <w:pPr>
        <w:pStyle w:val="Heading3"/>
        <w:keepNext/>
        <w:spacing w:after="80" w:before="180"/>
      </w:pPr>
      <w:r>
        <w:rPr>
          <w:rFonts w:ascii="Calibri" w:cs="Calibri" w:eastAsia="Calibri" w:hAnsi="Calibri"/>
          <w:b/>
          <w:bCs/>
          <w:color w:val="2E75B6"/>
          <w:sz w:val="22"/>
          <w:szCs w:val="22"/>
        </w:rPr>
        <w:t xml:space="preserve">Benchmarks (price return to 14-Oct-2026)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77"/>
        <w:gridCol w:w="939"/>
        <w:gridCol w:w="1095"/>
        <w:gridCol w:w="1095"/>
      </w:tblGrid>
      <w:tr>
        <w:trPr>
          <w:cantSplit/>
          <w:tblHeader/>
        </w:trPr>
        <w:tc>
          <w:tcPr>
            <w:tcW w:type="dxa" w:w="677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Benchmark</w:t>
            </w:r>
          </w:p>
        </w:tc>
        <w:tc>
          <w:tcPr>
            <w:tcW w:type="dxa" w:w="93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09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09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7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 (via NEXT FUNDS TOPIX ETF 1306)</w:t>
            </w:r>
          </w:p>
        </w:tc>
        <w:tc>
          <w:tcPr>
            <w:tcW w:type="dxa" w:w="9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109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09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r>
        <w:trPr>
          <w:cantSplit/>
        </w:trPr>
        <w:tc>
          <w:tcPr>
            <w:tcW w:type="dxa" w:w="67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KOSPI 200 (via KODEX 200)</w:t>
            </w:r>
          </w:p>
        </w:tc>
        <w:tc>
          <w:tcPr>
            <w:tcW w:type="dxa" w:w="9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+85.0%</w:t>
            </w:r>
          </w:p>
        </w:tc>
        <w:tc>
          <w:tcPr>
            <w:tcW w:type="dxa" w:w="109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+189.3%</w:t>
            </w:r>
          </w:p>
        </w:tc>
        <w:tc>
          <w:tcPr>
            <w:tcW w:type="dxa" w:w="109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+140.5%</w:t>
            </w:r>
          </w:p>
        </w:tc>
      </w:tr>
      <w:tr>
        <w:trPr>
          <w:cantSplit/>
        </w:trPr>
        <w:tc>
          <w:tcPr>
            <w:tcW w:type="dxa" w:w="67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Electric Appliances &amp; Precision (1625)</w:t>
            </w:r>
          </w:p>
        </w:tc>
        <w:tc>
          <w:tcPr>
            <w:tcW w:type="dxa" w:w="9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+47.4%</w:t>
            </w:r>
          </w:p>
        </w:tc>
        <w:tc>
          <w:tcPr>
            <w:tcW w:type="dxa" w:w="109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+114.1%</w:t>
            </w:r>
          </w:p>
        </w:tc>
        <w:tc>
          <w:tcPr>
            <w:tcW w:type="dxa" w:w="109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+118.3%</w:t>
            </w:r>
          </w:p>
        </w:tc>
      </w:tr>
      <w:tr>
        <w:trPr>
          <w:cantSplit/>
        </w:trPr>
        <w:tc>
          <w:tcPr>
            <w:tcW w:type="dxa" w:w="67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Machinery (1624)</w:t>
            </w:r>
          </w:p>
        </w:tc>
        <w:tc>
          <w:tcPr>
            <w:tcW w:type="dxa" w:w="9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+14.7%</w:t>
            </w:r>
          </w:p>
        </w:tc>
        <w:tc>
          <w:tcPr>
            <w:tcW w:type="dxa" w:w="109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+78.5%</w:t>
            </w:r>
          </w:p>
        </w:tc>
        <w:tc>
          <w:tcPr>
            <w:tcW w:type="dxa" w:w="109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+104.9%</w:t>
            </w:r>
          </w:p>
        </w:tc>
      </w:tr>
      <w:tr>
        <w:trPr>
          <w:cantSplit/>
        </w:trPr>
        <w:tc>
          <w:tcPr>
            <w:tcW w:type="dxa" w:w="67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IT &amp; Services, Others (1626)</w:t>
            </w:r>
          </w:p>
        </w:tc>
        <w:tc>
          <w:tcPr>
            <w:tcW w:type="dxa" w:w="9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+14.1%</w:t>
            </w:r>
          </w:p>
        </w:tc>
        <w:tc>
          <w:tcPr>
            <w:tcW w:type="dxa" w:w="109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+65.4%</w:t>
            </w:r>
          </w:p>
        </w:tc>
        <w:tc>
          <w:tcPr>
            <w:tcW w:type="dxa" w:w="109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+60.7%</w:t>
            </w:r>
          </w:p>
        </w:tc>
      </w:tr>
      <w:tr>
        <w:trPr>
          <w:cantSplit/>
        </w:trPr>
        <w:tc>
          <w:tcPr>
            <w:tcW w:type="dxa" w:w="67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Raw Materials &amp; Chemicals (1620)</w:t>
            </w:r>
          </w:p>
        </w:tc>
        <w:tc>
          <w:tcPr>
            <w:tcW w:type="dxa" w:w="9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+26.2%</w:t>
            </w:r>
          </w:p>
        </w:tc>
        <w:tc>
          <w:tcPr>
            <w:tcW w:type="dxa" w:w="109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+41.4%</w:t>
            </w:r>
          </w:p>
        </w:tc>
        <w:tc>
          <w:tcPr>
            <w:tcW w:type="dxa" w:w="109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+37.0%</w:t>
            </w:r>
          </w:p>
        </w:tc>
      </w:tr>
      <w:tr>
        <w:trPr>
          <w:cantSplit/>
        </w:trPr>
        <w:tc>
          <w:tcPr>
            <w:tcW w:type="dxa" w:w="67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Automobiles &amp; Transport Equipment (1622)</w:t>
            </w:r>
          </w:p>
        </w:tc>
        <w:tc>
          <w:tcPr>
            <w:tcW w:type="dxa" w:w="9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+7.2%</w:t>
            </w:r>
          </w:p>
        </w:tc>
        <w:tc>
          <w:tcPr>
            <w:tcW w:type="dxa" w:w="109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+16.1%</w:t>
            </w:r>
          </w:p>
        </w:tc>
        <w:tc>
          <w:tcPr>
            <w:tcW w:type="dxa" w:w="109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+44.9%</w:t>
            </w:r>
          </w:p>
        </w:tc>
      </w:tr>
      <w:tr>
        <w:trPr>
          <w:cantSplit/>
        </w:trPr>
        <w:tc>
          <w:tcPr>
            <w:tcW w:type="dxa" w:w="67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Construction &amp; Materials (1619)</w:t>
            </w:r>
          </w:p>
        </w:tc>
        <w:tc>
          <w:tcPr>
            <w:tcW w:type="dxa" w:w="9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+18.8%</w:t>
            </w:r>
          </w:p>
        </w:tc>
        <w:tc>
          <w:tcPr>
            <w:tcW w:type="dxa" w:w="109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+71.2%</w:t>
            </w:r>
          </w:p>
        </w:tc>
        <w:tc>
          <w:tcPr>
            <w:tcW w:type="dxa" w:w="109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+94.3%</w:t>
            </w:r>
          </w:p>
        </w:tc>
      </w:tr>
    </w:tbl>
    <w:p>
      <w:pPr>
        <w:spacing w:after="100"/>
      </w:pPr>
    </w:p>
    <w:p>
      <w:pPr>
        <w:pStyle w:val="Heading3"/>
        <w:keepNext/>
        <w:spacing w:after="80" w:before="180"/>
      </w:pPr>
      <w:r>
        <w:rPr>
          <w:rFonts w:ascii="Calibri" w:cs="Calibri" w:eastAsia="Calibri" w:hAnsi="Calibri"/>
          <w:b/>
          <w:bCs/>
          <w:color w:val="2E75B6"/>
          <w:sz w:val="22"/>
          <w:szCs w:val="22"/>
        </w:rPr>
        <w:t xml:space="preserve">Data integrity — read before using any number</w:t>
      </w:r>
    </w:p>
    <w:p>
      <w:pPr>
        <w:pStyle w:val="ListParagraph"/>
        <w:numPr>
          <w:ilvl w:val="0"/>
          <w:numId w:val="2"/>
        </w:numPr>
        <w:spacing w:after="50" w:line="252"/>
      </w:pPr>
      <w:r>
        <w:rPr>
          <w:rFonts w:ascii="Calibri" w:cs="Calibri" w:eastAsia="Calibri" w:hAnsi="Calibri"/>
          <w:b/>
          <w:bCs/>
          <w:sz w:val="19"/>
          <w:szCs w:val="19"/>
        </w:rPr>
        <w:t xml:space="preserve">TSR is approximate.</w:t>
      </w:r>
      <w:r>
        <w:rPr>
          <w:rFonts w:ascii="Calibri" w:cs="Calibri" w:eastAsia="Calibri" w:hAnsi="Calibri"/>
          <w:sz w:val="19"/>
          <w:szCs w:val="19"/>
        </w:rPr>
        <w:t xml:space="preserve"> It uses split-adjusted closes on fixed dates plus fiscal-year dividends paid in the window, with no reinvestment. Index comparisons are price-only, so they </w:t>
      </w:r>
      <w:r>
        <w:rPr>
          <w:rFonts w:ascii="Calibri" w:cs="Calibri" w:eastAsia="Calibri" w:hAnsi="Calibri"/>
          <w:i/>
          <w:iCs/>
          <w:sz w:val="19"/>
          <w:szCs w:val="19"/>
        </w:rPr>
        <w:t xml:space="preserve">understate</w:t>
      </w:r>
      <w:r>
        <w:rPr>
          <w:rFonts w:ascii="Calibri" w:cs="Calibri" w:eastAsia="Calibri" w:hAnsi="Calibri"/>
          <w:sz w:val="19"/>
          <w:szCs w:val="19"/>
        </w:rPr>
        <w:t xml:space="preserve"> each target's shortfall by roughly 2pp a year.</w:t>
      </w:r>
    </w:p>
    <w:p>
      <w:pPr>
        <w:pStyle w:val="ListParagraph"/>
        <w:numPr>
          <w:ilvl w:val="0"/>
          <w:numId w:val="2"/>
        </w:numPr>
        <w:spacing w:after="50" w:line="252"/>
      </w:pPr>
      <w:r>
        <w:rPr>
          <w:rFonts w:ascii="Calibri" w:cs="Calibri" w:eastAsia="Calibri" w:hAnsi="Calibri"/>
          <w:b/>
          <w:bCs/>
          <w:sz w:val="19"/>
          <w:szCs w:val="19"/>
        </w:rPr>
        <w:t xml:space="preserve">Valuation multiples</w:t>
      </w:r>
      <w:r>
        <w:rPr>
          <w:rFonts w:ascii="Calibri" w:cs="Calibri" w:eastAsia="Calibri" w:hAnsi="Calibri"/>
          <w:sz w:val="19"/>
          <w:szCs w:val="19"/>
        </w:rPr>
        <w:t xml:space="preserve"> are trailing (LTM) and on S&amp;P's TEV definition.</w:t>
      </w:r>
    </w:p>
    <w:p>
      <w:pPr>
        <w:pStyle w:val="ListParagraph"/>
        <w:numPr>
          <w:ilvl w:val="1"/>
          <w:numId w:val="2"/>
        </w:numPr>
        <w:spacing w:after="50" w:line="252"/>
      </w:pPr>
      <w:r>
        <w:rPr>
          <w:rFonts w:ascii="Calibri" w:cs="Calibri" w:eastAsia="Calibri" w:hAnsi="Calibri"/>
          <w:sz w:val="19"/>
          <w:szCs w:val="19"/>
        </w:rPr>
        <w:t xml:space="preserve">Where cash and listed stakes are large, ex-cash and look-through figures are given in the dossiers, and those are the ones that matter.</w:t>
      </w:r>
    </w:p>
    <w:p>
      <w:pPr>
        <w:pStyle w:val="ListParagraph"/>
        <w:numPr>
          <w:ilvl w:val="1"/>
          <w:numId w:val="2"/>
        </w:numPr>
        <w:spacing w:after="50" w:line="252"/>
      </w:pPr>
      <w:r>
        <w:rPr>
          <w:rFonts w:ascii="Calibri" w:cs="Calibri" w:eastAsia="Calibri" w:hAnsi="Calibri"/>
          <w:sz w:val="19"/>
          <w:szCs w:val="19"/>
        </w:rPr>
        <w:t xml:space="preserve">Peer medians are only as good as the peer set. Weak sets are flagged (for example Kumho, TS Tech, Tokyotokeiba).</w:t>
      </w:r>
    </w:p>
    <w:p>
      <w:pPr>
        <w:pStyle w:val="ListParagraph"/>
        <w:numPr>
          <w:ilvl w:val="0"/>
          <w:numId w:val="2"/>
        </w:numPr>
        <w:spacing w:after="50" w:line="252"/>
      </w:pPr>
      <w:r>
        <w:rPr>
          <w:rFonts w:ascii="Calibri" w:cs="Calibri" w:eastAsia="Calibri" w:hAnsi="Calibri"/>
          <w:b/>
          <w:bCs/>
          <w:sz w:val="19"/>
          <w:szCs w:val="19"/>
        </w:rPr>
        <w:t xml:space="preserve">Shareholder registers</w:t>
      </w:r>
      <w:r>
        <w:rPr>
          <w:rFonts w:ascii="Calibri" w:cs="Calibri" w:eastAsia="Calibri" w:hAnsi="Calibri"/>
          <w:sz w:val="19"/>
          <w:szCs w:val="19"/>
        </w:rPr>
        <w:t xml:space="preserve"> come from the latest annual securities report or DART filing. Dates differ by company. Custody accounts aggregate many beneficial owners.</w:t>
      </w:r>
    </w:p>
    <w:p>
      <w:pPr>
        <w:pStyle w:val="ListParagraph"/>
        <w:numPr>
          <w:ilvl w:val="1"/>
          <w:numId w:val="2"/>
        </w:numPr>
        <w:spacing w:after="50" w:line="252"/>
      </w:pPr>
      <w:r>
        <w:rPr>
          <w:rFonts w:ascii="Calibri" w:cs="Calibri" w:eastAsia="Calibri" w:hAnsi="Calibri"/>
          <w:sz w:val="19"/>
          <w:szCs w:val="19"/>
        </w:rPr>
        <w:t xml:space="preserve">Several AGM vote percentages and secondary holders could not be retrieved and are marked n/a.</w:t>
      </w:r>
    </w:p>
    <w:p>
      <w:pPr>
        <w:pStyle w:val="ListParagraph"/>
        <w:numPr>
          <w:ilvl w:val="1"/>
          <w:numId w:val="2"/>
        </w:numPr>
        <w:spacing w:after="50" w:line="252"/>
      </w:pPr>
      <w:r>
        <w:rPr>
          <w:rFonts w:ascii="Calibri" w:cs="Calibri" w:eastAsia="Calibri" w:hAnsi="Calibri"/>
          <w:sz w:val="19"/>
          <w:szCs w:val="19"/>
        </w:rPr>
        <w:t xml:space="preserve">Registers should be re-pulled, and a beneficial-ownership analysis commissioned, before any approach.</w:t>
      </w:r>
    </w:p>
    <w:p>
      <w:pPr>
        <w:pStyle w:val="ListParagraph"/>
        <w:numPr>
          <w:ilvl w:val="0"/>
          <w:numId w:val="2"/>
        </w:numPr>
        <w:spacing w:after="50" w:line="252"/>
      </w:pPr>
      <w:r>
        <w:rPr>
          <w:rFonts w:ascii="Calibri" w:cs="Calibri" w:eastAsia="Calibri" w:hAnsi="Calibri"/>
          <w:b/>
          <w:bCs/>
          <w:sz w:val="19"/>
          <w:szCs w:val="19"/>
        </w:rPr>
        <w:t xml:space="preserve">Web-sourced facts</w:t>
      </w:r>
      <w:r>
        <w:rPr>
          <w:rFonts w:ascii="Calibri" w:cs="Calibri" w:eastAsia="Calibri" w:hAnsi="Calibri"/>
          <w:sz w:val="19"/>
          <w:szCs w:val="19"/>
        </w:rPr>
        <w:t xml:space="preserve"> came from search-engine extracts of the cited pages, because direct page retrieval was unavailable. Primary documents should be checked before external use.</w:t>
      </w:r>
    </w:p>
    <w:p>
      <w:pPr>
        <w:pStyle w:val="ListParagraph"/>
        <w:numPr>
          <w:ilvl w:val="0"/>
          <w:numId w:val="2"/>
        </w:numPr>
        <w:spacing w:after="50" w:line="252"/>
      </w:pPr>
      <w:r>
        <w:rPr>
          <w:rFonts w:ascii="Calibri" w:cs="Calibri" w:eastAsia="Calibri" w:hAnsi="Calibri"/>
          <w:b/>
          <w:bCs/>
          <w:sz w:val="19"/>
          <w:szCs w:val="19"/>
        </w:rPr>
        <w:t xml:space="preserve">Anything described as a company's likely defence is inference</w:t>
      </w:r>
      <w:r>
        <w:rPr>
          <w:rFonts w:ascii="Calibri" w:cs="Calibri" w:eastAsia="Calibri" w:hAnsi="Calibri"/>
          <w:sz w:val="19"/>
          <w:szCs w:val="19"/>
        </w:rPr>
        <w:t xml:space="preserve">, not a quotation.</w:t>
      </w:r>
    </w:p>
    <w:p>
      <w:pPr>
        <w:pStyle w:val="Heading1"/>
        <w:pageBreakBefore/>
        <w:spacing w:after="160" w:before="120"/>
      </w:pPr>
      <w:r>
        <w:rPr>
          <w:rFonts w:ascii="Calibri" w:cs="Calibri" w:eastAsia="Calibri" w:hAnsi="Calibri"/>
          <w:b/>
          <w:bCs/>
          <w:color w:val="1F3864"/>
          <w:sz w:val="32"/>
          <w:szCs w:val="32"/>
        </w:rPr>
        <w:t xml:space="preserve">3. Company dossiers</w:t>
      </w:r>
    </w:p>
    <w:p>
      <w:pPr>
        <w:spacing w:after="100" w:line="264"/>
      </w:pPr>
      <w:r>
        <w:rPr>
          <w:rFonts w:ascii="Calibri" w:cs="Calibri" w:eastAsia="Calibri" w:hAnsi="Calibri"/>
          <w:sz w:val="19"/>
          <w:szCs w:val="19"/>
        </w:rPr>
        <w:t xml:space="preserve">How to read each dossier:</w:t>
      </w:r>
    </w:p>
    <w:p>
      <w:pPr>
        <w:pStyle w:val="ListParagraph"/>
        <w:numPr>
          <w:ilvl w:val="0"/>
          <w:numId w:val="2"/>
        </w:numPr>
        <w:spacing w:after="50" w:line="252"/>
      </w:pPr>
      <w:r>
        <w:rPr>
          <w:rFonts w:ascii="Calibri" w:cs="Calibri" w:eastAsia="Calibri" w:hAnsi="Calibri"/>
          <w:b/>
          <w:bCs/>
          <w:sz w:val="19"/>
          <w:szCs w:val="19"/>
        </w:rPr>
        <w:t xml:space="preserve">TSR</w:t>
      </w:r>
      <w:r>
        <w:rPr>
          <w:rFonts w:ascii="Calibri" w:cs="Calibri" w:eastAsia="Calibri" w:hAnsi="Calibri"/>
          <w:sz w:val="19"/>
          <w:szCs w:val="19"/>
        </w:rPr>
        <w:t xml:space="preserve"> is approximate total shareholder return: S&amp;P Capital IQ split-adjusted closes on 15-Oct-2021, 13-Oct-2023, 15-Oct-2025 and 14-Oct-2026, plus fiscal-year dividends per share paid in the window, with no reinvestment.</w:t>
      </w:r>
    </w:p>
    <w:p>
      <w:pPr>
        <w:pStyle w:val="ListParagraph"/>
        <w:numPr>
          <w:ilvl w:val="0"/>
          <w:numId w:val="2"/>
        </w:numPr>
        <w:spacing w:after="50" w:line="252"/>
      </w:pPr>
      <w:r>
        <w:rPr>
          <w:rFonts w:ascii="Calibri" w:cs="Calibri" w:eastAsia="Calibri" w:hAnsi="Calibri"/>
          <w:b/>
          <w:bCs/>
          <w:sz w:val="19"/>
          <w:szCs w:val="19"/>
        </w:rPr>
        <w:t xml:space="preserve">Peer median</w:t>
      </w:r>
      <w:r>
        <w:rPr>
          <w:rFonts w:ascii="Calibri" w:cs="Calibri" w:eastAsia="Calibri" w:hAnsi="Calibri"/>
          <w:sz w:val="19"/>
          <w:szCs w:val="19"/>
        </w:rPr>
        <w:t xml:space="preserve"> uses the same method across the named listed peers.</w:t>
      </w:r>
    </w:p>
    <w:p>
      <w:pPr>
        <w:pStyle w:val="ListParagraph"/>
        <w:numPr>
          <w:ilvl w:val="0"/>
          <w:numId w:val="2"/>
        </w:numPr>
        <w:spacing w:after="50" w:line="252"/>
      </w:pPr>
      <w:r>
        <w:rPr>
          <w:rFonts w:ascii="Calibri" w:cs="Calibri" w:eastAsia="Calibri" w:hAnsi="Calibri"/>
          <w:b/>
          <w:bCs/>
          <w:sz w:val="19"/>
          <w:szCs w:val="19"/>
        </w:rPr>
        <w:t xml:space="preserve">Sector index</w:t>
      </w:r>
      <w:r>
        <w:rPr>
          <w:rFonts w:ascii="Calibri" w:cs="Calibri" w:eastAsia="Calibri" w:hAnsi="Calibri"/>
          <w:sz w:val="19"/>
          <w:szCs w:val="19"/>
        </w:rPr>
        <w:t xml:space="preserve"> is the NEXT FUNDS TOPIX-17 sector ETF on price return. Japanese market index returns (TOPIX) and the Korean KOSPI 200 are also price return.</w:t>
      </w:r>
    </w:p>
    <w:p>
      <w:pPr>
        <w:pStyle w:val="ListParagraph"/>
        <w:numPr>
          <w:ilvl w:val="0"/>
          <w:numId w:val="2"/>
        </w:numPr>
        <w:spacing w:after="50" w:line="252"/>
      </w:pPr>
      <w:r>
        <w:rPr>
          <w:rFonts w:ascii="Calibri" w:cs="Calibri" w:eastAsia="Calibri" w:hAnsi="Calibri"/>
          <w:b/>
          <w:bCs/>
          <w:sz w:val="19"/>
          <w:szCs w:val="19"/>
        </w:rPr>
        <w:t xml:space="preserve">Valuation and margins</w:t>
      </w:r>
      <w:r>
        <w:rPr>
          <w:rFonts w:ascii="Calibri" w:cs="Calibri" w:eastAsia="Calibri" w:hAnsi="Calibri"/>
          <w:sz w:val="19"/>
          <w:szCs w:val="19"/>
        </w:rPr>
        <w:t xml:space="preserve"> are LTM to 30-Jun-2026 (S&amp;P Capital IQ) unless stated.</w:t>
      </w:r>
    </w:p>
    <w:p>
      <w:pPr>
        <w:pStyle w:val="ListParagraph"/>
        <w:numPr>
          <w:ilvl w:val="0"/>
          <w:numId w:val="2"/>
        </w:numPr>
        <w:spacing w:after="50" w:line="252"/>
      </w:pPr>
      <w:r>
        <w:rPr>
          <w:rFonts w:ascii="Calibri" w:cs="Calibri" w:eastAsia="Calibri" w:hAnsi="Calibri"/>
          <w:b/>
          <w:bCs/>
          <w:sz w:val="19"/>
          <w:szCs w:val="19"/>
        </w:rPr>
        <w:t xml:space="preserve">Shareholdings</w:t>
      </w:r>
      <w:r>
        <w:rPr>
          <w:rFonts w:ascii="Calibri" w:cs="Calibri" w:eastAsia="Calibri" w:hAnsi="Calibri"/>
          <w:sz w:val="19"/>
          <w:szCs w:val="19"/>
        </w:rPr>
        <w:t xml:space="preserve"> come from the latest annual securities report (Japan) or DART filings and large-holding reports (Korea).</w:t>
      </w:r>
    </w:p>
    <w:p>
      <w:pPr>
        <w:pStyle w:val="ListParagraph"/>
        <w:numPr>
          <w:ilvl w:val="0"/>
          <w:numId w:val="2"/>
        </w:numPr>
        <w:spacing w:after="50" w:line="252"/>
      </w:pPr>
      <w:r>
        <w:rPr>
          <w:rFonts w:ascii="Calibri" w:cs="Calibri" w:eastAsia="Calibri" w:hAnsi="Calibri"/>
          <w:b/>
          <w:bCs/>
          <w:sz w:val="19"/>
          <w:szCs w:val="19"/>
        </w:rPr>
        <w:t xml:space="preserve">Defences</w:t>
      </w:r>
      <w:r>
        <w:rPr>
          <w:rFonts w:ascii="Calibri" w:cs="Calibri" w:eastAsia="Calibri" w:hAnsi="Calibri"/>
          <w:sz w:val="19"/>
          <w:szCs w:val="19"/>
        </w:rPr>
        <w:t xml:space="preserve"> are our inference of what management would argue, usually in its own medium-term-plan language.</w:t>
      </w:r>
    </w:p>
    <w:p>
      <w:pPr>
        <w:pStyle w:val="Heading2"/>
        <w:keepNext/>
        <w:pBdr>
          <w:bottom w:val="single" w:color="2E75B6" w:sz="8" w:space="2"/>
        </w:pBdr>
        <w:spacing w:after="100" w:before="240"/>
      </w:pPr>
      <w:r>
        <w:rPr>
          <w:rFonts w:ascii="Calibri" w:cs="Calibri" w:eastAsia="Calibri" w:hAnsi="Calibri"/>
          <w:b/>
          <w:bCs/>
          <w:color w:val="1F3864"/>
          <w:sz w:val="26"/>
          <w:szCs w:val="26"/>
        </w:rPr>
        <w:t xml:space="preserve">1. OMRON Corporation (6645 JP) — Tier 1</w:t>
      </w:r>
    </w:p>
    <w:p>
      <w:pPr>
        <w:spacing w:after="100" w:line="264"/>
      </w:pPr>
      <w:r>
        <w:rPr>
          <w:rFonts w:ascii="Calibri" w:cs="Calibri" w:eastAsia="Calibri" w:hAnsi="Calibri"/>
          <w:b/>
          <w:bCs/>
          <w:sz w:val="19"/>
          <w:szCs w:val="19"/>
        </w:rPr>
        <w:t xml:space="preserve">Factory automation (IAB), healthcare devices, social systems, data solutions (JMDC) · Market cap ¥1,156bn (US$7.3bn) · Support score 4/5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51"/>
        <w:gridCol w:w="976"/>
        <w:gridCol w:w="1139"/>
        <w:gridCol w:w="1140"/>
      </w:tblGrid>
      <w:tr>
        <w:trPr>
          <w:cantSplit/>
          <w:tblHeader/>
        </w:trPr>
        <w:tc>
          <w:tcPr>
            <w:tcW w:type="dxa" w:w="665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97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13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14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6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Omron</w:t>
            </w:r>
          </w:p>
        </w:tc>
        <w:tc>
          <w:tcPr>
            <w:tcW w:type="dxa" w:w="9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+50.1%</w:t>
            </w:r>
          </w:p>
        </w:tc>
        <w:tc>
          <w:tcPr>
            <w:tcW w:type="dxa" w:w="11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+3.6%</w:t>
            </w:r>
          </w:p>
        </w:tc>
        <w:tc>
          <w:tcPr>
            <w:tcW w:type="dxa" w:w="11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−36.9%</w:t>
            </w:r>
          </w:p>
        </w:tc>
      </w:tr>
      <w:tr>
        <w:trPr>
          <w:cantSplit/>
        </w:trPr>
        <w:tc>
          <w:tcPr>
            <w:tcW w:type="dxa" w:w="66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(Keyence, Fanuc, Yaskawa, Azbil, Rockwell)</w:t>
            </w:r>
          </w:p>
        </w:tc>
        <w:tc>
          <w:tcPr>
            <w:tcW w:type="dxa" w:w="9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+21.7%</w:t>
            </w:r>
          </w:p>
        </w:tc>
        <w:tc>
          <w:tcPr>
            <w:tcW w:type="dxa" w:w="11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+42.3%</w:t>
            </w:r>
          </w:p>
        </w:tc>
        <w:tc>
          <w:tcPr>
            <w:tcW w:type="dxa" w:w="114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+36.7%</w:t>
            </w:r>
          </w:p>
        </w:tc>
      </w:tr>
      <w:tr>
        <w:trPr>
          <w:cantSplit/>
        </w:trPr>
        <w:tc>
          <w:tcPr>
            <w:tcW w:type="dxa" w:w="66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Electric Appliances &amp; Precision (1625)</w:t>
            </w:r>
          </w:p>
        </w:tc>
        <w:tc>
          <w:tcPr>
            <w:tcW w:type="dxa" w:w="9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+47.4%</w:t>
            </w:r>
          </w:p>
        </w:tc>
        <w:tc>
          <w:tcPr>
            <w:tcW w:type="dxa" w:w="11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+114.1%</w:t>
            </w:r>
          </w:p>
        </w:tc>
        <w:tc>
          <w:tcPr>
            <w:tcW w:type="dxa" w:w="11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+118.3%</w:t>
            </w:r>
          </w:p>
        </w:tc>
      </w:tr>
      <w:tr>
        <w:trPr>
          <w:cantSplit/>
        </w:trPr>
        <w:tc>
          <w:tcPr>
            <w:tcW w:type="dxa" w:w="66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9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11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14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1348"/>
        <w:gridCol w:w="1180"/>
        <w:gridCol w:w="936"/>
        <w:gridCol w:w="843"/>
        <w:gridCol w:w="1011"/>
        <w:gridCol w:w="1011"/>
        <w:gridCol w:w="1517"/>
      </w:tblGrid>
      <w:tr>
        <w:trPr>
          <w:cantSplit/>
          <w:tblHeader/>
        </w:trPr>
        <w:tc>
          <w:tcPr>
            <w:tcW w:type="dxa" w:w="2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134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11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84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51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20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Omron</w:t>
            </w:r>
          </w:p>
        </w:tc>
        <w:tc>
          <w:tcPr>
            <w:tcW w:type="dxa" w:w="134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1.53x</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17.0x</w:t>
            </w:r>
          </w:p>
        </w:tc>
        <w:tc>
          <w:tcPr>
            <w:tcW w:type="dxa" w:w="9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33.5x</w:t>
            </w:r>
          </w:p>
        </w:tc>
        <w:tc>
          <w:tcPr>
            <w:tcW w:type="dxa" w:w="8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4.6%</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9.0%</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13.1%</w:t>
            </w:r>
          </w:p>
        </w:tc>
        <w:tc>
          <w:tcPr>
            <w:tcW w:type="dxa" w:w="15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0.52x</w:t>
            </w:r>
          </w:p>
        </w:tc>
      </w:tr>
      <w:tr>
        <w:trPr>
          <w:cantSplit/>
        </w:trPr>
        <w:tc>
          <w:tcPr>
            <w:tcW w:type="dxa" w:w="206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134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5.34x</w:t>
            </w:r>
          </w:p>
        </w:tc>
        <w:tc>
          <w:tcPr>
            <w:tcW w:type="dxa" w:w="11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25.6x</w:t>
            </w:r>
          </w:p>
        </w:tc>
        <w:tc>
          <w:tcPr>
            <w:tcW w:type="dxa" w:w="9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30.8x</w:t>
            </w:r>
          </w:p>
        </w:tc>
        <w:tc>
          <w:tcPr>
            <w:tcW w:type="dxa" w:w="8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3.2%</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19.8%</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20.7%</w:t>
            </w:r>
          </w:p>
        </w:tc>
        <w:tc>
          <w:tcPr>
            <w:tcW w:type="dxa" w:w="15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net cash</w:t>
            </w:r>
          </w:p>
        </w:tc>
      </w:tr>
    </w:tbl>
    <w:p>
      <w:pPr>
        <w:spacing w:after="100"/>
      </w:pPr>
    </w:p>
    <w:p>
      <w:pPr>
        <w:spacing w:after="100" w:line="264"/>
      </w:pPr>
      <w:r>
        <w:rPr>
          <w:rFonts w:ascii="Calibri" w:cs="Calibri" w:eastAsia="Calibri" w:hAnsi="Calibri"/>
          <w:b/>
          <w:bCs/>
          <w:sz w:val="19"/>
          <w:szCs w:val="19"/>
        </w:rPr>
        <w:t xml:space="preserve">Top 5 shareholders (31-Mar-2026):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87"/>
        <w:gridCol w:w="1241"/>
        <w:gridCol w:w="2378"/>
      </w:tblGrid>
      <w:tr>
        <w:trPr>
          <w:cantSplit/>
          <w:tblHeader/>
        </w:trPr>
        <w:tc>
          <w:tcPr>
            <w:tcW w:type="dxa" w:w="628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2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23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Type</w:t>
            </w:r>
          </w:p>
        </w:tc>
      </w:tr>
      <w:tr>
        <w:trPr>
          <w:cantSplit/>
        </w:trPr>
        <w:tc>
          <w:tcPr>
            <w:tcW w:type="dxa" w:w="628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 (trust a/c)</w:t>
            </w:r>
          </w:p>
        </w:tc>
        <w:tc>
          <w:tcPr>
            <w:tcW w:type="dxa" w:w="12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21.49%</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628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 Bank of Japan (trust a/c)</w:t>
            </w:r>
          </w:p>
        </w:tc>
        <w:tc>
          <w:tcPr>
            <w:tcW w:type="dxa" w:w="124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10.33%</w:t>
            </w:r>
          </w:p>
        </w:tc>
        <w:tc>
          <w:tcPr>
            <w:tcW w:type="dxa" w:w="237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628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Japan Activation Capital, two funds</w:t>
            </w:r>
          </w:p>
        </w:tc>
        <w:tc>
          <w:tcPr>
            <w:tcW w:type="dxa" w:w="12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3.94%</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Engagement fund</w:t>
            </w:r>
          </w:p>
        </w:tc>
      </w:tr>
      <w:tr>
        <w:trPr>
          <w:cantSplit/>
        </w:trPr>
        <w:tc>
          <w:tcPr>
            <w:tcW w:type="dxa" w:w="628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Bank of Kyoto</w:t>
            </w:r>
          </w:p>
        </w:tc>
        <w:tc>
          <w:tcPr>
            <w:tcW w:type="dxa" w:w="124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3.58%</w:t>
            </w:r>
          </w:p>
        </w:tc>
        <w:tc>
          <w:tcPr>
            <w:tcW w:type="dxa" w:w="237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Bank</w:t>
            </w:r>
          </w:p>
        </w:tc>
      </w:tr>
      <w:tr>
        <w:trPr>
          <w:cantSplit/>
        </w:trPr>
        <w:tc>
          <w:tcPr>
            <w:tcW w:type="dxa" w:w="628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State Street 505103</w:t>
            </w:r>
          </w:p>
        </w:tc>
        <w:tc>
          <w:tcPr>
            <w:tcW w:type="dxa" w:w="12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2.47%</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Nominee</w:t>
            </w:r>
          </w:p>
        </w:tc>
      </w:tr>
    </w:tbl>
    <w:p>
      <w:pPr>
        <w:spacing w:after="100"/>
      </w:pPr>
    </w:p>
    <w:p>
      <w:pPr>
        <w:spacing w:after="100" w:line="264"/>
      </w:pPr>
      <w:r>
        <w:rPr>
          <w:rFonts w:ascii="Calibri" w:cs="Calibri" w:eastAsia="Calibri" w:hAnsi="Calibri"/>
          <w:sz w:val="19"/>
          <w:szCs w:val="19"/>
        </w:rPr>
        <w:t xml:space="preserve">There is no controlling holder. Treasury shares are 4.3%.</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A world-class FA franchise earning half its peers' margin.</w:t>
      </w:r>
      <w:r>
        <w:rPr>
          <w:rFonts w:ascii="Calibri" w:cs="Calibri" w:eastAsia="Calibri" w:hAnsi="Calibri"/>
          <w:sz w:val="19"/>
          <w:szCs w:val="19"/>
        </w:rPr>
        <w:t xml:space="preserve"> Group EBIT margin is 9.0% vs a 19.8% peer median, and SG&amp;A is 31.1% of sales vs 26.9%. FY3/26 ROE was 3.5% and ROIC 3.0%.</w:t>
      </w:r>
    </w:p>
    <w:p>
      <w:pPr>
        <w:pStyle w:val="ListParagraph"/>
        <w:numPr>
          <w:ilvl w:val="0"/>
          <w:numId w:val="2"/>
        </w:numPr>
        <w:spacing w:after="50" w:line="252"/>
      </w:pPr>
      <w:r>
        <w:rPr>
          <w:rFonts w:ascii="Calibri" w:cs="Calibri" w:eastAsia="Calibri" w:hAnsi="Calibri"/>
          <w:b/>
          <w:bCs/>
          <w:sz w:val="19"/>
          <w:szCs w:val="19"/>
        </w:rPr>
        <w:t xml:space="preserve">The market has stopped paying for the conglomerate.</w:t>
      </w:r>
      <w:r>
        <w:rPr>
          <w:rFonts w:ascii="Calibri" w:cs="Calibri" w:eastAsia="Calibri" w:hAnsi="Calibri"/>
          <w:sz w:val="19"/>
          <w:szCs w:val="19"/>
        </w:rPr>
        <w:t xml:space="preserve"> 5-year TSR is −37%, 74pp behind FA peers and 155pp behind Omron's own TOPIX sector. Industrial automation, healthcare, social systems and a listed data subsidiary (JMDC) share little but a logo.</w:t>
      </w:r>
    </w:p>
    <w:p>
      <w:pPr>
        <w:pStyle w:val="ListParagraph"/>
        <w:numPr>
          <w:ilvl w:val="0"/>
          <w:numId w:val="2"/>
        </w:numPr>
        <w:spacing w:after="50" w:line="252"/>
      </w:pPr>
      <w:r>
        <w:rPr>
          <w:rFonts w:ascii="Calibri" w:cs="Calibri" w:eastAsia="Calibri" w:hAnsi="Calibri"/>
          <w:b/>
          <w:bCs/>
          <w:sz w:val="19"/>
          <w:szCs w:val="19"/>
        </w:rPr>
        <w:t xml:space="preserve">Capital goes to deals, not owners.</w:t>
      </w:r>
    </w:p>
    <w:p>
      <w:pPr>
        <w:pStyle w:val="ListParagraph"/>
        <w:numPr>
          <w:ilvl w:val="1"/>
          <w:numId w:val="2"/>
        </w:numPr>
        <w:spacing w:after="50" w:line="252"/>
      </w:pPr>
      <w:r>
        <w:rPr>
          <w:rFonts w:ascii="Calibri" w:cs="Calibri" w:eastAsia="Calibri" w:hAnsi="Calibri"/>
          <w:sz w:val="19"/>
          <w:szCs w:val="19"/>
        </w:rPr>
        <w:t xml:space="preserve">The ¥81bn proceeds from the device-module (DMB) sale to Carlyle were immediately recycled into a US$675m OnLogic acquisition.</w:t>
      </w:r>
    </w:p>
    <w:p>
      <w:pPr>
        <w:pStyle w:val="ListParagraph"/>
        <w:numPr>
          <w:ilvl w:val="1"/>
          <w:numId w:val="2"/>
        </w:numPr>
        <w:spacing w:after="50" w:line="252"/>
      </w:pPr>
      <w:r>
        <w:rPr>
          <w:rFonts w:ascii="Calibri" w:cs="Calibri" w:eastAsia="Calibri" w:hAnsi="Calibri"/>
          <w:sz w:val="19"/>
          <w:szCs w:val="19"/>
        </w:rPr>
        <w:t xml:space="preserve">JMDC was bought at ¥5,700/share in 2023 and now trades at ¥3,785.</w:t>
      </w:r>
    </w:p>
    <w:p>
      <w:pPr>
        <w:pStyle w:val="ListParagraph"/>
        <w:numPr>
          <w:ilvl w:val="1"/>
          <w:numId w:val="2"/>
        </w:numPr>
        <w:spacing w:after="50" w:line="252"/>
      </w:pPr>
      <w:r>
        <w:rPr>
          <w:rFonts w:ascii="Calibri" w:cs="Calibri" w:eastAsia="Calibri" w:hAnsi="Calibri"/>
          <w:sz w:val="19"/>
          <w:szCs w:val="19"/>
        </w:rPr>
        <w:t xml:space="preserve">The data segment earns about 0.8% on ¥443bn of assets.</w:t>
      </w:r>
    </w:p>
    <w:p>
      <w:pPr>
        <w:pStyle w:val="ListParagraph"/>
        <w:numPr>
          <w:ilvl w:val="1"/>
          <w:numId w:val="2"/>
        </w:numPr>
        <w:spacing w:after="50" w:line="252"/>
      </w:pPr>
      <w:r>
        <w:rPr>
          <w:rFonts w:ascii="Calibri" w:cs="Calibri" w:eastAsia="Calibri" w:hAnsi="Calibri"/>
          <w:sz w:val="19"/>
          <w:szCs w:val="19"/>
        </w:rPr>
        <w:t xml:space="preserve">Buybacks totalled ¥1.35bn in three years.</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3"/>
        </w:numPr>
        <w:spacing w:after="50" w:line="252"/>
      </w:pPr>
      <w:r>
        <w:rPr>
          <w:rFonts w:ascii="Calibri" w:cs="Calibri" w:eastAsia="Calibri" w:hAnsi="Calibri"/>
          <w:b/>
          <w:bCs/>
          <w:sz w:val="19"/>
          <w:szCs w:val="19"/>
        </w:rPr>
        <w:t xml:space="preserve">Become a pure-play automation company.</w:t>
      </w:r>
      <w:r>
        <w:rPr>
          <w:rFonts w:ascii="Calibri" w:cs="Calibri" w:eastAsia="Calibri" w:hAnsi="Calibri"/>
          <w:sz w:val="19"/>
          <w:szCs w:val="19"/>
        </w:rPr>
        <w:t xml:space="preserve"> Separate Healthcare (¥145bn sales, 10.6% OP margin) and Social Systems (¥153bn, 12.9%) by sale or spin-off. Set a public 15%+ IAB margin target linked to executive pay.</w:t>
      </w:r>
    </w:p>
    <w:p>
      <w:pPr>
        <w:pStyle w:val="ListParagraph"/>
        <w:numPr>
          <w:ilvl w:val="0"/>
          <w:numId w:val="3"/>
        </w:numPr>
        <w:spacing w:after="50" w:line="252"/>
      </w:pPr>
      <w:r>
        <w:rPr>
          <w:rFonts w:ascii="Calibri" w:cs="Calibri" w:eastAsia="Calibri" w:hAnsi="Calibri"/>
          <w:b/>
          <w:bCs/>
          <w:sz w:val="19"/>
          <w:szCs w:val="19"/>
        </w:rPr>
        <w:t xml:space="preserve">Exit JMDC.</w:t>
      </w:r>
      <w:r>
        <w:rPr>
          <w:rFonts w:ascii="Calibri" w:cs="Calibri" w:eastAsia="Calibri" w:hAnsi="Calibri"/>
          <w:sz w:val="19"/>
          <w:szCs w:val="19"/>
        </w:rPr>
        <w:t xml:space="preserve"> The 54% stake is worth about ¥134bn, roughly 12% of Omron's market cap. Sell it to a strategic or PE buyer, ending the parent–subsidiary listing.</w:t>
      </w:r>
    </w:p>
    <w:p>
      <w:pPr>
        <w:pStyle w:val="ListParagraph"/>
        <w:numPr>
          <w:ilvl w:val="0"/>
          <w:numId w:val="3"/>
        </w:numPr>
        <w:spacing w:after="50" w:line="252"/>
      </w:pPr>
      <w:r>
        <w:rPr>
          <w:rFonts w:ascii="Calibri" w:cs="Calibri" w:eastAsia="Calibri" w:hAnsi="Calibri"/>
          <w:b/>
          <w:bCs/>
          <w:sz w:val="19"/>
          <w:szCs w:val="19"/>
        </w:rPr>
        <w:t xml:space="preserve">Return capital.</w:t>
      </w:r>
      <w:r>
        <w:rPr>
          <w:rFonts w:ascii="Calibri" w:cs="Calibri" w:eastAsia="Calibri" w:hAnsi="Calibri"/>
          <w:sz w:val="19"/>
          <w:szCs w:val="19"/>
        </w:rPr>
        <w:t xml:space="preserve"> Commit the DMB and JMDC proceeds to a buyback of at least ¥150bn, and pause bolt-on M&amp;A until group ROIC exceeds the cost of capital.</w:t>
      </w:r>
    </w:p>
    <w:p>
      <w:pPr>
        <w:spacing w:after="100" w:line="264"/>
      </w:pPr>
      <w:r>
        <w:rPr>
          <w:rFonts w:ascii="Calibri" w:cs="Calibri" w:eastAsia="Calibri" w:hAnsi="Calibri"/>
          <w:b/>
          <w:bCs/>
          <w:sz w:val="19"/>
          <w:szCs w:val="19"/>
        </w:rPr>
        <w:t xml:space="preserve">Ease of building support: 4/5.</w:t>
      </w:r>
      <w:r>
        <w:rPr>
          <w:rFonts w:ascii="Calibri" w:cs="Calibri" w:eastAsia="Calibri" w:hAnsi="Calibri"/>
          <w:sz w:val="19"/>
          <w:szCs w:val="19"/>
        </w:rPr>
        <w:t xml:space="preserve"> The register is essentially all institutional, with no strategic anchor above 4%. Japan Activation Capital (3.9%) is a collaborative fund already inside and a natural first call. The size of the gaps (vs peers, sector and TOPIX) makes the case simple to explain to global long-only holders. The main obstacle is momentum: the stock is up 50% in a year on the FA cycle, which reduces urgency.</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"Our 'SF 2nd Stage' roadmap already rebuilds the portfolio: DMB is sold, 39 businesses have been triaged and FY3/27 OP is guided up to ¥80bn. JMDC is strategic healthcare data, and the 2022 tie-up gives JMDC a say over disposals above 5%. OnLogic is growth investment at the start of an FA upcycle, and a 3% DOE is a stable floor. We already work constructively with JAC."</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Portfolio simplification (primary) · Capital allocation · M&amp;A discipline · Margin and overhead</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2. Dentsu Group (4324 JP) — Tier 1</w:t>
      </w:r>
    </w:p>
    <w:p>
      <w:pPr>
        <w:spacing w:after="100" w:line="264"/>
      </w:pPr>
      <w:r>
        <w:rPr>
          <w:rFonts w:ascii="Calibri" w:cs="Calibri" w:eastAsia="Calibri" w:hAnsi="Calibri"/>
          <w:b/>
          <w:bCs/>
          <w:sz w:val="19"/>
          <w:szCs w:val="19"/>
        </w:rPr>
        <w:t xml:space="preserve">Advertising and marketing services · Market cap ¥972bn (US$6.15bn) · Support score 4/5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1"/>
        <w:gridCol w:w="949"/>
        <w:gridCol w:w="949"/>
        <w:gridCol w:w="1107"/>
      </w:tblGrid>
      <w:tr>
        <w:trPr>
          <w:cantSplit/>
          <w:tblHeader/>
        </w:trPr>
        <w:tc>
          <w:tcPr>
            <w:tcW w:type="dxa" w:w="690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9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9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10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90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Dentsu</w:t>
            </w:r>
          </w:p>
        </w:tc>
        <w:tc>
          <w:tcPr>
            <w:tcW w:type="dxa" w:w="9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+19.0%</w:t>
            </w:r>
          </w:p>
        </w:tc>
        <w:tc>
          <w:tcPr>
            <w:tcW w:type="dxa" w:w="9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−11.6%</w:t>
            </w:r>
          </w:p>
        </w:tc>
        <w:tc>
          <w:tcPr>
            <w:tcW w:type="dxa" w:w="110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−2.5%</w:t>
            </w:r>
          </w:p>
        </w:tc>
      </w:tr>
      <w:tr>
        <w:trPr>
          <w:cantSplit/>
        </w:trPr>
        <w:tc>
          <w:tcPr>
            <w:tcW w:type="dxa" w:w="690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(Hakuhodo DY, CyberAgent, Publicis, Omnicom, WPP)</w:t>
            </w:r>
          </w:p>
        </w:tc>
        <w:tc>
          <w:tcPr>
            <w:tcW w:type="dxa" w:w="9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+14.8%</w:t>
            </w:r>
          </w:p>
        </w:tc>
        <w:tc>
          <w:tcPr>
            <w:tcW w:type="dxa" w:w="9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+16.6%</w:t>
            </w:r>
          </w:p>
        </w:tc>
        <w:tc>
          <w:tcPr>
            <w:tcW w:type="dxa" w:w="110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−21.0%</w:t>
            </w:r>
          </w:p>
        </w:tc>
      </w:tr>
      <w:tr>
        <w:trPr>
          <w:cantSplit/>
        </w:trPr>
        <w:tc>
          <w:tcPr>
            <w:tcW w:type="dxa" w:w="690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IT &amp; Services, Others (1626)</w:t>
            </w:r>
          </w:p>
        </w:tc>
        <w:tc>
          <w:tcPr>
            <w:tcW w:type="dxa" w:w="9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+14.1%</w:t>
            </w:r>
          </w:p>
        </w:tc>
        <w:tc>
          <w:tcPr>
            <w:tcW w:type="dxa" w:w="9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+65.4%</w:t>
            </w:r>
          </w:p>
        </w:tc>
        <w:tc>
          <w:tcPr>
            <w:tcW w:type="dxa" w:w="110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+60.7%</w:t>
            </w:r>
          </w:p>
        </w:tc>
      </w:tr>
      <w:tr>
        <w:trPr>
          <w:cantSplit/>
        </w:trPr>
        <w:tc>
          <w:tcPr>
            <w:tcW w:type="dxa" w:w="690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9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9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10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4"/>
        <w:gridCol w:w="958"/>
        <w:gridCol w:w="838"/>
        <w:gridCol w:w="3461"/>
        <w:gridCol w:w="665"/>
        <w:gridCol w:w="718"/>
        <w:gridCol w:w="718"/>
        <w:gridCol w:w="1084"/>
      </w:tblGrid>
      <w:tr>
        <w:trPr>
          <w:cantSplit/>
          <w:tblHeader/>
        </w:trPr>
        <w:tc>
          <w:tcPr>
            <w:tcW w:type="dxa" w:w="146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95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83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346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6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71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71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08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14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Dentsu</w:t>
            </w:r>
          </w:p>
        </w:tc>
        <w:tc>
          <w:tcPr>
            <w:tcW w:type="dxa" w:w="95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0.76x</w:t>
            </w:r>
          </w:p>
        </w:tc>
        <w:tc>
          <w:tcPr>
            <w:tcW w:type="dxa" w:w="83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7.0x</w:t>
            </w:r>
          </w:p>
        </w:tc>
        <w:tc>
          <w:tcPr>
            <w:tcW w:type="dxa" w:w="34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n.m. (LTM loss; 13.6x FY26 guide)</w:t>
            </w:r>
          </w:p>
        </w:tc>
        <w:tc>
          <w:tcPr>
            <w:tcW w:type="dxa" w:w="66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15.4%</w:t>
            </w:r>
          </w:p>
        </w:tc>
        <w:tc>
          <w:tcPr>
            <w:tcW w:type="dxa" w:w="71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10.8%</w:t>
            </w:r>
          </w:p>
        </w:tc>
        <w:tc>
          <w:tcPr>
            <w:tcW w:type="dxa" w:w="71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15.8%</w:t>
            </w:r>
          </w:p>
        </w:tc>
        <w:tc>
          <w:tcPr>
            <w:tcW w:type="dxa" w:w="108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0.36x</w:t>
            </w:r>
          </w:p>
        </w:tc>
      </w:tr>
      <w:tr>
        <w:trPr>
          <w:cantSplit/>
        </w:trPr>
        <w:tc>
          <w:tcPr>
            <w:tcW w:type="dxa" w:w="14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95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0.70x</w:t>
            </w:r>
          </w:p>
        </w:tc>
        <w:tc>
          <w:tcPr>
            <w:tcW w:type="dxa" w:w="83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10.6x</w:t>
            </w:r>
          </w:p>
        </w:tc>
        <w:tc>
          <w:tcPr>
            <w:tcW w:type="dxa" w:w="34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22.8x</w:t>
            </w:r>
          </w:p>
        </w:tc>
        <w:tc>
          <w:tcPr>
            <w:tcW w:type="dxa" w:w="6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11.1%</w:t>
            </w:r>
          </w:p>
        </w:tc>
        <w:tc>
          <w:tcPr>
            <w:tcW w:type="dxa" w:w="7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9.5%</w:t>
            </w:r>
          </w:p>
        </w:tc>
        <w:tc>
          <w:tcPr>
            <w:tcW w:type="dxa" w:w="7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10.3%</w:t>
            </w:r>
          </w:p>
        </w:tc>
        <w:tc>
          <w:tcPr>
            <w:tcW w:type="dxa" w:w="108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1.14x</w:t>
            </w:r>
          </w:p>
        </w:tc>
      </w:tr>
    </w:tbl>
    <w:p>
      <w:pPr>
        <w:spacing w:after="100"/>
      </w:pPr>
    </w:p>
    <w:p>
      <w:pPr>
        <w:spacing w:after="100" w:line="264"/>
      </w:pPr>
      <w:r>
        <w:rPr>
          <w:rFonts w:ascii="Calibri" w:cs="Calibri" w:eastAsia="Calibri" w:hAnsi="Calibri"/>
          <w:b/>
          <w:bCs/>
          <w:sz w:val="19"/>
          <w:szCs w:val="19"/>
        </w:rPr>
        <w:t xml:space="preserve">Top 5 shareholders (2026):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53"/>
        <w:gridCol w:w="878"/>
        <w:gridCol w:w="3175"/>
      </w:tblGrid>
      <w:tr>
        <w:trPr>
          <w:cantSplit/>
          <w:tblHeader/>
        </w:trPr>
        <w:tc>
          <w:tcPr>
            <w:tcW w:type="dxa" w:w="585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8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317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Type</w:t>
            </w:r>
          </w:p>
        </w:tc>
      </w:tr>
      <w:tr>
        <w:trPr>
          <w:cantSplit/>
        </w:trPr>
        <w:tc>
          <w:tcPr>
            <w:tcW w:type="dxa" w:w="585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 (trust a/c)</w:t>
            </w:r>
          </w:p>
        </w:tc>
        <w:tc>
          <w:tcPr>
            <w:tcW w:type="dxa" w:w="8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11.57%</w:t>
            </w:r>
          </w:p>
        </w:tc>
        <w:tc>
          <w:tcPr>
            <w:tcW w:type="dxa" w:w="317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585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Kyodo News</w:t>
            </w:r>
          </w:p>
        </w:tc>
        <w:tc>
          <w:tcPr>
            <w:tcW w:type="dxa" w:w="87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7.29%</w:t>
            </w:r>
          </w:p>
        </w:tc>
        <w:tc>
          <w:tcPr>
            <w:tcW w:type="dxa" w:w="317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Legacy founding news agency</w:t>
            </w:r>
          </w:p>
        </w:tc>
      </w:tr>
      <w:tr>
        <w:trPr>
          <w:cantSplit/>
        </w:trPr>
        <w:tc>
          <w:tcPr>
            <w:tcW w:type="dxa" w:w="585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Jiji Press</w:t>
            </w:r>
          </w:p>
        </w:tc>
        <w:tc>
          <w:tcPr>
            <w:tcW w:type="dxa" w:w="8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6.08%</w:t>
            </w:r>
          </w:p>
        </w:tc>
        <w:tc>
          <w:tcPr>
            <w:tcW w:type="dxa" w:w="317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Legacy founding news agency</w:t>
            </w:r>
          </w:p>
        </w:tc>
      </w:tr>
      <w:tr>
        <w:trPr>
          <w:cantSplit/>
        </w:trPr>
        <w:tc>
          <w:tcPr>
            <w:tcW w:type="dxa" w:w="585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Silchester International Investors (via Northern Trust)</w:t>
            </w:r>
          </w:p>
        </w:tc>
        <w:tc>
          <w:tcPr>
            <w:tcW w:type="dxa" w:w="87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4.18%</w:t>
            </w:r>
          </w:p>
        </w:tc>
        <w:tc>
          <w:tcPr>
            <w:tcW w:type="dxa" w:w="317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Value investor</w:t>
            </w:r>
          </w:p>
        </w:tc>
      </w:tr>
      <w:tr>
        <w:trPr>
          <w:cantSplit/>
        </w:trPr>
        <w:tc>
          <w:tcPr>
            <w:tcW w:type="dxa" w:w="585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 Bank of Japan</w:t>
            </w:r>
          </w:p>
        </w:tc>
        <w:tc>
          <w:tcPr>
            <w:tcW w:type="dxa" w:w="8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3.45%</w:t>
            </w:r>
          </w:p>
        </w:tc>
        <w:tc>
          <w:tcPr>
            <w:tcW w:type="dxa" w:w="317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bl>
    <w:p>
      <w:pPr>
        <w:spacing w:after="100"/>
      </w:pPr>
    </w:p>
    <w:p>
      <w:pPr>
        <w:spacing w:after="100" w:line="264"/>
      </w:pPr>
      <w:r>
        <w:rPr>
          <w:rFonts w:ascii="Calibri" w:cs="Calibri" w:eastAsia="Calibri" w:hAnsi="Calibri"/>
          <w:sz w:val="19"/>
          <w:szCs w:val="19"/>
        </w:rPr>
        <w:t xml:space="preserve">There is no controlling group.</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Two businesses, one valuation.</w:t>
      </w:r>
    </w:p>
    <w:p>
      <w:pPr>
        <w:pStyle w:val="ListParagraph"/>
        <w:numPr>
          <w:ilvl w:val="1"/>
          <w:numId w:val="2"/>
        </w:numPr>
        <w:spacing w:after="50" w:line="252"/>
      </w:pPr>
      <w:r>
        <w:rPr>
          <w:rFonts w:ascii="Calibri" w:cs="Calibri" w:eastAsia="Calibri" w:hAnsi="Calibri"/>
          <w:sz w:val="19"/>
          <w:szCs w:val="19"/>
        </w:rPr>
        <w:t xml:space="preserve">dentsu Japan grows about 6% organically at a 24% underlying margin.</w:t>
      </w:r>
    </w:p>
    <w:p>
      <w:pPr>
        <w:pStyle w:val="ListParagraph"/>
        <w:numPr>
          <w:ilvl w:val="1"/>
          <w:numId w:val="2"/>
        </w:numPr>
        <w:spacing w:after="50" w:line="252"/>
      </w:pPr>
      <w:r>
        <w:rPr>
          <w:rFonts w:ascii="Calibri" w:cs="Calibri" w:eastAsia="Calibri" w:hAnsi="Calibri"/>
          <w:sz w:val="19"/>
          <w:szCs w:val="19"/>
        </w:rPr>
        <w:t xml:space="preserve">International earns about 7%. It has destroyed ¥638bn of goodwill in two years (impairments of ¥235bn in FY24 and ¥403bn in FY25).</w:t>
      </w:r>
    </w:p>
    <w:p>
      <w:pPr>
        <w:pStyle w:val="ListParagraph"/>
        <w:numPr>
          <w:ilvl w:val="1"/>
          <w:numId w:val="2"/>
        </w:numPr>
        <w:spacing w:after="50" w:line="252"/>
      </w:pPr>
      <w:r>
        <w:rPr>
          <w:rFonts w:ascii="Calibri" w:cs="Calibri" w:eastAsia="Calibri" w:hAnsi="Calibri"/>
          <w:sz w:val="19"/>
          <w:szCs w:val="19"/>
        </w:rPr>
        <w:t xml:space="preserve">Net losses were ¥11bn, ¥192bn and ¥328bn in FY23–25.</w:t>
      </w:r>
    </w:p>
    <w:p>
      <w:pPr>
        <w:pStyle w:val="ListParagraph"/>
        <w:numPr>
          <w:ilvl w:val="0"/>
          <w:numId w:val="2"/>
        </w:numPr>
        <w:spacing w:after="50" w:line="252"/>
      </w:pPr>
      <w:r>
        <w:rPr>
          <w:rFonts w:ascii="Calibri" w:cs="Calibri" w:eastAsia="Calibri" w:hAnsi="Calibri"/>
          <w:b/>
          <w:bCs/>
          <w:sz w:val="19"/>
          <w:szCs w:val="19"/>
        </w:rPr>
        <w:t xml:space="preserve">A cash generator that cannot pay a dividend.</w:t>
      </w:r>
    </w:p>
    <w:p>
      <w:pPr>
        <w:pStyle w:val="ListParagraph"/>
        <w:numPr>
          <w:ilvl w:val="1"/>
          <w:numId w:val="2"/>
        </w:numPr>
        <w:spacing w:after="50" w:line="252"/>
      </w:pPr>
      <w:r>
        <w:rPr>
          <w:rFonts w:ascii="Calibri" w:cs="Calibri" w:eastAsia="Calibri" w:hAnsi="Calibri"/>
          <w:sz w:val="19"/>
          <w:szCs w:val="19"/>
        </w:rPr>
        <w:t xml:space="preserve">The stock trades at 7x EV/EBIT with a 15% FCF yield.</w:t>
      </w:r>
    </w:p>
    <w:p>
      <w:pPr>
        <w:pStyle w:val="ListParagraph"/>
        <w:numPr>
          <w:ilvl w:val="1"/>
          <w:numId w:val="2"/>
        </w:numPr>
        <w:spacing w:after="50" w:line="252"/>
      </w:pPr>
      <w:r>
        <w:rPr>
          <w:rFonts w:ascii="Calibri" w:cs="Calibri" w:eastAsia="Calibri" w:hAnsi="Calibri"/>
          <w:sz w:val="19"/>
          <w:szCs w:val="19"/>
        </w:rPr>
        <w:t xml:space="preserve">Parent distributable reserves are −¥234bn, so there was no dividend for FY25 and none planned for FY26.</w:t>
      </w:r>
    </w:p>
    <w:p>
      <w:pPr>
        <w:pStyle w:val="ListParagraph"/>
        <w:numPr>
          <w:ilvl w:val="0"/>
          <w:numId w:val="2"/>
        </w:numPr>
        <w:spacing w:after="50" w:line="252"/>
      </w:pPr>
      <w:r>
        <w:rPr>
          <w:rFonts w:ascii="Calibri" w:cs="Calibri" w:eastAsia="Calibri" w:hAnsi="Calibri"/>
          <w:b/>
          <w:bCs/>
          <w:sz w:val="19"/>
          <w:szCs w:val="19"/>
        </w:rPr>
        <w:t xml:space="preserve">The exit failed.</w:t>
      </w:r>
      <w:r>
        <w:rPr>
          <w:rFonts w:ascii="Calibri" w:cs="Calibri" w:eastAsia="Calibri" w:hAnsi="Calibri"/>
          <w:sz w:val="19"/>
          <w:szCs w:val="19"/>
        </w:rPr>
        <w:t xml:space="preserve"> The international sale process collapsed in Feb-2026 when bidders walked away. 3-year TSR trails peers by 28pp and TOPIX by 90pp.</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4"/>
        </w:numPr>
        <w:spacing w:after="50" w:line="252"/>
      </w:pPr>
      <w:r>
        <w:rPr>
          <w:rFonts w:ascii="Calibri" w:cs="Calibri" w:eastAsia="Calibri" w:hAnsi="Calibri"/>
          <w:b/>
          <w:bCs/>
          <w:sz w:val="19"/>
          <w:szCs w:val="19"/>
        </w:rPr>
        <w:t xml:space="preserve">Exit International market by market</w:t>
      </w:r>
      <w:r>
        <w:rPr>
          <w:rFonts w:ascii="Calibri" w:cs="Calibri" w:eastAsia="Calibri" w:hAnsi="Calibri"/>
          <w:sz w:val="19"/>
          <w:szCs w:val="19"/>
        </w:rPr>
        <w:t xml:space="preserve"> (regional sales, mergers, local MBOs), with a hard deadline and no new capital for loss-making markets. Value the Japan business on its own.</w:t>
      </w:r>
    </w:p>
    <w:p>
      <w:pPr>
        <w:pStyle w:val="ListParagraph"/>
        <w:numPr>
          <w:ilvl w:val="0"/>
          <w:numId w:val="4"/>
        </w:numPr>
        <w:spacing w:after="50" w:line="252"/>
      </w:pPr>
      <w:r>
        <w:rPr>
          <w:rFonts w:ascii="Calibri" w:cs="Calibri" w:eastAsia="Calibri" w:hAnsi="Calibri"/>
          <w:b/>
          <w:bCs/>
          <w:sz w:val="19"/>
          <w:szCs w:val="19"/>
        </w:rPr>
        <w:t xml:space="preserve">Sell non-operating assets to rebuild distributable reserves.</w:t>
      </w:r>
      <w:r>
        <w:rPr>
          <w:rFonts w:ascii="Calibri" w:cs="Calibri" w:eastAsia="Calibri" w:hAnsi="Calibri"/>
          <w:sz w:val="19"/>
          <w:szCs w:val="19"/>
        </w:rPr>
        <w:t xml:space="preserve"> These include ¥76bn of strategic shareholdings, the stake in listed group company Dentsu Soken (¥559bn market cap; stake to be verified) and the GO Inc. stake. Commit to a payout of at least 50% once reserves are positive.</w:t>
      </w:r>
    </w:p>
    <w:p>
      <w:pPr>
        <w:pStyle w:val="ListParagraph"/>
        <w:numPr>
          <w:ilvl w:val="0"/>
          <w:numId w:val="4"/>
        </w:numPr>
        <w:spacing w:after="50" w:line="252"/>
      </w:pPr>
      <w:r>
        <w:rPr>
          <w:rFonts w:ascii="Calibri" w:cs="Calibri" w:eastAsia="Calibri" w:hAnsi="Calibri"/>
          <w:b/>
          <w:bCs/>
          <w:sz w:val="19"/>
          <w:szCs w:val="19"/>
        </w:rPr>
        <w:t xml:space="preserve">Set up a board-level strategic review committee of independent directors.</w:t>
      </w:r>
      <w:r>
        <w:rPr>
          <w:rFonts w:ascii="Calibri" w:cs="Calibri" w:eastAsia="Calibri" w:hAnsi="Calibri"/>
          <w:sz w:val="19"/>
          <w:szCs w:val="19"/>
        </w:rPr>
        <w:t xml:space="preserve"> Accelerate the 30% HQ cost cut and tie pay to Japan EBIT and FCF per share.</w:t>
      </w:r>
    </w:p>
    <w:p>
      <w:pPr>
        <w:spacing w:after="100" w:line="264"/>
      </w:pPr>
      <w:r>
        <w:rPr>
          <w:rFonts w:ascii="Calibri" w:cs="Calibri" w:eastAsia="Calibri" w:hAnsi="Calibri"/>
          <w:b/>
          <w:bCs/>
          <w:sz w:val="19"/>
          <w:szCs w:val="19"/>
        </w:rPr>
        <w:t xml:space="preserve">Ease of building support: 4/5.</w:t>
      </w:r>
      <w:r>
        <w:rPr>
          <w:rFonts w:ascii="Calibri" w:cs="Calibri" w:eastAsia="Calibri" w:hAnsi="Calibri"/>
          <w:sz w:val="19"/>
          <w:szCs w:val="19"/>
        </w:rPr>
        <w:t xml:space="preserve"> No controlling holder. The legacy news-agency bloc (Kyodo plus Jiji, 13.4%) is passive. Silchester is a patient value investor likely to back a clean-up. Institutions have already shown they will vote against: the former CEO received only 65.6% approval in 2023. The new CEO (86.9% in 2026) will ask for time.</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"Restoring competitiveness is under way: a new CEO, about ¥50bn of savings by 2027, and entities halved. Paying a dividend is legally impossible until distributable reserves turn positive. The sale process tested the market and no buyer met our value, and local partnerships remain open. Japan grows 6% at 24% margins, so a break-up is not needed."</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Portfolio simplification · Capital allocation · M&amp;A discipline (write-downs) · Governance</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3. NAVER Corporation (035420 KS) — Tier 1</w:t>
      </w:r>
    </w:p>
    <w:p>
      <w:pPr>
        <w:spacing w:after="100" w:line="264"/>
      </w:pPr>
      <w:r>
        <w:rPr>
          <w:rFonts w:ascii="Calibri" w:cs="Calibri" w:eastAsia="Calibri" w:hAnsi="Calibri"/>
          <w:b/>
          <w:bCs/>
          <w:sz w:val="19"/>
          <w:szCs w:val="19"/>
        </w:rPr>
        <w:t xml:space="preserve">Search, commerce, fintech, webtoon, cloud and AI · Market cap ₩26.0tn (US$18.5bn) · Support score 3/5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14"/>
        <w:gridCol w:w="1108"/>
        <w:gridCol w:w="1292"/>
        <w:gridCol w:w="1292"/>
      </w:tblGrid>
      <w:tr>
        <w:trPr>
          <w:cantSplit/>
          <w:tblHeader/>
        </w:trPr>
        <w:tc>
          <w:tcPr>
            <w:tcW w:type="dxa" w:w="62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110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29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29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21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NAVER</w:t>
            </w:r>
          </w:p>
        </w:tc>
        <w:tc>
          <w:tcPr>
            <w:tcW w:type="dxa" w:w="110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−29.6%</w:t>
            </w:r>
          </w:p>
        </w:tc>
        <w:tc>
          <w:tcPr>
            <w:tcW w:type="dxa" w:w="12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−4.1%</w:t>
            </w:r>
          </w:p>
        </w:tc>
        <w:tc>
          <w:tcPr>
            <w:tcW w:type="dxa" w:w="12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−52.9%</w:t>
            </w:r>
          </w:p>
        </w:tc>
      </w:tr>
      <w:tr>
        <w:trPr>
          <w:cantSplit/>
        </w:trPr>
        <w:tc>
          <w:tcPr>
            <w:tcW w:type="dxa" w:w="62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(Kakao, LY Corp, Alphabet, Coupang)</w:t>
            </w:r>
          </w:p>
        </w:tc>
        <w:tc>
          <w:tcPr>
            <w:tcW w:type="dxa" w:w="110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−14.3%</w:t>
            </w:r>
          </w:p>
        </w:tc>
        <w:tc>
          <w:tcPr>
            <w:tcW w:type="dxa" w:w="129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+7.3%</w:t>
            </w:r>
          </w:p>
        </w:tc>
        <w:tc>
          <w:tcPr>
            <w:tcW w:type="dxa" w:w="129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−34.0%</w:t>
            </w:r>
          </w:p>
        </w:tc>
      </w:tr>
      <w:tr>
        <w:trPr>
          <w:cantSplit/>
        </w:trPr>
        <w:tc>
          <w:tcPr>
            <w:tcW w:type="dxa" w:w="621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KOSPI 200</w:t>
            </w:r>
          </w:p>
        </w:tc>
        <w:tc>
          <w:tcPr>
            <w:tcW w:type="dxa" w:w="110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+85.0%</w:t>
            </w:r>
          </w:p>
        </w:tc>
        <w:tc>
          <w:tcPr>
            <w:tcW w:type="dxa" w:w="12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+189.3%</w:t>
            </w:r>
          </w:p>
        </w:tc>
        <w:tc>
          <w:tcPr>
            <w:tcW w:type="dxa" w:w="12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+140.5%</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1348"/>
        <w:gridCol w:w="1180"/>
        <w:gridCol w:w="936"/>
        <w:gridCol w:w="843"/>
        <w:gridCol w:w="1011"/>
        <w:gridCol w:w="1011"/>
        <w:gridCol w:w="1517"/>
      </w:tblGrid>
      <w:tr>
        <w:trPr>
          <w:cantSplit/>
          <w:tblHeader/>
        </w:trPr>
        <w:tc>
          <w:tcPr>
            <w:tcW w:type="dxa" w:w="2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134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11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84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51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20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NAVER</w:t>
            </w:r>
          </w:p>
        </w:tc>
        <w:tc>
          <w:tcPr>
            <w:tcW w:type="dxa" w:w="134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1.86x</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10.8x</w:t>
            </w:r>
          </w:p>
        </w:tc>
        <w:tc>
          <w:tcPr>
            <w:tcW w:type="dxa" w:w="9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12.9x</w:t>
            </w:r>
          </w:p>
        </w:tc>
        <w:tc>
          <w:tcPr>
            <w:tcW w:type="dxa" w:w="8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5.6%</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17.3%</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23.3%</w:t>
            </w:r>
          </w:p>
        </w:tc>
        <w:tc>
          <w:tcPr>
            <w:tcW w:type="dxa" w:w="15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−1.1x</w:t>
            </w:r>
          </w:p>
        </w:tc>
      </w:tr>
      <w:tr>
        <w:trPr>
          <w:cantSplit/>
        </w:trPr>
        <w:tc>
          <w:tcPr>
            <w:tcW w:type="dxa" w:w="206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134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1.64x</w:t>
            </w:r>
          </w:p>
        </w:tc>
        <w:tc>
          <w:tcPr>
            <w:tcW w:type="dxa" w:w="11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17.8x</w:t>
            </w:r>
          </w:p>
        </w:tc>
        <w:tc>
          <w:tcPr>
            <w:tcW w:type="dxa" w:w="9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17.7x</w:t>
            </w:r>
          </w:p>
        </w:tc>
        <w:tc>
          <w:tcPr>
            <w:tcW w:type="dxa" w:w="8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12.3%</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21.5%</w:t>
            </w:r>
          </w:p>
        </w:tc>
        <w:tc>
          <w:tcPr>
            <w:tcW w:type="dxa" w:w="15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−0.7x</w:t>
            </w:r>
          </w:p>
        </w:tc>
      </w:tr>
    </w:tbl>
    <w:p>
      <w:pPr>
        <w:spacing w:after="100"/>
      </w:pPr>
    </w:p>
    <w:p>
      <w:pPr>
        <w:spacing w:after="100" w:line="264"/>
      </w:pPr>
      <w:r>
        <w:rPr>
          <w:rFonts w:ascii="Calibri" w:cs="Calibri" w:eastAsia="Calibri" w:hAnsi="Calibri"/>
          <w:b/>
          <w:bCs/>
          <w:sz w:val="19"/>
          <w:szCs w:val="19"/>
        </w:rPr>
        <w:t xml:space="preserve">Top shareholders: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96"/>
        <w:gridCol w:w="1753"/>
        <w:gridCol w:w="4857"/>
      </w:tblGrid>
      <w:tr>
        <w:trPr>
          <w:cantSplit/>
          <w:tblHeader/>
        </w:trPr>
        <w:tc>
          <w:tcPr>
            <w:tcW w:type="dxa" w:w="329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75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48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Notes</w:t>
            </w:r>
          </w:p>
        </w:tc>
      </w:tr>
      <w:tr>
        <w:trPr>
          <w:cantSplit/>
        </w:trPr>
        <w:tc>
          <w:tcPr>
            <w:tcW w:type="dxa" w:w="329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National Pension Service</w:t>
            </w:r>
          </w:p>
        </w:tc>
        <w:tc>
          <w:tcPr>
            <w:tcW w:type="dxa" w:w="175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9.25%</w:t>
            </w:r>
          </w:p>
        </w:tc>
        <w:tc>
          <w:tcPr>
            <w:tcW w:type="dxa" w:w="48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8.8% pro forma after the NVIDIA issue</w:t>
            </w:r>
          </w:p>
        </w:tc>
      </w:tr>
      <w:tr>
        <w:trPr>
          <w:cantSplit/>
        </w:trPr>
        <w:tc>
          <w:tcPr>
            <w:tcW w:type="dxa" w:w="329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BlackRock</w:t>
            </w:r>
          </w:p>
        </w:tc>
        <w:tc>
          <w:tcPr>
            <w:tcW w:type="dxa" w:w="175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about 6.0%</w:t>
            </w:r>
          </w:p>
        </w:tc>
        <w:tc>
          <w:tcPr>
            <w:tcW w:type="dxa" w:w="48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Pro forma</w:t>
            </w:r>
          </w:p>
        </w:tc>
      </w:tr>
      <w:tr>
        <w:trPr>
          <w:cantSplit/>
        </w:trPr>
        <w:tc>
          <w:tcPr>
            <w:tcW w:type="dxa" w:w="329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NVIDIA</w:t>
            </w:r>
          </w:p>
        </w:tc>
        <w:tc>
          <w:tcPr>
            <w:tcW w:type="dxa" w:w="175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4.5%</w:t>
            </w:r>
          </w:p>
        </w:tc>
        <w:tc>
          <w:tcPr>
            <w:tcW w:type="dxa" w:w="48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New shares; payment due 30-Oct-2026</w:t>
            </w:r>
          </w:p>
        </w:tc>
      </w:tr>
      <w:tr>
        <w:trPr>
          <w:cantSplit/>
        </w:trPr>
        <w:tc>
          <w:tcPr>
            <w:tcW w:type="dxa" w:w="329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Founder Lee Hae-jin</w:t>
            </w:r>
          </w:p>
        </w:tc>
        <w:tc>
          <w:tcPr>
            <w:tcW w:type="dxa" w:w="175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3.8%</w:t>
            </w:r>
          </w:p>
        </w:tc>
        <w:tc>
          <w:tcPr>
            <w:tcW w:type="dxa" w:w="48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Board chair</w:t>
            </w:r>
          </w:p>
        </w:tc>
      </w:tr>
      <w:tr>
        <w:trPr>
          <w:cantSplit/>
        </w:trPr>
        <w:tc>
          <w:tcPr>
            <w:tcW w:type="dxa" w:w="329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5th holder</w:t>
            </w:r>
          </w:p>
        </w:tc>
        <w:tc>
          <w:tcPr>
            <w:tcW w:type="dxa" w:w="175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n/a</w:t>
            </w:r>
          </w:p>
        </w:tc>
        <w:tc>
          <w:tcPr>
            <w:tcW w:type="dxa" w:w="48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bl>
    <w:p>
      <w:pPr>
        <w:spacing w:after="100"/>
      </w:pPr>
    </w:p>
    <w:p>
      <w:pPr>
        <w:spacing w:after="100" w:line="264"/>
      </w:pPr>
      <w:r>
        <w:rPr>
          <w:rFonts w:ascii="Calibri" w:cs="Calibri" w:eastAsia="Calibri" w:hAnsi="Calibri"/>
          <w:sz w:val="19"/>
          <w:szCs w:val="19"/>
        </w:rPr>
        <w:t xml:space="preserve">There is no controlling group. Treasury is about 2% after the Aug-2026 retirement.</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Earnings up, stock down.</w:t>
      </w:r>
      <w:r>
        <w:rPr>
          <w:rFonts w:ascii="Calibri" w:cs="Calibri" w:eastAsia="Calibri" w:hAnsi="Calibri"/>
          <w:sz w:val="19"/>
          <w:szCs w:val="19"/>
        </w:rPr>
        <w:t xml:space="preserve"> From FY21 to FY25 revenue rose from ₩6.8tn to ₩12.0tn and OP from ₩1.33tn to ₩2.21tn, but the shares fell 54%. They now trade at 0.88x book and 10.8x EV/EBIT, about 190pp behind KOSPI 200 over both 3 and 5 years.</w:t>
      </w:r>
    </w:p>
    <w:p>
      <w:pPr>
        <w:pStyle w:val="ListParagraph"/>
        <w:numPr>
          <w:ilvl w:val="0"/>
          <w:numId w:val="2"/>
        </w:numPr>
        <w:spacing w:after="50" w:line="252"/>
      </w:pPr>
      <w:r>
        <w:rPr>
          <w:rFonts w:ascii="Calibri" w:cs="Calibri" w:eastAsia="Calibri" w:hAnsi="Calibri"/>
          <w:b/>
          <w:bCs/>
          <w:sz w:val="19"/>
          <w:szCs w:val="19"/>
        </w:rPr>
        <w:t xml:space="preserve">A holding-company discount hides the core.</w:t>
      </w:r>
      <w:r>
        <w:rPr>
          <w:rFonts w:ascii="Calibri" w:cs="Calibri" w:eastAsia="Calibri" w:hAnsi="Calibri"/>
          <w:sz w:val="19"/>
          <w:szCs w:val="19"/>
        </w:rPr>
        <w:t xml:space="preserve"> The 50% A Holdings (LY Corp) stake is carried at ₩15.0tn, 58% of market cap. Add 61% of WEBTOON (about ₩1.1tn) and ₩3.4tn of net cash, and the market is paying very little for Korea's dominant search and commerce franchise.</w:t>
      </w:r>
    </w:p>
    <w:p>
      <w:pPr>
        <w:pStyle w:val="ListParagraph"/>
        <w:numPr>
          <w:ilvl w:val="0"/>
          <w:numId w:val="2"/>
        </w:numPr>
        <w:spacing w:after="50" w:line="252"/>
      </w:pPr>
      <w:r>
        <w:rPr>
          <w:rFonts w:ascii="Calibri" w:cs="Calibri" w:eastAsia="Calibri" w:hAnsi="Calibri"/>
          <w:b/>
          <w:bCs/>
          <w:sz w:val="19"/>
          <w:szCs w:val="19"/>
        </w:rPr>
        <w:t xml:space="preserve">Capital allocation is the problem.</w:t>
      </w:r>
    </w:p>
    <w:p>
      <w:pPr>
        <w:pStyle w:val="ListParagraph"/>
        <w:numPr>
          <w:ilvl w:val="1"/>
          <w:numId w:val="2"/>
        </w:numPr>
        <w:spacing w:after="50" w:line="252"/>
      </w:pPr>
      <w:r>
        <w:rPr>
          <w:rFonts w:ascii="Calibri" w:cs="Calibri" w:eastAsia="Calibri" w:hAnsi="Calibri"/>
          <w:sz w:val="19"/>
          <w:szCs w:val="19"/>
        </w:rPr>
        <w:t xml:space="preserve">Write-downs on Poshmark, Wattpad and Munpia (₩138bn impairment in FY24).</w:t>
      </w:r>
    </w:p>
    <w:p>
      <w:pPr>
        <w:pStyle w:val="ListParagraph"/>
        <w:numPr>
          <w:ilvl w:val="1"/>
          <w:numId w:val="2"/>
        </w:numPr>
        <w:spacing w:after="50" w:line="252"/>
      </w:pPr>
      <w:r>
        <w:rPr>
          <w:rFonts w:ascii="Calibri" w:cs="Calibri" w:eastAsia="Calibri" w:hAnsi="Calibri"/>
          <w:sz w:val="19"/>
          <w:szCs w:val="19"/>
        </w:rPr>
        <w:t xml:space="preserve">AI capex at 13% of revenue, which cut Q2-26 FCF to ₩46bn.</w:t>
      </w:r>
    </w:p>
    <w:p>
      <w:pPr>
        <w:pStyle w:val="ListParagraph"/>
        <w:numPr>
          <w:ilvl w:val="1"/>
          <w:numId w:val="2"/>
        </w:numPr>
        <w:spacing w:after="50" w:line="252"/>
      </w:pPr>
      <w:r>
        <w:rPr>
          <w:rFonts w:ascii="Calibri" w:cs="Calibri" w:eastAsia="Calibri" w:hAnsi="Calibri"/>
          <w:sz w:val="19"/>
          <w:szCs w:val="19"/>
        </w:rPr>
        <w:t xml:space="preserve">The NAVER Financial–Dunamu share exchange keeps control but cuts NAVER's economic interest in its fintech arm from 89% to about 17%.</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5"/>
        </w:numPr>
        <w:spacing w:after="50" w:line="252"/>
      </w:pPr>
      <w:r>
        <w:rPr>
          <w:rFonts w:ascii="Calibri" w:cs="Calibri" w:eastAsia="Calibri" w:hAnsi="Calibri"/>
          <w:b/>
          <w:bCs/>
          <w:sz w:val="19"/>
          <w:szCs w:val="19"/>
        </w:rPr>
        <w:t xml:space="preserve">Re-price or re-structure the Dunamu exchange.</w:t>
      </w:r>
      <w:r>
        <w:rPr>
          <w:rFonts w:ascii="Calibri" w:cs="Calibri" w:eastAsia="Calibri" w:hAnsi="Calibri"/>
          <w:sz w:val="19"/>
          <w:szCs w:val="19"/>
        </w:rPr>
        <w:t xml:space="preserve"> Require an independent fairness opinion and majority-of-minority approval at the EGM now set for 26-Feb-2027. Appraisal claims of ₩1.2tn or more allow termination, which is a usable lever.</w:t>
      </w:r>
    </w:p>
    <w:p>
      <w:pPr>
        <w:pStyle w:val="ListParagraph"/>
        <w:numPr>
          <w:ilvl w:val="0"/>
          <w:numId w:val="5"/>
        </w:numPr>
        <w:spacing w:after="50" w:line="252"/>
      </w:pPr>
      <w:r>
        <w:rPr>
          <w:rFonts w:ascii="Calibri" w:cs="Calibri" w:eastAsia="Calibri" w:hAnsi="Calibri"/>
          <w:b/>
          <w:bCs/>
          <w:sz w:val="19"/>
          <w:szCs w:val="19"/>
        </w:rPr>
        <w:t xml:space="preserve">Ring-fence AI infrastructure.</w:t>
      </w:r>
      <w:r>
        <w:rPr>
          <w:rFonts w:ascii="Calibri" w:cs="Calibri" w:eastAsia="Calibri" w:hAnsi="Calibri"/>
          <w:sz w:val="19"/>
          <w:szCs w:val="19"/>
        </w:rPr>
        <w:t xml:space="preserve"> Fund the 200MW "AI factory" off balance sheet with partner capital (NVIDIA/Brookfield structures already exist). Publish ROIC hurdles and a group capex cap.</w:t>
      </w:r>
    </w:p>
    <w:p>
      <w:pPr>
        <w:pStyle w:val="ListParagraph"/>
        <w:numPr>
          <w:ilvl w:val="0"/>
          <w:numId w:val="5"/>
        </w:numPr>
        <w:spacing w:after="50" w:line="252"/>
      </w:pPr>
      <w:r>
        <w:rPr>
          <w:rFonts w:ascii="Calibri" w:cs="Calibri" w:eastAsia="Calibri" w:hAnsi="Calibri"/>
          <w:b/>
          <w:bCs/>
          <w:sz w:val="19"/>
          <w:szCs w:val="19"/>
        </w:rPr>
        <w:t xml:space="preserve">Monetise the investment book.</w:t>
      </w:r>
      <w:r>
        <w:rPr>
          <w:rFonts w:ascii="Calibri" w:cs="Calibri" w:eastAsia="Calibri" w:hAnsi="Calibri"/>
          <w:sz w:val="19"/>
          <w:szCs w:val="19"/>
        </w:rPr>
        <w:t xml:space="preserve"> Sell Poshmark and the tail of minority stakes, consider partial monetisation of the A Holdings/LY position, and raise returns to at least 50% of FCF through cancelled buybacks.</w:t>
      </w:r>
    </w:p>
    <w:p>
      <w:pPr>
        <w:spacing w:after="100" w:line="264"/>
      </w:pPr>
      <w:r>
        <w:rPr>
          <w:rFonts w:ascii="Calibri" w:cs="Calibri" w:eastAsia="Calibri" w:hAnsi="Calibri"/>
          <w:b/>
          <w:bCs/>
          <w:sz w:val="19"/>
          <w:szCs w:val="19"/>
        </w:rPr>
        <w:t xml:space="preserve">Ease of building support: 3/5.</w:t>
      </w:r>
      <w:r>
        <w:rPr>
          <w:rFonts w:ascii="Calibri" w:cs="Calibri" w:eastAsia="Calibri" w:hAnsi="Calibri"/>
          <w:sz w:val="19"/>
          <w:szCs w:val="19"/>
        </w:rPr>
        <w:t xml:space="preserve"> There is no controlling shareholder, NPS and foreign institutions dominate, and cumulative voting is now mandatory for companies with assets above ₩2tn, so a minority board seat is realistic. Against that, the founder chairs the board despite a 3.8% stake, NVIDIA's new 4.5% will side with management, and the Korean retail base is large and fragmented.</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"AI and data-centre capacity is existential (sovereign and 'actionable' AI), and returns are already linked to 25–35% of FCF. We have retired 12m shares since 2023. NVIDIA paid a premium to market, which validates the strategy. Dunamu creates a ₩20tn fintech champion under NAVER control. The board has an independent majority."</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Capital allocation · Minority protection / governance · M&amp;A discipline · Portfolio (holding-company discount)</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4. Yamaha Corporation (7951 JP) — Tier 1</w:t>
      </w:r>
    </w:p>
    <w:p>
      <w:pPr>
        <w:spacing w:after="100" w:line="264"/>
      </w:pPr>
      <w:r>
        <w:rPr>
          <w:rFonts w:ascii="Calibri" w:cs="Calibri" w:eastAsia="Calibri" w:hAnsi="Calibri"/>
          <w:b/>
          <w:bCs/>
          <w:sz w:val="19"/>
          <w:szCs w:val="19"/>
        </w:rPr>
        <w:t xml:space="preserve">Musical instruments and audio equipment · Market cap ¥535bn (US$3.4bn) · Support score 4/5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41"/>
        <w:gridCol w:w="1188"/>
        <w:gridCol w:w="1188"/>
        <w:gridCol w:w="1389"/>
      </w:tblGrid>
      <w:tr>
        <w:trPr>
          <w:cantSplit/>
          <w:tblHeader/>
        </w:trPr>
        <w:tc>
          <w:tcPr>
            <w:tcW w:type="dxa" w:w="61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118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18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38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Yamaha</w:t>
            </w:r>
          </w:p>
        </w:tc>
        <w:tc>
          <w:tcPr>
            <w:tcW w:type="dxa" w:w="11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+25.7%</w:t>
            </w:r>
          </w:p>
        </w:tc>
        <w:tc>
          <w:tcPr>
            <w:tcW w:type="dxa" w:w="11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−6.1%</w:t>
            </w:r>
          </w:p>
        </w:tc>
        <w:tc>
          <w:tcPr>
            <w:tcW w:type="dxa" w:w="138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−45.2%</w:t>
            </w:r>
          </w:p>
        </w:tc>
      </w:tr>
      <w:tr>
        <w:trPr>
          <w:cantSplit/>
        </w:trPr>
        <w:tc>
          <w:tcPr>
            <w:tcW w:type="dxa" w:w="614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(Roland, Kawai, Casio, Sony)</w:t>
            </w:r>
          </w:p>
        </w:tc>
        <w:tc>
          <w:tcPr>
            <w:tcW w:type="dxa" w:w="118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+26.5%</w:t>
            </w:r>
          </w:p>
        </w:tc>
        <w:tc>
          <w:tcPr>
            <w:tcW w:type="dxa" w:w="118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+27.4%</w:t>
            </w:r>
          </w:p>
        </w:tc>
        <w:tc>
          <w:tcPr>
            <w:tcW w:type="dxa" w:w="138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+28.2%</w:t>
            </w:r>
          </w:p>
        </w:tc>
      </w:tr>
      <w:tr>
        <w:trPr>
          <w:cantSplit/>
        </w:trPr>
        <w:tc>
          <w:tcPr>
            <w:tcW w:type="dxa" w:w="6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IT &amp; Services, Others (1626)</w:t>
            </w:r>
          </w:p>
        </w:tc>
        <w:tc>
          <w:tcPr>
            <w:tcW w:type="dxa" w:w="11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+14.1%</w:t>
            </w:r>
          </w:p>
        </w:tc>
        <w:tc>
          <w:tcPr>
            <w:tcW w:type="dxa" w:w="11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+65.4%</w:t>
            </w:r>
          </w:p>
        </w:tc>
        <w:tc>
          <w:tcPr>
            <w:tcW w:type="dxa" w:w="138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+60.7%</w:t>
            </w:r>
          </w:p>
        </w:tc>
      </w:tr>
      <w:tr>
        <w:trPr>
          <w:cantSplit/>
        </w:trPr>
        <w:tc>
          <w:tcPr>
            <w:tcW w:type="dxa" w:w="614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118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118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38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1348"/>
        <w:gridCol w:w="1180"/>
        <w:gridCol w:w="936"/>
        <w:gridCol w:w="843"/>
        <w:gridCol w:w="1011"/>
        <w:gridCol w:w="1011"/>
        <w:gridCol w:w="1517"/>
      </w:tblGrid>
      <w:tr>
        <w:trPr>
          <w:cantSplit/>
          <w:tblHeader/>
        </w:trPr>
        <w:tc>
          <w:tcPr>
            <w:tcW w:type="dxa" w:w="2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134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11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84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51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20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Yamaha</w:t>
            </w:r>
          </w:p>
        </w:tc>
        <w:tc>
          <w:tcPr>
            <w:tcW w:type="dxa" w:w="134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0.91x</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11.7x</w:t>
            </w:r>
          </w:p>
        </w:tc>
        <w:tc>
          <w:tcPr>
            <w:tcW w:type="dxa" w:w="9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16.7x</w:t>
            </w:r>
          </w:p>
        </w:tc>
        <w:tc>
          <w:tcPr>
            <w:tcW w:type="dxa" w:w="8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8.1%</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7.8%</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11.1%</w:t>
            </w:r>
          </w:p>
        </w:tc>
        <w:tc>
          <w:tcPr>
            <w:tcW w:type="dxa" w:w="15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−1.96x</w:t>
            </w:r>
          </w:p>
        </w:tc>
      </w:tr>
      <w:tr>
        <w:trPr>
          <w:cantSplit/>
        </w:trPr>
        <w:tc>
          <w:tcPr>
            <w:tcW w:type="dxa" w:w="206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134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1.16x</w:t>
            </w:r>
          </w:p>
        </w:tc>
        <w:tc>
          <w:tcPr>
            <w:tcW w:type="dxa" w:w="11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12.7x</w:t>
            </w:r>
          </w:p>
        </w:tc>
        <w:tc>
          <w:tcPr>
            <w:tcW w:type="dxa" w:w="9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23.8x</w:t>
            </w:r>
          </w:p>
        </w:tc>
        <w:tc>
          <w:tcPr>
            <w:tcW w:type="dxa" w:w="8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5.3%</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10.3%</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13.4%</w:t>
            </w:r>
          </w:p>
        </w:tc>
        <w:tc>
          <w:tcPr>
            <w:tcW w:type="dxa" w:w="15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w:t>
            </w:r>
          </w:p>
        </w:tc>
      </w:tr>
    </w:tbl>
    <w:p>
      <w:pPr>
        <w:spacing w:after="100"/>
      </w:pPr>
    </w:p>
    <w:p>
      <w:pPr>
        <w:spacing w:after="100" w:line="264"/>
      </w:pPr>
      <w:r>
        <w:rPr>
          <w:rFonts w:ascii="Calibri" w:cs="Calibri" w:eastAsia="Calibri" w:hAnsi="Calibri"/>
          <w:b/>
          <w:bCs/>
          <w:sz w:val="19"/>
          <w:szCs w:val="19"/>
        </w:rPr>
        <w:t xml:space="preserve">Top 5 shareholders (31-Mar-2026):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48"/>
        <w:gridCol w:w="1641"/>
        <w:gridCol w:w="1917"/>
      </w:tblGrid>
      <w:tr>
        <w:trPr>
          <w:cantSplit/>
          <w:tblHeader/>
        </w:trPr>
        <w:tc>
          <w:tcPr>
            <w:tcW w:type="dxa" w:w="634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6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191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Type</w:t>
            </w:r>
          </w:p>
        </w:tc>
      </w:tr>
      <w:tr>
        <w:trPr>
          <w:cantSplit/>
        </w:trPr>
        <w:tc>
          <w:tcPr>
            <w:tcW w:type="dxa" w:w="634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 (trust a/c)</w:t>
            </w:r>
          </w:p>
        </w:tc>
        <w:tc>
          <w:tcPr>
            <w:tcW w:type="dxa" w:w="16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22.27%</w:t>
            </w:r>
          </w:p>
        </w:tc>
        <w:tc>
          <w:tcPr>
            <w:tcW w:type="dxa" w:w="19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634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 Bank of Japan</w:t>
            </w:r>
          </w:p>
        </w:tc>
        <w:tc>
          <w:tcPr>
            <w:tcW w:type="dxa" w:w="164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8.51%</w:t>
            </w:r>
          </w:p>
        </w:tc>
        <w:tc>
          <w:tcPr>
            <w:tcW w:type="dxa" w:w="19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634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Sumitomo Life</w:t>
            </w:r>
          </w:p>
        </w:tc>
        <w:tc>
          <w:tcPr>
            <w:tcW w:type="dxa" w:w="16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4.98%</w:t>
            </w:r>
          </w:p>
        </w:tc>
        <w:tc>
          <w:tcPr>
            <w:tcW w:type="dxa" w:w="19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Insurer</w:t>
            </w:r>
          </w:p>
        </w:tc>
      </w:tr>
      <w:tr>
        <w:trPr>
          <w:cantSplit/>
        </w:trPr>
        <w:tc>
          <w:tcPr>
            <w:tcW w:type="dxa" w:w="634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Shizuoka Bank</w:t>
            </w:r>
          </w:p>
        </w:tc>
        <w:tc>
          <w:tcPr>
            <w:tcW w:type="dxa" w:w="164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4.90%</w:t>
            </w:r>
          </w:p>
        </w:tc>
        <w:tc>
          <w:tcPr>
            <w:tcW w:type="dxa" w:w="19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Bank</w:t>
            </w:r>
          </w:p>
        </w:tc>
      </w:tr>
      <w:tr>
        <w:trPr>
          <w:cantSplit/>
        </w:trPr>
        <w:tc>
          <w:tcPr>
            <w:tcW w:type="dxa" w:w="634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Nippon Life</w:t>
            </w:r>
          </w:p>
        </w:tc>
        <w:tc>
          <w:tcPr>
            <w:tcW w:type="dxa" w:w="16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3.41%</w:t>
            </w:r>
          </w:p>
        </w:tc>
        <w:tc>
          <w:tcPr>
            <w:tcW w:type="dxa" w:w="19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Insurer</w:t>
            </w:r>
          </w:p>
        </w:tc>
      </w:tr>
    </w:tbl>
    <w:p>
      <w:pPr>
        <w:spacing w:after="100"/>
      </w:pPr>
    </w:p>
    <w:p>
      <w:pPr>
        <w:spacing w:after="100" w:line="264"/>
      </w:pPr>
      <w:r>
        <w:rPr>
          <w:rFonts w:ascii="Calibri" w:cs="Calibri" w:eastAsia="Calibri" w:hAnsi="Calibri"/>
          <w:sz w:val="19"/>
          <w:szCs w:val="19"/>
        </w:rPr>
        <w:t xml:space="preserve">The 6th holder is Yamaha Motor (3.20%). The "stable" bloc of insurers, bank and Yamaha Motor totals about 16.5%. There is no family control.</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The world's leading instrument brand has stopped growing.</w:t>
      </w:r>
      <w:r>
        <w:rPr>
          <w:rFonts w:ascii="Calibri" w:cs="Calibri" w:eastAsia="Calibri" w:hAnsi="Calibri"/>
          <w:sz w:val="19"/>
          <w:szCs w:val="19"/>
        </w:rPr>
        <w:t xml:space="preserve"> Sales have been about ¥465bn for three years. Musical Instruments earns a 7.0% OP margin and group OP is ¥32bn (6.9%). LTM ROE is 6.5% against the plan's 10%.</w:t>
      </w:r>
    </w:p>
    <w:p>
      <w:pPr>
        <w:pStyle w:val="ListParagraph"/>
        <w:numPr>
          <w:ilvl w:val="0"/>
          <w:numId w:val="2"/>
        </w:numPr>
        <w:spacing w:after="50" w:line="252"/>
      </w:pPr>
      <w:r>
        <w:rPr>
          <w:rFonts w:ascii="Calibri" w:cs="Calibri" w:eastAsia="Calibri" w:hAnsi="Calibri"/>
          <w:b/>
          <w:bCs/>
          <w:sz w:val="19"/>
          <w:szCs w:val="19"/>
        </w:rPr>
        <w:t xml:space="preserve">China was treated as structural and wasn't.</w:t>
      </w:r>
      <w:r>
        <w:rPr>
          <w:rFonts w:ascii="Calibri" w:cs="Calibri" w:eastAsia="Calibri" w:hAnsi="Calibri"/>
          <w:sz w:val="19"/>
          <w:szCs w:val="19"/>
        </w:rPr>
        <w:t xml:space="preserve"> About ¥14bn of piano-plant impairments and severance in China and Indonesia followed the collapse in piano-education demand. 5-year TSR is −45%, 73pp behind peers.</w:t>
      </w:r>
    </w:p>
    <w:p>
      <w:pPr>
        <w:pStyle w:val="ListParagraph"/>
        <w:numPr>
          <w:ilvl w:val="0"/>
          <w:numId w:val="2"/>
        </w:numPr>
        <w:spacing w:after="50" w:line="252"/>
      </w:pPr>
      <w:r>
        <w:rPr>
          <w:rFonts w:ascii="Calibri" w:cs="Calibri" w:eastAsia="Calibri" w:hAnsi="Calibri"/>
          <w:b/>
          <w:bCs/>
          <w:sz w:val="19"/>
          <w:szCs w:val="19"/>
        </w:rPr>
        <w:t xml:space="preserve">A lazy balance sheet.</w:t>
      </w:r>
    </w:p>
    <w:p>
      <w:pPr>
        <w:pStyle w:val="ListParagraph"/>
        <w:numPr>
          <w:ilvl w:val="1"/>
          <w:numId w:val="2"/>
        </w:numPr>
        <w:spacing w:after="50" w:line="252"/>
      </w:pPr>
      <w:r>
        <w:rPr>
          <w:rFonts w:ascii="Calibri" w:cs="Calibri" w:eastAsia="Calibri" w:hAnsi="Calibri"/>
          <w:sz w:val="19"/>
          <w:szCs w:val="19"/>
        </w:rPr>
        <w:t xml:space="preserve">Net cash of ¥103bn (19% of market cap).</w:t>
      </w:r>
    </w:p>
    <w:p>
      <w:pPr>
        <w:pStyle w:val="ListParagraph"/>
        <w:numPr>
          <w:ilvl w:val="1"/>
          <w:numId w:val="2"/>
        </w:numPr>
        <w:spacing w:after="50" w:line="252"/>
      </w:pPr>
      <w:r>
        <w:rPr>
          <w:rFonts w:ascii="Calibri" w:cs="Calibri" w:eastAsia="Calibri" w:hAnsi="Calibri"/>
          <w:sz w:val="19"/>
          <w:szCs w:val="19"/>
        </w:rPr>
        <w:t xml:space="preserve">A residual Yamaha Motor stake, plus Yamaha Motor's 3.2% holding in Yamaha.</w:t>
      </w:r>
    </w:p>
    <w:p>
      <w:pPr>
        <w:pStyle w:val="ListParagraph"/>
        <w:numPr>
          <w:ilvl w:val="1"/>
          <w:numId w:val="2"/>
        </w:numPr>
        <w:spacing w:after="50" w:line="252"/>
      </w:pPr>
      <w:r>
        <w:rPr>
          <w:rFonts w:ascii="Calibri" w:cs="Calibri" w:eastAsia="Calibri" w:hAnsi="Calibri"/>
          <w:sz w:val="19"/>
          <w:szCs w:val="19"/>
        </w:rPr>
        <w:t xml:space="preserve">1.8 million m² of resort land carried at only about ¥3bn.</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6"/>
        </w:numPr>
        <w:spacing w:after="50" w:line="252"/>
      </w:pPr>
      <w:r>
        <w:rPr>
          <w:rFonts w:ascii="Calibri" w:cs="Calibri" w:eastAsia="Calibri" w:hAnsi="Calibri"/>
          <w:b/>
          <w:bCs/>
          <w:sz w:val="19"/>
          <w:szCs w:val="19"/>
        </w:rPr>
        <w:t xml:space="preserve">Restructure the acoustic-piano footprint</w:t>
      </w:r>
      <w:r>
        <w:rPr>
          <w:rFonts w:ascii="Calibri" w:cs="Calibri" w:eastAsia="Calibri" w:hAnsi="Calibri"/>
          <w:sz w:val="19"/>
          <w:szCs w:val="19"/>
        </w:rPr>
        <w:t xml:space="preserve"> in China and Indonesia. Commit to a 12% group OP margin by FY3/28, with pay linked to the target.</w:t>
      </w:r>
    </w:p>
    <w:p>
      <w:pPr>
        <w:pStyle w:val="ListParagraph"/>
        <w:numPr>
          <w:ilvl w:val="0"/>
          <w:numId w:val="6"/>
        </w:numPr>
        <w:spacing w:after="50" w:line="252"/>
      </w:pPr>
      <w:r>
        <w:rPr>
          <w:rFonts w:ascii="Calibri" w:cs="Calibri" w:eastAsia="Calibri" w:hAnsi="Calibri"/>
          <w:b/>
          <w:bCs/>
          <w:sz w:val="19"/>
          <w:szCs w:val="19"/>
        </w:rPr>
        <w:t xml:space="preserve">Run a strategic review of Audio</w:t>
      </w:r>
      <w:r>
        <w:rPr>
          <w:rFonts w:ascii="Calibri" w:cs="Calibri" w:eastAsia="Calibri" w:hAnsi="Calibri"/>
          <w:sz w:val="19"/>
          <w:szCs w:val="19"/>
        </w:rPr>
        <w:t xml:space="preserve"> (¥143bn sales, 7.6% margin; pro-audio and music-production brands that may be worth more to a strategic owner) and of the resort and real-estate holdings.</w:t>
      </w:r>
    </w:p>
    <w:p>
      <w:pPr>
        <w:pStyle w:val="ListParagraph"/>
        <w:numPr>
          <w:ilvl w:val="0"/>
          <w:numId w:val="6"/>
        </w:numPr>
        <w:spacing w:after="50" w:line="252"/>
      </w:pPr>
      <w:r>
        <w:rPr>
          <w:rFonts w:ascii="Calibri" w:cs="Calibri" w:eastAsia="Calibri" w:hAnsi="Calibri"/>
          <w:b/>
          <w:bCs/>
          <w:sz w:val="19"/>
          <w:szCs w:val="19"/>
        </w:rPr>
        <w:t xml:space="preserve">Return the surplus.</w:t>
      </w:r>
      <w:r>
        <w:rPr>
          <w:rFonts w:ascii="Calibri" w:cs="Calibri" w:eastAsia="Calibri" w:hAnsi="Calibri"/>
          <w:sz w:val="19"/>
          <w:szCs w:val="19"/>
        </w:rPr>
        <w:t xml:space="preserve"> Buy back ¥100bn over two years with cancellation, and fully unwind the remaining Yamaha Motor cross-holding in both directions.</w:t>
      </w:r>
    </w:p>
    <w:p>
      <w:pPr>
        <w:spacing w:after="100" w:line="264"/>
      </w:pPr>
      <w:r>
        <w:rPr>
          <w:rFonts w:ascii="Calibri" w:cs="Calibri" w:eastAsia="Calibri" w:hAnsi="Calibri"/>
          <w:b/>
          <w:bCs/>
          <w:sz w:val="19"/>
          <w:szCs w:val="19"/>
        </w:rPr>
        <w:t xml:space="preserve">Ease of building support: 4/5.</w:t>
      </w:r>
      <w:r>
        <w:rPr>
          <w:rFonts w:ascii="Calibri" w:cs="Calibri" w:eastAsia="Calibri" w:hAnsi="Calibri"/>
          <w:sz w:val="19"/>
          <w:szCs w:val="19"/>
        </w:rPr>
        <w:t xml:space="preserve"> There is no family or parent, and the board is 75% independent in a three-committee structure, which makes it receptive to a well-argued plan. The stable bloc (two life insurers, Shizuoka Bank, Yamaha Motor; about 16.5%) is under regulatory pressure to cut cross-holdings and cannot be relied on by management.</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"'Rebuild &amp; Evolve' is working: FY3/27 OP is guided up 32%, and we return at least 50% of earnings and cancel bought-back shares. We have already sold down Yamaha Motor twice, and the residual supports the shared brand. Cash funds new businesses and buffers China and US-tariff risk. The board is best-in-class."</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Capital allocation · Portfolio review (Audio, real estate) · Operational / margin</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5. Daikin Industries (6367 JP) — Tier 1 (activist present: Elliott)</w:t>
      </w:r>
    </w:p>
    <w:p>
      <w:pPr>
        <w:spacing w:after="100" w:line="264"/>
      </w:pPr>
      <w:r>
        <w:rPr>
          <w:rFonts w:ascii="Calibri" w:cs="Calibri" w:eastAsia="Calibri" w:hAnsi="Calibri"/>
          <w:b/>
          <w:bCs/>
          <w:sz w:val="19"/>
          <w:szCs w:val="19"/>
        </w:rPr>
        <w:t xml:space="preserve">HVAC and refrigeration, fluorochemicals · Market cap ¥5,931bn (US$37.5bn) · Support score 4/5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3"/>
        <w:gridCol w:w="930"/>
        <w:gridCol w:w="1085"/>
        <w:gridCol w:w="1088"/>
      </w:tblGrid>
      <w:tr>
        <w:trPr>
          <w:cantSplit/>
          <w:tblHeader/>
        </w:trPr>
        <w:tc>
          <w:tcPr>
            <w:tcW w:type="dxa" w:w="680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93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08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08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80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Daikin</w:t>
            </w:r>
          </w:p>
        </w:tc>
        <w:tc>
          <w:tcPr>
            <w:tcW w:type="dxa" w:w="93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+24.3%</w:t>
            </w:r>
          </w:p>
        </w:tc>
        <w:tc>
          <w:tcPr>
            <w:tcW w:type="dxa" w:w="108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−2.9%</w:t>
            </w:r>
          </w:p>
        </w:tc>
        <w:tc>
          <w:tcPr>
            <w:tcW w:type="dxa" w:w="10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−10.5%</w:t>
            </w:r>
          </w:p>
        </w:tc>
      </w:tr>
      <w:tr>
        <w:trPr>
          <w:cantSplit/>
        </w:trPr>
        <w:tc>
          <w:tcPr>
            <w:tcW w:type="dxa" w:w="680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(Carrier, Trane, Lennox, Johnson Controls, Mitsubishi Electric)</w:t>
            </w:r>
          </w:p>
        </w:tc>
        <w:tc>
          <w:tcPr>
            <w:tcW w:type="dxa" w:w="93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+12.5%</w:t>
            </w:r>
          </w:p>
        </w:tc>
        <w:tc>
          <w:tcPr>
            <w:tcW w:type="dxa" w:w="108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+135.2%</w:t>
            </w:r>
          </w:p>
        </w:tc>
        <w:tc>
          <w:tcPr>
            <w:tcW w:type="dxa" w:w="108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+123.5%</w:t>
            </w:r>
          </w:p>
        </w:tc>
      </w:tr>
      <w:tr>
        <w:trPr>
          <w:cantSplit/>
        </w:trPr>
        <w:tc>
          <w:tcPr>
            <w:tcW w:type="dxa" w:w="680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Machinery (1624)</w:t>
            </w:r>
          </w:p>
        </w:tc>
        <w:tc>
          <w:tcPr>
            <w:tcW w:type="dxa" w:w="93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+14.7%</w:t>
            </w:r>
          </w:p>
        </w:tc>
        <w:tc>
          <w:tcPr>
            <w:tcW w:type="dxa" w:w="108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+78.5%</w:t>
            </w:r>
          </w:p>
        </w:tc>
        <w:tc>
          <w:tcPr>
            <w:tcW w:type="dxa" w:w="10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+104.9%</w:t>
            </w:r>
          </w:p>
        </w:tc>
      </w:tr>
      <w:tr>
        <w:trPr>
          <w:cantSplit/>
        </w:trPr>
        <w:tc>
          <w:tcPr>
            <w:tcW w:type="dxa" w:w="680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93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108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08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1348"/>
        <w:gridCol w:w="1180"/>
        <w:gridCol w:w="936"/>
        <w:gridCol w:w="843"/>
        <w:gridCol w:w="1011"/>
        <w:gridCol w:w="1011"/>
        <w:gridCol w:w="1517"/>
      </w:tblGrid>
      <w:tr>
        <w:trPr>
          <w:cantSplit/>
          <w:tblHeader/>
        </w:trPr>
        <w:tc>
          <w:tcPr>
            <w:tcW w:type="dxa" w:w="2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134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11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84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51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20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Daikin</w:t>
            </w:r>
          </w:p>
        </w:tc>
        <w:tc>
          <w:tcPr>
            <w:tcW w:type="dxa" w:w="134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1.20x</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14.8x</w:t>
            </w:r>
          </w:p>
        </w:tc>
        <w:tc>
          <w:tcPr>
            <w:tcW w:type="dxa" w:w="9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21.7x</w:t>
            </w:r>
          </w:p>
        </w:tc>
        <w:tc>
          <w:tcPr>
            <w:tcW w:type="dxa" w:w="8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5.6%</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8.1%</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13.6%</w:t>
            </w:r>
          </w:p>
        </w:tc>
        <w:tc>
          <w:tcPr>
            <w:tcW w:type="dxa" w:w="15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0.39x</w:t>
            </w:r>
          </w:p>
        </w:tc>
      </w:tr>
      <w:tr>
        <w:trPr>
          <w:cantSplit/>
        </w:trPr>
        <w:tc>
          <w:tcPr>
            <w:tcW w:type="dxa" w:w="206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134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2.65x</w:t>
            </w:r>
          </w:p>
        </w:tc>
        <w:tc>
          <w:tcPr>
            <w:tcW w:type="dxa" w:w="11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27.1x</w:t>
            </w:r>
          </w:p>
        </w:tc>
        <w:tc>
          <w:tcPr>
            <w:tcW w:type="dxa" w:w="9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25.8x</w:t>
            </w:r>
          </w:p>
        </w:tc>
        <w:tc>
          <w:tcPr>
            <w:tcW w:type="dxa" w:w="8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4.3%</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14.2%</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17.3%</w:t>
            </w:r>
          </w:p>
        </w:tc>
        <w:tc>
          <w:tcPr>
            <w:tcW w:type="dxa" w:w="15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1.68x</w:t>
            </w:r>
          </w:p>
        </w:tc>
      </w:tr>
    </w:tbl>
    <w:p>
      <w:pPr>
        <w:spacing w:after="100"/>
      </w:pPr>
    </w:p>
    <w:p>
      <w:pPr>
        <w:spacing w:after="100" w:line="264"/>
      </w:pPr>
      <w:r>
        <w:rPr>
          <w:rFonts w:ascii="Calibri" w:cs="Calibri" w:eastAsia="Calibri" w:hAnsi="Calibri"/>
          <w:b/>
          <w:bCs/>
          <w:sz w:val="19"/>
          <w:szCs w:val="19"/>
        </w:rPr>
        <w:t xml:space="preserve">Top 5 shareholders (31-Mar-2026):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65"/>
        <w:gridCol w:w="1388"/>
        <w:gridCol w:w="1853"/>
      </w:tblGrid>
      <w:tr>
        <w:trPr>
          <w:cantSplit/>
          <w:tblHeader/>
        </w:trPr>
        <w:tc>
          <w:tcPr>
            <w:tcW w:type="dxa" w:w="66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38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185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Type</w:t>
            </w:r>
          </w:p>
        </w:tc>
      </w:tr>
      <w:tr>
        <w:trPr>
          <w:cantSplit/>
        </w:trPr>
        <w:tc>
          <w:tcPr>
            <w:tcW w:type="dxa" w:w="666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 (trust a/c)</w:t>
            </w:r>
          </w:p>
        </w:tc>
        <w:tc>
          <w:tcPr>
            <w:tcW w:type="dxa" w:w="13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18.43%</w:t>
            </w:r>
          </w:p>
        </w:tc>
        <w:tc>
          <w:tcPr>
            <w:tcW w:type="dxa" w:w="185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66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 Bank of Japan</w:t>
            </w:r>
          </w:p>
        </w:tc>
        <w:tc>
          <w:tcPr>
            <w:tcW w:type="dxa" w:w="138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7.35%</w:t>
            </w:r>
          </w:p>
        </w:tc>
        <w:tc>
          <w:tcPr>
            <w:tcW w:type="dxa" w:w="185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666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State Street 505001</w:t>
            </w:r>
          </w:p>
        </w:tc>
        <w:tc>
          <w:tcPr>
            <w:tcW w:type="dxa" w:w="13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3.77%</w:t>
            </w:r>
          </w:p>
        </w:tc>
        <w:tc>
          <w:tcPr>
            <w:tcW w:type="dxa" w:w="185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Nominee</w:t>
            </w:r>
          </w:p>
        </w:tc>
      </w:tr>
      <w:tr>
        <w:trPr>
          <w:cantSplit/>
        </w:trPr>
        <w:tc>
          <w:tcPr>
            <w:tcW w:type="dxa" w:w="66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Elliott International</w:t>
            </w:r>
          </w:p>
        </w:tc>
        <w:tc>
          <w:tcPr>
            <w:tcW w:type="dxa" w:w="138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3.01%</w:t>
            </w:r>
          </w:p>
        </w:tc>
        <w:tc>
          <w:tcPr>
            <w:tcW w:type="dxa" w:w="185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Activist</w:t>
            </w:r>
          </w:p>
        </w:tc>
      </w:tr>
      <w:tr>
        <w:trPr>
          <w:cantSplit/>
        </w:trPr>
        <w:tc>
          <w:tcPr>
            <w:tcW w:type="dxa" w:w="666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Chase Manhattan London SL omnibus</w:t>
            </w:r>
          </w:p>
        </w:tc>
        <w:tc>
          <w:tcPr>
            <w:tcW w:type="dxa" w:w="13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2.56%</w:t>
            </w:r>
          </w:p>
        </w:tc>
        <w:tc>
          <w:tcPr>
            <w:tcW w:type="dxa" w:w="185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Nominee</w:t>
            </w:r>
          </w:p>
        </w:tc>
      </w:tr>
    </w:tbl>
    <w:p>
      <w:pPr>
        <w:spacing w:after="100"/>
      </w:pPr>
    </w:p>
    <w:p>
      <w:pPr>
        <w:spacing w:after="100" w:line="264"/>
      </w:pPr>
      <w:r>
        <w:rPr>
          <w:rFonts w:ascii="Calibri" w:cs="Calibri" w:eastAsia="Calibri" w:hAnsi="Calibri"/>
          <w:sz w:val="19"/>
          <w:szCs w:val="19"/>
        </w:rPr>
        <w:t xml:space="preserve">There is no controlling group.</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Global volume leader, peer-trailing margins.</w:t>
      </w:r>
      <w:r>
        <w:rPr>
          <w:rFonts w:ascii="Calibri" w:cs="Calibri" w:eastAsia="Calibri" w:hAnsi="Calibri"/>
          <w:sz w:val="19"/>
          <w:szCs w:val="19"/>
        </w:rPr>
        <w:t xml:space="preserve"> AC/Refrigeration earns an 8.2% OP margin against 18–20% at Trane and Lennox. SG&amp;A is 26.2% of sales vs a 17.6% peer median.</w:t>
      </w:r>
    </w:p>
    <w:p>
      <w:pPr>
        <w:pStyle w:val="ListParagraph"/>
        <w:numPr>
          <w:ilvl w:val="0"/>
          <w:numId w:val="2"/>
        </w:numPr>
        <w:spacing w:after="50" w:line="252"/>
      </w:pPr>
      <w:r>
        <w:rPr>
          <w:rFonts w:ascii="Calibri" w:cs="Calibri" w:eastAsia="Calibri" w:hAnsi="Calibri"/>
          <w:b/>
          <w:bCs/>
          <w:sz w:val="19"/>
          <w:szCs w:val="19"/>
        </w:rPr>
        <w:t xml:space="preserve">The HVAC re-rating went to everyone except Daikin.</w:t>
      </w:r>
      <w:r>
        <w:rPr>
          <w:rFonts w:ascii="Calibri" w:cs="Calibri" w:eastAsia="Calibri" w:hAnsi="Calibri"/>
          <w:sz w:val="19"/>
          <w:szCs w:val="19"/>
        </w:rPr>
        <w:t xml:space="preserve"> 5-year TSR is −10.5% vs +124% for global peers. ROE fell from 12.3% (FY3/23) to 9.1% (FY3/26). The company's own disclosures show 5-year TSR indexed at 90 against 175 for the Nikkei 225.</w:t>
      </w:r>
    </w:p>
    <w:p>
      <w:pPr>
        <w:pStyle w:val="ListParagraph"/>
        <w:numPr>
          <w:ilvl w:val="0"/>
          <w:numId w:val="2"/>
        </w:numPr>
        <w:spacing w:after="50" w:line="252"/>
      </w:pPr>
      <w:r>
        <w:rPr>
          <w:rFonts w:ascii="Calibri" w:cs="Calibri" w:eastAsia="Calibri" w:hAnsi="Calibri"/>
          <w:b/>
          <w:bCs/>
          <w:sz w:val="19"/>
          <w:szCs w:val="19"/>
        </w:rPr>
        <w:t xml:space="preserve">The balance sheet sat idle until an activist arrived.</w:t>
      </w:r>
      <w:r>
        <w:rPr>
          <w:rFonts w:ascii="Calibri" w:cs="Calibri" w:eastAsia="Calibri" w:hAnsi="Calibri"/>
          <w:sz w:val="19"/>
          <w:szCs w:val="19"/>
        </w:rPr>
        <w:t xml:space="preserve"> There were no buybacks in FY3/24–26, then ¥350bn within a month of Elliott going public. The Chairman &amp; CEO has run the company for about 15 years.</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7"/>
        </w:numPr>
        <w:spacing w:after="50" w:line="252"/>
      </w:pPr>
      <w:r>
        <w:rPr>
          <w:rFonts w:ascii="Calibri" w:cs="Calibri" w:eastAsia="Calibri" w:hAnsi="Calibri"/>
          <w:b/>
          <w:bCs/>
          <w:sz w:val="19"/>
          <w:szCs w:val="19"/>
        </w:rPr>
        <w:t xml:space="preserve">Accelerate the margin roadmap.</w:t>
      </w:r>
      <w:r>
        <w:rPr>
          <w:rFonts w:ascii="Calibri" w:cs="Calibri" w:eastAsia="Calibri" w:hAnsi="Calibri"/>
          <w:sz w:val="19"/>
          <w:szCs w:val="19"/>
        </w:rPr>
        <w:t xml:space="preserve"> FUSION30's 12% OPM by FY3/31 is too slow: pull it forward to FY3/29 with an SG&amp;A target of 20% or less, and link performance share units to OPM and relative TSR.</w:t>
      </w:r>
    </w:p>
    <w:p>
      <w:pPr>
        <w:pStyle w:val="ListParagraph"/>
        <w:numPr>
          <w:ilvl w:val="0"/>
          <w:numId w:val="7"/>
        </w:numPr>
        <w:spacing w:after="50" w:line="252"/>
      </w:pPr>
      <w:r>
        <w:rPr>
          <w:rFonts w:ascii="Calibri" w:cs="Calibri" w:eastAsia="Calibri" w:hAnsi="Calibri"/>
          <w:b/>
          <w:bCs/>
          <w:sz w:val="19"/>
          <w:szCs w:val="19"/>
        </w:rPr>
        <w:t xml:space="preserve">Decide the portfolio now, not after a "3-year review".</w:t>
      </w:r>
      <w:r>
        <w:rPr>
          <w:rFonts w:ascii="Calibri" w:cs="Calibri" w:eastAsia="Calibri" w:hAnsi="Calibri"/>
          <w:sz w:val="19"/>
          <w:szCs w:val="19"/>
        </w:rPr>
        <w:t xml:space="preserve"> Exit the Filter business and European refrigeration within 12 months, and consider separate reporting or a separation path for Chemicals (10.8% OPM, 20% target).</w:t>
      </w:r>
    </w:p>
    <w:p>
      <w:pPr>
        <w:pStyle w:val="ListParagraph"/>
        <w:numPr>
          <w:ilvl w:val="0"/>
          <w:numId w:val="7"/>
        </w:numPr>
        <w:spacing w:after="50" w:line="252"/>
      </w:pPr>
      <w:r>
        <w:rPr>
          <w:rFonts w:ascii="Calibri" w:cs="Calibri" w:eastAsia="Calibri" w:hAnsi="Calibri"/>
          <w:b/>
          <w:bCs/>
          <w:sz w:val="19"/>
          <w:szCs w:val="19"/>
        </w:rPr>
        <w:t xml:space="preserve">Capital and governance.</w:t>
      </w:r>
      <w:r>
        <w:rPr>
          <w:rFonts w:ascii="Calibri" w:cs="Calibri" w:eastAsia="Calibri" w:hAnsi="Calibri"/>
          <w:sz w:val="19"/>
          <w:szCs w:val="19"/>
        </w:rPr>
        <w:t xml:space="preserve"> Run a multi-year buyback of up to ¥1tn (Elliott's ask) with cancellation, unwind the distributor cross-holdings, and separate the chair and CEO roles.</w:t>
      </w:r>
    </w:p>
    <w:p>
      <w:pPr>
        <w:spacing w:after="100" w:line="264"/>
      </w:pPr>
      <w:r>
        <w:rPr>
          <w:rFonts w:ascii="Calibri" w:cs="Calibri" w:eastAsia="Calibri" w:hAnsi="Calibri"/>
          <w:b/>
          <w:bCs/>
          <w:sz w:val="19"/>
          <w:szCs w:val="19"/>
        </w:rPr>
        <w:t xml:space="preserve">Ease of building support: 4/5.</w:t>
      </w:r>
      <w:r>
        <w:rPr>
          <w:rFonts w:ascii="Calibri" w:cs="Calibri" w:eastAsia="Calibri" w:hAnsi="Calibri"/>
          <w:sz w:val="19"/>
          <w:szCs w:val="19"/>
        </w:rPr>
        <w:t xml:space="preserve"> The register is institutional, with Elliott's 3% already public and investors primed by its April 2026 presentation. The issue is crowding: a second activist adds less, so the best role is a co-investor or a supporter of specific board resolutions.</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"FUSION30 already commits to 12% OPM and ROE above 15%, in line with US rivals, and we executed ¥350bn (about 6% of market cap) at once. ¥1.8tn of growth investment (Applied, data centres, India) and our credit rating come first. The low-margin units are on a turnaround-or-exit review. Global breadth justifies a different margin structure."</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Margin and overhead · Capital allocation · Portfolio · Governance (chair/CEO)</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6. GungHo Online Entertainment (3765 JP) — Tier 1 (event-driven)</w:t>
      </w:r>
    </w:p>
    <w:p>
      <w:pPr>
        <w:spacing w:after="100" w:line="264"/>
      </w:pPr>
      <w:r>
        <w:rPr>
          <w:rFonts w:ascii="Calibri" w:cs="Calibri" w:eastAsia="Calibri" w:hAnsi="Calibri"/>
          <w:b/>
          <w:bCs/>
          <w:sz w:val="19"/>
          <w:szCs w:val="19"/>
        </w:rPr>
        <w:t xml:space="preserve">Mobile games (Puzzle &amp; Dragons); owns 59% of Gravity (Nasdaq: GRVY) · Market cap ¥127bn (US$0.81bn) · Support score 3/5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63"/>
        <w:gridCol w:w="960"/>
        <w:gridCol w:w="960"/>
        <w:gridCol w:w="1123"/>
      </w:tblGrid>
      <w:tr>
        <w:trPr>
          <w:cantSplit/>
          <w:tblHeader/>
        </w:trPr>
        <w:tc>
          <w:tcPr>
            <w:tcW w:type="dxa" w:w="686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9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9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12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8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GungHo</w:t>
            </w:r>
          </w:p>
        </w:tc>
        <w:tc>
          <w:tcPr>
            <w:tcW w:type="dxa" w:w="9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−2.7%</w:t>
            </w:r>
          </w:p>
        </w:tc>
        <w:tc>
          <w:tcPr>
            <w:tcW w:type="dxa" w:w="9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+11.1%</w:t>
            </w:r>
          </w:p>
        </w:tc>
        <w:tc>
          <w:tcPr>
            <w:tcW w:type="dxa" w:w="112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+27.3%</w:t>
            </w:r>
          </w:p>
        </w:tc>
      </w:tr>
      <w:tr>
        <w:trPr>
          <w:cantSplit/>
        </w:trPr>
        <w:tc>
          <w:tcPr>
            <w:tcW w:type="dxa" w:w="686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(Capcom, Square Enix, Konami, Sega Sammy, MIXI)</w:t>
            </w:r>
          </w:p>
        </w:tc>
        <w:tc>
          <w:tcPr>
            <w:tcW w:type="dxa" w:w="96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+10.2%</w:t>
            </w:r>
          </w:p>
        </w:tc>
        <w:tc>
          <w:tcPr>
            <w:tcW w:type="dxa" w:w="96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+78.0%</w:t>
            </w:r>
          </w:p>
        </w:tc>
        <w:tc>
          <w:tcPr>
            <w:tcW w:type="dxa" w:w="112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+120.3%</w:t>
            </w:r>
          </w:p>
        </w:tc>
      </w:tr>
      <w:tr>
        <w:trPr>
          <w:cantSplit/>
        </w:trPr>
        <w:tc>
          <w:tcPr>
            <w:tcW w:type="dxa" w:w="68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IT &amp; Services, Others (1626)</w:t>
            </w:r>
          </w:p>
        </w:tc>
        <w:tc>
          <w:tcPr>
            <w:tcW w:type="dxa" w:w="9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+14.1%</w:t>
            </w:r>
          </w:p>
        </w:tc>
        <w:tc>
          <w:tcPr>
            <w:tcW w:type="dxa" w:w="9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+65.4%</w:t>
            </w:r>
          </w:p>
        </w:tc>
        <w:tc>
          <w:tcPr>
            <w:tcW w:type="dxa" w:w="112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+60.7%</w:t>
            </w:r>
          </w:p>
        </w:tc>
      </w:tr>
      <w:tr>
        <w:trPr>
          <w:cantSplit/>
        </w:trPr>
        <w:tc>
          <w:tcPr>
            <w:tcW w:type="dxa" w:w="686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96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96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12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1348"/>
        <w:gridCol w:w="1180"/>
        <w:gridCol w:w="936"/>
        <w:gridCol w:w="843"/>
        <w:gridCol w:w="1011"/>
        <w:gridCol w:w="1011"/>
        <w:gridCol w:w="1517"/>
      </w:tblGrid>
      <w:tr>
        <w:trPr>
          <w:cantSplit/>
          <w:tblHeader/>
        </w:trPr>
        <w:tc>
          <w:tcPr>
            <w:tcW w:type="dxa" w:w="2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134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11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84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51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20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GungHo</w:t>
            </w:r>
          </w:p>
        </w:tc>
        <w:tc>
          <w:tcPr>
            <w:tcW w:type="dxa" w:w="134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0.28x</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4.2x</w:t>
            </w:r>
          </w:p>
        </w:tc>
        <w:tc>
          <w:tcPr>
            <w:tcW w:type="dxa" w:w="9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53.0x</w:t>
            </w:r>
          </w:p>
        </w:tc>
        <w:tc>
          <w:tcPr>
            <w:tcW w:type="dxa" w:w="8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2.3%</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6.8%</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7.9%</w:t>
            </w:r>
          </w:p>
        </w:tc>
        <w:tc>
          <w:tcPr>
            <w:tcW w:type="dxa" w:w="15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−17.5x</w:t>
            </w:r>
          </w:p>
        </w:tc>
      </w:tr>
      <w:tr>
        <w:trPr>
          <w:cantSplit/>
        </w:trPr>
        <w:tc>
          <w:tcPr>
            <w:tcW w:type="dxa" w:w="206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134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2.52x</w:t>
            </w:r>
          </w:p>
        </w:tc>
        <w:tc>
          <w:tcPr>
            <w:tcW w:type="dxa" w:w="11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13.6x</w:t>
            </w:r>
          </w:p>
        </w:tc>
        <w:tc>
          <w:tcPr>
            <w:tcW w:type="dxa" w:w="9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28.0x</w:t>
            </w:r>
          </w:p>
        </w:tc>
        <w:tc>
          <w:tcPr>
            <w:tcW w:type="dxa" w:w="8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2.9%</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19.8%</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22.6%</w:t>
            </w:r>
          </w:p>
        </w:tc>
        <w:tc>
          <w:tcPr>
            <w:tcW w:type="dxa" w:w="15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−1.66x</w:t>
            </w:r>
          </w:p>
        </w:tc>
      </w:tr>
    </w:tbl>
    <w:p>
      <w:pPr>
        <w:spacing w:after="100"/>
      </w:pPr>
    </w:p>
    <w:p>
      <w:pPr>
        <w:spacing w:after="100" w:line="264"/>
      </w:pPr>
      <w:r>
        <w:rPr>
          <w:rFonts w:ascii="Calibri" w:cs="Calibri" w:eastAsia="Calibri" w:hAnsi="Calibri"/>
          <w:b/>
          <w:bCs/>
          <w:sz w:val="19"/>
          <w:szCs w:val="19"/>
        </w:rPr>
        <w:t xml:space="preserve">Top shareholders: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07"/>
        <w:gridCol w:w="787"/>
        <w:gridCol w:w="5012"/>
      </w:tblGrid>
      <w:tr>
        <w:trPr>
          <w:cantSplit/>
          <w:tblHeader/>
        </w:trPr>
        <w:tc>
          <w:tcPr>
            <w:tcW w:type="dxa" w:w="410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78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501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Notes</w:t>
            </w:r>
          </w:p>
        </w:tc>
      </w:tr>
      <w:tr>
        <w:trPr>
          <w:cantSplit/>
        </w:trPr>
        <w:tc>
          <w:tcPr>
            <w:tcW w:type="dxa" w:w="410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SON Financial (Taizo Son)</w:t>
            </w:r>
          </w:p>
        </w:tc>
        <w:tc>
          <w:tcPr>
            <w:tcW w:type="dxa" w:w="78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22.58%</w:t>
            </w:r>
          </w:p>
        </w:tc>
        <w:tc>
          <w:tcPr>
            <w:tcW w:type="dxa" w:w="501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Under contract to Sony Music at ¥2,385; closing 30-Dec-2026</w:t>
            </w:r>
          </w:p>
        </w:tc>
      </w:tr>
      <w:tr>
        <w:trPr>
          <w:cantSplit/>
        </w:trPr>
        <w:tc>
          <w:tcPr>
            <w:tcW w:type="dxa" w:w="410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Strategic Capital (incl. Japan-Up fund)</w:t>
            </w:r>
          </w:p>
        </w:tc>
        <w:tc>
          <w:tcPr>
            <w:tcW w:type="dxa" w:w="78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13.67%</w:t>
            </w:r>
          </w:p>
        </w:tc>
        <w:tc>
          <w:tcPr>
            <w:tcW w:type="dxa" w:w="50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Activist</w:t>
            </w:r>
          </w:p>
        </w:tc>
      </w:tr>
      <w:tr>
        <w:trPr>
          <w:cantSplit/>
        </w:trPr>
        <w:tc>
          <w:tcPr>
            <w:tcW w:type="dxa" w:w="410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w:t>
            </w:r>
          </w:p>
        </w:tc>
        <w:tc>
          <w:tcPr>
            <w:tcW w:type="dxa" w:w="78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10.33%</w:t>
            </w:r>
          </w:p>
        </w:tc>
        <w:tc>
          <w:tcPr>
            <w:tcW w:type="dxa" w:w="501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410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LIM Japan Event Master Fund</w:t>
            </w:r>
          </w:p>
        </w:tc>
        <w:tc>
          <w:tcPr>
            <w:tcW w:type="dxa" w:w="78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n/a</w:t>
            </w:r>
          </w:p>
        </w:tc>
        <w:tc>
          <w:tcPr>
            <w:tcW w:type="dxa" w:w="501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2026 proposer</w:t>
            </w:r>
          </w:p>
        </w:tc>
      </w:tr>
      <w:tr>
        <w:trPr>
          <w:cantSplit/>
        </w:trPr>
        <w:tc>
          <w:tcPr>
            <w:tcW w:type="dxa" w:w="410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5th holder</w:t>
            </w:r>
          </w:p>
        </w:tc>
        <w:tc>
          <w:tcPr>
            <w:tcW w:type="dxa" w:w="78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n/a</w:t>
            </w:r>
          </w:p>
        </w:tc>
        <w:tc>
          <w:tcPr>
            <w:tcW w:type="dxa" w:w="501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bl>
    <w:p>
      <w:pPr>
        <w:spacing w:after="100"/>
      </w:pPr>
    </w:p>
    <w:p>
      <w:pPr>
        <w:spacing w:after="100" w:line="264"/>
      </w:pPr>
      <w:r>
        <w:rPr>
          <w:rFonts w:ascii="Calibri" w:cs="Calibri" w:eastAsia="Calibri" w:hAnsi="Calibri"/>
          <w:sz w:val="19"/>
          <w:szCs w:val="19"/>
        </w:rPr>
        <w:t xml:space="preserve">Treasury is about 1.5% after the 2026 cancellations.</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The cash is worth more than the company.</w:t>
      </w:r>
    </w:p>
    <w:p>
      <w:pPr>
        <w:pStyle w:val="ListParagraph"/>
        <w:numPr>
          <w:ilvl w:val="1"/>
          <w:numId w:val="2"/>
        </w:numPr>
        <w:spacing w:after="50" w:line="252"/>
      </w:pPr>
      <w:r>
        <w:rPr>
          <w:rFonts w:ascii="Calibri" w:cs="Calibri" w:eastAsia="Calibri" w:hAnsi="Calibri"/>
          <w:sz w:val="19"/>
          <w:szCs w:val="19"/>
        </w:rPr>
        <w:t xml:space="preserve">Net cash of ¥131bn exceeds the ¥127bn market cap.</w:t>
      </w:r>
    </w:p>
    <w:p>
      <w:pPr>
        <w:pStyle w:val="ListParagraph"/>
        <w:numPr>
          <w:ilvl w:val="1"/>
          <w:numId w:val="2"/>
        </w:numPr>
        <w:spacing w:after="50" w:line="252"/>
      </w:pPr>
      <w:r>
        <w:rPr>
          <w:rFonts w:ascii="Calibri" w:cs="Calibri" w:eastAsia="Calibri" w:hAnsi="Calibri"/>
          <w:sz w:val="19"/>
          <w:szCs w:val="19"/>
        </w:rPr>
        <w:t xml:space="preserve">Strip out Gravity: GungHo's own cash is about ¥58bn and its 59% Gravity stake is worth about ¥43bn.</w:t>
      </w:r>
    </w:p>
    <w:p>
      <w:pPr>
        <w:pStyle w:val="ListParagraph"/>
        <w:numPr>
          <w:ilvl w:val="1"/>
          <w:numId w:val="2"/>
        </w:numPr>
        <w:spacing w:after="50" w:line="252"/>
      </w:pPr>
      <w:r>
        <w:rPr>
          <w:rFonts w:ascii="Calibri" w:cs="Calibri" w:eastAsia="Calibri" w:hAnsi="Calibri"/>
          <w:sz w:val="19"/>
          <w:szCs w:val="19"/>
        </w:rPr>
        <w:t xml:space="preserve">That values the games business at about ¥26bn, and on our estimate it lost about ¥2.5bn of EBIT LTM.</w:t>
      </w:r>
    </w:p>
    <w:p>
      <w:pPr>
        <w:pStyle w:val="ListParagraph"/>
        <w:numPr>
          <w:ilvl w:val="0"/>
          <w:numId w:val="2"/>
        </w:numPr>
        <w:spacing w:after="50" w:line="252"/>
      </w:pPr>
      <w:r>
        <w:rPr>
          <w:rFonts w:ascii="Calibri" w:cs="Calibri" w:eastAsia="Calibri" w:hAnsi="Calibri"/>
          <w:b/>
          <w:bCs/>
          <w:sz w:val="19"/>
          <w:szCs w:val="19"/>
        </w:rPr>
        <w:t xml:space="preserve">No hit in years, but the pay kept rising.</w:t>
      </w:r>
      <w:r>
        <w:rPr>
          <w:rFonts w:ascii="Calibri" w:cs="Calibri" w:eastAsia="Calibri" w:hAnsi="Calibri"/>
          <w:sz w:val="19"/>
          <w:szCs w:val="19"/>
        </w:rPr>
        <w:t xml:space="preserve"> Net income fell from ¥22.9bn (FY21) to ¥1.4bn (FY25), and SG&amp;A is 40% of sales. The board itself conceded no new hit "in years". At the Sep-2025 EGM, 28% voted to dismiss the long-serving CEO.</w:t>
      </w:r>
    </w:p>
    <w:p>
      <w:pPr>
        <w:pStyle w:val="ListParagraph"/>
        <w:numPr>
          <w:ilvl w:val="0"/>
          <w:numId w:val="2"/>
        </w:numPr>
        <w:spacing w:after="50" w:line="252"/>
      </w:pPr>
      <w:r>
        <w:rPr>
          <w:rFonts w:ascii="Calibri" w:cs="Calibri" w:eastAsia="Calibri" w:hAnsi="Calibri"/>
          <w:b/>
          <w:bCs/>
          <w:sz w:val="19"/>
          <w:szCs w:val="19"/>
        </w:rPr>
        <w:t xml:space="preserve">A control block is changing hands with no premium for minorities.</w:t>
      </w:r>
      <w:r>
        <w:rPr>
          <w:rFonts w:ascii="Calibri" w:cs="Calibri" w:eastAsia="Calibri" w:hAnsi="Calibri"/>
          <w:sz w:val="19"/>
          <w:szCs w:val="19"/>
        </w:rPr>
        <w:t xml:space="preserve"> The founder is selling 22.6% to Sony Music at ¥2,385, 2% </w:t>
      </w:r>
      <w:r>
        <w:rPr>
          <w:rFonts w:ascii="Calibri" w:cs="Calibri" w:eastAsia="Calibri" w:hAnsi="Calibri"/>
          <w:i/>
          <w:iCs/>
          <w:sz w:val="19"/>
          <w:szCs w:val="19"/>
        </w:rPr>
        <w:t xml:space="preserve">below</w:t>
      </w:r>
      <w:r>
        <w:rPr>
          <w:rFonts w:ascii="Calibri" w:cs="Calibri" w:eastAsia="Calibri" w:hAnsi="Calibri"/>
          <w:sz w:val="19"/>
          <w:szCs w:val="19"/>
        </w:rPr>
        <w:t xml:space="preserve"> market. Minorities are being left with a new anchor and an unchanged capital policy.</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8"/>
        </w:numPr>
        <w:spacing w:after="50" w:line="252"/>
      </w:pPr>
      <w:r>
        <w:rPr>
          <w:rFonts w:ascii="Calibri" w:cs="Calibri" w:eastAsia="Calibri" w:hAnsi="Calibri"/>
          <w:b/>
          <w:bCs/>
          <w:sz w:val="19"/>
          <w:szCs w:val="19"/>
        </w:rPr>
        <w:t xml:space="preserve">Price the Sony transaction for everyone.</w:t>
      </w:r>
      <w:r>
        <w:rPr>
          <w:rFonts w:ascii="Calibri" w:cs="Calibri" w:eastAsia="Calibri" w:hAnsi="Calibri"/>
          <w:sz w:val="19"/>
          <w:szCs w:val="19"/>
        </w:rPr>
        <w:t xml:space="preserve"> Push the board to form a special committee and seek either a full offer or binding minority protections before the 30-Dec-2026 closing.</w:t>
      </w:r>
    </w:p>
    <w:p>
      <w:pPr>
        <w:pStyle w:val="ListParagraph"/>
        <w:numPr>
          <w:ilvl w:val="0"/>
          <w:numId w:val="8"/>
        </w:numPr>
        <w:spacing w:after="50" w:line="252"/>
      </w:pPr>
      <w:r>
        <w:rPr>
          <w:rFonts w:ascii="Calibri" w:cs="Calibri" w:eastAsia="Calibri" w:hAnsi="Calibri"/>
          <w:b/>
          <w:bCs/>
          <w:sz w:val="19"/>
          <w:szCs w:val="19"/>
        </w:rPr>
        <w:t xml:space="preserve">Return the excess cash and end the listed-subsidiary structure.</w:t>
      </w:r>
      <w:r>
        <w:rPr>
          <w:rFonts w:ascii="Calibri" w:cs="Calibri" w:eastAsia="Calibri" w:hAnsi="Calibri"/>
          <w:sz w:val="19"/>
          <w:szCs w:val="19"/>
        </w:rPr>
        <w:t xml:space="preserve"> Tender for at least ¥50bn, and sell or fully merge Gravity, a Nasdaq "controlled company" whose 58% of licence revenue comes from GungHo.</w:t>
      </w:r>
    </w:p>
    <w:p>
      <w:pPr>
        <w:pStyle w:val="ListParagraph"/>
        <w:numPr>
          <w:ilvl w:val="0"/>
          <w:numId w:val="8"/>
        </w:numPr>
        <w:spacing w:after="50" w:line="252"/>
      </w:pPr>
      <w:r>
        <w:rPr>
          <w:rFonts w:ascii="Calibri" w:cs="Calibri" w:eastAsia="Calibri" w:hAnsi="Calibri"/>
          <w:b/>
          <w:bCs/>
          <w:sz w:val="19"/>
          <w:szCs w:val="19"/>
        </w:rPr>
        <w:t xml:space="preserve">Governance.</w:t>
      </w:r>
      <w:r>
        <w:rPr>
          <w:rFonts w:ascii="Calibri" w:cs="Calibri" w:eastAsia="Calibri" w:hAnsi="Calibri"/>
          <w:sz w:val="19"/>
          <w:szCs w:val="19"/>
        </w:rPr>
        <w:t xml:space="preserve"> Install an independent chair (the former CEO of 22 years is still chairman), disclose revenue by title, and reset pay to TSR.</w:t>
      </w:r>
    </w:p>
    <w:p>
      <w:pPr>
        <w:spacing w:after="100" w:line="264"/>
      </w:pPr>
      <w:r>
        <w:rPr>
          <w:rFonts w:ascii="Calibri" w:cs="Calibri" w:eastAsia="Calibri" w:hAnsi="Calibri"/>
          <w:b/>
          <w:bCs/>
          <w:sz w:val="19"/>
          <w:szCs w:val="19"/>
        </w:rPr>
        <w:t xml:space="preserve">Ease of building support: 3/5.</w:t>
      </w:r>
      <w:r>
        <w:rPr>
          <w:rFonts w:ascii="Calibri" w:cs="Calibri" w:eastAsia="Calibri" w:hAnsi="Calibri"/>
          <w:sz w:val="19"/>
          <w:szCs w:val="19"/>
        </w:rPr>
        <w:t xml:space="preserve"> Strategic Capital (13.7%) and LIM are already active, and institutions have shown frustration (CEO approval 74.5% in 2025, a 28% dismissal vote). After closing, Sony's 22.9% becomes the swing vote, which can work for or against minorities. It is the key relationship to manage.</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"Management has changed. Total returns now exceed 100% of earnings (4% DOE, payout of at least 50%, buybacks and cancellations). Game development is hit-driven and needs a cash buffer. The Sony Music alliance gives us IP and entertainment know-how, and Sony is a supportive long-term shareholder. Gravity is a strategic, profitable subsidiary."</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Capital allocation · Governance · M&amp;A / control event (Sony) · Portfolio (Gravity)</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7. Hodogaya Chemical (4112 JP) — Tier 1 (catalyst: SFC IPO)</w:t>
      </w:r>
    </w:p>
    <w:p>
      <w:pPr>
        <w:spacing w:after="100" w:line="264"/>
      </w:pPr>
      <w:r>
        <w:rPr>
          <w:rFonts w:ascii="Calibri" w:cs="Calibri" w:eastAsia="Calibri" w:hAnsi="Calibri"/>
          <w:b/>
          <w:bCs/>
          <w:sz w:val="19"/>
          <w:szCs w:val="19"/>
        </w:rPr>
        <w:t xml:space="preserve">OLED materials (via 53%-owned SFC, Korea), functional colorants, resins, agro · Market cap ¥32bn (US$0.20bn) · Support score 4/5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39"/>
        <w:gridCol w:w="968"/>
        <w:gridCol w:w="968"/>
        <w:gridCol w:w="1131"/>
      </w:tblGrid>
      <w:tr>
        <w:trPr>
          <w:cantSplit/>
          <w:tblHeader/>
        </w:trPr>
        <w:tc>
          <w:tcPr>
            <w:tcW w:type="dxa" w:w="683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96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96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13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8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Hodogaya</w:t>
            </w:r>
          </w:p>
        </w:tc>
        <w:tc>
          <w:tcPr>
            <w:tcW w:type="dxa" w:w="9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+16.1%</w:t>
            </w:r>
          </w:p>
        </w:tc>
        <w:tc>
          <w:tcPr>
            <w:tcW w:type="dxa" w:w="9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+42.7%</w:t>
            </w:r>
          </w:p>
        </w:tc>
        <w:tc>
          <w:tcPr>
            <w:tcW w:type="dxa" w:w="113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−11.5%</w:t>
            </w:r>
          </w:p>
        </w:tc>
      </w:tr>
      <w:tr>
        <w:trPr>
          <w:cantSplit/>
        </w:trPr>
        <w:tc>
          <w:tcPr>
            <w:tcW w:type="dxa" w:w="68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(Tosoh, Nippon Kayaku, artience, Nippon Soda)</w:t>
            </w:r>
          </w:p>
        </w:tc>
        <w:tc>
          <w:tcPr>
            <w:tcW w:type="dxa" w:w="9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+43.1%</w:t>
            </w:r>
          </w:p>
        </w:tc>
        <w:tc>
          <w:tcPr>
            <w:tcW w:type="dxa" w:w="9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+72.6%</w:t>
            </w:r>
          </w:p>
        </w:tc>
        <w:tc>
          <w:tcPr>
            <w:tcW w:type="dxa" w:w="113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+121.4%</w:t>
            </w:r>
          </w:p>
        </w:tc>
      </w:tr>
      <w:tr>
        <w:trPr>
          <w:cantSplit/>
        </w:trPr>
        <w:tc>
          <w:tcPr>
            <w:tcW w:type="dxa" w:w="68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Raw Materials &amp; Chemicals (1620)</w:t>
            </w:r>
          </w:p>
        </w:tc>
        <w:tc>
          <w:tcPr>
            <w:tcW w:type="dxa" w:w="9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+26.2%</w:t>
            </w:r>
          </w:p>
        </w:tc>
        <w:tc>
          <w:tcPr>
            <w:tcW w:type="dxa" w:w="9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+41.4%</w:t>
            </w:r>
          </w:p>
        </w:tc>
        <w:tc>
          <w:tcPr>
            <w:tcW w:type="dxa" w:w="113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+37.0%</w:t>
            </w:r>
          </w:p>
        </w:tc>
      </w:tr>
      <w:tr>
        <w:trPr>
          <w:cantSplit/>
        </w:trPr>
        <w:tc>
          <w:tcPr>
            <w:tcW w:type="dxa" w:w="68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9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9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13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1"/>
        <w:gridCol w:w="1114"/>
        <w:gridCol w:w="974"/>
        <w:gridCol w:w="773"/>
        <w:gridCol w:w="696"/>
        <w:gridCol w:w="835"/>
        <w:gridCol w:w="835"/>
        <w:gridCol w:w="2978"/>
      </w:tblGrid>
      <w:tr>
        <w:trPr>
          <w:cantSplit/>
          <w:tblHeader/>
        </w:trPr>
        <w:tc>
          <w:tcPr>
            <w:tcW w:type="dxa" w:w="170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111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97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77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69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83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83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29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170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Hodogaya</w:t>
            </w:r>
          </w:p>
        </w:tc>
        <w:tc>
          <w:tcPr>
            <w:tcW w:type="dxa" w:w="111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0.85x</w:t>
            </w:r>
          </w:p>
        </w:tc>
        <w:tc>
          <w:tcPr>
            <w:tcW w:type="dxa" w:w="97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9.7x</w:t>
            </w:r>
          </w:p>
        </w:tc>
        <w:tc>
          <w:tcPr>
            <w:tcW w:type="dxa" w:w="77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9.3x</w:t>
            </w:r>
          </w:p>
        </w:tc>
        <w:tc>
          <w:tcPr>
            <w:tcW w:type="dxa" w:w="69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3.5%</w:t>
            </w:r>
          </w:p>
        </w:tc>
        <w:tc>
          <w:tcPr>
            <w:tcW w:type="dxa" w:w="83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8.8%</w:t>
            </w:r>
          </w:p>
        </w:tc>
        <w:tc>
          <w:tcPr>
            <w:tcW w:type="dxa" w:w="83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15.5%</w:t>
            </w:r>
          </w:p>
        </w:tc>
        <w:tc>
          <w:tcPr>
            <w:tcW w:type="dxa" w:w="29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−0.20x (≈2.0x pro forma)</w:t>
            </w:r>
          </w:p>
        </w:tc>
      </w:tr>
      <w:tr>
        <w:trPr>
          <w:cantSplit/>
        </w:trPr>
        <w:tc>
          <w:tcPr>
            <w:tcW w:type="dxa" w:w="170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111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1.10x</w:t>
            </w:r>
          </w:p>
        </w:tc>
        <w:tc>
          <w:tcPr>
            <w:tcW w:type="dxa" w:w="97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12.0x</w:t>
            </w:r>
          </w:p>
        </w:tc>
        <w:tc>
          <w:tcPr>
            <w:tcW w:type="dxa" w:w="77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12.1x</w:t>
            </w:r>
          </w:p>
        </w:tc>
        <w:tc>
          <w:tcPr>
            <w:tcW w:type="dxa" w:w="69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2.7%</w:t>
            </w:r>
          </w:p>
        </w:tc>
        <w:tc>
          <w:tcPr>
            <w:tcW w:type="dxa" w:w="83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9.9%</w:t>
            </w:r>
          </w:p>
        </w:tc>
        <w:tc>
          <w:tcPr>
            <w:tcW w:type="dxa" w:w="83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15.3%</w:t>
            </w:r>
          </w:p>
        </w:tc>
        <w:tc>
          <w:tcPr>
            <w:tcW w:type="dxa" w:w="297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0.49x</w:t>
            </w:r>
          </w:p>
        </w:tc>
      </w:tr>
    </w:tbl>
    <w:p>
      <w:pPr>
        <w:spacing w:after="100"/>
      </w:pPr>
    </w:p>
    <w:p>
      <w:pPr>
        <w:spacing w:after="100" w:line="264"/>
      </w:pPr>
      <w:r>
        <w:rPr>
          <w:rFonts w:ascii="Calibri" w:cs="Calibri" w:eastAsia="Calibri" w:hAnsi="Calibri"/>
          <w:b/>
          <w:bCs/>
          <w:sz w:val="19"/>
          <w:szCs w:val="19"/>
        </w:rPr>
        <w:t xml:space="preserve">Top 5 shareholders (31-Mar-2026):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71"/>
        <w:gridCol w:w="1176"/>
        <w:gridCol w:w="3659"/>
      </w:tblGrid>
      <w:tr>
        <w:trPr>
          <w:cantSplit/>
          <w:tblHeader/>
        </w:trPr>
        <w:tc>
          <w:tcPr>
            <w:tcW w:type="dxa" w:w="507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17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365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Type</w:t>
            </w:r>
          </w:p>
        </w:tc>
      </w:tr>
      <w:tr>
        <w:trPr>
          <w:cantSplit/>
        </w:trPr>
        <w:tc>
          <w:tcPr>
            <w:tcW w:type="dxa" w:w="507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w:t>
            </w:r>
          </w:p>
        </w:tc>
        <w:tc>
          <w:tcPr>
            <w:tcW w:type="dxa" w:w="11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9.7%</w:t>
            </w:r>
          </w:p>
        </w:tc>
        <w:tc>
          <w:tcPr>
            <w:tcW w:type="dxa" w:w="365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507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Tosoh</w:t>
            </w:r>
          </w:p>
        </w:tc>
        <w:tc>
          <w:tcPr>
            <w:tcW w:type="dxa" w:w="11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8.6%</w:t>
            </w:r>
          </w:p>
        </w:tc>
        <w:tc>
          <w:tcPr>
            <w:tcW w:type="dxa" w:w="365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Strategic</w:t>
            </w:r>
          </w:p>
        </w:tc>
      </w:tr>
      <w:tr>
        <w:trPr>
          <w:cantSplit/>
        </w:trPr>
        <w:tc>
          <w:tcPr>
            <w:tcW w:type="dxa" w:w="507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Matsui Securities</w:t>
            </w:r>
          </w:p>
        </w:tc>
        <w:tc>
          <w:tcPr>
            <w:tcW w:type="dxa" w:w="11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5.5%</w:t>
            </w:r>
          </w:p>
        </w:tc>
        <w:tc>
          <w:tcPr>
            <w:tcW w:type="dxa" w:w="365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Retail nominee</w:t>
            </w:r>
          </w:p>
        </w:tc>
      </w:tr>
      <w:tr>
        <w:trPr>
          <w:cantSplit/>
        </w:trPr>
        <w:tc>
          <w:tcPr>
            <w:tcW w:type="dxa" w:w="507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Japan Securities Finance</w:t>
            </w:r>
          </w:p>
        </w:tc>
        <w:tc>
          <w:tcPr>
            <w:tcW w:type="dxa" w:w="11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4.4%</w:t>
            </w:r>
          </w:p>
        </w:tc>
        <w:tc>
          <w:tcPr>
            <w:tcW w:type="dxa" w:w="365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Margin nominee</w:t>
            </w:r>
          </w:p>
        </w:tc>
      </w:tr>
      <w:tr>
        <w:trPr>
          <w:cantSplit/>
        </w:trPr>
        <w:tc>
          <w:tcPr>
            <w:tcW w:type="dxa" w:w="507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Mizuho Bank</w:t>
            </w:r>
          </w:p>
        </w:tc>
        <w:tc>
          <w:tcPr>
            <w:tcW w:type="dxa" w:w="11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3.7%</w:t>
            </w:r>
          </w:p>
        </w:tc>
        <w:tc>
          <w:tcPr>
            <w:tcW w:type="dxa" w:w="365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Bank</w:t>
            </w:r>
          </w:p>
        </w:tc>
      </w:tr>
    </w:tbl>
    <w:p>
      <w:pPr>
        <w:spacing w:after="100"/>
      </w:pPr>
    </w:p>
    <w:p>
      <w:pPr>
        <w:spacing w:after="100" w:line="264"/>
      </w:pPr>
      <w:r>
        <w:rPr>
          <w:rFonts w:ascii="Calibri" w:cs="Calibri" w:eastAsia="Calibri" w:hAnsi="Calibri"/>
          <w:sz w:val="19"/>
          <w:szCs w:val="19"/>
        </w:rPr>
        <w:t xml:space="preserve">There is no controlling holder.</w:t>
      </w:r>
    </w:p>
    <w:p>
      <w:pPr>
        <w:pBdr>
          <w:left w:val="single" w:color="2E75B6" w:sz="18" w:space="6"/>
        </w:pBdr>
        <w:shd w:fill="EAF1FB" w:color="auto" w:val="clear"/>
        <w:spacing w:after="120" w:before="60"/>
        <w:ind w:left="200" w:right="100"/>
      </w:pPr>
      <w:r>
        <w:rPr>
          <w:rFonts w:ascii="Calibri" w:cs="Calibri" w:eastAsia="Calibri" w:hAnsi="Calibri"/>
          <w:b/>
          <w:bCs/>
          <w:sz w:val="19"/>
          <w:szCs w:val="19"/>
        </w:rPr>
        <w:t xml:space="preserve">Leverage exception.</w:t>
      </w:r>
      <w:r>
        <w:rPr>
          <w:rFonts w:ascii="Calibri" w:cs="Calibri" w:eastAsia="Calibri" w:hAnsi="Calibri"/>
          <w:sz w:val="19"/>
          <w:szCs w:val="19"/>
        </w:rPr>
        <w:t xml:space="preserve"> Reported net debt/EBITDA is −0.2x at Jun-2026. After the ¥16bn Framochem acquisition (closed 25-Aug-2026) it is about 2.0x pro forma. We include Hodogaya because the SFC stake alone is worth about 1.85x the market cap: on a look-through basis the balance sheet is very under-levered.</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A listed company worth less than one of its holdings.</w:t>
      </w:r>
      <w:r>
        <w:rPr>
          <w:rFonts w:ascii="Calibri" w:cs="Calibri" w:eastAsia="Calibri" w:hAnsi="Calibri"/>
          <w:sz w:val="19"/>
          <w:szCs w:val="19"/>
        </w:rPr>
        <w:t xml:space="preserve"> Hodogaya owns 52.96% of SFC, the Korean OLED-materials maker. SFC's KOSPI IPO targets about ₩1tn, which values the stake at about ¥59bn, roughly 1.85x Hodogaya's market cap. The shares trade at 0.59x book.</w:t>
      </w:r>
    </w:p>
    <w:p>
      <w:pPr>
        <w:pStyle w:val="ListParagraph"/>
        <w:numPr>
          <w:ilvl w:val="0"/>
          <w:numId w:val="2"/>
        </w:numPr>
        <w:spacing w:after="50" w:line="252"/>
      </w:pPr>
      <w:r>
        <w:rPr>
          <w:rFonts w:ascii="Calibri" w:cs="Calibri" w:eastAsia="Calibri" w:hAnsi="Calibri"/>
          <w:b/>
          <w:bCs/>
          <w:sz w:val="19"/>
          <w:szCs w:val="19"/>
        </w:rPr>
        <w:t xml:space="preserve">Diversifying while the core under-earns.</w:t>
      </w:r>
      <w:r>
        <w:rPr>
          <w:rFonts w:ascii="Calibri" w:cs="Calibri" w:eastAsia="Calibri" w:hAnsi="Calibri"/>
          <w:sz w:val="19"/>
          <w:szCs w:val="19"/>
        </w:rPr>
        <w:t xml:space="preserve"> Management spent ¥16bn (about 50% of market cap) on Framochem (Hungary) and is launching a nucleic-acid CDMO. Meanwhile resins are loss-making, net income has been flat for five years and guidance was cut in Nov-2025.</w:t>
      </w:r>
    </w:p>
    <w:p>
      <w:pPr>
        <w:pStyle w:val="ListParagraph"/>
        <w:numPr>
          <w:ilvl w:val="0"/>
          <w:numId w:val="2"/>
        </w:numPr>
        <w:spacing w:after="50" w:line="252"/>
      </w:pPr>
      <w:r>
        <w:rPr>
          <w:rFonts w:ascii="Calibri" w:cs="Calibri" w:eastAsia="Calibri" w:hAnsi="Calibri"/>
          <w:b/>
          <w:bCs/>
          <w:sz w:val="19"/>
          <w:szCs w:val="19"/>
        </w:rPr>
        <w:t xml:space="preserve">Entrenched.</w:t>
      </w:r>
      <w:r>
        <w:rPr>
          <w:rFonts w:ascii="Calibri" w:cs="Calibri" w:eastAsia="Calibri" w:hAnsi="Calibri"/>
          <w:sz w:val="19"/>
          <w:szCs w:val="19"/>
        </w:rPr>
        <w:t xml:space="preserve"> 5-year TSR is −11.5% vs +121% for chemical peers. The board reviewed continuing its takeover-defence plan in May-2026. Investment securities of ¥15.6bn equal 49% of market cap.</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9"/>
        </w:numPr>
        <w:spacing w:after="50" w:line="252"/>
      </w:pPr>
      <w:r>
        <w:rPr>
          <w:rFonts w:ascii="Calibri" w:cs="Calibri" w:eastAsia="Calibri" w:hAnsi="Calibri"/>
          <w:b/>
          <w:bCs/>
          <w:sz w:val="19"/>
          <w:szCs w:val="19"/>
        </w:rPr>
        <w:t xml:space="preserve">Crystallise SFC at the IPO</w:t>
      </w:r>
      <w:r>
        <w:rPr>
          <w:rFonts w:ascii="Calibri" w:cs="Calibri" w:eastAsia="Calibri" w:hAnsi="Calibri"/>
          <w:sz w:val="19"/>
          <w:szCs w:val="19"/>
        </w:rPr>
        <w:t xml:space="preserve"> (as early as late Nov-2026). Sell down part of the stake and return the proceeds, or distribute SFC shares, then target a sum-of-the-parts discount below 20%.</w:t>
      </w:r>
    </w:p>
    <w:p>
      <w:pPr>
        <w:pStyle w:val="ListParagraph"/>
        <w:numPr>
          <w:ilvl w:val="0"/>
          <w:numId w:val="9"/>
        </w:numPr>
        <w:spacing w:after="50" w:line="252"/>
      </w:pPr>
      <w:r>
        <w:rPr>
          <w:rFonts w:ascii="Calibri" w:cs="Calibri" w:eastAsia="Calibri" w:hAnsi="Calibri"/>
          <w:b/>
          <w:bCs/>
          <w:sz w:val="19"/>
          <w:szCs w:val="19"/>
        </w:rPr>
        <w:t xml:space="preserve">Stop the diversification spend.</w:t>
      </w:r>
      <w:r>
        <w:rPr>
          <w:rFonts w:ascii="Calibri" w:cs="Calibri" w:eastAsia="Calibri" w:hAnsi="Calibri"/>
          <w:sz w:val="19"/>
          <w:szCs w:val="19"/>
        </w:rPr>
        <w:t xml:space="preserve"> Freeze the CDMO until it clears a stated ROIC hurdle, exit or fix functional resins, and integrate Framochem for cash, not growth.</w:t>
      </w:r>
    </w:p>
    <w:p>
      <w:pPr>
        <w:pStyle w:val="ListParagraph"/>
        <w:numPr>
          <w:ilvl w:val="0"/>
          <w:numId w:val="9"/>
        </w:numPr>
        <w:spacing w:after="50" w:line="252"/>
      </w:pPr>
      <w:r>
        <w:rPr>
          <w:rFonts w:ascii="Calibri" w:cs="Calibri" w:eastAsia="Calibri" w:hAnsi="Calibri"/>
          <w:b/>
          <w:bCs/>
          <w:sz w:val="19"/>
          <w:szCs w:val="19"/>
        </w:rPr>
        <w:t xml:space="preserve">Unwind defences and cross-holdings.</w:t>
      </w:r>
      <w:r>
        <w:rPr>
          <w:rFonts w:ascii="Calibri" w:cs="Calibri" w:eastAsia="Calibri" w:hAnsi="Calibri"/>
          <w:sz w:val="19"/>
          <w:szCs w:val="19"/>
        </w:rPr>
        <w:t xml:space="preserve"> Abolish the takeover-defence plan and sell down the ¥15.6bn securities portfolio.</w:t>
      </w:r>
    </w:p>
    <w:p>
      <w:pPr>
        <w:spacing w:after="100" w:line="264"/>
      </w:pPr>
      <w:r>
        <w:rPr>
          <w:rFonts w:ascii="Calibri" w:cs="Calibri" w:eastAsia="Calibri" w:hAnsi="Calibri"/>
          <w:b/>
          <w:bCs/>
          <w:sz w:val="19"/>
          <w:szCs w:val="19"/>
        </w:rPr>
        <w:t xml:space="preserve">Ease of building support: 4/5.</w:t>
      </w:r>
      <w:r>
        <w:rPr>
          <w:rFonts w:ascii="Calibri" w:cs="Calibri" w:eastAsia="Calibri" w:hAnsi="Calibri"/>
          <w:sz w:val="19"/>
          <w:szCs w:val="19"/>
        </w:rPr>
        <w:t xml:space="preserve"> No anchor holder; Tosoh's 8.6% is a financial position for a company under its own capital-efficiency pressure. Retail and margin-account ownership is high. At a ¥32bn market cap, a 10% position costs about ¥3bn, and ISS and Glass Lewis typically oppose poison pills.</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"The SFC IPO will make the value visible, and the OLED downturn is cyclical. Framochem secures our phosgene-chemistry platform and exports. 'CODE/CHORD 2030' builds a second pillar in nucleic-acid CDMO. We are raising the dividend to ¥60, and our defence policy protects corporate value."</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Undervalued asset / sum-of-the-parts (SFC) · Capital allocation · M&amp;A discipline · Governance (poison pill)</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8. NC Corp / NCSoft (036570 KS) — Tier 2</w:t>
      </w:r>
    </w:p>
    <w:p>
      <w:pPr>
        <w:spacing w:after="100" w:line="264"/>
      </w:pPr>
      <w:r>
        <w:rPr>
          <w:rFonts w:ascii="Calibri" w:cs="Calibri" w:eastAsia="Calibri" w:hAnsi="Calibri"/>
          <w:b/>
          <w:bCs/>
          <w:sz w:val="19"/>
          <w:szCs w:val="19"/>
        </w:rPr>
        <w:t xml:space="preserve">Online and mobile games (Lineage, Aion, Throne and Liberty) · Market cap ₩3.91tn (US$2.78bn) · Support score 3/5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19"/>
        <w:gridCol w:w="956"/>
        <w:gridCol w:w="1115"/>
        <w:gridCol w:w="1116"/>
      </w:tblGrid>
      <w:tr>
        <w:trPr>
          <w:cantSplit/>
          <w:tblHeader/>
        </w:trPr>
        <w:tc>
          <w:tcPr>
            <w:tcW w:type="dxa" w:w="671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95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11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11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7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NC</w:t>
            </w:r>
          </w:p>
        </w:tc>
        <w:tc>
          <w:tcPr>
            <w:tcW w:type="dxa" w:w="9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+0.6%</w:t>
            </w:r>
          </w:p>
        </w:tc>
        <w:tc>
          <w:tcPr>
            <w:tcW w:type="dxa" w:w="111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−5.9%</w:t>
            </w:r>
          </w:p>
        </w:tc>
        <w:tc>
          <w:tcPr>
            <w:tcW w:type="dxa" w:w="11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−63.0%</w:t>
            </w:r>
          </w:p>
        </w:tc>
      </w:tr>
      <w:tr>
        <w:trPr>
          <w:cantSplit/>
        </w:trPr>
        <w:tc>
          <w:tcPr>
            <w:tcW w:type="dxa" w:w="67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(Krafton, Netmarble, Nexon, Pearl Abyss, Shift Up)</w:t>
            </w:r>
          </w:p>
        </w:tc>
        <w:tc>
          <w:tcPr>
            <w:tcW w:type="dxa" w:w="95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−19.6%</w:t>
            </w:r>
          </w:p>
        </w:tc>
        <w:tc>
          <w:tcPr>
            <w:tcW w:type="dxa" w:w="111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−5.5%</w:t>
            </w:r>
          </w:p>
        </w:tc>
        <w:tc>
          <w:tcPr>
            <w:tcW w:type="dxa" w:w="11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−62.0%</w:t>
            </w:r>
          </w:p>
        </w:tc>
      </w:tr>
      <w:tr>
        <w:trPr>
          <w:cantSplit/>
        </w:trPr>
        <w:tc>
          <w:tcPr>
            <w:tcW w:type="dxa" w:w="67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KOSPI 200</w:t>
            </w:r>
          </w:p>
        </w:tc>
        <w:tc>
          <w:tcPr>
            <w:tcW w:type="dxa" w:w="9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+85.0%</w:t>
            </w:r>
          </w:p>
        </w:tc>
        <w:tc>
          <w:tcPr>
            <w:tcW w:type="dxa" w:w="111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+189.3%</w:t>
            </w:r>
          </w:p>
        </w:tc>
        <w:tc>
          <w:tcPr>
            <w:tcW w:type="dxa" w:w="11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+140.5%</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8"/>
        <w:gridCol w:w="921"/>
        <w:gridCol w:w="806"/>
        <w:gridCol w:w="3776"/>
        <w:gridCol w:w="576"/>
        <w:gridCol w:w="691"/>
        <w:gridCol w:w="691"/>
        <w:gridCol w:w="1037"/>
      </w:tblGrid>
      <w:tr>
        <w:trPr>
          <w:cantSplit/>
          <w:tblHeader/>
        </w:trPr>
        <w:tc>
          <w:tcPr>
            <w:tcW w:type="dxa" w:w="140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92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8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377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57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69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69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03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140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NC</w:t>
            </w:r>
          </w:p>
        </w:tc>
        <w:tc>
          <w:tcPr>
            <w:tcW w:type="dxa" w:w="92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1.18x</w:t>
            </w:r>
          </w:p>
        </w:tc>
        <w:tc>
          <w:tcPr>
            <w:tcW w:type="dxa" w:w="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8.7x</w:t>
            </w:r>
          </w:p>
        </w:tc>
        <w:tc>
          <w:tcPr>
            <w:tcW w:type="dxa" w:w="37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6.3x (flattered by building-sale gain)</w:t>
            </w:r>
          </w:p>
        </w:tc>
        <w:tc>
          <w:tcPr>
            <w:tcW w:type="dxa" w:w="5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5.4%</w:t>
            </w:r>
          </w:p>
        </w:tc>
        <w:tc>
          <w:tcPr>
            <w:tcW w:type="dxa" w:w="69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13.5%</w:t>
            </w:r>
          </w:p>
        </w:tc>
        <w:tc>
          <w:tcPr>
            <w:tcW w:type="dxa" w:w="69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18.0%</w:t>
            </w:r>
          </w:p>
        </w:tc>
        <w:tc>
          <w:tcPr>
            <w:tcW w:type="dxa" w:w="103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−4.0x</w:t>
            </w:r>
          </w:p>
        </w:tc>
      </w:tr>
      <w:tr>
        <w:trPr>
          <w:cantSplit/>
        </w:trPr>
        <w:tc>
          <w:tcPr>
            <w:tcW w:type="dxa" w:w="140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92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1.72x</w:t>
            </w:r>
          </w:p>
        </w:tc>
        <w:tc>
          <w:tcPr>
            <w:tcW w:type="dxa" w:w="8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6.9x</w:t>
            </w:r>
          </w:p>
        </w:tc>
        <w:tc>
          <w:tcPr>
            <w:tcW w:type="dxa" w:w="37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9.3x</w:t>
            </w:r>
          </w:p>
        </w:tc>
        <w:tc>
          <w:tcPr>
            <w:tcW w:type="dxa" w:w="5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9.4%</w:t>
            </w:r>
          </w:p>
        </w:tc>
        <w:tc>
          <w:tcPr>
            <w:tcW w:type="dxa" w:w="69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29.7%</w:t>
            </w:r>
          </w:p>
        </w:tc>
        <w:tc>
          <w:tcPr>
            <w:tcW w:type="dxa" w:w="69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33.9%</w:t>
            </w:r>
          </w:p>
        </w:tc>
        <w:tc>
          <w:tcPr>
            <w:tcW w:type="dxa" w:w="103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−2.3x</w:t>
            </w:r>
          </w:p>
        </w:tc>
      </w:tr>
    </w:tbl>
    <w:p>
      <w:pPr>
        <w:spacing w:after="100"/>
      </w:pPr>
    </w:p>
    <w:p>
      <w:pPr>
        <w:spacing w:after="100" w:line="264"/>
      </w:pPr>
      <w:r>
        <w:rPr>
          <w:rFonts w:ascii="Calibri" w:cs="Calibri" w:eastAsia="Calibri" w:hAnsi="Calibri"/>
          <w:b/>
          <w:bCs/>
          <w:sz w:val="19"/>
          <w:szCs w:val="19"/>
        </w:rPr>
        <w:t xml:space="preserve">Top shareholders: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6"/>
        <w:gridCol w:w="942"/>
        <w:gridCol w:w="4678"/>
      </w:tblGrid>
      <w:tr>
        <w:trPr>
          <w:cantSplit/>
          <w:tblHeader/>
        </w:trPr>
        <w:tc>
          <w:tcPr>
            <w:tcW w:type="dxa" w:w="428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9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46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Notes</w:t>
            </w:r>
          </w:p>
        </w:tc>
      </w:tr>
      <w:tr>
        <w:trPr>
          <w:cantSplit/>
        </w:trPr>
        <w:tc>
          <w:tcPr>
            <w:tcW w:type="dxa" w:w="42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Founder Kim Taek-jin</w:t>
            </w:r>
          </w:p>
        </w:tc>
        <w:tc>
          <w:tcPr>
            <w:tcW w:type="dxa" w:w="94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12.20%</w:t>
            </w:r>
          </w:p>
        </w:tc>
        <w:tc>
          <w:tcPr>
            <w:tcW w:type="dxa" w:w="46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12.37% with related parties</w:t>
            </w:r>
          </w:p>
        </w:tc>
      </w:tr>
      <w:tr>
        <w:trPr>
          <w:cantSplit/>
        </w:trPr>
        <w:tc>
          <w:tcPr>
            <w:tcW w:type="dxa" w:w="42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National Pension Service</w:t>
            </w:r>
          </w:p>
        </w:tc>
        <w:tc>
          <w:tcPr>
            <w:tcW w:type="dxa" w:w="94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10.25%</w:t>
            </w:r>
          </w:p>
        </w:tc>
        <w:tc>
          <w:tcPr>
            <w:tcW w:type="dxa" w:w="467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42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Saudi Electronic Gaming Holding Co.</w:t>
            </w:r>
          </w:p>
        </w:tc>
        <w:tc>
          <w:tcPr>
            <w:tcW w:type="dxa" w:w="94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9.43%</w:t>
            </w:r>
          </w:p>
        </w:tc>
        <w:tc>
          <w:tcPr>
            <w:tcW w:type="dxa" w:w="46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Identity and % differ by source</w:t>
            </w:r>
          </w:p>
        </w:tc>
      </w:tr>
      <w:tr>
        <w:trPr>
          <w:cantSplit/>
        </w:trPr>
        <w:tc>
          <w:tcPr>
            <w:tcW w:type="dxa" w:w="42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Netmarble</w:t>
            </w:r>
          </w:p>
        </w:tc>
        <w:tc>
          <w:tcPr>
            <w:tcW w:type="dxa" w:w="94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8.88%</w:t>
            </w:r>
          </w:p>
        </w:tc>
        <w:tc>
          <w:tcPr>
            <w:tcW w:type="dxa" w:w="467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Cross-holding: NC owns 6.9% of Netmarble</w:t>
            </w:r>
          </w:p>
        </w:tc>
      </w:tr>
      <w:tr>
        <w:trPr>
          <w:cantSplit/>
        </w:trPr>
        <w:tc>
          <w:tcPr>
            <w:tcW w:type="dxa" w:w="42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5th holder</w:t>
            </w:r>
          </w:p>
        </w:tc>
        <w:tc>
          <w:tcPr>
            <w:tcW w:type="dxa" w:w="94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n/a</w:t>
            </w:r>
          </w:p>
        </w:tc>
        <w:tc>
          <w:tcPr>
            <w:tcW w:type="dxa" w:w="46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bl>
    <w:p>
      <w:pPr>
        <w:spacing w:after="100"/>
      </w:pPr>
    </w:p>
    <w:p>
      <w:pPr>
        <w:spacing w:after="100" w:line="264"/>
      </w:pPr>
      <w:r>
        <w:rPr>
          <w:rFonts w:ascii="Calibri" w:cs="Calibri" w:eastAsia="Calibri" w:hAnsi="Calibri"/>
          <w:sz w:val="19"/>
          <w:szCs w:val="19"/>
        </w:rPr>
        <w:t xml:space="preserve">Treasury shares are 9.62%.</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A decade of single-franchise dependence.</w:t>
      </w:r>
      <w:r>
        <w:rPr>
          <w:rFonts w:ascii="Calibri" w:cs="Calibri" w:eastAsia="Calibri" w:hAnsi="Calibri"/>
          <w:sz w:val="19"/>
          <w:szCs w:val="19"/>
        </w:rPr>
        <w:t xml:space="preserve"> Revenue fell 41%, from ₩2.57tn (FY22) to ₩1.51tn (FY25). OP went from ₩559bn to ₩8bn while R&amp;D ran at 22–27% of revenue. 5-year TSR is −63%, about 200pp behind KOSPI 200.</w:t>
      </w:r>
    </w:p>
    <w:p>
      <w:pPr>
        <w:pStyle w:val="ListParagraph"/>
        <w:numPr>
          <w:ilvl w:val="0"/>
          <w:numId w:val="2"/>
        </w:numPr>
        <w:spacing w:after="50" w:line="252"/>
      </w:pPr>
      <w:r>
        <w:rPr>
          <w:rFonts w:ascii="Calibri" w:cs="Calibri" w:eastAsia="Calibri" w:hAnsi="Calibri"/>
          <w:b/>
          <w:bCs/>
          <w:sz w:val="19"/>
          <w:szCs w:val="19"/>
        </w:rPr>
        <w:t xml:space="preserve">A cash box with a game studio attached.</w:t>
      </w:r>
      <w:r>
        <w:rPr>
          <w:rFonts w:ascii="Calibri" w:cs="Calibri" w:eastAsia="Calibri" w:hAnsi="Calibri"/>
          <w:sz w:val="19"/>
          <w:szCs w:val="19"/>
        </w:rPr>
        <w:t xml:space="preserve"> Net cash and investments are about 52% of market cap. 9.6% treasury stock sits uncancelled, and the FY25 dividend was cut to 6.4% of reported net income.</w:t>
      </w:r>
    </w:p>
    <w:p>
      <w:pPr>
        <w:pStyle w:val="ListParagraph"/>
        <w:numPr>
          <w:ilvl w:val="0"/>
          <w:numId w:val="2"/>
        </w:numPr>
        <w:spacing w:after="50" w:line="252"/>
      </w:pPr>
      <w:r>
        <w:rPr>
          <w:rFonts w:ascii="Calibri" w:cs="Calibri" w:eastAsia="Calibri" w:hAnsi="Calibri"/>
          <w:b/>
          <w:bCs/>
          <w:sz w:val="19"/>
          <w:szCs w:val="19"/>
        </w:rPr>
        <w:t xml:space="preserve">The turnaround is real, and management is already spending it.</w:t>
      </w:r>
      <w:r>
        <w:rPr>
          <w:rFonts w:ascii="Calibri" w:cs="Calibri" w:eastAsia="Calibri" w:hAnsi="Calibri"/>
          <w:sz w:val="19"/>
          <w:szCs w:val="19"/>
        </w:rPr>
        <w:t xml:space="preserve"> Aion 2 and Lineage Classic lifted Q2-26 OP margin to 23%. Within four months, management committed about ₩449bn to low-margin mobile-casual acquisitions (JustPlay, Lihuhu/Indygo, Springcomes). That segment spent ₩132bn on marketing against ₩170bn of quarterly revenue.</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10"/>
        </w:numPr>
        <w:spacing w:after="50" w:line="252"/>
      </w:pPr>
      <w:r>
        <w:rPr>
          <w:rFonts w:ascii="Calibri" w:cs="Calibri" w:eastAsia="Calibri" w:hAnsi="Calibri"/>
          <w:b/>
          <w:bCs/>
          <w:sz w:val="19"/>
          <w:szCs w:val="19"/>
        </w:rPr>
        <w:t xml:space="preserve">Cancel the 9.6% treasury now</w:t>
      </w:r>
      <w:r>
        <w:rPr>
          <w:rFonts w:ascii="Calibri" w:cs="Calibri" w:eastAsia="Calibri" w:hAnsi="Calibri"/>
          <w:sz w:val="19"/>
          <w:szCs w:val="19"/>
        </w:rPr>
        <w:t xml:space="preserve"> (consistent with the March-2026 Commercial Act amendment) and authorise a ₩500bn buyback from net cash.</w:t>
      </w:r>
    </w:p>
    <w:p>
      <w:pPr>
        <w:pStyle w:val="ListParagraph"/>
        <w:numPr>
          <w:ilvl w:val="0"/>
          <w:numId w:val="10"/>
        </w:numPr>
        <w:spacing w:after="50" w:line="252"/>
      </w:pPr>
      <w:r>
        <w:rPr>
          <w:rFonts w:ascii="Calibri" w:cs="Calibri" w:eastAsia="Calibri" w:hAnsi="Calibri"/>
          <w:b/>
          <w:bCs/>
          <w:sz w:val="19"/>
          <w:szCs w:val="19"/>
        </w:rPr>
        <w:t xml:space="preserve">Put an M&amp;A moratorium in place until the board adopts a capital-allocation framework</w:t>
      </w:r>
      <w:r>
        <w:rPr>
          <w:rFonts w:ascii="Calibri" w:cs="Calibri" w:eastAsia="Calibri" w:hAnsi="Calibri"/>
          <w:sz w:val="19"/>
          <w:szCs w:val="19"/>
        </w:rPr>
        <w:t xml:space="preserve">: hurdle rates, post-deal reviews, and a cap of 10% of market cap per year. Unwind the Netmarble cross-holding (6.9%, about ₩198bn).</w:t>
      </w:r>
    </w:p>
    <w:p>
      <w:pPr>
        <w:pStyle w:val="ListParagraph"/>
        <w:numPr>
          <w:ilvl w:val="0"/>
          <w:numId w:val="10"/>
        </w:numPr>
        <w:spacing w:after="50" w:line="252"/>
      </w:pPr>
      <w:r>
        <w:rPr>
          <w:rFonts w:ascii="Calibri" w:cs="Calibri" w:eastAsia="Calibri" w:hAnsi="Calibri"/>
          <w:b/>
          <w:bCs/>
          <w:sz w:val="19"/>
          <w:szCs w:val="19"/>
        </w:rPr>
        <w:t xml:space="preserve">Re-shape the board.</w:t>
      </w:r>
      <w:r>
        <w:rPr>
          <w:rFonts w:ascii="Calibri" w:cs="Calibri" w:eastAsia="Calibri" w:hAnsi="Calibri"/>
          <w:sz w:val="19"/>
          <w:szCs w:val="19"/>
        </w:rPr>
        <w:t xml:space="preserve"> Add game-industry independents through cumulative voting, separate board chair from the founder co-CEO, and tie pay to EBIT margin vs the peer median.</w:t>
      </w:r>
    </w:p>
    <w:p>
      <w:pPr>
        <w:spacing w:after="100" w:line="264"/>
      </w:pPr>
      <w:r>
        <w:rPr>
          <w:rFonts w:ascii="Calibri" w:cs="Calibri" w:eastAsia="Calibri" w:hAnsi="Calibri"/>
          <w:b/>
          <w:bCs/>
          <w:sz w:val="19"/>
          <w:szCs w:val="19"/>
        </w:rPr>
        <w:t xml:space="preserve">Ease of building support: 3/5.</w:t>
      </w:r>
      <w:r>
        <w:rPr>
          <w:rFonts w:ascii="Calibri" w:cs="Calibri" w:eastAsia="Calibri" w:hAnsi="Calibri"/>
          <w:sz w:val="19"/>
          <w:szCs w:val="19"/>
        </w:rPr>
        <w:t xml:space="preserve"> The founder bloc is 12.4%, and with Netmarble's friendly 8.9% about 21%. NPS (10.25%) and the Saudi holder (9.4%) are the swing votes. Cumulative voting (mandatory above ₩2tn of assets) makes a dissident seat achievable, and no single bloc can block.</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"'Back to basics' worked: record PC revenue and a 23% margin in Q2-26, with the Aion 2 global launch and ten new IPs ahead. Treasury stock is a currency for M&amp;A and staff pay, and we already cancelled 1.9% and pay 30% of adjusted NI. Mobile casual diversifies away from Lineage and Korea. Net cash funds the ₩580bn Pangyo R&amp;D centre."</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Capital allocation · M&amp;A discipline · Governance</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9. Kumho Petrochemical (011780 KS) — Tier 2</w:t>
      </w:r>
    </w:p>
    <w:p>
      <w:pPr>
        <w:spacing w:after="100" w:line="264"/>
      </w:pPr>
      <w:r>
        <w:rPr>
          <w:rFonts w:ascii="Calibri" w:cs="Calibri" w:eastAsia="Calibri" w:hAnsi="Calibri"/>
          <w:b/>
          <w:bCs/>
          <w:sz w:val="19"/>
          <w:szCs w:val="19"/>
        </w:rPr>
        <w:t xml:space="preserve">Synthetic rubber and NB latex, resins, phenol chain · Market cap ₩2.70tn (US$1.92bn) · Support score 3/5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36"/>
        <w:gridCol w:w="951"/>
        <w:gridCol w:w="1109"/>
        <w:gridCol w:w="1110"/>
      </w:tblGrid>
      <w:tr>
        <w:trPr>
          <w:cantSplit/>
          <w:tblHeader/>
        </w:trPr>
        <w:tc>
          <w:tcPr>
            <w:tcW w:type="dxa" w:w="673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95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1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11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7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Kumho</w:t>
            </w:r>
          </w:p>
        </w:tc>
        <w:tc>
          <w:tcPr>
            <w:tcW w:type="dxa" w:w="9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+8.1%</w:t>
            </w:r>
          </w:p>
        </w:tc>
        <w:tc>
          <w:tcPr>
            <w:tcW w:type="dxa" w:w="11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−4.3%</w:t>
            </w:r>
          </w:p>
        </w:tc>
        <w:tc>
          <w:tcPr>
            <w:tcW w:type="dxa" w:w="111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−22.8%</w:t>
            </w:r>
          </w:p>
        </w:tc>
      </w:tr>
      <w:tr>
        <w:trPr>
          <w:cantSplit/>
        </w:trPr>
        <w:tc>
          <w:tcPr>
            <w:tcW w:type="dxa" w:w="67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(LG Chem, Lotte Chemical, Hanwha Solutions, Zeon)</w:t>
            </w:r>
          </w:p>
        </w:tc>
        <w:tc>
          <w:tcPr>
            <w:tcW w:type="dxa" w:w="9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+6.3%</w:t>
            </w:r>
          </w:p>
        </w:tc>
        <w:tc>
          <w:tcPr>
            <w:tcW w:type="dxa" w:w="11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−16.4%</w:t>
            </w:r>
          </w:p>
        </w:tc>
        <w:tc>
          <w:tcPr>
            <w:tcW w:type="dxa" w:w="111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−47.0%</w:t>
            </w:r>
          </w:p>
        </w:tc>
      </w:tr>
      <w:tr>
        <w:trPr>
          <w:cantSplit/>
        </w:trPr>
        <w:tc>
          <w:tcPr>
            <w:tcW w:type="dxa" w:w="67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KOSPI 200</w:t>
            </w:r>
          </w:p>
        </w:tc>
        <w:tc>
          <w:tcPr>
            <w:tcW w:type="dxa" w:w="9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+85.0%</w:t>
            </w:r>
          </w:p>
        </w:tc>
        <w:tc>
          <w:tcPr>
            <w:tcW w:type="dxa" w:w="11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+189.3%</w:t>
            </w:r>
          </w:p>
        </w:tc>
        <w:tc>
          <w:tcPr>
            <w:tcW w:type="dxa" w:w="111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+140.5%</w:t>
            </w:r>
          </w:p>
        </w:tc>
      </w:tr>
    </w:tbl>
    <w:p>
      <w:pPr>
        <w:spacing w:after="100"/>
      </w:pPr>
    </w:p>
    <w:p>
      <w:pPr>
        <w:spacing w:after="100" w:line="264"/>
      </w:pPr>
      <w:r>
        <w:rPr>
          <w:rFonts w:ascii="Calibri" w:cs="Calibri" w:eastAsia="Calibri" w:hAnsi="Calibri"/>
          <w:i/>
          <w:iCs/>
          <w:sz w:val="19"/>
          <w:szCs w:val="19"/>
        </w:rPr>
        <w:t xml:space="preserve">Kumho beats a levered, loss-making Korean petrochemical peer set but trails KOSPI 200 by 163pp over 5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3"/>
        <w:gridCol w:w="1010"/>
        <w:gridCol w:w="1929"/>
        <w:gridCol w:w="1929"/>
        <w:gridCol w:w="842"/>
        <w:gridCol w:w="758"/>
        <w:gridCol w:w="758"/>
        <w:gridCol w:w="1137"/>
      </w:tblGrid>
      <w:tr>
        <w:trPr>
          <w:cantSplit/>
          <w:tblHeader/>
        </w:trPr>
        <w:tc>
          <w:tcPr>
            <w:tcW w:type="dxa" w:w="154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101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192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192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8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75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75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13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15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Kumho</w:t>
            </w:r>
          </w:p>
        </w:tc>
        <w:tc>
          <w:tcPr>
            <w:tcW w:type="dxa" w:w="101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0.36x</w:t>
            </w:r>
          </w:p>
        </w:tc>
        <w:tc>
          <w:tcPr>
            <w:tcW w:type="dxa" w:w="192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5.4x</w:t>
            </w:r>
          </w:p>
        </w:tc>
        <w:tc>
          <w:tcPr>
            <w:tcW w:type="dxa" w:w="192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5.4x</w:t>
            </w:r>
          </w:p>
        </w:tc>
        <w:tc>
          <w:tcPr>
            <w:tcW w:type="dxa" w:w="84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12.5%</w:t>
            </w:r>
          </w:p>
        </w:tc>
        <w:tc>
          <w:tcPr>
            <w:tcW w:type="dxa" w:w="75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6.7%</w:t>
            </w:r>
          </w:p>
        </w:tc>
        <w:tc>
          <w:tcPr>
            <w:tcW w:type="dxa" w:w="75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11.1%</w:t>
            </w:r>
          </w:p>
        </w:tc>
        <w:tc>
          <w:tcPr>
            <w:tcW w:type="dxa" w:w="113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−0.1x</w:t>
            </w:r>
          </w:p>
        </w:tc>
      </w:tr>
      <w:tr>
        <w:trPr>
          <w:cantSplit/>
        </w:trPr>
        <w:tc>
          <w:tcPr>
            <w:tcW w:type="dxa" w:w="15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101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1.15x</w:t>
            </w:r>
          </w:p>
        </w:tc>
        <w:tc>
          <w:tcPr>
            <w:tcW w:type="dxa" w:w="192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11.1x (Zeon only)</w:t>
            </w:r>
          </w:p>
        </w:tc>
        <w:tc>
          <w:tcPr>
            <w:tcW w:type="dxa" w:w="192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10.7x (Zeon only)</w:t>
            </w:r>
          </w:p>
        </w:tc>
        <w:tc>
          <w:tcPr>
            <w:tcW w:type="dxa" w:w="84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−18.8%</w:t>
            </w:r>
          </w:p>
        </w:tc>
        <w:tc>
          <w:tcPr>
            <w:tcW w:type="dxa" w:w="75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w:t>
            </w:r>
          </w:p>
        </w:tc>
        <w:tc>
          <w:tcPr>
            <w:tcW w:type="dxa" w:w="75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7.6%</w:t>
            </w:r>
          </w:p>
        </w:tc>
        <w:tc>
          <w:tcPr>
            <w:tcW w:type="dxa" w:w="113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6.8x</w:t>
            </w:r>
          </w:p>
        </w:tc>
      </w:tr>
    </w:tbl>
    <w:p>
      <w:pPr>
        <w:spacing w:after="100"/>
      </w:pPr>
    </w:p>
    <w:p>
      <w:pPr>
        <w:spacing w:after="100" w:line="264"/>
      </w:pPr>
      <w:r>
        <w:rPr>
          <w:rFonts w:ascii="Calibri" w:cs="Calibri" w:eastAsia="Calibri" w:hAnsi="Calibri"/>
          <w:b/>
          <w:bCs/>
          <w:sz w:val="19"/>
          <w:szCs w:val="19"/>
        </w:rPr>
        <w:t xml:space="preserve">Top 5 shareholders (2025–26 filings):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4"/>
        <w:gridCol w:w="1997"/>
        <w:gridCol w:w="3935"/>
      </w:tblGrid>
      <w:tr>
        <w:trPr>
          <w:cantSplit/>
          <w:tblHeader/>
        </w:trPr>
        <w:tc>
          <w:tcPr>
            <w:tcW w:type="dxa" w:w="397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99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393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Notes</w:t>
            </w:r>
          </w:p>
        </w:tc>
      </w:tr>
      <w:tr>
        <w:trPr>
          <w:cantSplit/>
        </w:trPr>
        <w:tc>
          <w:tcPr>
            <w:tcW w:type="dxa" w:w="397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Park Chul-wan</w:t>
            </w:r>
          </w:p>
        </w:tc>
        <w:tc>
          <w:tcPr>
            <w:tcW w:type="dxa" w:w="19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10.33%</w:t>
            </w:r>
          </w:p>
        </w:tc>
        <w:tc>
          <w:tcPr>
            <w:tcW w:type="dxa" w:w="393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Dissident nephew; selling down</w:t>
            </w:r>
          </w:p>
        </w:tc>
      </w:tr>
      <w:tr>
        <w:trPr>
          <w:cantSplit/>
        </w:trPr>
        <w:tc>
          <w:tcPr>
            <w:tcW w:type="dxa" w:w="397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National Pension Service</w:t>
            </w:r>
          </w:p>
        </w:tc>
        <w:tc>
          <w:tcPr>
            <w:tcW w:type="dxa" w:w="19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9.64%</w:t>
            </w:r>
          </w:p>
        </w:tc>
        <w:tc>
          <w:tcPr>
            <w:tcW w:type="dxa" w:w="393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397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Park Joon-kyung</w:t>
            </w:r>
          </w:p>
        </w:tc>
        <w:tc>
          <w:tcPr>
            <w:tcW w:type="dxa" w:w="19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8.68%</w:t>
            </w:r>
          </w:p>
        </w:tc>
        <w:tc>
          <w:tcPr>
            <w:tcW w:type="dxa" w:w="393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President</w:t>
            </w:r>
          </w:p>
        </w:tc>
      </w:tr>
      <w:tr>
        <w:trPr>
          <w:cantSplit/>
        </w:trPr>
        <w:tc>
          <w:tcPr>
            <w:tcW w:type="dxa" w:w="397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Park Chan-koo</w:t>
            </w:r>
          </w:p>
        </w:tc>
        <w:tc>
          <w:tcPr>
            <w:tcW w:type="dxa" w:w="199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8.11%</w:t>
            </w:r>
          </w:p>
        </w:tc>
        <w:tc>
          <w:tcPr>
            <w:tcW w:type="dxa" w:w="393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Chairman</w:t>
            </w:r>
          </w:p>
        </w:tc>
      </w:tr>
      <w:tr>
        <w:trPr>
          <w:cantSplit/>
        </w:trPr>
        <w:tc>
          <w:tcPr>
            <w:tcW w:type="dxa" w:w="397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Park Joo-hyung</w:t>
            </w:r>
          </w:p>
        </w:tc>
        <w:tc>
          <w:tcPr>
            <w:tcW w:type="dxa" w:w="199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about 1.3%</w:t>
            </w:r>
          </w:p>
        </w:tc>
        <w:tc>
          <w:tcPr>
            <w:tcW w:type="dxa" w:w="393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bl>
    <w:p>
      <w:pPr>
        <w:spacing w:after="100"/>
      </w:pPr>
    </w:p>
    <w:p>
      <w:pPr>
        <w:spacing w:after="100" w:line="264"/>
      </w:pPr>
      <w:r>
        <w:rPr>
          <w:rFonts w:ascii="Calibri" w:cs="Calibri" w:eastAsia="Calibri" w:hAnsi="Calibri"/>
          <w:sz w:val="19"/>
          <w:szCs w:val="19"/>
        </w:rPr>
        <w:t xml:space="preserve">The Chairman's family holds 18.1%. The DART "largest shareholder and related parties" total, covering both branches, is 26.4%. Treasury is about 10.5%.</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The best operator in a broken sector, priced as if it were the worst.</w:t>
      </w:r>
      <w:r>
        <w:rPr>
          <w:rFonts w:ascii="Calibri" w:cs="Calibri" w:eastAsia="Calibri" w:hAnsi="Calibri"/>
          <w:sz w:val="19"/>
          <w:szCs w:val="19"/>
        </w:rPr>
        <w:t xml:space="preserve"> SG&amp;A is only 3.6% of revenue, the balance sheet is net cash and FCF yield is 12.5%. Yet the shares trade at 0.40x book and 5.4x earnings.</w:t>
      </w:r>
    </w:p>
    <w:p>
      <w:pPr>
        <w:pStyle w:val="ListParagraph"/>
        <w:numPr>
          <w:ilvl w:val="0"/>
          <w:numId w:val="2"/>
        </w:numPr>
        <w:spacing w:after="50" w:line="252"/>
      </w:pPr>
      <w:r>
        <w:rPr>
          <w:rFonts w:ascii="Calibri" w:cs="Calibri" w:eastAsia="Calibri" w:hAnsi="Calibri"/>
          <w:b/>
          <w:bCs/>
          <w:sz w:val="19"/>
          <w:szCs w:val="19"/>
        </w:rPr>
        <w:t xml:space="preserve">93% of the market cap is cash and investments.</w:t>
      </w:r>
      <w:r>
        <w:rPr>
          <w:rFonts w:ascii="Calibri" w:cs="Calibri" w:eastAsia="Calibri" w:hAnsi="Calibri"/>
          <w:sz w:val="19"/>
          <w:szCs w:val="19"/>
        </w:rPr>
        <w:t xml:space="preserve"> Cash of ₩949bn plus long-term investments of ₩1.57tn (including the OCI stake, up about 3x in 2026) total ₩2.5tn. Dividends paid fell from ₩281bn (FY22) to ₩58bn (FY25).</w:t>
      </w:r>
    </w:p>
    <w:p>
      <w:pPr>
        <w:pStyle w:val="ListParagraph"/>
        <w:numPr>
          <w:ilvl w:val="0"/>
          <w:numId w:val="2"/>
        </w:numPr>
        <w:spacing w:after="50" w:line="252"/>
      </w:pPr>
      <w:r>
        <w:rPr>
          <w:rFonts w:ascii="Calibri" w:cs="Calibri" w:eastAsia="Calibri" w:hAnsi="Calibri"/>
          <w:b/>
          <w:bCs/>
          <w:sz w:val="19"/>
          <w:szCs w:val="19"/>
        </w:rPr>
        <w:t xml:space="preserve">The governance discount should be closing, but there is no capital plan.</w:t>
      </w:r>
      <w:r>
        <w:rPr>
          <w:rFonts w:ascii="Calibri" w:cs="Calibri" w:eastAsia="Calibri" w:hAnsi="Calibri"/>
          <w:sz w:val="19"/>
          <w:szCs w:val="19"/>
        </w:rPr>
        <w:t xml:space="preserve"> The family dispute has ended and the dissident's block is being sold. About 10.5% treasury remains uncancelled and returns are capped at 40% of </w:t>
      </w:r>
      <w:r>
        <w:rPr>
          <w:rFonts w:ascii="Calibri" w:cs="Calibri" w:eastAsia="Calibri" w:hAnsi="Calibri"/>
          <w:i/>
          <w:iCs/>
          <w:sz w:val="19"/>
          <w:szCs w:val="19"/>
        </w:rPr>
        <w:t xml:space="preserve">separate</w:t>
      </w:r>
      <w:r>
        <w:rPr>
          <w:rFonts w:ascii="Calibri" w:cs="Calibri" w:eastAsia="Calibri" w:hAnsi="Calibri"/>
          <w:sz w:val="19"/>
          <w:szCs w:val="19"/>
        </w:rPr>
        <w:t xml:space="preserve"> net income.</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11"/>
        </w:numPr>
        <w:spacing w:after="50" w:line="252"/>
      </w:pPr>
      <w:r>
        <w:rPr>
          <w:rFonts w:ascii="Calibri" w:cs="Calibri" w:eastAsia="Calibri" w:hAnsi="Calibri"/>
          <w:b/>
          <w:bCs/>
          <w:sz w:val="19"/>
          <w:szCs w:val="19"/>
        </w:rPr>
        <w:t xml:space="preserve">Cancel the remaining ~10.5% treasury</w:t>
      </w:r>
      <w:r>
        <w:rPr>
          <w:rFonts w:ascii="Calibri" w:cs="Calibri" w:eastAsia="Calibri" w:hAnsi="Calibri"/>
          <w:sz w:val="19"/>
          <w:szCs w:val="19"/>
        </w:rPr>
        <w:t xml:space="preserve"> and launch a ₩300bn+ buyback, in line with the new treasury-share regime.</w:t>
      </w:r>
    </w:p>
    <w:p>
      <w:pPr>
        <w:pStyle w:val="ListParagraph"/>
        <w:numPr>
          <w:ilvl w:val="0"/>
          <w:numId w:val="11"/>
        </w:numPr>
        <w:spacing w:after="50" w:line="252"/>
      </w:pPr>
      <w:r>
        <w:rPr>
          <w:rFonts w:ascii="Calibri" w:cs="Calibri" w:eastAsia="Calibri" w:hAnsi="Calibri"/>
          <w:b/>
          <w:bCs/>
          <w:sz w:val="19"/>
          <w:szCs w:val="19"/>
        </w:rPr>
        <w:t xml:space="preserve">Monetise the ₩1.57tn investment book</w:t>
      </w:r>
      <w:r>
        <w:rPr>
          <w:rFonts w:ascii="Calibri" w:cs="Calibri" w:eastAsia="Calibri" w:hAnsi="Calibri"/>
          <w:sz w:val="19"/>
          <w:szCs w:val="19"/>
        </w:rPr>
        <w:t xml:space="preserve">, starting with the OCI cross-holding after its re-rating. Return the proceeds and publish a capital framework targeting ROE above 10% by 2028, ahead of the company's 2030 goal.</w:t>
      </w:r>
    </w:p>
    <w:p>
      <w:pPr>
        <w:pStyle w:val="ListParagraph"/>
        <w:numPr>
          <w:ilvl w:val="0"/>
          <w:numId w:val="11"/>
        </w:numPr>
        <w:spacing w:after="50" w:line="252"/>
      </w:pPr>
      <w:r>
        <w:rPr>
          <w:rFonts w:ascii="Calibri" w:cs="Calibri" w:eastAsia="Calibri" w:hAnsi="Calibri"/>
          <w:b/>
          <w:bCs/>
          <w:sz w:val="19"/>
          <w:szCs w:val="19"/>
        </w:rPr>
        <w:t xml:space="preserve">Add an NPS-endorsed independent director through cumulative voting</w:t>
      </w:r>
      <w:r>
        <w:rPr>
          <w:rFonts w:ascii="Calibri" w:cs="Calibri" w:eastAsia="Calibri" w:hAnsi="Calibri"/>
          <w:sz w:val="19"/>
          <w:szCs w:val="19"/>
        </w:rPr>
        <w:t xml:space="preserve">, separate chair and CEO, and set a mandatory-cancellation policy for future buybacks.</w:t>
      </w:r>
    </w:p>
    <w:p>
      <w:pPr>
        <w:spacing w:after="100" w:line="264"/>
      </w:pPr>
      <w:r>
        <w:rPr>
          <w:rFonts w:ascii="Calibri" w:cs="Calibri" w:eastAsia="Calibri" w:hAnsi="Calibri"/>
          <w:b/>
          <w:bCs/>
          <w:sz w:val="19"/>
          <w:szCs w:val="19"/>
        </w:rPr>
        <w:t xml:space="preserve">Ease of building support: 3/5.</w:t>
      </w:r>
      <w:r>
        <w:rPr>
          <w:rFonts w:ascii="Calibri" w:cs="Calibri" w:eastAsia="Calibri" w:hAnsi="Calibri"/>
          <w:sz w:val="19"/>
          <w:szCs w:val="19"/>
        </w:rPr>
        <w:t xml:space="preserve"> The founding family holds 18% against NPS at 9.6% plus foreign institutions. Cha Partners' 2024 resolution got 25.6% with ISS and Glass Lewis opposed, so a better-designed, adviser-friendly campaign should do better. Park Chul-wan's roughly 10% block could pass to a constructive holder.</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"We delivered what we promised: 50% of treasury cancelled, 40–42% of separate NI returned, and the cleanest balance sheet in Korean petrochemicals. Holding net cash through the trough (peers average 6.8x leverage) is prudence, not hoarding. We are growing specialty and eco businesses toward 10% ROE by 2030. Shareholders backed us at 74–76% in 2024."</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Capital allocation (primary) · Governance</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10. Rinnai Corporation (5947 JP) — Tier 2 (activist present: Dalton)</w:t>
      </w:r>
    </w:p>
    <w:p>
      <w:pPr>
        <w:spacing w:after="100" w:line="264"/>
      </w:pPr>
      <w:r>
        <w:rPr>
          <w:rFonts w:ascii="Calibri" w:cs="Calibri" w:eastAsia="Calibri" w:hAnsi="Calibri"/>
          <w:b/>
          <w:bCs/>
          <w:sz w:val="19"/>
          <w:szCs w:val="19"/>
        </w:rPr>
        <w:t xml:space="preserve">Gas water heaters and appliances (Japan, US, China, Australia, Korea) · Market cap ¥467bn (US$2.95bn) · Support score 3/5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67"/>
        <w:gridCol w:w="1085"/>
        <w:gridCol w:w="1085"/>
        <w:gridCol w:w="1269"/>
      </w:tblGrid>
      <w:tr>
        <w:trPr>
          <w:cantSplit/>
          <w:tblHeader/>
        </w:trPr>
        <w:tc>
          <w:tcPr>
            <w:tcW w:type="dxa" w:w="646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108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08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26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4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Rinnai</w:t>
            </w:r>
          </w:p>
        </w:tc>
        <w:tc>
          <w:tcPr>
            <w:tcW w:type="dxa" w:w="108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+1.4%</w:t>
            </w:r>
          </w:p>
        </w:tc>
        <w:tc>
          <w:tcPr>
            <w:tcW w:type="dxa" w:w="108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+31.5%</w:t>
            </w:r>
          </w:p>
        </w:tc>
        <w:tc>
          <w:tcPr>
            <w:tcW w:type="dxa" w:w="126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+1.3%</w:t>
            </w:r>
          </w:p>
        </w:tc>
      </w:tr>
      <w:tr>
        <w:trPr>
          <w:cantSplit/>
        </w:trPr>
        <w:tc>
          <w:tcPr>
            <w:tcW w:type="dxa" w:w="646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(Noritz, Corona, Chofu, A.O. Smith)</w:t>
            </w:r>
          </w:p>
        </w:tc>
        <w:tc>
          <w:tcPr>
            <w:tcW w:type="dxa" w:w="108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+5.2%</w:t>
            </w:r>
          </w:p>
        </w:tc>
        <w:tc>
          <w:tcPr>
            <w:tcW w:type="dxa" w:w="108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w:t>
            </w:r>
          </w:p>
        </w:tc>
        <w:tc>
          <w:tcPr>
            <w:tcW w:type="dxa" w:w="126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+18.0%</w:t>
            </w:r>
          </w:p>
        </w:tc>
      </w:tr>
      <w:tr>
        <w:trPr>
          <w:cantSplit/>
        </w:trPr>
        <w:tc>
          <w:tcPr>
            <w:tcW w:type="dxa" w:w="64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Construction &amp; Materials (1619)</w:t>
            </w:r>
          </w:p>
        </w:tc>
        <w:tc>
          <w:tcPr>
            <w:tcW w:type="dxa" w:w="108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+18.8%</w:t>
            </w:r>
          </w:p>
        </w:tc>
        <w:tc>
          <w:tcPr>
            <w:tcW w:type="dxa" w:w="108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+71.2%</w:t>
            </w:r>
          </w:p>
        </w:tc>
        <w:tc>
          <w:tcPr>
            <w:tcW w:type="dxa" w:w="126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+94.3%</w:t>
            </w:r>
          </w:p>
        </w:tc>
      </w:tr>
      <w:tr>
        <w:trPr>
          <w:cantSplit/>
        </w:trPr>
        <w:tc>
          <w:tcPr>
            <w:tcW w:type="dxa" w:w="646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108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108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26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1348"/>
        <w:gridCol w:w="1180"/>
        <w:gridCol w:w="936"/>
        <w:gridCol w:w="843"/>
        <w:gridCol w:w="1011"/>
        <w:gridCol w:w="1011"/>
        <w:gridCol w:w="1517"/>
      </w:tblGrid>
      <w:tr>
        <w:trPr>
          <w:cantSplit/>
          <w:tblHeader/>
        </w:trPr>
        <w:tc>
          <w:tcPr>
            <w:tcW w:type="dxa" w:w="2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134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11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84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51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20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Rinnai</w:t>
            </w:r>
          </w:p>
        </w:tc>
        <w:tc>
          <w:tcPr>
            <w:tcW w:type="dxa" w:w="134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0.73x</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7.0x</w:t>
            </w:r>
          </w:p>
        </w:tc>
        <w:tc>
          <w:tcPr>
            <w:tcW w:type="dxa" w:w="9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12.9x</w:t>
            </w:r>
          </w:p>
        </w:tc>
        <w:tc>
          <w:tcPr>
            <w:tcW w:type="dxa" w:w="8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7.4%</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10.4%</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13.5%</w:t>
            </w:r>
          </w:p>
        </w:tc>
        <w:tc>
          <w:tcPr>
            <w:tcW w:type="dxa" w:w="15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−2.62x</w:t>
            </w:r>
          </w:p>
        </w:tc>
      </w:tr>
      <w:tr>
        <w:trPr>
          <w:cantSplit/>
        </w:trPr>
        <w:tc>
          <w:tcPr>
            <w:tcW w:type="dxa" w:w="206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134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0.77x</w:t>
            </w:r>
          </w:p>
        </w:tc>
        <w:tc>
          <w:tcPr>
            <w:tcW w:type="dxa" w:w="11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16.1x</w:t>
            </w:r>
          </w:p>
        </w:tc>
        <w:tc>
          <w:tcPr>
            <w:tcW w:type="dxa" w:w="9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19.0x</w:t>
            </w:r>
          </w:p>
        </w:tc>
        <w:tc>
          <w:tcPr>
            <w:tcW w:type="dxa" w:w="8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0.5%</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3.5%</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7.3%</w:t>
            </w:r>
          </w:p>
        </w:tc>
        <w:tc>
          <w:tcPr>
            <w:tcW w:type="dxa" w:w="15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−2.86x</w:t>
            </w:r>
          </w:p>
        </w:tc>
      </w:tr>
    </w:tbl>
    <w:p>
      <w:pPr>
        <w:spacing w:after="100"/>
      </w:pPr>
    </w:p>
    <w:p>
      <w:pPr>
        <w:spacing w:after="100" w:line="264"/>
      </w:pPr>
      <w:r>
        <w:rPr>
          <w:rFonts w:ascii="Calibri" w:cs="Calibri" w:eastAsia="Calibri" w:hAnsi="Calibri"/>
          <w:b/>
          <w:bCs/>
          <w:sz w:val="19"/>
          <w:szCs w:val="19"/>
        </w:rPr>
        <w:t xml:space="preserve">Top 5 shareholders (31-Mar-2026):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92"/>
        <w:gridCol w:w="1152"/>
        <w:gridCol w:w="4262"/>
      </w:tblGrid>
      <w:tr>
        <w:trPr>
          <w:cantSplit/>
          <w:tblHeader/>
        </w:trPr>
        <w:tc>
          <w:tcPr>
            <w:tcW w:type="dxa" w:w="449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15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426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Type</w:t>
            </w:r>
          </w:p>
        </w:tc>
      </w:tr>
      <w:tr>
        <w:trPr>
          <w:cantSplit/>
        </w:trPr>
        <w:tc>
          <w:tcPr>
            <w:tcW w:type="dxa" w:w="44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Naito Co.</w:t>
            </w:r>
          </w:p>
        </w:tc>
        <w:tc>
          <w:tcPr>
            <w:tcW w:type="dxa" w:w="115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13.50%</w:t>
            </w:r>
          </w:p>
        </w:tc>
        <w:tc>
          <w:tcPr>
            <w:tcW w:type="dxa" w:w="426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Founder-family asset company</w:t>
            </w:r>
          </w:p>
        </w:tc>
      </w:tr>
      <w:tr>
        <w:trPr>
          <w:cantSplit/>
        </w:trPr>
        <w:tc>
          <w:tcPr>
            <w:tcW w:type="dxa" w:w="449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w:t>
            </w:r>
          </w:p>
        </w:tc>
        <w:tc>
          <w:tcPr>
            <w:tcW w:type="dxa" w:w="115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12.01%</w:t>
            </w:r>
          </w:p>
        </w:tc>
        <w:tc>
          <w:tcPr>
            <w:tcW w:type="dxa" w:w="426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44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Kenji Hayashi</w:t>
            </w:r>
          </w:p>
        </w:tc>
        <w:tc>
          <w:tcPr>
            <w:tcW w:type="dxa" w:w="115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5.33%</w:t>
            </w:r>
          </w:p>
        </w:tc>
        <w:tc>
          <w:tcPr>
            <w:tcW w:type="dxa" w:w="426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Chairman, co-founder family</w:t>
            </w:r>
          </w:p>
        </w:tc>
      </w:tr>
      <w:tr>
        <w:trPr>
          <w:cantSplit/>
        </w:trPr>
        <w:tc>
          <w:tcPr>
            <w:tcW w:type="dxa" w:w="449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 Bank of Japan</w:t>
            </w:r>
          </w:p>
        </w:tc>
        <w:tc>
          <w:tcPr>
            <w:tcW w:type="dxa" w:w="115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5.04%</w:t>
            </w:r>
          </w:p>
        </w:tc>
        <w:tc>
          <w:tcPr>
            <w:tcW w:type="dxa" w:w="426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44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Rinnai Scholarship Foundation</w:t>
            </w:r>
          </w:p>
        </w:tc>
        <w:tc>
          <w:tcPr>
            <w:tcW w:type="dxa" w:w="115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3.04%</w:t>
            </w:r>
          </w:p>
        </w:tc>
        <w:tc>
          <w:tcPr>
            <w:tcW w:type="dxa" w:w="426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Family-linked</w:t>
            </w:r>
          </w:p>
        </w:tc>
      </w:tr>
    </w:tbl>
    <w:p>
      <w:pPr>
        <w:spacing w:after="100"/>
      </w:pPr>
    </w:p>
    <w:p>
      <w:pPr>
        <w:spacing w:after="100" w:line="264"/>
      </w:pPr>
      <w:r>
        <w:rPr>
          <w:rFonts w:ascii="Calibri" w:cs="Calibri" w:eastAsia="Calibri" w:hAnsi="Calibri"/>
          <w:sz w:val="19"/>
          <w:szCs w:val="19"/>
        </w:rPr>
        <w:t xml:space="preserve">The founder families hold about 23% in total. Dalton Kizuna is on the register (stake n/a).</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The best operator in the sector, with flat shares.</w:t>
      </w:r>
      <w:r>
        <w:rPr>
          <w:rFonts w:ascii="Calibri" w:cs="Calibri" w:eastAsia="Calibri" w:hAnsi="Calibri"/>
          <w:sz w:val="19"/>
          <w:szCs w:val="19"/>
        </w:rPr>
        <w:t xml:space="preserve"> EBIT margin is 10.4% vs a 3.5% peer median, but 5-year TSR is +1% against +94% for Rinnai's TOPIX sector and +105% for TOPIX.</w:t>
      </w:r>
    </w:p>
    <w:p>
      <w:pPr>
        <w:pStyle w:val="ListParagraph"/>
        <w:numPr>
          <w:ilvl w:val="0"/>
          <w:numId w:val="2"/>
        </w:numPr>
        <w:spacing w:after="50" w:line="252"/>
      </w:pPr>
      <w:r>
        <w:rPr>
          <w:rFonts w:ascii="Calibri" w:cs="Calibri" w:eastAsia="Calibri" w:hAnsi="Calibri"/>
          <w:b/>
          <w:bCs/>
          <w:sz w:val="19"/>
          <w:szCs w:val="19"/>
        </w:rPr>
        <w:t xml:space="preserve">Cash beyond management's own rule.</w:t>
      </w:r>
    </w:p>
    <w:p>
      <w:pPr>
        <w:pStyle w:val="ListParagraph"/>
        <w:numPr>
          <w:ilvl w:val="1"/>
          <w:numId w:val="2"/>
        </w:numPr>
        <w:spacing w:after="50" w:line="252"/>
      </w:pPr>
      <w:r>
        <w:rPr>
          <w:rFonts w:ascii="Calibri" w:cs="Calibri" w:eastAsia="Calibri" w:hAnsi="Calibri"/>
          <w:sz w:val="19"/>
          <w:szCs w:val="19"/>
        </w:rPr>
        <w:t xml:space="preserve">Net cash of ¥170bn is 37% of market cap.</w:t>
      </w:r>
    </w:p>
    <w:p>
      <w:pPr>
        <w:pStyle w:val="ListParagraph"/>
        <w:numPr>
          <w:ilvl w:val="1"/>
          <w:numId w:val="2"/>
        </w:numPr>
        <w:spacing w:after="50" w:line="252"/>
      </w:pPr>
      <w:r>
        <w:rPr>
          <w:rFonts w:ascii="Calibri" w:cs="Calibri" w:eastAsia="Calibri" w:hAnsi="Calibri"/>
          <w:sz w:val="19"/>
          <w:szCs w:val="19"/>
        </w:rPr>
        <w:t xml:space="preserve">On management's own 2.5-months-of-sales rule, about ¥82bn (18% of market cap) is surplus.</w:t>
      </w:r>
    </w:p>
    <w:p>
      <w:pPr>
        <w:pStyle w:val="ListParagraph"/>
        <w:numPr>
          <w:ilvl w:val="1"/>
          <w:numId w:val="2"/>
        </w:numPr>
        <w:spacing w:after="50" w:line="252"/>
      </w:pPr>
      <w:r>
        <w:rPr>
          <w:rFonts w:ascii="Calibri" w:cs="Calibri" w:eastAsia="Calibri" w:hAnsi="Calibri"/>
          <w:sz w:val="19"/>
          <w:szCs w:val="19"/>
        </w:rPr>
        <w:t xml:space="preserve">¥53bn of minority interests leak profit from partly-owned overseas subsidiaries.</w:t>
      </w:r>
    </w:p>
    <w:p>
      <w:pPr>
        <w:pStyle w:val="ListParagraph"/>
        <w:numPr>
          <w:ilvl w:val="0"/>
          <w:numId w:val="2"/>
        </w:numPr>
        <w:spacing w:after="50" w:line="252"/>
      </w:pPr>
      <w:r>
        <w:rPr>
          <w:rFonts w:ascii="Calibri" w:cs="Calibri" w:eastAsia="Calibri" w:hAnsi="Calibri"/>
          <w:b/>
          <w:bCs/>
          <w:sz w:val="19"/>
          <w:szCs w:val="19"/>
        </w:rPr>
        <w:t xml:space="preserve">Growth by acquisition without disclosed hurdles.</w:t>
      </w:r>
      <w:r>
        <w:rPr>
          <w:rFonts w:ascii="Calibri" w:cs="Calibri" w:eastAsia="Calibri" w:hAnsi="Calibri"/>
          <w:sz w:val="19"/>
          <w:szCs w:val="19"/>
        </w:rPr>
        <w:t xml:space="preserve"> China water heaters drove the last plan's miss. The new plan adds deals in Peru, Australia, Mexico and Costa Rica, a US plant and China capacity, with no stated return thresholds.</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12"/>
        </w:numPr>
        <w:spacing w:after="50" w:line="252"/>
      </w:pPr>
      <w:r>
        <w:rPr>
          <w:rFonts w:ascii="Calibri" w:cs="Calibri" w:eastAsia="Calibri" w:hAnsi="Calibri"/>
          <w:b/>
          <w:bCs/>
          <w:sz w:val="19"/>
          <w:szCs w:val="19"/>
        </w:rPr>
        <w:t xml:space="preserve">Distribute the surplus ¥80bn</w:t>
      </w:r>
      <w:r>
        <w:rPr>
          <w:rFonts w:ascii="Calibri" w:cs="Calibri" w:eastAsia="Calibri" w:hAnsi="Calibri"/>
          <w:sz w:val="19"/>
          <w:szCs w:val="19"/>
        </w:rPr>
        <w:t xml:space="preserve"> via tender or accelerated buyback, and lift the payout from about 40% to 50%. Adopt the cost-of-capital disclosure Dalton requested.</w:t>
      </w:r>
    </w:p>
    <w:p>
      <w:pPr>
        <w:pStyle w:val="ListParagraph"/>
        <w:numPr>
          <w:ilvl w:val="0"/>
          <w:numId w:val="12"/>
        </w:numPr>
        <w:spacing w:after="50" w:line="252"/>
      </w:pPr>
      <w:r>
        <w:rPr>
          <w:rFonts w:ascii="Calibri" w:cs="Calibri" w:eastAsia="Calibri" w:hAnsi="Calibri"/>
          <w:b/>
          <w:bCs/>
          <w:sz w:val="19"/>
          <w:szCs w:val="19"/>
        </w:rPr>
        <w:t xml:space="preserve">Simplify the group.</w:t>
      </w:r>
      <w:r>
        <w:rPr>
          <w:rFonts w:ascii="Calibri" w:cs="Calibri" w:eastAsia="Calibri" w:hAnsi="Calibri"/>
          <w:sz w:val="19"/>
          <w:szCs w:val="19"/>
        </w:rPr>
        <w:t xml:space="preserve"> Buy in overseas minorities where returns justify it and exit sub-scale China operations. Publish ROIC by region.</w:t>
      </w:r>
    </w:p>
    <w:p>
      <w:pPr>
        <w:pStyle w:val="ListParagraph"/>
        <w:numPr>
          <w:ilvl w:val="0"/>
          <w:numId w:val="12"/>
        </w:numPr>
        <w:spacing w:after="50" w:line="252"/>
      </w:pPr>
      <w:r>
        <w:rPr>
          <w:rFonts w:ascii="Calibri" w:cs="Calibri" w:eastAsia="Calibri" w:hAnsi="Calibri"/>
          <w:b/>
          <w:bCs/>
          <w:sz w:val="19"/>
          <w:szCs w:val="19"/>
        </w:rPr>
        <w:t xml:space="preserve">Governance.</w:t>
      </w:r>
      <w:r>
        <w:rPr>
          <w:rFonts w:ascii="Calibri" w:cs="Calibri" w:eastAsia="Calibri" w:hAnsi="Calibri"/>
          <w:sz w:val="19"/>
          <w:szCs w:val="19"/>
        </w:rPr>
        <w:t xml:space="preserve"> Move to a majority-independent board (now 44%), with a succession process beyond the two founder families and restricted-stock pay.</w:t>
      </w:r>
    </w:p>
    <w:p>
      <w:pPr>
        <w:spacing w:after="100" w:line="264"/>
      </w:pPr>
      <w:r>
        <w:rPr>
          <w:rFonts w:ascii="Calibri" w:cs="Calibri" w:eastAsia="Calibri" w:hAnsi="Calibri"/>
          <w:b/>
          <w:bCs/>
          <w:sz w:val="19"/>
          <w:szCs w:val="19"/>
        </w:rPr>
        <w:t xml:space="preserve">Ease of building support: 3/5.</w:t>
      </w:r>
      <w:r>
        <w:rPr>
          <w:rFonts w:ascii="Calibri" w:cs="Calibri" w:eastAsia="Calibri" w:hAnsi="Calibri"/>
          <w:sz w:val="19"/>
          <w:szCs w:val="19"/>
        </w:rPr>
        <w:t xml:space="preserve"> The founder families' roughly 23% is meaningful but far from blocking, and the rest of the register is institutional. Dalton has filed proposals two years running; all were rejected and vote percentages are not disclosed in our sources. A third, board-focused campaign at the June-2027 AGM is plausible.</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"Buybacks beyond plan 'could distort the financial foundation and constrain necessary growth investments' (the board's 2025 response). 'accelerate 2030' already commits to progressive dividends at about 40%, flexible buybacks and a disciplined cash rule. Our top executives hold many shares, so alignment exists. Growth in the US, China, LatAm and heat pumps is the better use of cash."</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Capital allocation · M&amp;A discipline · Governance</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11. T. Hasegawa (4958 JP) — Tier 2</w:t>
      </w:r>
    </w:p>
    <w:p>
      <w:pPr>
        <w:spacing w:after="100" w:line="264"/>
      </w:pPr>
      <w:r>
        <w:rPr>
          <w:rFonts w:ascii="Calibri" w:cs="Calibri" w:eastAsia="Calibri" w:hAnsi="Calibri"/>
          <w:b/>
          <w:bCs/>
          <w:sz w:val="19"/>
          <w:szCs w:val="19"/>
        </w:rPr>
        <w:t xml:space="preserve">Flavours (about 90%) and fragrances · Market cap ¥140bn (US$0.89bn) · Support score 3/5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76"/>
        <w:gridCol w:w="1083"/>
        <w:gridCol w:w="1083"/>
        <w:gridCol w:w="1264"/>
      </w:tblGrid>
      <w:tr>
        <w:trPr>
          <w:cantSplit/>
          <w:tblHeader/>
        </w:trPr>
        <w:tc>
          <w:tcPr>
            <w:tcW w:type="dxa" w:w="647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108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08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26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4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T. Hasegawa</w:t>
            </w:r>
          </w:p>
        </w:tc>
        <w:tc>
          <w:tcPr>
            <w:tcW w:type="dxa" w:w="108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+27.6%</w:t>
            </w:r>
          </w:p>
        </w:tc>
        <w:tc>
          <w:tcPr>
            <w:tcW w:type="dxa" w:w="108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+14.3%</w:t>
            </w:r>
          </w:p>
        </w:tc>
        <w:tc>
          <w:tcPr>
            <w:tcW w:type="dxa" w:w="12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+36.6%</w:t>
            </w:r>
          </w:p>
        </w:tc>
      </w:tr>
      <w:tr>
        <w:trPr>
          <w:cantSplit/>
        </w:trPr>
        <w:tc>
          <w:tcPr>
            <w:tcW w:type="dxa" w:w="64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(Takasago, Givaudan, Symrise, IFF)</w:t>
            </w:r>
          </w:p>
        </w:tc>
        <w:tc>
          <w:tcPr>
            <w:tcW w:type="dxa" w:w="108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+21.5%</w:t>
            </w:r>
          </w:p>
        </w:tc>
        <w:tc>
          <w:tcPr>
            <w:tcW w:type="dxa" w:w="108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+43.8%</w:t>
            </w:r>
          </w:p>
        </w:tc>
        <w:tc>
          <w:tcPr>
            <w:tcW w:type="dxa" w:w="12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−5.7%</w:t>
            </w:r>
          </w:p>
        </w:tc>
      </w:tr>
      <w:tr>
        <w:trPr>
          <w:cantSplit/>
        </w:trPr>
        <w:tc>
          <w:tcPr>
            <w:tcW w:type="dxa" w:w="64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Raw Materials &amp; Chemicals (1620)</w:t>
            </w:r>
          </w:p>
        </w:tc>
        <w:tc>
          <w:tcPr>
            <w:tcW w:type="dxa" w:w="108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+26.2%</w:t>
            </w:r>
          </w:p>
        </w:tc>
        <w:tc>
          <w:tcPr>
            <w:tcW w:type="dxa" w:w="108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+41.4%</w:t>
            </w:r>
          </w:p>
        </w:tc>
        <w:tc>
          <w:tcPr>
            <w:tcW w:type="dxa" w:w="12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+37.0%</w:t>
            </w:r>
          </w:p>
        </w:tc>
      </w:tr>
      <w:tr>
        <w:trPr>
          <w:cantSplit/>
        </w:trPr>
        <w:tc>
          <w:tcPr>
            <w:tcW w:type="dxa" w:w="64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108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108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2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1348"/>
        <w:gridCol w:w="1180"/>
        <w:gridCol w:w="936"/>
        <w:gridCol w:w="843"/>
        <w:gridCol w:w="1011"/>
        <w:gridCol w:w="1011"/>
        <w:gridCol w:w="1517"/>
      </w:tblGrid>
      <w:tr>
        <w:trPr>
          <w:cantSplit/>
          <w:tblHeader/>
        </w:trPr>
        <w:tc>
          <w:tcPr>
            <w:tcW w:type="dxa" w:w="2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134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11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84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51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20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T. Hasegawa</w:t>
            </w:r>
          </w:p>
        </w:tc>
        <w:tc>
          <w:tcPr>
            <w:tcW w:type="dxa" w:w="134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1.34x</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11.5x</w:t>
            </w:r>
          </w:p>
        </w:tc>
        <w:tc>
          <w:tcPr>
            <w:tcW w:type="dxa" w:w="9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17.8x</w:t>
            </w:r>
          </w:p>
        </w:tc>
        <w:tc>
          <w:tcPr>
            <w:tcW w:type="dxa" w:w="8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5.4%</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11.6%</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18.9%</w:t>
            </w:r>
          </w:p>
        </w:tc>
        <w:tc>
          <w:tcPr>
            <w:tcW w:type="dxa" w:w="15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−2.36x</w:t>
            </w:r>
          </w:p>
        </w:tc>
      </w:tr>
      <w:tr>
        <w:trPr>
          <w:cantSplit/>
        </w:trPr>
        <w:tc>
          <w:tcPr>
            <w:tcW w:type="dxa" w:w="206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134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2.89x</w:t>
            </w:r>
          </w:p>
        </w:tc>
        <w:tc>
          <w:tcPr>
            <w:tcW w:type="dxa" w:w="11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28.0x</w:t>
            </w:r>
          </w:p>
        </w:tc>
        <w:tc>
          <w:tcPr>
            <w:tcW w:type="dxa" w:w="9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46.5x</w:t>
            </w:r>
          </w:p>
        </w:tc>
        <w:tc>
          <w:tcPr>
            <w:tcW w:type="dxa" w:w="8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2.8%</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10.5%</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16.2%</w:t>
            </w:r>
          </w:p>
        </w:tc>
        <w:tc>
          <w:tcPr>
            <w:tcW w:type="dxa" w:w="15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2.83x</w:t>
            </w:r>
          </w:p>
        </w:tc>
      </w:tr>
    </w:tbl>
    <w:p>
      <w:pPr>
        <w:spacing w:after="100"/>
      </w:pPr>
    </w:p>
    <w:p>
      <w:pPr>
        <w:spacing w:after="100" w:line="264"/>
      </w:pPr>
      <w:r>
        <w:rPr>
          <w:rFonts w:ascii="Calibri" w:cs="Calibri" w:eastAsia="Calibri" w:hAnsi="Calibri"/>
          <w:b/>
          <w:bCs/>
          <w:sz w:val="19"/>
          <w:szCs w:val="19"/>
        </w:rPr>
        <w:t xml:space="preserve">Top 5 shareholders (30-Sep-2025):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81"/>
        <w:gridCol w:w="783"/>
        <w:gridCol w:w="4542"/>
      </w:tblGrid>
      <w:tr>
        <w:trPr>
          <w:cantSplit/>
          <w:tblHeader/>
        </w:trPr>
        <w:tc>
          <w:tcPr>
            <w:tcW w:type="dxa" w:w="458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78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45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Notes</w:t>
            </w:r>
          </w:p>
        </w:tc>
      </w:tr>
      <w:tr>
        <w:trPr>
          <w:cantSplit/>
        </w:trPr>
        <w:tc>
          <w:tcPr>
            <w:tcW w:type="dxa" w:w="458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Hasegawa Totaro Shoten</w:t>
            </w:r>
          </w:p>
        </w:tc>
        <w:tc>
          <w:tcPr>
            <w:tcW w:type="dxa" w:w="78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16.36%</w:t>
            </w:r>
          </w:p>
        </w:tc>
        <w:tc>
          <w:tcPr>
            <w:tcW w:type="dxa" w:w="454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Founder-family company</w:t>
            </w:r>
          </w:p>
        </w:tc>
      </w:tr>
      <w:tr>
        <w:trPr>
          <w:cantSplit/>
        </w:trPr>
        <w:tc>
          <w:tcPr>
            <w:tcW w:type="dxa" w:w="458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JPMorgan 380055</w:t>
            </w:r>
          </w:p>
        </w:tc>
        <w:tc>
          <w:tcPr>
            <w:tcW w:type="dxa" w:w="78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12.22%</w:t>
            </w:r>
          </w:p>
        </w:tc>
        <w:tc>
          <w:tcPr>
            <w:tcW w:type="dxa" w:w="454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Nominee; likely First Eagle, which filed 13% in 2018</w:t>
            </w:r>
          </w:p>
        </w:tc>
      </w:tr>
      <w:tr>
        <w:trPr>
          <w:cantSplit/>
        </w:trPr>
        <w:tc>
          <w:tcPr>
            <w:tcW w:type="dxa" w:w="458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w:t>
            </w:r>
          </w:p>
        </w:tc>
        <w:tc>
          <w:tcPr>
            <w:tcW w:type="dxa" w:w="78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11.06%</w:t>
            </w:r>
          </w:p>
        </w:tc>
        <w:tc>
          <w:tcPr>
            <w:tcW w:type="dxa" w:w="454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458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JPMorgan 385632</w:t>
            </w:r>
          </w:p>
        </w:tc>
        <w:tc>
          <w:tcPr>
            <w:tcW w:type="dxa" w:w="78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6.02%</w:t>
            </w:r>
          </w:p>
        </w:tc>
        <w:tc>
          <w:tcPr>
            <w:tcW w:type="dxa" w:w="454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Nominee</w:t>
            </w:r>
          </w:p>
        </w:tc>
      </w:tr>
      <w:tr>
        <w:trPr>
          <w:cantSplit/>
        </w:trPr>
        <w:tc>
          <w:tcPr>
            <w:tcW w:type="dxa" w:w="458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Hasegawa Foreign Student Scholarship Foundation</w:t>
            </w:r>
          </w:p>
        </w:tc>
        <w:tc>
          <w:tcPr>
            <w:tcW w:type="dxa" w:w="78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4.94%</w:t>
            </w:r>
          </w:p>
        </w:tc>
        <w:tc>
          <w:tcPr>
            <w:tcW w:type="dxa" w:w="454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bl>
    <w:p>
      <w:pPr>
        <w:spacing w:after="100"/>
      </w:pPr>
    </w:p>
    <w:p>
      <w:pPr>
        <w:spacing w:after="100" w:line="264"/>
      </w:pPr>
      <w:r>
        <w:rPr>
          <w:rFonts w:ascii="Calibri" w:cs="Calibri" w:eastAsia="Calibri" w:hAnsi="Calibri"/>
          <w:sz w:val="19"/>
          <w:szCs w:val="19"/>
        </w:rPr>
        <w:t xml:space="preserve">The family group holds about 21%. MFS filed 6.27% in 2025. Foreign ownership is 42.5%.</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A scarce listed flavour franchise at less than half the sector multiple.</w:t>
      </w:r>
      <w:r>
        <w:rPr>
          <w:rFonts w:ascii="Calibri" w:cs="Calibri" w:eastAsia="Calibri" w:hAnsi="Calibri"/>
          <w:sz w:val="19"/>
          <w:szCs w:val="19"/>
        </w:rPr>
        <w:t xml:space="preserve"> It trades at 11.5x EV/EBIT vs 28x for global F&amp;F peers, with </w:t>
      </w:r>
      <w:r>
        <w:rPr>
          <w:rFonts w:ascii="Calibri" w:cs="Calibri" w:eastAsia="Calibri" w:hAnsi="Calibri"/>
          <w:i/>
          <w:iCs/>
          <w:sz w:val="19"/>
          <w:szCs w:val="19"/>
        </w:rPr>
        <w:t xml:space="preserve">higher</w:t>
      </w:r>
      <w:r>
        <w:rPr>
          <w:rFonts w:ascii="Calibri" w:cs="Calibri" w:eastAsia="Calibri" w:hAnsi="Calibri"/>
          <w:sz w:val="19"/>
          <w:szCs w:val="19"/>
        </w:rPr>
        <w:t xml:space="preserve"> margins than the peer median. 3-year TSR trails peers by 30pp and TOPIX by 65pp.</w:t>
      </w:r>
    </w:p>
    <w:p>
      <w:pPr>
        <w:pStyle w:val="ListParagraph"/>
        <w:numPr>
          <w:ilvl w:val="0"/>
          <w:numId w:val="2"/>
        </w:numPr>
        <w:spacing w:after="50" w:line="252"/>
      </w:pPr>
      <w:r>
        <w:rPr>
          <w:rFonts w:ascii="Calibri" w:cs="Calibri" w:eastAsia="Calibri" w:hAnsi="Calibri"/>
          <w:b/>
          <w:bCs/>
          <w:sz w:val="19"/>
          <w:szCs w:val="19"/>
        </w:rPr>
        <w:t xml:space="preserve">US acquisitions keep destroying value.</w:t>
      </w:r>
    </w:p>
    <w:p>
      <w:pPr>
        <w:pStyle w:val="ListParagraph"/>
        <w:numPr>
          <w:ilvl w:val="1"/>
          <w:numId w:val="2"/>
        </w:numPr>
        <w:spacing w:after="50" w:line="252"/>
      </w:pPr>
      <w:r>
        <w:rPr>
          <w:rFonts w:ascii="Calibri" w:cs="Calibri" w:eastAsia="Calibri" w:hAnsi="Calibri"/>
          <w:sz w:val="19"/>
          <w:szCs w:val="19"/>
        </w:rPr>
        <w:t xml:space="preserve">Flavor Ingredient Holdings: goodwill fully written off.</w:t>
      </w:r>
    </w:p>
    <w:p>
      <w:pPr>
        <w:pStyle w:val="ListParagraph"/>
        <w:numPr>
          <w:ilvl w:val="1"/>
          <w:numId w:val="2"/>
        </w:numPr>
        <w:spacing w:after="50" w:line="252"/>
      </w:pPr>
      <w:r>
        <w:rPr>
          <w:rFonts w:ascii="Calibri" w:cs="Calibri" w:eastAsia="Calibri" w:hAnsi="Calibri"/>
          <w:sz w:val="19"/>
          <w:szCs w:val="19"/>
        </w:rPr>
        <w:t xml:space="preserve">Abelei: ¥6.85bn, of which ¥3.3bn goodwill.</w:t>
      </w:r>
    </w:p>
    <w:p>
      <w:pPr>
        <w:pStyle w:val="ListParagraph"/>
        <w:numPr>
          <w:ilvl w:val="1"/>
          <w:numId w:val="2"/>
        </w:numPr>
        <w:spacing w:after="50" w:line="252"/>
      </w:pPr>
      <w:r>
        <w:rPr>
          <w:rFonts w:ascii="Calibri" w:cs="Calibri" w:eastAsia="Calibri" w:hAnsi="Calibri"/>
          <w:sz w:val="19"/>
          <w:szCs w:val="19"/>
        </w:rPr>
        <w:t xml:space="preserve">The US segment loses money, and the auditor flags the ¥28.7bn carrying value of TH USA as a key audit matter.</w:t>
      </w:r>
    </w:p>
    <w:p>
      <w:pPr>
        <w:pStyle w:val="ListParagraph"/>
        <w:numPr>
          <w:ilvl w:val="0"/>
          <w:numId w:val="2"/>
        </w:numPr>
        <w:spacing w:after="50" w:line="252"/>
      </w:pPr>
      <w:r>
        <w:rPr>
          <w:rFonts w:ascii="Calibri" w:cs="Calibri" w:eastAsia="Calibri" w:hAnsi="Calibri"/>
          <w:b/>
          <w:bCs/>
          <w:sz w:val="19"/>
          <w:szCs w:val="19"/>
        </w:rPr>
        <w:t xml:space="preserve">A conservative balance sheet in a sector that runs about 3x leverage.</w:t>
      </w:r>
      <w:r>
        <w:rPr>
          <w:rFonts w:ascii="Calibri" w:cs="Calibri" w:eastAsia="Calibri" w:hAnsi="Calibri"/>
          <w:sz w:val="19"/>
          <w:szCs w:val="19"/>
        </w:rPr>
        <w:t xml:space="preserve"> Cash and securities are 33% of market cap and there are 30 customer cross-holdings (¥10.7bn). SG&amp;A is 25.7% of sales vs 18.5% for peers, and ROE is 5.8%.</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13"/>
        </w:numPr>
        <w:spacing w:after="50" w:line="252"/>
      </w:pPr>
      <w:r>
        <w:rPr>
          <w:rFonts w:ascii="Calibri" w:cs="Calibri" w:eastAsia="Calibri" w:hAnsi="Calibri"/>
          <w:b/>
          <w:bCs/>
          <w:sz w:val="19"/>
          <w:szCs w:val="19"/>
        </w:rPr>
        <w:t xml:space="preserve">Fix or exit the US within 24 months.</w:t>
      </w:r>
      <w:r>
        <w:rPr>
          <w:rFonts w:ascii="Calibri" w:cs="Calibri" w:eastAsia="Calibri" w:hAnsi="Calibri"/>
          <w:sz w:val="19"/>
          <w:szCs w:val="19"/>
        </w:rPr>
        <w:t xml:space="preserve"> Set a published margin plan with consequences, and stop further US M&amp;A.</w:t>
      </w:r>
    </w:p>
    <w:p>
      <w:pPr>
        <w:pStyle w:val="ListParagraph"/>
        <w:numPr>
          <w:ilvl w:val="0"/>
          <w:numId w:val="13"/>
        </w:numPr>
        <w:spacing w:after="50" w:line="252"/>
      </w:pPr>
      <w:r>
        <w:rPr>
          <w:rFonts w:ascii="Calibri" w:cs="Calibri" w:eastAsia="Calibri" w:hAnsi="Calibri"/>
          <w:b/>
          <w:bCs/>
          <w:sz w:val="19"/>
          <w:szCs w:val="19"/>
        </w:rPr>
        <w:t xml:space="preserve">Sell the cross-holdings and return about ¥20bn</w:t>
      </w:r>
      <w:r>
        <w:rPr>
          <w:rFonts w:ascii="Calibri" w:cs="Calibri" w:eastAsia="Calibri" w:hAnsi="Calibri"/>
          <w:sz w:val="19"/>
          <w:szCs w:val="19"/>
        </w:rPr>
        <w:t xml:space="preserve"> of surplus cash through cancelled buybacks. Set an ROE target of at least 10%, and link the ¥36.8bn capex plan to returns.</w:t>
      </w:r>
    </w:p>
    <w:p>
      <w:pPr>
        <w:pStyle w:val="ListParagraph"/>
        <w:numPr>
          <w:ilvl w:val="0"/>
          <w:numId w:val="13"/>
        </w:numPr>
        <w:spacing w:after="50" w:line="252"/>
      </w:pPr>
      <w:r>
        <w:rPr>
          <w:rFonts w:ascii="Calibri" w:cs="Calibri" w:eastAsia="Calibri" w:hAnsi="Calibri"/>
          <w:b/>
          <w:bCs/>
          <w:sz w:val="19"/>
          <w:szCs w:val="19"/>
        </w:rPr>
        <w:t xml:space="preserve">Explore strategic alternatives.</w:t>
      </w:r>
      <w:r>
        <w:rPr>
          <w:rFonts w:ascii="Calibri" w:cs="Calibri" w:eastAsia="Calibri" w:hAnsi="Calibri"/>
          <w:sz w:val="19"/>
          <w:szCs w:val="19"/>
        </w:rPr>
        <w:t xml:space="preserve"> In a consolidating global F&amp;F industry, a combination or minority partnership could close the roughly 2.4x multiple gap. The family's 21% is the decisive relationship.</w:t>
      </w:r>
    </w:p>
    <w:p>
      <w:pPr>
        <w:spacing w:after="100" w:line="264"/>
      </w:pPr>
      <w:r>
        <w:rPr>
          <w:rFonts w:ascii="Calibri" w:cs="Calibri" w:eastAsia="Calibri" w:hAnsi="Calibri"/>
          <w:b/>
          <w:bCs/>
          <w:sz w:val="19"/>
          <w:szCs w:val="19"/>
        </w:rPr>
        <w:t xml:space="preserve">Ease of building support: 3/5.</w:t>
      </w:r>
      <w:r>
        <w:rPr>
          <w:rFonts w:ascii="Calibri" w:cs="Calibri" w:eastAsia="Calibri" w:hAnsi="Calibri"/>
          <w:sz w:val="19"/>
          <w:szCs w:val="19"/>
        </w:rPr>
        <w:t xml:space="preserve"> The family group is about 21%, and "other corporations" (including the family company and customer cross-holders such as Ajinomoto and Takasago) hold 23.7%. Long-term value holders (First Eagle about 12%, MFS 6%) are natural allies for a capital-efficiency agenda but are unlikely to back a hostile campaign. The approach should be private engagement first.</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"Cash is committed to a ¥36.8bn capex programme and to selective M&amp;A in Southeast Asia and the US. Returns have stepped up: DPS +35% to ¥100, DOE of at least 3% and ¥2.2bn of buybacks. Cross-holdings support customer relationships and are reviewed against WACC. The US is being fixed with outside consultants."</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M&amp;A discipline · Capital allocation · Strategic alternatives</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12. Shibaura Machine (6104 JP) — Tier 2 (activist present: Oasis)</w:t>
      </w:r>
    </w:p>
    <w:p>
      <w:pPr>
        <w:spacing w:after="100" w:line="264"/>
      </w:pPr>
      <w:r>
        <w:rPr>
          <w:rFonts w:ascii="Calibri" w:cs="Calibri" w:eastAsia="Calibri" w:hAnsi="Calibri"/>
          <w:b/>
          <w:bCs/>
          <w:sz w:val="19"/>
          <w:szCs w:val="19"/>
        </w:rPr>
        <w:t xml:space="preserve">Injection and die-cast moulding machines, machine tools, controls · Market cap ¥114bn (US$0.72bn) · Support score 4/5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98"/>
        <w:gridCol w:w="932"/>
        <w:gridCol w:w="1088"/>
        <w:gridCol w:w="1088"/>
      </w:tblGrid>
      <w:tr>
        <w:trPr>
          <w:cantSplit/>
          <w:tblHeader/>
        </w:trPr>
        <w:tc>
          <w:tcPr>
            <w:tcW w:type="dxa" w:w="679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9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08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08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79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Shibaura Machine</w:t>
            </w:r>
          </w:p>
        </w:tc>
        <w:tc>
          <w:tcPr>
            <w:tcW w:type="dxa" w:w="93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+22.6%</w:t>
            </w:r>
          </w:p>
        </w:tc>
        <w:tc>
          <w:tcPr>
            <w:tcW w:type="dxa" w:w="10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+38.2%</w:t>
            </w:r>
          </w:p>
        </w:tc>
        <w:tc>
          <w:tcPr>
            <w:tcW w:type="dxa" w:w="10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+106.9%</w:t>
            </w:r>
          </w:p>
        </w:tc>
      </w:tr>
      <w:tr>
        <w:trPr>
          <w:cantSplit/>
        </w:trPr>
        <w:tc>
          <w:tcPr>
            <w:tcW w:type="dxa" w:w="679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(DMG Mori, Okuma, Makino, Sodick, Japan Steel Works)</w:t>
            </w:r>
          </w:p>
        </w:tc>
        <w:tc>
          <w:tcPr>
            <w:tcW w:type="dxa" w:w="9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+45.3%</w:t>
            </w:r>
          </w:p>
        </w:tc>
        <w:tc>
          <w:tcPr>
            <w:tcW w:type="dxa" w:w="108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+116.3%</w:t>
            </w:r>
          </w:p>
        </w:tc>
        <w:tc>
          <w:tcPr>
            <w:tcW w:type="dxa" w:w="108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+101.9%</w:t>
            </w:r>
          </w:p>
        </w:tc>
      </w:tr>
      <w:tr>
        <w:trPr>
          <w:cantSplit/>
        </w:trPr>
        <w:tc>
          <w:tcPr>
            <w:tcW w:type="dxa" w:w="679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Machinery (1624)</w:t>
            </w:r>
          </w:p>
        </w:tc>
        <w:tc>
          <w:tcPr>
            <w:tcW w:type="dxa" w:w="93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+14.7%</w:t>
            </w:r>
          </w:p>
        </w:tc>
        <w:tc>
          <w:tcPr>
            <w:tcW w:type="dxa" w:w="10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+78.5%</w:t>
            </w:r>
          </w:p>
        </w:tc>
        <w:tc>
          <w:tcPr>
            <w:tcW w:type="dxa" w:w="10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+104.9%</w:t>
            </w:r>
          </w:p>
        </w:tc>
      </w:tr>
      <w:tr>
        <w:trPr>
          <w:cantSplit/>
        </w:trPr>
        <w:tc>
          <w:tcPr>
            <w:tcW w:type="dxa" w:w="679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9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108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08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p>
      <w:pPr>
        <w:spacing w:after="100" w:line="264"/>
      </w:pPr>
      <w:r>
        <w:rPr>
          <w:rFonts w:ascii="Calibri" w:cs="Calibri" w:eastAsia="Calibri" w:hAnsi="Calibri"/>
          <w:i/>
          <w:iCs/>
          <w:sz w:val="19"/>
          <w:szCs w:val="19"/>
        </w:rPr>
        <w:t xml:space="preserve">The 5-year return is in line only because of 2021–23 gains. Over 3 years Shibaura trails peers by 78pp and its sector by 40pp.</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2"/>
        <w:gridCol w:w="826"/>
        <w:gridCol w:w="2036"/>
        <w:gridCol w:w="574"/>
        <w:gridCol w:w="2610"/>
        <w:gridCol w:w="619"/>
        <w:gridCol w:w="619"/>
        <w:gridCol w:w="930"/>
      </w:tblGrid>
      <w:tr>
        <w:trPr>
          <w:cantSplit/>
          <w:tblHeader/>
        </w:trPr>
        <w:tc>
          <w:tcPr>
            <w:tcW w:type="dxa" w:w="169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82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203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57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261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61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61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93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16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Shibaura Machine</w:t>
            </w:r>
          </w:p>
        </w:tc>
        <w:tc>
          <w:tcPr>
            <w:tcW w:type="dxa" w:w="82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0.70x</w:t>
            </w:r>
          </w:p>
        </w:tc>
        <w:tc>
          <w:tcPr>
            <w:tcW w:type="dxa" w:w="20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30.8x (depressed EBIT)</w:t>
            </w:r>
          </w:p>
        </w:tc>
        <w:tc>
          <w:tcPr>
            <w:tcW w:type="dxa" w:w="57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n.m.</w:t>
            </w:r>
          </w:p>
        </w:tc>
        <w:tc>
          <w:tcPr>
            <w:tcW w:type="dxa" w:w="261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−9.8% (working-capital build)</w:t>
            </w:r>
          </w:p>
        </w:tc>
        <w:tc>
          <w:tcPr>
            <w:tcW w:type="dxa" w:w="6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2.3%</w:t>
            </w:r>
          </w:p>
        </w:tc>
        <w:tc>
          <w:tcPr>
            <w:tcW w:type="dxa" w:w="6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5.1%</w:t>
            </w:r>
          </w:p>
        </w:tc>
        <w:tc>
          <w:tcPr>
            <w:tcW w:type="dxa" w:w="93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−4.5x</w:t>
            </w:r>
          </w:p>
        </w:tc>
      </w:tr>
      <w:tr>
        <w:trPr>
          <w:cantSplit/>
        </w:trPr>
        <w:tc>
          <w:tcPr>
            <w:tcW w:type="dxa" w:w="169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82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1.07x</w:t>
            </w:r>
          </w:p>
        </w:tc>
        <w:tc>
          <w:tcPr>
            <w:tcW w:type="dxa" w:w="20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14.2x</w:t>
            </w:r>
          </w:p>
        </w:tc>
        <w:tc>
          <w:tcPr>
            <w:tcW w:type="dxa" w:w="57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14.7x</w:t>
            </w:r>
          </w:p>
        </w:tc>
        <w:tc>
          <w:tcPr>
            <w:tcW w:type="dxa" w:w="261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4.0%</w:t>
            </w:r>
          </w:p>
        </w:tc>
        <w:tc>
          <w:tcPr>
            <w:tcW w:type="dxa" w:w="6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7.5%</w:t>
            </w:r>
          </w:p>
        </w:tc>
        <w:tc>
          <w:tcPr>
            <w:tcW w:type="dxa" w:w="6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11.5%</w:t>
            </w:r>
          </w:p>
        </w:tc>
        <w:tc>
          <w:tcPr>
            <w:tcW w:type="dxa" w:w="93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−0.5x</w:t>
            </w:r>
          </w:p>
        </w:tc>
      </w:tr>
    </w:tbl>
    <w:p>
      <w:pPr>
        <w:spacing w:after="100"/>
      </w:pPr>
    </w:p>
    <w:p>
      <w:pPr>
        <w:spacing w:after="100" w:line="264"/>
      </w:pPr>
      <w:r>
        <w:rPr>
          <w:rFonts w:ascii="Calibri" w:cs="Calibri" w:eastAsia="Calibri" w:hAnsi="Calibri"/>
          <w:b/>
          <w:bCs/>
          <w:sz w:val="19"/>
          <w:szCs w:val="19"/>
        </w:rPr>
        <w:t xml:space="preserve">Top 5 shareholders (31-Mar-2026):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34"/>
        <w:gridCol w:w="1429"/>
        <w:gridCol w:w="2143"/>
      </w:tblGrid>
      <w:tr>
        <w:trPr>
          <w:cantSplit/>
          <w:tblHeader/>
        </w:trPr>
        <w:tc>
          <w:tcPr>
            <w:tcW w:type="dxa" w:w="633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42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214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Type</w:t>
            </w:r>
          </w:p>
        </w:tc>
      </w:tr>
      <w:tr>
        <w:trPr>
          <w:cantSplit/>
        </w:trPr>
        <w:tc>
          <w:tcPr>
            <w:tcW w:type="dxa" w:w="633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w:t>
            </w:r>
          </w:p>
        </w:tc>
        <w:tc>
          <w:tcPr>
            <w:tcW w:type="dxa" w:w="142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16.58%</w:t>
            </w:r>
          </w:p>
        </w:tc>
        <w:tc>
          <w:tcPr>
            <w:tcW w:type="dxa" w:w="21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633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 Bank of Japan</w:t>
            </w:r>
          </w:p>
        </w:tc>
        <w:tc>
          <w:tcPr>
            <w:tcW w:type="dxa" w:w="142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8.94%</w:t>
            </w:r>
          </w:p>
        </w:tc>
        <w:tc>
          <w:tcPr>
            <w:tcW w:type="dxa" w:w="21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633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Nomura Securities</w:t>
            </w:r>
          </w:p>
        </w:tc>
        <w:tc>
          <w:tcPr>
            <w:tcW w:type="dxa" w:w="142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4.34%</w:t>
            </w:r>
          </w:p>
        </w:tc>
        <w:tc>
          <w:tcPr>
            <w:tcW w:type="dxa" w:w="21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Broker</w:t>
            </w:r>
          </w:p>
        </w:tc>
      </w:tr>
      <w:tr>
        <w:trPr>
          <w:cantSplit/>
        </w:trPr>
        <w:tc>
          <w:tcPr>
            <w:tcW w:type="dxa" w:w="633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Shizuoka Bank</w:t>
            </w:r>
          </w:p>
        </w:tc>
        <w:tc>
          <w:tcPr>
            <w:tcW w:type="dxa" w:w="142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2.52%</w:t>
            </w:r>
          </w:p>
        </w:tc>
        <w:tc>
          <w:tcPr>
            <w:tcW w:type="dxa" w:w="21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Bank</w:t>
            </w:r>
          </w:p>
        </w:tc>
      </w:tr>
      <w:tr>
        <w:trPr>
          <w:cantSplit/>
        </w:trPr>
        <w:tc>
          <w:tcPr>
            <w:tcW w:type="dxa" w:w="633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Employee shareholding association</w:t>
            </w:r>
          </w:p>
        </w:tc>
        <w:tc>
          <w:tcPr>
            <w:tcW w:type="dxa" w:w="142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2.30%</w:t>
            </w:r>
          </w:p>
        </w:tc>
        <w:tc>
          <w:tcPr>
            <w:tcW w:type="dxa" w:w="21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Employees</w:t>
            </w:r>
          </w:p>
        </w:tc>
      </w:tr>
    </w:tbl>
    <w:p>
      <w:pPr>
        <w:spacing w:after="100"/>
      </w:pPr>
    </w:p>
    <w:p>
      <w:pPr>
        <w:spacing w:after="100" w:line="264"/>
      </w:pPr>
      <w:r>
        <w:rPr>
          <w:rFonts w:ascii="Calibri" w:cs="Calibri" w:eastAsia="Calibri" w:hAnsi="Calibri"/>
          <w:sz w:val="19"/>
          <w:szCs w:val="19"/>
        </w:rPr>
        <w:t xml:space="preserve">Large-holding reports show Nomura group 7.87%, </w:t>
      </w:r>
      <w:r>
        <w:rPr>
          <w:rFonts w:ascii="Calibri" w:cs="Calibri" w:eastAsia="Calibri" w:hAnsi="Calibri"/>
          <w:b/>
          <w:bCs/>
          <w:sz w:val="19"/>
          <w:szCs w:val="19"/>
        </w:rPr>
        <w:t xml:space="preserve">Oasis Management 5.23%</w:t>
      </w:r>
      <w:r>
        <w:rPr>
          <w:rFonts w:ascii="Calibri" w:cs="Calibri" w:eastAsia="Calibri" w:hAnsi="Calibri"/>
          <w:sz w:val="19"/>
          <w:szCs w:val="19"/>
        </w:rPr>
        <w:t xml:space="preserve"> (Aug-2025) and Sumitomo Mitsui Trust 5.15%. Treasury is 4.7%. There is no parent or family.</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The mid-term plan has failed.</w:t>
      </w:r>
      <w:r>
        <w:rPr>
          <w:rFonts w:ascii="Calibri" w:cs="Calibri" w:eastAsia="Calibri" w:hAnsi="Calibri"/>
          <w:sz w:val="19"/>
          <w:szCs w:val="19"/>
        </w:rPr>
        <w:t xml:space="preserve"> The 2026 mid-term plan promised ¥200bn of sales, a 10% OP margin and ROE of at least 9.5% for FY3/27; guidance implies ¥137bn, 3.1% and about 2%. Q1 FY3/27 was an operating loss after moulding-machine margins fell from 10.3% to 2.8% on lost Chinese battery-separator orders.</w:t>
      </w:r>
    </w:p>
    <w:p>
      <w:pPr>
        <w:pStyle w:val="ListParagraph"/>
        <w:numPr>
          <w:ilvl w:val="0"/>
          <w:numId w:val="2"/>
        </w:numPr>
        <w:spacing w:after="50" w:line="252"/>
      </w:pPr>
      <w:r>
        <w:rPr>
          <w:rFonts w:ascii="Calibri" w:cs="Calibri" w:eastAsia="Calibri" w:hAnsi="Calibri"/>
          <w:b/>
          <w:bCs/>
          <w:sz w:val="19"/>
          <w:szCs w:val="19"/>
        </w:rPr>
        <w:t xml:space="preserve">Non-operating assets are half the market cap, and they are being spent on deals.</w:t>
      </w:r>
      <w:r>
        <w:rPr>
          <w:rFonts w:ascii="Calibri" w:cs="Calibri" w:eastAsia="Calibri" w:hAnsi="Calibri"/>
          <w:sz w:val="19"/>
          <w:szCs w:val="19"/>
        </w:rPr>
        <w:t xml:space="preserve"> Net cash is ¥28bn, cross-holdings ¥11.5bn and unrealised gains on rental property ¥15.7bn: about ¥55bn, or 49% of market cap. About ¥24bn (21% of market cap) is going to Moore Nanotechnology (US), the third acquisition in 13 months.</w:t>
      </w:r>
    </w:p>
    <w:p>
      <w:pPr>
        <w:pStyle w:val="ListParagraph"/>
        <w:numPr>
          <w:ilvl w:val="0"/>
          <w:numId w:val="2"/>
        </w:numPr>
        <w:spacing w:after="50" w:line="252"/>
      </w:pPr>
      <w:r>
        <w:rPr>
          <w:rFonts w:ascii="Calibri" w:cs="Calibri" w:eastAsia="Calibri" w:hAnsi="Calibri"/>
          <w:b/>
          <w:bCs/>
          <w:sz w:val="19"/>
          <w:szCs w:val="19"/>
        </w:rPr>
        <w:t xml:space="preserve">The cost base and returns are out of line.</w:t>
      </w:r>
      <w:r>
        <w:rPr>
          <w:rFonts w:ascii="Calibri" w:cs="Calibri" w:eastAsia="Calibri" w:hAnsi="Calibri"/>
          <w:sz w:val="19"/>
          <w:szCs w:val="19"/>
        </w:rPr>
        <w:t xml:space="preserve"> SG&amp;A is 27.5% of sales vs 22.6% for peers. FY3/26 ROE was 0.9% and the dividend payout 322%. 3-year TSR is +38% against +116% for machine-tool peers.</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14"/>
        </w:numPr>
        <w:spacing w:after="50" w:line="252"/>
      </w:pPr>
      <w:r>
        <w:rPr>
          <w:rFonts w:ascii="Calibri" w:cs="Calibri" w:eastAsia="Calibri" w:hAnsi="Calibri"/>
          <w:b/>
          <w:bCs/>
          <w:sz w:val="19"/>
          <w:szCs w:val="19"/>
        </w:rPr>
        <w:t xml:space="preserve">Pause M&amp;A.</w:t>
      </w:r>
      <w:r>
        <w:rPr>
          <w:rFonts w:ascii="Calibri" w:cs="Calibri" w:eastAsia="Calibri" w:hAnsi="Calibri"/>
          <w:sz w:val="19"/>
          <w:szCs w:val="19"/>
        </w:rPr>
        <w:t xml:space="preserve"> Re-underwrite the Moore deal in front of the board's independent directors, and impose a moratorium until the new mid-term plan (due May-2027) sets ROIC hurdles.</w:t>
      </w:r>
    </w:p>
    <w:p>
      <w:pPr>
        <w:pStyle w:val="ListParagraph"/>
        <w:numPr>
          <w:ilvl w:val="0"/>
          <w:numId w:val="14"/>
        </w:numPr>
        <w:spacing w:after="50" w:line="252"/>
      </w:pPr>
      <w:r>
        <w:rPr>
          <w:rFonts w:ascii="Calibri" w:cs="Calibri" w:eastAsia="Calibri" w:hAnsi="Calibri"/>
          <w:b/>
          <w:bCs/>
          <w:sz w:val="19"/>
          <w:szCs w:val="19"/>
        </w:rPr>
        <w:t xml:space="preserve">Monetise the non-operating assets.</w:t>
      </w:r>
      <w:r>
        <w:rPr>
          <w:rFonts w:ascii="Calibri" w:cs="Calibri" w:eastAsia="Calibri" w:hAnsi="Calibri"/>
          <w:sz w:val="19"/>
          <w:szCs w:val="19"/>
        </w:rPr>
        <w:t xml:space="preserve"> Sell the cross-holdings (¥11.5bn) and the rental property (fair value ¥25.3bn, including the MFLP Zama interest), and return at least ¥30bn through cancelled buybacks.</w:t>
      </w:r>
    </w:p>
    <w:p>
      <w:pPr>
        <w:pStyle w:val="ListParagraph"/>
        <w:numPr>
          <w:ilvl w:val="0"/>
          <w:numId w:val="14"/>
        </w:numPr>
        <w:spacing w:after="50" w:line="252"/>
      </w:pPr>
      <w:r>
        <w:rPr>
          <w:rFonts w:ascii="Calibri" w:cs="Calibri" w:eastAsia="Calibri" w:hAnsi="Calibri"/>
          <w:b/>
          <w:bCs/>
          <w:sz w:val="19"/>
          <w:szCs w:val="19"/>
        </w:rPr>
        <w:t xml:space="preserve">Restructure.</w:t>
      </w:r>
      <w:r>
        <w:rPr>
          <w:rFonts w:ascii="Calibri" w:cs="Calibri" w:eastAsia="Calibri" w:hAnsi="Calibri"/>
          <w:sz w:val="19"/>
          <w:szCs w:val="19"/>
        </w:rPr>
        <w:t xml:space="preserve"> Exit or sell the loss-making, sub-scale Control Machinery segment, bring SG&amp;A to peer level, and tie pay to ROE of at least 8%.</w:t>
      </w:r>
    </w:p>
    <w:p>
      <w:pPr>
        <w:spacing w:after="100" w:line="264"/>
      </w:pPr>
      <w:r>
        <w:rPr>
          <w:rFonts w:ascii="Calibri" w:cs="Calibri" w:eastAsia="Calibri" w:hAnsi="Calibri"/>
          <w:b/>
          <w:bCs/>
          <w:sz w:val="19"/>
          <w:szCs w:val="19"/>
        </w:rPr>
        <w:t xml:space="preserve">Ease of building support: 4/5.</w:t>
      </w:r>
      <w:r>
        <w:rPr>
          <w:rFonts w:ascii="Calibri" w:cs="Calibri" w:eastAsia="Calibri" w:hAnsi="Calibri"/>
          <w:sz w:val="19"/>
          <w:szCs w:val="19"/>
        </w:rPr>
        <w:t xml:space="preserve"> There is no parent, family or strategic anchor; the top-10 holders total 44%, mostly custody. Oasis (5.2%) is already on the register and the board is 58% outside directors. The obstacle is cultural: the large-purchase policy cites "greenmail", and the 2020 Murakami contest made management defensive. That argues for a plan-based campaign timed to the new MTP and the June-2027 AGM.</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"The downturn is cyclical and China-specific; non-China moulding, machine tools and precision machines are growing, and Q1 orders rose. We maintained the ¥140 dividend despite lower earnings. Moore is central to our ultra-precision portfolio transformation. Aggressive asks amount to greenmail or asset-stripping."</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M&amp;A discipline · Capital allocation (non-operating assets) · Operations and overhead · Governance</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13. KH Neochem (4189 JP) — Tier 2 (activist present: Strategic Capital)</w:t>
      </w:r>
    </w:p>
    <w:p>
      <w:pPr>
        <w:spacing w:after="100" w:line="264"/>
      </w:pPr>
      <w:r>
        <w:rPr>
          <w:rFonts w:ascii="Calibri" w:cs="Calibri" w:eastAsia="Calibri" w:hAnsi="Calibri"/>
          <w:b/>
          <w:bCs/>
          <w:sz w:val="19"/>
          <w:szCs w:val="19"/>
        </w:rPr>
        <w:t xml:space="preserve">Oxo-process chemicals: refrigerant-oil feedstocks, cosmetics ingredients, electronic solvents · Market cap ¥122bn (US$0.78bn) · Support score 4/5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54"/>
        <w:gridCol w:w="932"/>
        <w:gridCol w:w="932"/>
        <w:gridCol w:w="1088"/>
      </w:tblGrid>
      <w:tr>
        <w:trPr>
          <w:cantSplit/>
          <w:tblHeader/>
        </w:trPr>
        <w:tc>
          <w:tcPr>
            <w:tcW w:type="dxa" w:w="695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9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9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08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95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KH Neochem</w:t>
            </w:r>
          </w:p>
        </w:tc>
        <w:tc>
          <w:tcPr>
            <w:tcW w:type="dxa" w:w="93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+32.5%</w:t>
            </w:r>
          </w:p>
        </w:tc>
        <w:tc>
          <w:tcPr>
            <w:tcW w:type="dxa" w:w="93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+68.6%</w:t>
            </w:r>
          </w:p>
        </w:tc>
        <w:tc>
          <w:tcPr>
            <w:tcW w:type="dxa" w:w="10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+32.2%</w:t>
            </w:r>
          </w:p>
        </w:tc>
      </w:tr>
      <w:tr>
        <w:trPr>
          <w:cantSplit/>
        </w:trPr>
        <w:tc>
          <w:tcPr>
            <w:tcW w:type="dxa" w:w="695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(Adeka, Nippon Shokubai, Mitsui Chemicals, Daicel)</w:t>
            </w:r>
          </w:p>
        </w:tc>
        <w:tc>
          <w:tcPr>
            <w:tcW w:type="dxa" w:w="9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+33.9%</w:t>
            </w:r>
          </w:p>
        </w:tc>
        <w:tc>
          <w:tcPr>
            <w:tcW w:type="dxa" w:w="9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+65.5%</w:t>
            </w:r>
          </w:p>
        </w:tc>
        <w:tc>
          <w:tcPr>
            <w:tcW w:type="dxa" w:w="108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+98.9%</w:t>
            </w:r>
          </w:p>
        </w:tc>
      </w:tr>
      <w:tr>
        <w:trPr>
          <w:cantSplit/>
        </w:trPr>
        <w:tc>
          <w:tcPr>
            <w:tcW w:type="dxa" w:w="695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Raw Materials &amp; Chemicals (1620)</w:t>
            </w:r>
          </w:p>
        </w:tc>
        <w:tc>
          <w:tcPr>
            <w:tcW w:type="dxa" w:w="93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+26.2%</w:t>
            </w:r>
          </w:p>
        </w:tc>
        <w:tc>
          <w:tcPr>
            <w:tcW w:type="dxa" w:w="93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+41.4%</w:t>
            </w:r>
          </w:p>
        </w:tc>
        <w:tc>
          <w:tcPr>
            <w:tcW w:type="dxa" w:w="108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+37.0%</w:t>
            </w:r>
          </w:p>
        </w:tc>
      </w:tr>
      <w:tr>
        <w:trPr>
          <w:cantSplit/>
        </w:trPr>
        <w:tc>
          <w:tcPr>
            <w:tcW w:type="dxa" w:w="695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9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9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08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1348"/>
        <w:gridCol w:w="1180"/>
        <w:gridCol w:w="936"/>
        <w:gridCol w:w="843"/>
        <w:gridCol w:w="1011"/>
        <w:gridCol w:w="1011"/>
        <w:gridCol w:w="1517"/>
      </w:tblGrid>
      <w:tr>
        <w:trPr>
          <w:cantSplit/>
          <w:tblHeader/>
        </w:trPr>
        <w:tc>
          <w:tcPr>
            <w:tcW w:type="dxa" w:w="2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134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11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84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51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20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KH Neochem</w:t>
            </w:r>
          </w:p>
        </w:tc>
        <w:tc>
          <w:tcPr>
            <w:tcW w:type="dxa" w:w="134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1.22x</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10.5x</w:t>
            </w:r>
          </w:p>
        </w:tc>
        <w:tc>
          <w:tcPr>
            <w:tcW w:type="dxa" w:w="9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13.4x</w:t>
            </w:r>
          </w:p>
        </w:tc>
        <w:tc>
          <w:tcPr>
            <w:tcW w:type="dxa" w:w="8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9.6%</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11.6%</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17.4%</w:t>
            </w:r>
          </w:p>
        </w:tc>
        <w:tc>
          <w:tcPr>
            <w:tcW w:type="dxa" w:w="15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0.45x</w:t>
            </w:r>
          </w:p>
        </w:tc>
      </w:tr>
      <w:tr>
        <w:trPr>
          <w:cantSplit/>
        </w:trPr>
        <w:tc>
          <w:tcPr>
            <w:tcW w:type="dxa" w:w="206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134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1.02x</w:t>
            </w:r>
          </w:p>
        </w:tc>
        <w:tc>
          <w:tcPr>
            <w:tcW w:type="dxa" w:w="11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13.9x</w:t>
            </w:r>
          </w:p>
        </w:tc>
        <w:tc>
          <w:tcPr>
            <w:tcW w:type="dxa" w:w="9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16.0x</w:t>
            </w:r>
          </w:p>
        </w:tc>
        <w:tc>
          <w:tcPr>
            <w:tcW w:type="dxa" w:w="8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2.6%</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6.9%</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14.2%</w:t>
            </w:r>
          </w:p>
        </w:tc>
        <w:tc>
          <w:tcPr>
            <w:tcW w:type="dxa" w:w="15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1.51x</w:t>
            </w:r>
          </w:p>
        </w:tc>
      </w:tr>
    </w:tbl>
    <w:p>
      <w:pPr>
        <w:spacing w:after="100"/>
      </w:pPr>
    </w:p>
    <w:p>
      <w:pPr>
        <w:spacing w:after="100" w:line="264"/>
      </w:pPr>
      <w:r>
        <w:rPr>
          <w:rFonts w:ascii="Calibri" w:cs="Calibri" w:eastAsia="Calibri" w:hAnsi="Calibri"/>
          <w:b/>
          <w:bCs/>
          <w:sz w:val="19"/>
          <w:szCs w:val="19"/>
        </w:rPr>
        <w:t xml:space="preserve">Top 5 shareholders (30-Jun-2026):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89"/>
        <w:gridCol w:w="1041"/>
        <w:gridCol w:w="4476"/>
      </w:tblGrid>
      <w:tr>
        <w:trPr>
          <w:cantSplit/>
          <w:tblHeader/>
        </w:trPr>
        <w:tc>
          <w:tcPr>
            <w:tcW w:type="dxa" w:w="438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0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447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Type</w:t>
            </w:r>
          </w:p>
        </w:tc>
      </w:tr>
      <w:tr>
        <w:trPr>
          <w:cantSplit/>
        </w:trPr>
        <w:tc>
          <w:tcPr>
            <w:tcW w:type="dxa" w:w="438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JAPAN-UP (Strategic Capital fund)</w:t>
            </w:r>
          </w:p>
        </w:tc>
        <w:tc>
          <w:tcPr>
            <w:tcW w:type="dxa" w:w="10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17.17%</w:t>
            </w:r>
          </w:p>
        </w:tc>
        <w:tc>
          <w:tcPr>
            <w:tcW w:type="dxa" w:w="44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Activist; 18.24% per its Jun-26 filing</w:t>
            </w:r>
          </w:p>
        </w:tc>
      </w:tr>
      <w:tr>
        <w:trPr>
          <w:cantSplit/>
        </w:trPr>
        <w:tc>
          <w:tcPr>
            <w:tcW w:type="dxa" w:w="438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w:t>
            </w:r>
          </w:p>
        </w:tc>
        <w:tc>
          <w:tcPr>
            <w:tcW w:type="dxa" w:w="104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11.92%</w:t>
            </w:r>
          </w:p>
        </w:tc>
        <w:tc>
          <w:tcPr>
            <w:tcW w:type="dxa" w:w="44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438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 Bank of Japan</w:t>
            </w:r>
          </w:p>
        </w:tc>
        <w:tc>
          <w:tcPr>
            <w:tcW w:type="dxa" w:w="10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7.59%</w:t>
            </w:r>
          </w:p>
        </w:tc>
        <w:tc>
          <w:tcPr>
            <w:tcW w:type="dxa" w:w="44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438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Tosoh</w:t>
            </w:r>
          </w:p>
        </w:tc>
        <w:tc>
          <w:tcPr>
            <w:tcW w:type="dxa" w:w="104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4.99%</w:t>
            </w:r>
          </w:p>
        </w:tc>
        <w:tc>
          <w:tcPr>
            <w:tcW w:type="dxa" w:w="44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Strategic</w:t>
            </w:r>
          </w:p>
        </w:tc>
      </w:tr>
      <w:tr>
        <w:trPr>
          <w:cantSplit/>
        </w:trPr>
        <w:tc>
          <w:tcPr>
            <w:tcW w:type="dxa" w:w="438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State Street</w:t>
            </w:r>
          </w:p>
        </w:tc>
        <w:tc>
          <w:tcPr>
            <w:tcW w:type="dxa" w:w="10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3.39%</w:t>
            </w:r>
          </w:p>
        </w:tc>
        <w:tc>
          <w:tcPr>
            <w:tcW w:type="dxa" w:w="44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Nominee</w:t>
            </w:r>
          </w:p>
        </w:tc>
      </w:tr>
    </w:tbl>
    <w:p>
      <w:pPr>
        <w:spacing w:after="100"/>
      </w:pPr>
    </w:p>
    <w:p>
      <w:pPr>
        <w:spacing w:after="100" w:line="264"/>
      </w:pPr>
      <w:r>
        <w:rPr>
          <w:rFonts w:ascii="Calibri" w:cs="Calibri" w:eastAsia="Calibri" w:hAnsi="Calibri"/>
          <w:sz w:val="19"/>
          <w:szCs w:val="19"/>
        </w:rPr>
        <w:t xml:space="preserve">Treasury is 5.4%. There is no parent or family.</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Higher margins, lower multiple.</w:t>
      </w:r>
      <w:r>
        <w:rPr>
          <w:rFonts w:ascii="Calibri" w:cs="Calibri" w:eastAsia="Calibri" w:hAnsi="Calibri"/>
          <w:sz w:val="19"/>
          <w:szCs w:val="19"/>
        </w:rPr>
        <w:t xml:space="preserve"> EBIT margin is 11.6% vs a 6.9% peer median, yet EV/EBIT is 10.5x vs 13.9x and FCF yield is 9.6%. 5-year TSR (+32%) trails chemical peers by 67pp and TOPIX by 73pp.</w:t>
      </w:r>
    </w:p>
    <w:p>
      <w:pPr>
        <w:pStyle w:val="ListParagraph"/>
        <w:numPr>
          <w:ilvl w:val="0"/>
          <w:numId w:val="2"/>
        </w:numPr>
        <w:spacing w:after="50" w:line="252"/>
      </w:pPr>
      <w:r>
        <w:rPr>
          <w:rFonts w:ascii="Calibri" w:cs="Calibri" w:eastAsia="Calibri" w:hAnsi="Calibri"/>
          <w:b/>
          <w:bCs/>
          <w:sz w:val="19"/>
          <w:szCs w:val="19"/>
        </w:rPr>
        <w:t xml:space="preserve">An under-levered balance sheet.</w:t>
      </w:r>
      <w:r>
        <w:rPr>
          <w:rFonts w:ascii="Calibri" w:cs="Calibri" w:eastAsia="Calibri" w:hAnsi="Calibri"/>
          <w:sz w:val="19"/>
          <w:szCs w:val="19"/>
        </w:rPr>
        <w:t xml:space="preserve"> ND/EBITDA is 0.45x against a 1.5x peer median. About ¥30bn of debt capacity could fund a recapitalisation and still leave leverage below 2x.</w:t>
      </w:r>
    </w:p>
    <w:p>
      <w:pPr>
        <w:pStyle w:val="ListParagraph"/>
        <w:numPr>
          <w:ilvl w:val="0"/>
          <w:numId w:val="2"/>
        </w:numPr>
        <w:spacing w:after="50" w:line="252"/>
      </w:pPr>
      <w:r>
        <w:rPr>
          <w:rFonts w:ascii="Calibri" w:cs="Calibri" w:eastAsia="Calibri" w:hAnsi="Calibri"/>
          <w:b/>
          <w:bCs/>
          <w:sz w:val="19"/>
          <w:szCs w:val="19"/>
        </w:rPr>
        <w:t xml:space="preserve">Basic Chemicals dilutes a high-quality specialty business.</w:t>
      </w:r>
      <w:r>
        <w:rPr>
          <w:rFonts w:ascii="Calibri" w:cs="Calibri" w:eastAsia="Calibri" w:hAnsi="Calibri"/>
          <w:sz w:val="19"/>
          <w:szCs w:val="19"/>
        </w:rPr>
        <w:t xml:space="preserve"> It runs at about a 2% margin under import pressure, while Functional Materials earns about 20%. The 15% ROE target is unachievable while it remains.</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15"/>
        </w:numPr>
        <w:spacing w:after="50" w:line="252"/>
      </w:pPr>
      <w:r>
        <w:rPr>
          <w:rFonts w:ascii="Calibri" w:cs="Calibri" w:eastAsia="Calibri" w:hAnsi="Calibri"/>
          <w:b/>
          <w:bCs/>
          <w:sz w:val="19"/>
          <w:szCs w:val="19"/>
        </w:rPr>
        <w:t xml:space="preserve">Recapitalise.</w:t>
      </w:r>
      <w:r>
        <w:rPr>
          <w:rFonts w:ascii="Calibri" w:cs="Calibri" w:eastAsia="Calibri" w:hAnsi="Calibri"/>
          <w:sz w:val="19"/>
          <w:szCs w:val="19"/>
        </w:rPr>
        <w:t xml:space="preserve"> Execute a ¥30bn debt-funded tender (about 25% of market cap) and keep the new 50% payout / 5% DOE floor.</w:t>
      </w:r>
    </w:p>
    <w:p>
      <w:pPr>
        <w:pStyle w:val="ListParagraph"/>
        <w:numPr>
          <w:ilvl w:val="0"/>
          <w:numId w:val="15"/>
        </w:numPr>
        <w:spacing w:after="50" w:line="252"/>
      </w:pPr>
      <w:r>
        <w:rPr>
          <w:rFonts w:ascii="Calibri" w:cs="Calibri" w:eastAsia="Calibri" w:hAnsi="Calibri"/>
          <w:b/>
          <w:bCs/>
          <w:sz w:val="19"/>
          <w:szCs w:val="19"/>
        </w:rPr>
        <w:t xml:space="preserve">Separate Basic Chemicals.</w:t>
      </w:r>
      <w:r>
        <w:rPr>
          <w:rFonts w:ascii="Calibri" w:cs="Calibri" w:eastAsia="Calibri" w:hAnsi="Calibri"/>
          <w:sz w:val="19"/>
          <w:szCs w:val="19"/>
        </w:rPr>
        <w:t xml:space="preserve"> Sell it, put it in a JV with a domestic consolidator, or carve it out under a supply agreement. The company's integration argument should be tested by an independent adviser.</w:t>
      </w:r>
    </w:p>
    <w:p>
      <w:pPr>
        <w:pStyle w:val="ListParagraph"/>
        <w:numPr>
          <w:ilvl w:val="0"/>
          <w:numId w:val="15"/>
        </w:numPr>
        <w:spacing w:after="50" w:line="252"/>
      </w:pPr>
      <w:r>
        <w:rPr>
          <w:rFonts w:ascii="Calibri" w:cs="Calibri" w:eastAsia="Calibri" w:hAnsi="Calibri"/>
          <w:b/>
          <w:bCs/>
          <w:sz w:val="19"/>
          <w:szCs w:val="19"/>
        </w:rPr>
        <w:t xml:space="preserve">Set a 2027 AGM-ready governance package</w:t>
      </w:r>
      <w:r>
        <w:rPr>
          <w:rFonts w:ascii="Calibri" w:cs="Calibri" w:eastAsia="Calibri" w:hAnsi="Calibri"/>
          <w:sz w:val="19"/>
          <w:szCs w:val="19"/>
        </w:rPr>
        <w:t xml:space="preserve">: an independent-majority board, published ROIC by field, and pay linked to ROE.</w:t>
      </w:r>
    </w:p>
    <w:p>
      <w:pPr>
        <w:spacing w:after="100" w:line="264"/>
      </w:pPr>
      <w:r>
        <w:rPr>
          <w:rFonts w:ascii="Calibri" w:cs="Calibri" w:eastAsia="Calibri" w:hAnsi="Calibri"/>
          <w:b/>
          <w:bCs/>
          <w:sz w:val="19"/>
          <w:szCs w:val="19"/>
        </w:rPr>
        <w:t xml:space="preserve">Ease of building support: 4/5.</w:t>
      </w:r>
      <w:r>
        <w:rPr>
          <w:rFonts w:ascii="Calibri" w:cs="Calibri" w:eastAsia="Calibri" w:hAnsi="Calibri"/>
          <w:sz w:val="19"/>
          <w:szCs w:val="19"/>
        </w:rPr>
        <w:t xml:space="preserve"> Strategic Capital already owns about 18% and management has started to concede (payout to 50% and DOE to at least 5% in Aug-2026, plus a capital-allocation review). With no anchor apart from Tosoh's 5%, the register is open. A second activist's best role is as a supportive co-investor ahead of the March-2027 AGM.</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"We have already acted: 50% payout, DOE of at least 5%, a ¥5bn buyback and an ongoing capital-allocation review to reach 15% ROE. Basic Chemicals supplies integrated feedstock at Yokkaichi and Chiba, and divesting it breaks the chain. Growth capex in refrigerant oils and electronic materials needs flexibility."</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Capital structure · Portfolio simplification · Governance</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14. Wacom (6727 JP) — Tier 2 (activist present: AVI)</w:t>
      </w:r>
    </w:p>
    <w:p>
      <w:pPr>
        <w:spacing w:after="100" w:line="264"/>
      </w:pPr>
      <w:r>
        <w:rPr>
          <w:rFonts w:ascii="Calibri" w:cs="Calibri" w:eastAsia="Calibri" w:hAnsi="Calibri"/>
          <w:b/>
          <w:bCs/>
          <w:sz w:val="19"/>
          <w:szCs w:val="19"/>
        </w:rPr>
        <w:t xml:space="preserve">Digital pen technology: OEM digitisers (Samsung) and branded tablets · Market cap ¥114bn (US$0.72bn) · Support score 4/5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18"/>
        <w:gridCol w:w="986"/>
        <w:gridCol w:w="1151"/>
        <w:gridCol w:w="1151"/>
      </w:tblGrid>
      <w:tr>
        <w:trPr>
          <w:cantSplit/>
          <w:tblHeader/>
        </w:trPr>
        <w:tc>
          <w:tcPr>
            <w:tcW w:type="dxa" w:w="661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98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15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15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61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Wacom</w:t>
            </w:r>
          </w:p>
        </w:tc>
        <w:tc>
          <w:tcPr>
            <w:tcW w:type="dxa" w:w="9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+11.4%</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+59.6%</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+34.4%</w:t>
            </w:r>
          </w:p>
        </w:tc>
      </w:tr>
      <w:tr>
        <w:trPr>
          <w:cantSplit/>
        </w:trPr>
        <w:tc>
          <w:tcPr>
            <w:tcW w:type="dxa" w:w="66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(Logitech, Elecom, Synaptics, ELAN Micro)</w:t>
            </w:r>
          </w:p>
        </w:tc>
        <w:tc>
          <w:tcPr>
            <w:tcW w:type="dxa" w:w="9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+12.8%</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+23.0%</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+19.2%</w:t>
            </w:r>
          </w:p>
        </w:tc>
      </w:tr>
      <w:tr>
        <w:trPr>
          <w:cantSplit/>
        </w:trPr>
        <w:tc>
          <w:tcPr>
            <w:tcW w:type="dxa" w:w="661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Electric Appliances &amp; Precision (1625)</w:t>
            </w:r>
          </w:p>
        </w:tc>
        <w:tc>
          <w:tcPr>
            <w:tcW w:type="dxa" w:w="9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+47.4%</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+114.1%</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+118.3%</w:t>
            </w:r>
          </w:p>
        </w:tc>
      </w:tr>
      <w:tr>
        <w:trPr>
          <w:cantSplit/>
        </w:trPr>
        <w:tc>
          <w:tcPr>
            <w:tcW w:type="dxa" w:w="661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9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p>
      <w:pPr>
        <w:spacing w:after="100" w:line="264"/>
      </w:pPr>
      <w:r>
        <w:rPr>
          <w:rFonts w:ascii="Calibri" w:cs="Calibri" w:eastAsia="Calibri" w:hAnsi="Calibri"/>
          <w:i/>
          <w:iCs/>
          <w:sz w:val="19"/>
          <w:szCs w:val="19"/>
        </w:rPr>
        <w:t xml:space="preserve">Wacom beats its hardware peers but trails its TOPIX sector by 54–84pp over 3 and 5 years. The company's own disclosure shows TSR of 114% vs 202% for TOPIX over FY3/21–26.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1348"/>
        <w:gridCol w:w="1180"/>
        <w:gridCol w:w="936"/>
        <w:gridCol w:w="843"/>
        <w:gridCol w:w="1011"/>
        <w:gridCol w:w="1011"/>
        <w:gridCol w:w="1517"/>
      </w:tblGrid>
      <w:tr>
        <w:trPr>
          <w:cantSplit/>
          <w:tblHeader/>
        </w:trPr>
        <w:tc>
          <w:tcPr>
            <w:tcW w:type="dxa" w:w="20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134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11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84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101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51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20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Wacom</w:t>
            </w:r>
          </w:p>
        </w:tc>
        <w:tc>
          <w:tcPr>
            <w:tcW w:type="dxa" w:w="134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0.96x</w:t>
            </w:r>
          </w:p>
        </w:tc>
        <w:tc>
          <w:tcPr>
            <w:tcW w:type="dxa" w:w="11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7.8x</w:t>
            </w:r>
          </w:p>
        </w:tc>
        <w:tc>
          <w:tcPr>
            <w:tcW w:type="dxa" w:w="9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11.4x</w:t>
            </w:r>
          </w:p>
        </w:tc>
        <w:tc>
          <w:tcPr>
            <w:tcW w:type="dxa" w:w="8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7.5%</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12.3%</w:t>
            </w:r>
          </w:p>
        </w:tc>
        <w:tc>
          <w:tcPr>
            <w:tcW w:type="dxa" w:w="101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14.1%</w:t>
            </w:r>
          </w:p>
        </w:tc>
        <w:tc>
          <w:tcPr>
            <w:tcW w:type="dxa" w:w="15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−0.62x</w:t>
            </w:r>
          </w:p>
        </w:tc>
      </w:tr>
      <w:tr>
        <w:trPr>
          <w:cantSplit/>
        </w:trPr>
        <w:tc>
          <w:tcPr>
            <w:tcW w:type="dxa" w:w="206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134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2.85x</w:t>
            </w:r>
          </w:p>
        </w:tc>
        <w:tc>
          <w:tcPr>
            <w:tcW w:type="dxa" w:w="11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12.6x</w:t>
            </w:r>
          </w:p>
        </w:tc>
        <w:tc>
          <w:tcPr>
            <w:tcW w:type="dxa" w:w="9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12.4x</w:t>
            </w:r>
          </w:p>
        </w:tc>
        <w:tc>
          <w:tcPr>
            <w:tcW w:type="dxa" w:w="8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3.6%</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14.9%</w:t>
            </w:r>
          </w:p>
        </w:tc>
        <w:tc>
          <w:tcPr>
            <w:tcW w:type="dxa" w:w="101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17.0%</w:t>
            </w:r>
          </w:p>
        </w:tc>
        <w:tc>
          <w:tcPr>
            <w:tcW w:type="dxa" w:w="15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−1.18x</w:t>
            </w:r>
          </w:p>
        </w:tc>
      </w:tr>
    </w:tbl>
    <w:p>
      <w:pPr>
        <w:spacing w:after="100"/>
      </w:pPr>
    </w:p>
    <w:p>
      <w:pPr>
        <w:spacing w:after="100" w:line="264"/>
      </w:pPr>
      <w:r>
        <w:rPr>
          <w:rFonts w:ascii="Calibri" w:cs="Calibri" w:eastAsia="Calibri" w:hAnsi="Calibri"/>
          <w:b/>
          <w:bCs/>
          <w:sz w:val="19"/>
          <w:szCs w:val="19"/>
        </w:rPr>
        <w:t xml:space="preserve">Top shareholders (31-Mar-2026):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6"/>
        <w:gridCol w:w="855"/>
        <w:gridCol w:w="5345"/>
      </w:tblGrid>
      <w:tr>
        <w:trPr>
          <w:cantSplit/>
          <w:tblHeader/>
        </w:trPr>
        <w:tc>
          <w:tcPr>
            <w:tcW w:type="dxa" w:w="37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85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534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Notes</w:t>
            </w:r>
          </w:p>
        </w:tc>
      </w:tr>
      <w:tr>
        <w:trPr>
          <w:cantSplit/>
        </w:trPr>
        <w:tc>
          <w:tcPr>
            <w:tcW w:type="dxa" w:w="37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w:t>
            </w:r>
          </w:p>
        </w:tc>
        <w:tc>
          <w:tcPr>
            <w:tcW w:type="dxa" w:w="85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13.82%</w:t>
            </w:r>
          </w:p>
        </w:tc>
        <w:tc>
          <w:tcPr>
            <w:tcW w:type="dxa" w:w="534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 includes part of AVI's holding</w:t>
            </w:r>
          </w:p>
        </w:tc>
      </w:tr>
      <w:tr>
        <w:trPr>
          <w:cantSplit/>
        </w:trPr>
        <w:tc>
          <w:tcPr>
            <w:tcW w:type="dxa" w:w="37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Samsung Electronics Singapore</w:t>
            </w:r>
          </w:p>
        </w:tc>
        <w:tc>
          <w:tcPr>
            <w:tcW w:type="dxa" w:w="85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6.24%</w:t>
            </w:r>
          </w:p>
        </w:tc>
        <w:tc>
          <w:tcPr>
            <w:tcW w:type="dxa" w:w="534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Largest customer</w:t>
            </w:r>
          </w:p>
        </w:tc>
      </w:tr>
      <w:tr>
        <w:trPr>
          <w:cantSplit/>
        </w:trPr>
        <w:tc>
          <w:tcPr>
            <w:tcW w:type="dxa" w:w="37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AVI Japan Opportunity Trust</w:t>
            </w:r>
          </w:p>
        </w:tc>
        <w:tc>
          <w:tcPr>
            <w:tcW w:type="dxa" w:w="85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4.78%</w:t>
            </w:r>
          </w:p>
        </w:tc>
        <w:tc>
          <w:tcPr>
            <w:tcW w:type="dxa" w:w="534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AVI's aggregate across funds is 14.82% (Jun-2026)</w:t>
            </w:r>
          </w:p>
        </w:tc>
      </w:tr>
      <w:tr>
        <w:trPr>
          <w:cantSplit/>
        </w:trPr>
        <w:tc>
          <w:tcPr>
            <w:tcW w:type="dxa" w:w="37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4th and 5th holders</w:t>
            </w:r>
          </w:p>
        </w:tc>
        <w:tc>
          <w:tcPr>
            <w:tcW w:type="dxa" w:w="85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n/a</w:t>
            </w:r>
          </w:p>
        </w:tc>
        <w:tc>
          <w:tcPr>
            <w:tcW w:type="dxa" w:w="534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bl>
    <w:p>
      <w:pPr>
        <w:spacing w:after="100"/>
      </w:pPr>
    </w:p>
    <w:p>
      <w:pPr>
        <w:spacing w:after="100" w:line="264"/>
      </w:pPr>
      <w:r>
        <w:rPr>
          <w:rFonts w:ascii="Calibri" w:cs="Calibri" w:eastAsia="Calibri" w:hAnsi="Calibri"/>
          <w:sz w:val="19"/>
          <w:szCs w:val="19"/>
        </w:rPr>
        <w:t xml:space="preserve">There is no family or parent.</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One customer, one profit engine, a sub-scale brand.</w:t>
      </w:r>
    </w:p>
    <w:p>
      <w:pPr>
        <w:pStyle w:val="ListParagraph"/>
        <w:numPr>
          <w:ilvl w:val="1"/>
          <w:numId w:val="2"/>
        </w:numPr>
        <w:spacing w:after="50" w:line="252"/>
      </w:pPr>
      <w:r>
        <w:rPr>
          <w:rFonts w:ascii="Calibri" w:cs="Calibri" w:eastAsia="Calibri" w:hAnsi="Calibri"/>
          <w:sz w:val="19"/>
          <w:szCs w:val="19"/>
        </w:rPr>
        <w:t xml:space="preserve">Samsung is about 42% of sales.</w:t>
      </w:r>
    </w:p>
    <w:p>
      <w:pPr>
        <w:pStyle w:val="ListParagraph"/>
        <w:numPr>
          <w:ilvl w:val="1"/>
          <w:numId w:val="2"/>
        </w:numPr>
        <w:spacing w:after="50" w:line="252"/>
      </w:pPr>
      <w:r>
        <w:rPr>
          <w:rFonts w:ascii="Calibri" w:cs="Calibri" w:eastAsia="Calibri" w:hAnsi="Calibri"/>
          <w:sz w:val="19"/>
          <w:szCs w:val="19"/>
        </w:rPr>
        <w:t xml:space="preserve">Technology Solutions earns about 22% EBIT margin.</w:t>
      </w:r>
    </w:p>
    <w:p>
      <w:pPr>
        <w:pStyle w:val="ListParagraph"/>
        <w:numPr>
          <w:ilvl w:val="1"/>
          <w:numId w:val="2"/>
        </w:numPr>
        <w:spacing w:after="50" w:line="252"/>
      </w:pPr>
      <w:r>
        <w:rPr>
          <w:rFonts w:ascii="Calibri" w:cs="Calibri" w:eastAsia="Calibri" w:hAnsi="Calibri"/>
          <w:sz w:val="19"/>
          <w:szCs w:val="19"/>
        </w:rPr>
        <w:t xml:space="preserve">Branded Products (¥30bn sales) earned about 1.5% in CY2025 after swinging to a ¥4bn loss in FY3/23.</w:t>
      </w:r>
    </w:p>
    <w:p>
      <w:pPr>
        <w:pStyle w:val="ListParagraph"/>
        <w:numPr>
          <w:ilvl w:val="1"/>
          <w:numId w:val="2"/>
        </w:numPr>
        <w:spacing w:after="50" w:line="252"/>
      </w:pPr>
      <w:r>
        <w:rPr>
          <w:rFonts w:ascii="Calibri" w:cs="Calibri" w:eastAsia="Calibri" w:hAnsi="Calibri"/>
          <w:sz w:val="19"/>
          <w:szCs w:val="19"/>
        </w:rPr>
        <w:t xml:space="preserve">SG&amp;A is 26% of sales vs about 18.5% for peers.</w:t>
      </w:r>
    </w:p>
    <w:p>
      <w:pPr>
        <w:pStyle w:val="ListParagraph"/>
        <w:numPr>
          <w:ilvl w:val="0"/>
          <w:numId w:val="2"/>
        </w:numPr>
        <w:spacing w:after="50" w:line="252"/>
      </w:pPr>
      <w:r>
        <w:rPr>
          <w:rFonts w:ascii="Calibri" w:cs="Calibri" w:eastAsia="Calibri" w:hAnsi="Calibri"/>
          <w:b/>
          <w:bCs/>
          <w:sz w:val="19"/>
          <w:szCs w:val="19"/>
        </w:rPr>
        <w:t xml:space="preserve">Cheap for a reason that can be fixed.</w:t>
      </w:r>
      <w:r>
        <w:rPr>
          <w:rFonts w:ascii="Calibri" w:cs="Calibri" w:eastAsia="Calibri" w:hAnsi="Calibri"/>
          <w:sz w:val="19"/>
          <w:szCs w:val="19"/>
        </w:rPr>
        <w:t xml:space="preserve"> It trades at 7.8x EV/EBIT and a 7.5% FCF yield vs 12.6x and 3.6% for peers.</w:t>
      </w:r>
    </w:p>
    <w:p>
      <w:pPr>
        <w:pStyle w:val="ListParagraph"/>
        <w:numPr>
          <w:ilvl w:val="0"/>
          <w:numId w:val="2"/>
        </w:numPr>
        <w:spacing w:after="50" w:line="252"/>
      </w:pPr>
      <w:r>
        <w:rPr>
          <w:rFonts w:ascii="Calibri" w:cs="Calibri" w:eastAsia="Calibri" w:hAnsi="Calibri"/>
          <w:b/>
          <w:bCs/>
          <w:sz w:val="19"/>
          <w:szCs w:val="19"/>
        </w:rPr>
        <w:t xml:space="preserve">Governance warning signs.</w:t>
      </w:r>
    </w:p>
    <w:p>
      <w:pPr>
        <w:pStyle w:val="ListParagraph"/>
        <w:numPr>
          <w:ilvl w:val="1"/>
          <w:numId w:val="2"/>
        </w:numPr>
        <w:spacing w:after="50" w:line="252"/>
      </w:pPr>
      <w:r>
        <w:rPr>
          <w:rFonts w:ascii="Calibri" w:cs="Calibri" w:eastAsia="Calibri" w:hAnsi="Calibri"/>
          <w:sz w:val="19"/>
          <w:szCs w:val="19"/>
        </w:rPr>
        <w:t xml:space="preserve">In Mar-2026 the company paid about ¥1.66bn for a loss-making business represented by a then outside director.</w:t>
      </w:r>
    </w:p>
    <w:p>
      <w:pPr>
        <w:pStyle w:val="ListParagraph"/>
        <w:numPr>
          <w:ilvl w:val="1"/>
          <w:numId w:val="2"/>
        </w:numPr>
        <w:spacing w:after="50" w:line="252"/>
      </w:pPr>
      <w:r>
        <w:rPr>
          <w:rFonts w:ascii="Calibri" w:cs="Calibri" w:eastAsia="Calibri" w:hAnsi="Calibri"/>
          <w:sz w:val="19"/>
          <w:szCs w:val="19"/>
        </w:rPr>
        <w:t xml:space="preserve">The CEO got only 64.3% approval at the June-2026 AGM.</w:t>
      </w:r>
    </w:p>
    <w:p>
      <w:pPr>
        <w:pStyle w:val="ListParagraph"/>
        <w:numPr>
          <w:ilvl w:val="1"/>
          <w:numId w:val="2"/>
        </w:numPr>
        <w:spacing w:after="50" w:line="252"/>
      </w:pPr>
      <w:r>
        <w:rPr>
          <w:rFonts w:ascii="Calibri" w:cs="Calibri" w:eastAsia="Calibri" w:hAnsi="Calibri"/>
          <w:sz w:val="19"/>
          <w:szCs w:val="19"/>
        </w:rPr>
        <w:t xml:space="preserve">AVI's director nominee received 43.4%.</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16"/>
        </w:numPr>
        <w:spacing w:after="50" w:line="252"/>
      </w:pPr>
      <w:r>
        <w:rPr>
          <w:rFonts w:ascii="Calibri" w:cs="Calibri" w:eastAsia="Calibri" w:hAnsi="Calibri"/>
          <w:b/>
          <w:bCs/>
          <w:sz w:val="19"/>
          <w:szCs w:val="19"/>
        </w:rPr>
        <w:t xml:space="preserve">Run a strategic review of Branded Products</w:t>
      </w:r>
      <w:r>
        <w:rPr>
          <w:rFonts w:ascii="Calibri" w:cs="Calibri" w:eastAsia="Calibri" w:hAnsi="Calibri"/>
          <w:sz w:val="19"/>
          <w:szCs w:val="19"/>
        </w:rPr>
        <w:t xml:space="preserve">: sale, licensing or partnership with a consumer-electronics brand, leaving a focused high-margin OEM technology company.</w:t>
      </w:r>
    </w:p>
    <w:p>
      <w:pPr>
        <w:pStyle w:val="ListParagraph"/>
        <w:numPr>
          <w:ilvl w:val="0"/>
          <w:numId w:val="16"/>
        </w:numPr>
        <w:spacing w:after="50" w:line="252"/>
      </w:pPr>
      <w:r>
        <w:rPr>
          <w:rFonts w:ascii="Calibri" w:cs="Calibri" w:eastAsia="Calibri" w:hAnsi="Calibri"/>
          <w:b/>
          <w:bCs/>
          <w:sz w:val="19"/>
          <w:szCs w:val="19"/>
        </w:rPr>
        <w:t xml:space="preserve">Board renewal.</w:t>
      </w:r>
      <w:r>
        <w:rPr>
          <w:rFonts w:ascii="Calibri" w:cs="Calibri" w:eastAsia="Calibri" w:hAnsi="Calibri"/>
          <w:sz w:val="19"/>
          <w:szCs w:val="19"/>
        </w:rPr>
        <w:t xml:space="preserve"> Seat the AVI-backed capital-markets director (43% support shows he can win), set up an independent committee to review the related-party acquisition, and plan CEO succession.</w:t>
      </w:r>
    </w:p>
    <w:p>
      <w:pPr>
        <w:pStyle w:val="ListParagraph"/>
        <w:numPr>
          <w:ilvl w:val="0"/>
          <w:numId w:val="16"/>
        </w:numPr>
        <w:spacing w:after="50" w:line="252"/>
      </w:pPr>
      <w:r>
        <w:rPr>
          <w:rFonts w:ascii="Calibri" w:cs="Calibri" w:eastAsia="Calibri" w:hAnsi="Calibri"/>
          <w:b/>
          <w:bCs/>
          <w:sz w:val="19"/>
          <w:szCs w:val="19"/>
        </w:rPr>
        <w:t xml:space="preserve">Capital and customer strategy.</w:t>
      </w:r>
      <w:r>
        <w:rPr>
          <w:rFonts w:ascii="Calibri" w:cs="Calibri" w:eastAsia="Calibri" w:hAnsi="Calibri"/>
          <w:sz w:val="19"/>
          <w:szCs w:val="19"/>
        </w:rPr>
        <w:t xml:space="preserve"> Diversify beyond Samsung, and keep a total return of at least 50% with cancellation of repurchased shares (the share count is already down 19% since 2022).</w:t>
      </w:r>
    </w:p>
    <w:p>
      <w:pPr>
        <w:spacing w:after="100" w:line="264"/>
      </w:pPr>
      <w:r>
        <w:rPr>
          <w:rFonts w:ascii="Calibri" w:cs="Calibri" w:eastAsia="Calibri" w:hAnsi="Calibri"/>
          <w:b/>
          <w:bCs/>
          <w:sz w:val="19"/>
          <w:szCs w:val="19"/>
        </w:rPr>
        <w:t xml:space="preserve">Ease of building support: 4/5.</w:t>
      </w:r>
      <w:r>
        <w:rPr>
          <w:rFonts w:ascii="Calibri" w:cs="Calibri" w:eastAsia="Calibri" w:hAnsi="Calibri"/>
          <w:sz w:val="19"/>
          <w:szCs w:val="19"/>
        </w:rPr>
        <w:t xml:space="preserve"> There is no anchor apart from Samsung's 6.2%. AVI's 14.8% plus the 35.7% vote against the CEO and the 43% vote for AVI's nominee show the register is ready for change. The next AGM can plausibly flip a board seat.</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"Chapter 4 is delivering: OP up 31%, Branded back in profit, at least 50% total return with a progressive dividend, and 19% fewer shares. The Samsung partnership is a moat. The related-party acquisition was vetted by an independent committee. A majority of shareholders supported management."</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Governance · Portfolio (Branded) · Customer concentration / strategy</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15. Teikoku Sen-i (3302 JP) — Tier 2 (activist present: NAVF / Dalton)</w:t>
      </w:r>
    </w:p>
    <w:p>
      <w:pPr>
        <w:spacing w:after="100" w:line="264"/>
      </w:pPr>
      <w:r>
        <w:rPr>
          <w:rFonts w:ascii="Calibri" w:cs="Calibri" w:eastAsia="Calibri" w:hAnsi="Calibri"/>
          <w:b/>
          <w:bCs/>
          <w:sz w:val="19"/>
          <w:szCs w:val="19"/>
        </w:rPr>
        <w:t xml:space="preserve">Fire hoses, rescue and disaster-prevention equipment, technical textiles · Market cap ¥75bn (US$0.48bn) · Support score 2/5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65"/>
        <w:gridCol w:w="972"/>
        <w:gridCol w:w="1134"/>
        <w:gridCol w:w="1135"/>
      </w:tblGrid>
      <w:tr>
        <w:trPr>
          <w:cantSplit/>
          <w:tblHeader/>
        </w:trPr>
        <w:tc>
          <w:tcPr>
            <w:tcW w:type="dxa" w:w="666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97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13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13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66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Teikoku Sen-i</w:t>
            </w:r>
          </w:p>
        </w:tc>
        <w:tc>
          <w:tcPr>
            <w:tcW w:type="dxa" w:w="97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−8.2%</w:t>
            </w:r>
          </w:p>
        </w:tc>
        <w:tc>
          <w:tcPr>
            <w:tcW w:type="dxa" w:w="113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+69.2%</w:t>
            </w:r>
          </w:p>
        </w:tc>
        <w:tc>
          <w:tcPr>
            <w:tcW w:type="dxa" w:w="113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+57.4%</w:t>
            </w:r>
          </w:p>
        </w:tc>
      </w:tr>
      <w:tr>
        <w:trPr>
          <w:cantSplit/>
        </w:trPr>
        <w:tc>
          <w:tcPr>
            <w:tcW w:type="dxa" w:w="66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(Morita, Nohmi Bosai, Hochiki, Shigematsu)</w:t>
            </w:r>
          </w:p>
        </w:tc>
        <w:tc>
          <w:tcPr>
            <w:tcW w:type="dxa" w:w="97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+18.9%</w:t>
            </w:r>
          </w:p>
        </w:tc>
        <w:tc>
          <w:tcPr>
            <w:tcW w:type="dxa" w:w="113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+109.4%</w:t>
            </w:r>
          </w:p>
        </w:tc>
        <w:tc>
          <w:tcPr>
            <w:tcW w:type="dxa" w:w="113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+102.4%</w:t>
            </w:r>
          </w:p>
        </w:tc>
      </w:tr>
      <w:tr>
        <w:trPr>
          <w:cantSplit/>
        </w:trPr>
        <w:tc>
          <w:tcPr>
            <w:tcW w:type="dxa" w:w="666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Raw Materials &amp; Chemicals (1620)</w:t>
            </w:r>
          </w:p>
        </w:tc>
        <w:tc>
          <w:tcPr>
            <w:tcW w:type="dxa" w:w="97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+26.2%</w:t>
            </w:r>
          </w:p>
        </w:tc>
        <w:tc>
          <w:tcPr>
            <w:tcW w:type="dxa" w:w="113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+41.4%</w:t>
            </w:r>
          </w:p>
        </w:tc>
        <w:tc>
          <w:tcPr>
            <w:tcW w:type="dxa" w:w="113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+37.0%</w:t>
            </w:r>
          </w:p>
        </w:tc>
      </w:tr>
      <w:tr>
        <w:trPr>
          <w:cantSplit/>
        </w:trPr>
        <w:tc>
          <w:tcPr>
            <w:tcW w:type="dxa" w:w="666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97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113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13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0"/>
        <w:gridCol w:w="986"/>
        <w:gridCol w:w="3252"/>
        <w:gridCol w:w="685"/>
        <w:gridCol w:w="616"/>
        <w:gridCol w:w="739"/>
        <w:gridCol w:w="739"/>
        <w:gridCol w:w="1109"/>
      </w:tblGrid>
      <w:tr>
        <w:trPr>
          <w:cantSplit/>
          <w:tblHeader/>
        </w:trPr>
        <w:tc>
          <w:tcPr>
            <w:tcW w:type="dxa" w:w="17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98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325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68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61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73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73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1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17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Teikoku Sen-i</w:t>
            </w:r>
          </w:p>
        </w:tc>
        <w:tc>
          <w:tcPr>
            <w:tcW w:type="dxa" w:w="9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1.26x</w:t>
            </w:r>
          </w:p>
        </w:tc>
        <w:tc>
          <w:tcPr>
            <w:tcW w:type="dxa" w:w="325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9.1x (≈4.2x net of securities)</w:t>
            </w:r>
          </w:p>
        </w:tc>
        <w:tc>
          <w:tcPr>
            <w:tcW w:type="dxa" w:w="68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15.9x</w:t>
            </w:r>
          </w:p>
        </w:tc>
        <w:tc>
          <w:tcPr>
            <w:tcW w:type="dxa" w:w="6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6.5%</w:t>
            </w:r>
          </w:p>
        </w:tc>
        <w:tc>
          <w:tcPr>
            <w:tcW w:type="dxa" w:w="7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13.9%</w:t>
            </w:r>
          </w:p>
        </w:tc>
        <w:tc>
          <w:tcPr>
            <w:tcW w:type="dxa" w:w="73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15.8%</w:t>
            </w:r>
          </w:p>
        </w:tc>
        <w:tc>
          <w:tcPr>
            <w:tcW w:type="dxa" w:w="11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−4.1x</w:t>
            </w:r>
          </w:p>
        </w:tc>
      </w:tr>
      <w:tr>
        <w:trPr>
          <w:cantSplit/>
        </w:trPr>
        <w:tc>
          <w:tcPr>
            <w:tcW w:type="dxa" w:w="17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98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0.97x</w:t>
            </w:r>
          </w:p>
        </w:tc>
        <w:tc>
          <w:tcPr>
            <w:tcW w:type="dxa" w:w="325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10.1x</w:t>
            </w:r>
          </w:p>
        </w:tc>
        <w:tc>
          <w:tcPr>
            <w:tcW w:type="dxa" w:w="68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13.4x</w:t>
            </w:r>
          </w:p>
        </w:tc>
        <w:tc>
          <w:tcPr>
            <w:tcW w:type="dxa" w:w="6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3.4%</w:t>
            </w:r>
          </w:p>
        </w:tc>
        <w:tc>
          <w:tcPr>
            <w:tcW w:type="dxa" w:w="7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12.1%</w:t>
            </w:r>
          </w:p>
        </w:tc>
        <w:tc>
          <w:tcPr>
            <w:tcW w:type="dxa" w:w="73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14.3%</w:t>
            </w:r>
          </w:p>
        </w:tc>
        <w:tc>
          <w:tcPr>
            <w:tcW w:type="dxa" w:w="110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−1.7x</w:t>
            </w:r>
          </w:p>
        </w:tc>
      </w:tr>
    </w:tbl>
    <w:p>
      <w:pPr>
        <w:spacing w:after="100"/>
      </w:pPr>
    </w:p>
    <w:p>
      <w:pPr>
        <w:spacing w:after="100" w:line="264"/>
      </w:pPr>
      <w:r>
        <w:rPr>
          <w:rFonts w:ascii="Calibri" w:cs="Calibri" w:eastAsia="Calibri" w:hAnsi="Calibri"/>
          <w:b/>
          <w:bCs/>
          <w:sz w:val="19"/>
          <w:szCs w:val="19"/>
        </w:rPr>
        <w:t xml:space="preserve">Top 5 shareholders (31-Dec-2025):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1"/>
        <w:gridCol w:w="1642"/>
        <w:gridCol w:w="2463"/>
      </w:tblGrid>
      <w:tr>
        <w:trPr>
          <w:cantSplit/>
          <w:tblHeader/>
        </w:trPr>
        <w:tc>
          <w:tcPr>
            <w:tcW w:type="dxa" w:w="580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6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246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Type</w:t>
            </w:r>
          </w:p>
        </w:tc>
      </w:tr>
      <w:tr>
        <w:trPr>
          <w:cantSplit/>
        </w:trPr>
        <w:tc>
          <w:tcPr>
            <w:tcW w:type="dxa" w:w="580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w:t>
            </w:r>
          </w:p>
        </w:tc>
        <w:tc>
          <w:tcPr>
            <w:tcW w:type="dxa" w:w="164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10.26%</w:t>
            </w:r>
          </w:p>
        </w:tc>
        <w:tc>
          <w:tcPr>
            <w:tcW w:type="dxa" w:w="24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580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Nippon Active Value Fund</w:t>
            </w:r>
          </w:p>
        </w:tc>
        <w:tc>
          <w:tcPr>
            <w:tcW w:type="dxa" w:w="164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5.68%</w:t>
            </w:r>
          </w:p>
        </w:tc>
        <w:tc>
          <w:tcPr>
            <w:tcW w:type="dxa" w:w="246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Activist</w:t>
            </w:r>
          </w:p>
        </w:tc>
      </w:tr>
      <w:tr>
        <w:trPr>
          <w:cantSplit/>
        </w:trPr>
        <w:tc>
          <w:tcPr>
            <w:tcW w:type="dxa" w:w="580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Mizuho Bank</w:t>
            </w:r>
          </w:p>
        </w:tc>
        <w:tc>
          <w:tcPr>
            <w:tcW w:type="dxa" w:w="164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4.95%</w:t>
            </w:r>
          </w:p>
        </w:tc>
        <w:tc>
          <w:tcPr>
            <w:tcW w:type="dxa" w:w="24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Main bank</w:t>
            </w:r>
          </w:p>
        </w:tc>
      </w:tr>
      <w:tr>
        <w:trPr>
          <w:cantSplit/>
        </w:trPr>
        <w:tc>
          <w:tcPr>
            <w:tcW w:type="dxa" w:w="580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Meiji Yasuda Life</w:t>
            </w:r>
          </w:p>
        </w:tc>
        <w:tc>
          <w:tcPr>
            <w:tcW w:type="dxa" w:w="164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4.93%</w:t>
            </w:r>
          </w:p>
        </w:tc>
        <w:tc>
          <w:tcPr>
            <w:tcW w:type="dxa" w:w="246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Insurer</w:t>
            </w:r>
          </w:p>
        </w:tc>
      </w:tr>
      <w:tr>
        <w:trPr>
          <w:cantSplit/>
        </w:trPr>
        <w:tc>
          <w:tcPr>
            <w:tcW w:type="dxa" w:w="580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Nishimatsu Construction</w:t>
            </w:r>
          </w:p>
        </w:tc>
        <w:tc>
          <w:tcPr>
            <w:tcW w:type="dxa" w:w="164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3.82%</w:t>
            </w:r>
          </w:p>
        </w:tc>
        <w:tc>
          <w:tcPr>
            <w:tcW w:type="dxa" w:w="246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Strategic</w:t>
            </w:r>
          </w:p>
        </w:tc>
      </w:tr>
    </w:tbl>
    <w:p>
      <w:pPr>
        <w:spacing w:after="100"/>
      </w:pPr>
    </w:p>
    <w:p>
      <w:pPr>
        <w:spacing w:after="100" w:line="264"/>
      </w:pPr>
      <w:r>
        <w:rPr>
          <w:rFonts w:ascii="Calibri" w:cs="Calibri" w:eastAsia="Calibri" w:hAnsi="Calibri"/>
          <w:sz w:val="19"/>
          <w:szCs w:val="19"/>
        </w:rPr>
        <w:t xml:space="preserve">The NAVF/Dalton group holds 10.10% (Mar-2026). Stable and cross-holders total about 26%, including Hulic (3.46%) and Tokyo Tatemono (2.67%).</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83% of the market cap is cash and securities.</w:t>
      </w:r>
      <w:r>
        <w:rPr>
          <w:rFonts w:ascii="Calibri" w:cs="Calibri" w:eastAsia="Calibri" w:hAnsi="Calibri"/>
          <w:sz w:val="19"/>
          <w:szCs w:val="19"/>
        </w:rPr>
        <w:t xml:space="preserve"> Net cash is ¥25.5bn and policy shareholdings ¥36.9bn, of which the Hulic stake (¥28bn) alone is 38% of market cap. Unallocated corporate assets are 58% of total assets.</w:t>
      </w:r>
    </w:p>
    <w:p>
      <w:pPr>
        <w:pStyle w:val="ListParagraph"/>
        <w:numPr>
          <w:ilvl w:val="0"/>
          <w:numId w:val="2"/>
        </w:numPr>
        <w:spacing w:after="50" w:line="252"/>
      </w:pPr>
      <w:r>
        <w:rPr>
          <w:rFonts w:ascii="Calibri" w:cs="Calibri" w:eastAsia="Calibri" w:hAnsi="Calibri"/>
          <w:b/>
          <w:bCs/>
          <w:sz w:val="19"/>
          <w:szCs w:val="19"/>
        </w:rPr>
        <w:t xml:space="preserve">Cross-holdings far above proxy-adviser limits.</w:t>
      </w:r>
      <w:r>
        <w:rPr>
          <w:rFonts w:ascii="Calibri" w:cs="Calibri" w:eastAsia="Calibri" w:hAnsi="Calibri"/>
          <w:sz w:val="19"/>
          <w:szCs w:val="19"/>
        </w:rPr>
        <w:t xml:space="preserve"> Policy shareholdings are roughly half of net assets, against ISS's 20% threshold for opposing the top executive. The disclosed rationale is "business relationships", and the benefit is withheld "for confidentiality".</w:t>
      </w:r>
    </w:p>
    <w:p>
      <w:pPr>
        <w:pStyle w:val="ListParagraph"/>
        <w:numPr>
          <w:ilvl w:val="0"/>
          <w:numId w:val="2"/>
        </w:numPr>
        <w:spacing w:after="50" w:line="252"/>
      </w:pPr>
      <w:r>
        <w:rPr>
          <w:rFonts w:ascii="Calibri" w:cs="Calibri" w:eastAsia="Calibri" w:hAnsi="Calibri"/>
          <w:b/>
          <w:bCs/>
          <w:sz w:val="19"/>
          <w:szCs w:val="19"/>
        </w:rPr>
        <w:t xml:space="preserve">Five years of no growth, run by an 80-year-old chairman-CEO.</w:t>
      </w:r>
    </w:p>
    <w:p>
      <w:pPr>
        <w:pStyle w:val="ListParagraph"/>
        <w:numPr>
          <w:ilvl w:val="1"/>
          <w:numId w:val="2"/>
        </w:numPr>
        <w:spacing w:after="50" w:line="252"/>
      </w:pPr>
      <w:r>
        <w:rPr>
          <w:rFonts w:ascii="Calibri" w:cs="Calibri" w:eastAsia="Calibri" w:hAnsi="Calibri"/>
          <w:sz w:val="19"/>
          <w:szCs w:val="19"/>
        </w:rPr>
        <w:t xml:space="preserve">Sales grew 4% over five years and OP is flat.</w:t>
      </w:r>
    </w:p>
    <w:p>
      <w:pPr>
        <w:pStyle w:val="ListParagraph"/>
        <w:numPr>
          <w:ilvl w:val="1"/>
          <w:numId w:val="2"/>
        </w:numPr>
        <w:spacing w:after="50" w:line="252"/>
      </w:pPr>
      <w:r>
        <w:rPr>
          <w:rFonts w:ascii="Calibri" w:cs="Calibri" w:eastAsia="Calibri" w:hAnsi="Calibri"/>
          <w:sz w:val="19"/>
          <w:szCs w:val="19"/>
        </w:rPr>
        <w:t xml:space="preserve">The Teisen 2025 targets were missed, and the Teisen 2028 OP target has already been reached on an LTM basis.</w:t>
      </w:r>
    </w:p>
    <w:p>
      <w:pPr>
        <w:pStyle w:val="ListParagraph"/>
        <w:numPr>
          <w:ilvl w:val="1"/>
          <w:numId w:val="2"/>
        </w:numPr>
        <w:spacing w:after="50" w:line="252"/>
      </w:pPr>
      <w:r>
        <w:rPr>
          <w:rFonts w:ascii="Calibri" w:cs="Calibri" w:eastAsia="Calibri" w:hAnsi="Calibri"/>
          <w:sz w:val="19"/>
          <w:szCs w:val="19"/>
        </w:rPr>
        <w:t xml:space="preserve">The board is 43% independent, and one outside auditor is a sitting Hulic executive.</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17"/>
        </w:numPr>
        <w:spacing w:after="50" w:line="252"/>
      </w:pPr>
      <w:r>
        <w:rPr>
          <w:rFonts w:ascii="Calibri" w:cs="Calibri" w:eastAsia="Calibri" w:hAnsi="Calibri"/>
          <w:b/>
          <w:bCs/>
          <w:sz w:val="19"/>
          <w:szCs w:val="19"/>
        </w:rPr>
        <w:t xml:space="preserve">Sell the Hulic and Tokyo Tatemono stakes</w:t>
      </w:r>
      <w:r>
        <w:rPr>
          <w:rFonts w:ascii="Calibri" w:cs="Calibri" w:eastAsia="Calibri" w:hAnsi="Calibri"/>
          <w:sz w:val="19"/>
          <w:szCs w:val="19"/>
        </w:rPr>
        <w:t xml:space="preserve"> (about ¥30bn) and return at least ¥25bn through a tender offer. NAVF's ¥11bn buyback proposal is the floor, not the ceiling.</w:t>
      </w:r>
    </w:p>
    <w:p>
      <w:pPr>
        <w:pStyle w:val="ListParagraph"/>
        <w:numPr>
          <w:ilvl w:val="0"/>
          <w:numId w:val="17"/>
        </w:numPr>
        <w:spacing w:after="50" w:line="252"/>
      </w:pPr>
      <w:r>
        <w:rPr>
          <w:rFonts w:ascii="Calibri" w:cs="Calibri" w:eastAsia="Calibri" w:hAnsi="Calibri"/>
          <w:b/>
          <w:bCs/>
          <w:sz w:val="19"/>
          <w:szCs w:val="19"/>
        </w:rPr>
        <w:t xml:space="preserve">Board and succession.</w:t>
      </w:r>
      <w:r>
        <w:rPr>
          <w:rFonts w:ascii="Calibri" w:cs="Calibri" w:eastAsia="Calibri" w:hAnsi="Calibri"/>
          <w:sz w:val="19"/>
          <w:szCs w:val="19"/>
        </w:rPr>
        <w:t xml:space="preserve"> Move to an independent majority, remove the conflicted auditor seat, and put a CEO succession plan in place within 12 months.</w:t>
      </w:r>
    </w:p>
    <w:p>
      <w:pPr>
        <w:pStyle w:val="ListParagraph"/>
        <w:numPr>
          <w:ilvl w:val="0"/>
          <w:numId w:val="17"/>
        </w:numPr>
        <w:spacing w:after="50" w:line="252"/>
      </w:pPr>
      <w:r>
        <w:rPr>
          <w:rFonts w:ascii="Calibri" w:cs="Calibri" w:eastAsia="Calibri" w:hAnsi="Calibri"/>
          <w:b/>
          <w:bCs/>
          <w:sz w:val="19"/>
          <w:szCs w:val="19"/>
        </w:rPr>
        <w:t xml:space="preserve">Reset ambition.</w:t>
      </w:r>
      <w:r>
        <w:rPr>
          <w:rFonts w:ascii="Calibri" w:cs="Calibri" w:eastAsia="Calibri" w:hAnsi="Calibri"/>
          <w:sz w:val="19"/>
          <w:szCs w:val="19"/>
        </w:rPr>
        <w:t xml:space="preserve"> Re-base Teisen 2028 above current run-rate, and use the strong disaster-prevention order book (backlog +29%) for bolt-ons, or test a sale to a strategic buyer.</w:t>
      </w:r>
    </w:p>
    <w:p>
      <w:pPr>
        <w:spacing w:after="100" w:line="264"/>
      </w:pPr>
      <w:r>
        <w:rPr>
          <w:rFonts w:ascii="Calibri" w:cs="Calibri" w:eastAsia="Calibri" w:hAnsi="Calibri"/>
          <w:b/>
          <w:bCs/>
          <w:sz w:val="19"/>
          <w:szCs w:val="19"/>
        </w:rPr>
        <w:t xml:space="preserve">Ease of building support: 2/5.</w:t>
      </w:r>
      <w:r>
        <w:rPr>
          <w:rFonts w:ascii="Calibri" w:cs="Calibri" w:eastAsia="Calibri" w:hAnsi="Calibri"/>
          <w:sz w:val="19"/>
          <w:szCs w:val="19"/>
        </w:rPr>
        <w:t xml:space="preserve"> About 26% sits with stable or cross-holders (banks, insurers, Hulic, Tokyo Tatemono, Nishimatsu, Morita), and two proxy rounds have failed (the best was 22% for a buyback). ISS's cross-holding policy and the 10% activist group give a base. Winning requires flipping one or two cross-holders, which is plausible as banks and insurers are being pushed to exit cross-shareholdings.</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"Buybacks do not contribute to long-term value; we buy back flexibly. Our board structure enables quick decisions for a company of our size. Cash is needed for alliances, M&amp;A and lumpy government vehicle orders, and the Hulic stake supports business ties. DPS is up 18% and we target a 50% total payout."</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Capital allocation / cross-holdings · Governance · Strategic review</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16. TS TECH (7313 JP) — Tier 3 (stated TSR exception)</w:t>
      </w:r>
    </w:p>
    <w:p>
      <w:pPr>
        <w:spacing w:after="100" w:line="264"/>
      </w:pPr>
      <w:r>
        <w:rPr>
          <w:rFonts w:ascii="Calibri" w:cs="Calibri" w:eastAsia="Calibri" w:hAnsi="Calibri"/>
          <w:b/>
          <w:bCs/>
          <w:sz w:val="19"/>
          <w:szCs w:val="19"/>
        </w:rPr>
        <w:t xml:space="preserve">Automotive seats and interiors (Honda affiliate) · Market cap ¥207.5bn (US$1.31bn) · Support score 3/5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89"/>
        <w:gridCol w:w="1016"/>
        <w:gridCol w:w="1016"/>
        <w:gridCol w:w="1185"/>
      </w:tblGrid>
      <w:tr>
        <w:trPr>
          <w:cantSplit/>
          <w:tblHeader/>
        </w:trPr>
        <w:tc>
          <w:tcPr>
            <w:tcW w:type="dxa" w:w="668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101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01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18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68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TS Tech</w:t>
            </w:r>
          </w:p>
        </w:tc>
        <w:tc>
          <w:tcPr>
            <w:tcW w:type="dxa" w:w="10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+2.3%</w:t>
            </w:r>
          </w:p>
        </w:tc>
        <w:tc>
          <w:tcPr>
            <w:tcW w:type="dxa" w:w="10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+24.6%</w:t>
            </w:r>
          </w:p>
        </w:tc>
        <w:tc>
          <w:tcPr>
            <w:tcW w:type="dxa" w:w="118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+57.6%</w:t>
            </w:r>
          </w:p>
        </w:tc>
      </w:tr>
      <w:tr>
        <w:trPr>
          <w:cantSplit/>
        </w:trPr>
        <w:tc>
          <w:tcPr>
            <w:tcW w:type="dxa" w:w="668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(Toyota Boshoku, Tachi-S, Adient, Lear)</w:t>
            </w:r>
          </w:p>
        </w:tc>
        <w:tc>
          <w:tcPr>
            <w:tcW w:type="dxa" w:w="10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+7.9%</w:t>
            </w:r>
          </w:p>
        </w:tc>
        <w:tc>
          <w:tcPr>
            <w:tcW w:type="dxa" w:w="10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−7.6%</w:t>
            </w:r>
          </w:p>
        </w:tc>
        <w:tc>
          <w:tcPr>
            <w:tcW w:type="dxa" w:w="118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−2.4%</w:t>
            </w:r>
          </w:p>
        </w:tc>
      </w:tr>
      <w:tr>
        <w:trPr>
          <w:cantSplit/>
        </w:trPr>
        <w:tc>
          <w:tcPr>
            <w:tcW w:type="dxa" w:w="668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Automobiles &amp; Transport Equipment (1622)</w:t>
            </w:r>
          </w:p>
        </w:tc>
        <w:tc>
          <w:tcPr>
            <w:tcW w:type="dxa" w:w="10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+7.2%</w:t>
            </w:r>
          </w:p>
        </w:tc>
        <w:tc>
          <w:tcPr>
            <w:tcW w:type="dxa" w:w="10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+16.1%</w:t>
            </w:r>
          </w:p>
        </w:tc>
        <w:tc>
          <w:tcPr>
            <w:tcW w:type="dxa" w:w="118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+44.9%</w:t>
            </w:r>
          </w:p>
        </w:tc>
      </w:tr>
      <w:tr>
        <w:trPr>
          <w:cantSplit/>
        </w:trPr>
        <w:tc>
          <w:tcPr>
            <w:tcW w:type="dxa" w:w="668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10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10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18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p>
      <w:pPr>
        <w:spacing w:after="100" w:line="264"/>
      </w:pPr>
      <w:r>
        <w:rPr>
          <w:rFonts w:ascii="Calibri" w:cs="Calibri" w:eastAsia="Calibri" w:hAnsi="Calibri"/>
          <w:i/>
          <w:iCs/>
          <w:sz w:val="19"/>
          <w:szCs w:val="19"/>
        </w:rPr>
        <w:t xml:space="preserve">TS Tech beats a weak global seat peer set but trails TOPIX on every window and its sector over 1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335"/>
        <w:gridCol w:w="1168"/>
        <w:gridCol w:w="927"/>
        <w:gridCol w:w="927"/>
        <w:gridCol w:w="1001"/>
        <w:gridCol w:w="1001"/>
        <w:gridCol w:w="1507"/>
      </w:tblGrid>
      <w:tr>
        <w:trPr>
          <w:cantSplit/>
          <w:tblHeader/>
        </w:trPr>
        <w:tc>
          <w:tcPr>
            <w:tcW w:type="dxa" w:w="204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133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116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100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100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50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20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TS Tech</w:t>
            </w:r>
          </w:p>
        </w:tc>
        <w:tc>
          <w:tcPr>
            <w:tcW w:type="dxa" w:w="133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0.29x</w:t>
            </w:r>
          </w:p>
        </w:tc>
        <w:tc>
          <w:tcPr>
            <w:tcW w:type="dxa" w:w="11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12.5x</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25.5x</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−2.0%</w:t>
            </w:r>
          </w:p>
        </w:tc>
        <w:tc>
          <w:tcPr>
            <w:tcW w:type="dxa" w:w="100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2.3%</w:t>
            </w:r>
          </w:p>
        </w:tc>
        <w:tc>
          <w:tcPr>
            <w:tcW w:type="dxa" w:w="100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5.6%</w:t>
            </w:r>
          </w:p>
        </w:tc>
        <w:tc>
          <w:tcPr>
            <w:tcW w:type="dxa" w:w="150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−3.53x</w:t>
            </w:r>
          </w:p>
        </w:tc>
      </w:tr>
      <w:tr>
        <w:trPr>
          <w:cantSplit/>
        </w:trPr>
        <w:tc>
          <w:tcPr>
            <w:tcW w:type="dxa" w:w="204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133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0.19x</w:t>
            </w:r>
          </w:p>
        </w:tc>
        <w:tc>
          <w:tcPr>
            <w:tcW w:type="dxa" w:w="11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6.8x</w:t>
            </w:r>
          </w:p>
        </w:tc>
        <w:tc>
          <w:tcPr>
            <w:tcW w:type="dxa" w:w="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14.3x</w:t>
            </w:r>
          </w:p>
        </w:tc>
        <w:tc>
          <w:tcPr>
            <w:tcW w:type="dxa" w:w="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18.0%</w:t>
            </w:r>
          </w:p>
        </w:tc>
        <w:tc>
          <w:tcPr>
            <w:tcW w:type="dxa" w:w="100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3.8%</w:t>
            </w:r>
          </w:p>
        </w:tc>
        <w:tc>
          <w:tcPr>
            <w:tcW w:type="dxa" w:w="100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5.8%</w:t>
            </w:r>
          </w:p>
        </w:tc>
        <w:tc>
          <w:tcPr>
            <w:tcW w:type="dxa" w:w="150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+0.25x</w:t>
            </w:r>
          </w:p>
        </w:tc>
      </w:tr>
    </w:tbl>
    <w:p>
      <w:pPr>
        <w:spacing w:after="100"/>
      </w:pPr>
    </w:p>
    <w:p>
      <w:pPr>
        <w:spacing w:after="100" w:line="264"/>
      </w:pPr>
      <w:r>
        <w:rPr>
          <w:rFonts w:ascii="Calibri" w:cs="Calibri" w:eastAsia="Calibri" w:hAnsi="Calibri"/>
          <w:b/>
          <w:bCs/>
          <w:sz w:val="19"/>
          <w:szCs w:val="19"/>
        </w:rPr>
        <w:t xml:space="preserve">Top shareholders (31-Mar-2026):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2"/>
        <w:gridCol w:w="1467"/>
        <w:gridCol w:w="4257"/>
      </w:tblGrid>
      <w:tr>
        <w:trPr>
          <w:cantSplit/>
          <w:tblHeader/>
        </w:trPr>
        <w:tc>
          <w:tcPr>
            <w:tcW w:type="dxa" w:w="418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46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42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Type</w:t>
            </w:r>
          </w:p>
        </w:tc>
      </w:tr>
      <w:tr>
        <w:trPr>
          <w:cantSplit/>
        </w:trPr>
        <w:tc>
          <w:tcPr>
            <w:tcW w:type="dxa" w:w="418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Honda Motor</w:t>
            </w:r>
          </w:p>
        </w:tc>
        <w:tc>
          <w:tcPr>
            <w:tcW w:type="dxa" w:w="14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21.88%</w:t>
            </w:r>
          </w:p>
        </w:tc>
        <w:tc>
          <w:tcPr>
            <w:tcW w:type="dxa" w:w="42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Strategic; main customer</w:t>
            </w:r>
          </w:p>
        </w:tc>
      </w:tr>
      <w:tr>
        <w:trPr>
          <w:cantSplit/>
        </w:trPr>
        <w:tc>
          <w:tcPr>
            <w:tcW w:type="dxa" w:w="418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w:t>
            </w:r>
          </w:p>
        </w:tc>
        <w:tc>
          <w:tcPr>
            <w:tcW w:type="dxa" w:w="146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9.55%</w:t>
            </w:r>
          </w:p>
        </w:tc>
        <w:tc>
          <w:tcPr>
            <w:tcW w:type="dxa" w:w="42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418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 Bank of Japan</w:t>
            </w:r>
          </w:p>
        </w:tc>
        <w:tc>
          <w:tcPr>
            <w:tcW w:type="dxa" w:w="14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4.68%</w:t>
            </w:r>
          </w:p>
        </w:tc>
        <w:tc>
          <w:tcPr>
            <w:tcW w:type="dxa" w:w="42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418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Okamoto</w:t>
            </w:r>
          </w:p>
        </w:tc>
        <w:tc>
          <w:tcPr>
            <w:tcW w:type="dxa" w:w="146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3.93%</w:t>
            </w:r>
          </w:p>
        </w:tc>
        <w:tc>
          <w:tcPr>
            <w:tcW w:type="dxa" w:w="42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Business partner</w:t>
            </w:r>
          </w:p>
        </w:tc>
      </w:tr>
      <w:tr>
        <w:trPr>
          <w:cantSplit/>
        </w:trPr>
        <w:tc>
          <w:tcPr>
            <w:tcW w:type="dxa" w:w="418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5th holder</w:t>
            </w:r>
          </w:p>
        </w:tc>
        <w:tc>
          <w:tcPr>
            <w:tcW w:type="dxa" w:w="146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n/a</w:t>
            </w:r>
          </w:p>
        </w:tc>
        <w:tc>
          <w:tcPr>
            <w:tcW w:type="dxa" w:w="42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bl>
    <w:p>
      <w:pPr>
        <w:spacing w:after="100"/>
      </w:pPr>
    </w:p>
    <w:p>
      <w:pPr>
        <w:spacing w:after="100" w:line="264"/>
      </w:pPr>
      <w:r>
        <w:rPr>
          <w:rFonts w:ascii="Calibri" w:cs="Calibri" w:eastAsia="Calibri" w:hAnsi="Calibri"/>
          <w:sz w:val="19"/>
          <w:szCs w:val="19"/>
        </w:rPr>
        <w:t xml:space="preserve">Treasury is 5.6%. There is no founder family.</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Half the market cap is cash and securities, and the operations barely earn.</w:t>
      </w:r>
      <w:r>
        <w:rPr>
          <w:rFonts w:ascii="Calibri" w:cs="Calibri" w:eastAsia="Calibri" w:hAnsi="Calibri"/>
          <w:sz w:val="19"/>
          <w:szCs w:val="19"/>
        </w:rPr>
        <w:t xml:space="preserve"> Net cash of ¥89bn (43% of market cap) plus ¥21bn of investments, no debt and 0.67x book. ROE is 2.3% against management's own 7.0–7.5% cost-of-capital estimate.</w:t>
      </w:r>
    </w:p>
    <w:p>
      <w:pPr>
        <w:pStyle w:val="ListParagraph"/>
        <w:numPr>
          <w:ilvl w:val="0"/>
          <w:numId w:val="2"/>
        </w:numPr>
        <w:spacing w:after="50" w:line="252"/>
      </w:pPr>
      <w:r>
        <w:rPr>
          <w:rFonts w:ascii="Calibri" w:cs="Calibri" w:eastAsia="Calibri" w:hAnsi="Calibri"/>
          <w:b/>
          <w:bCs/>
          <w:sz w:val="19"/>
          <w:szCs w:val="19"/>
        </w:rPr>
        <w:t xml:space="preserve">The margin has collapsed and overhead hasn't moved.</w:t>
      </w:r>
    </w:p>
    <w:p>
      <w:pPr>
        <w:pStyle w:val="ListParagraph"/>
        <w:numPr>
          <w:ilvl w:val="1"/>
          <w:numId w:val="2"/>
        </w:numPr>
        <w:spacing w:after="50" w:line="252"/>
      </w:pPr>
      <w:r>
        <w:rPr>
          <w:rFonts w:ascii="Calibri" w:cs="Calibri" w:eastAsia="Calibri" w:hAnsi="Calibri"/>
          <w:sz w:val="19"/>
          <w:szCs w:val="19"/>
        </w:rPr>
        <w:t xml:space="preserve">OP margin fell from 7.2% (FY3/21) to 2.4% (FY3/26).</w:t>
      </w:r>
    </w:p>
    <w:p>
      <w:pPr>
        <w:pStyle w:val="ListParagraph"/>
        <w:numPr>
          <w:ilvl w:val="1"/>
          <w:numId w:val="2"/>
        </w:numPr>
        <w:spacing w:after="50" w:line="252"/>
      </w:pPr>
      <w:r>
        <w:rPr>
          <w:rFonts w:ascii="Calibri" w:cs="Calibri" w:eastAsia="Calibri" w:hAnsi="Calibri"/>
          <w:sz w:val="19"/>
          <w:szCs w:val="19"/>
        </w:rPr>
        <w:t xml:space="preserve">Americas OP is −76%, China revenue −37% in two years, and Asia/Europe is loss-making.</w:t>
      </w:r>
    </w:p>
    <w:p>
      <w:pPr>
        <w:pStyle w:val="ListParagraph"/>
        <w:numPr>
          <w:ilvl w:val="1"/>
          <w:numId w:val="2"/>
        </w:numPr>
        <w:spacing w:after="50" w:line="252"/>
      </w:pPr>
      <w:r>
        <w:rPr>
          <w:rFonts w:ascii="Calibri" w:cs="Calibri" w:eastAsia="Calibri" w:hAnsi="Calibri"/>
          <w:sz w:val="19"/>
          <w:szCs w:val="19"/>
        </w:rPr>
        <w:t xml:space="preserve">SG&amp;A is 9.9% of sales vs 6.5–7.6% at Japanese peers.</w:t>
      </w:r>
    </w:p>
    <w:p>
      <w:pPr>
        <w:pStyle w:val="ListParagraph"/>
        <w:numPr>
          <w:ilvl w:val="0"/>
          <w:numId w:val="2"/>
        </w:numPr>
        <w:spacing w:after="50" w:line="252"/>
      </w:pPr>
      <w:r>
        <w:rPr>
          <w:rFonts w:ascii="Calibri" w:cs="Calibri" w:eastAsia="Calibri" w:hAnsi="Calibri"/>
          <w:b/>
          <w:bCs/>
          <w:sz w:val="19"/>
          <w:szCs w:val="19"/>
        </w:rPr>
        <w:t xml:space="preserve">The captive model is ending.</w:t>
      </w:r>
      <w:r>
        <w:rPr>
          <w:rFonts w:ascii="Calibri" w:cs="Calibri" w:eastAsia="Calibri" w:hAnsi="Calibri"/>
          <w:sz w:val="19"/>
          <w:szCs w:val="19"/>
        </w:rPr>
        <w:t xml:space="preserve"> Honda took about 84% of sales and is unwinding cross-holdings: it sold 5.1m shares into the 2024 buyback. There is no plan for a post-Honda TS Tech.</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18"/>
        </w:numPr>
        <w:spacing w:after="50" w:line="252"/>
      </w:pPr>
      <w:r>
        <w:rPr>
          <w:rFonts w:ascii="Calibri" w:cs="Calibri" w:eastAsia="Calibri" w:hAnsi="Calibri"/>
          <w:b/>
          <w:bCs/>
          <w:sz w:val="19"/>
          <w:szCs w:val="19"/>
        </w:rPr>
        <w:t xml:space="preserve">Buy Honda's 21.9% block</w:t>
      </w:r>
      <w:r>
        <w:rPr>
          <w:rFonts w:ascii="Calibri" w:cs="Calibri" w:eastAsia="Calibri" w:hAnsi="Calibri"/>
          <w:sz w:val="19"/>
          <w:szCs w:val="19"/>
        </w:rPr>
        <w:t xml:space="preserve"> through a self-tender or off-market repurchase (about ¥45bn at market) funded from net cash. That removes the overhang and the cross-holding in one step.</w:t>
      </w:r>
    </w:p>
    <w:p>
      <w:pPr>
        <w:pStyle w:val="ListParagraph"/>
        <w:numPr>
          <w:ilvl w:val="0"/>
          <w:numId w:val="18"/>
        </w:numPr>
        <w:spacing w:after="50" w:line="252"/>
      </w:pPr>
      <w:r>
        <w:rPr>
          <w:rFonts w:ascii="Calibri" w:cs="Calibri" w:eastAsia="Calibri" w:hAnsi="Calibri"/>
          <w:b/>
          <w:bCs/>
          <w:sz w:val="19"/>
          <w:szCs w:val="19"/>
        </w:rPr>
        <w:t xml:space="preserve">Cut SG&amp;A to 7.5% or less of sales</w:t>
      </w:r>
      <w:r>
        <w:rPr>
          <w:rFonts w:ascii="Calibri" w:cs="Calibri" w:eastAsia="Calibri" w:hAnsi="Calibri"/>
          <w:sz w:val="19"/>
          <w:szCs w:val="19"/>
        </w:rPr>
        <w:t xml:space="preserve">, exit loss-making Asia/Europe operations, and pull the 5% OPM target forward with pay linkage.</w:t>
      </w:r>
    </w:p>
    <w:p>
      <w:pPr>
        <w:pStyle w:val="ListParagraph"/>
        <w:numPr>
          <w:ilvl w:val="0"/>
          <w:numId w:val="18"/>
        </w:numPr>
        <w:spacing w:after="50" w:line="252"/>
      </w:pPr>
      <w:r>
        <w:rPr>
          <w:rFonts w:ascii="Calibri" w:cs="Calibri" w:eastAsia="Calibri" w:hAnsi="Calibri"/>
          <w:b/>
          <w:bCs/>
          <w:sz w:val="19"/>
          <w:szCs w:val="19"/>
        </w:rPr>
        <w:t xml:space="preserve">Explore strategic options</w:t>
      </w:r>
      <w:r>
        <w:rPr>
          <w:rFonts w:ascii="Calibri" w:cs="Calibri" w:eastAsia="Calibri" w:hAnsi="Calibri"/>
          <w:sz w:val="19"/>
          <w:szCs w:val="19"/>
        </w:rPr>
        <w:t xml:space="preserve">: domestic seat consolidation (Toyota Boshoku, Tachi-S) or a sponsor-backed transaction once the Honda block is resolved.</w:t>
      </w:r>
    </w:p>
    <w:p>
      <w:pPr>
        <w:spacing w:after="100" w:line="264"/>
      </w:pPr>
      <w:r>
        <w:rPr>
          <w:rFonts w:ascii="Calibri" w:cs="Calibri" w:eastAsia="Calibri" w:hAnsi="Calibri"/>
          <w:b/>
          <w:bCs/>
          <w:sz w:val="19"/>
          <w:szCs w:val="19"/>
        </w:rPr>
        <w:t xml:space="preserve">Ease of building support: 3/5.</w:t>
      </w:r>
      <w:r>
        <w:rPr>
          <w:rFonts w:ascii="Calibri" w:cs="Calibri" w:eastAsia="Calibri" w:hAnsi="Calibri"/>
          <w:sz w:val="19"/>
          <w:szCs w:val="19"/>
        </w:rPr>
        <w:t xml:space="preserve"> Outside Honda the register is institutional and index-heavy, with no family. Honda is itself under TSE pressure to sell cross-holdings and has already sold into a buyback, so an activist offering Honda a clean exit can be an ally rather than an opponent.</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"We return more than we earn (payout above 100%; DOE of at least 3.5%). Net cash funds new-customer wins, EV seat technology and the India JV, and cushions Honda volume swings. A new CEO and the 16th MTP (5% margin) need time. The Honda relationship is the core of the franchise."</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Capital allocation · Overhead and operations · M&amp;A / consolidation</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17. Hi-Lex Corporation (7279 JP) — Tier 3 (activists present: LIM, Catalyst/Monex)</w:t>
      </w:r>
    </w:p>
    <w:p>
      <w:pPr>
        <w:spacing w:after="100" w:line="264"/>
      </w:pPr>
      <w:r>
        <w:rPr>
          <w:rFonts w:ascii="Calibri" w:cs="Calibri" w:eastAsia="Calibri" w:hAnsi="Calibri"/>
          <w:b/>
          <w:bCs/>
          <w:sz w:val="19"/>
          <w:szCs w:val="19"/>
        </w:rPr>
        <w:t xml:space="preserve">Control cables, window regulators, door modules and latches · Market cap ¥82.5bn (US$0.52bn) · Support score 2/5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82"/>
        <w:gridCol w:w="923"/>
        <w:gridCol w:w="923"/>
        <w:gridCol w:w="1078"/>
      </w:tblGrid>
      <w:tr>
        <w:trPr>
          <w:cantSplit/>
          <w:tblHeader/>
        </w:trPr>
        <w:tc>
          <w:tcPr>
            <w:tcW w:type="dxa" w:w="698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92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92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0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98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Hi-Lex</w:t>
            </w:r>
          </w:p>
        </w:tc>
        <w:tc>
          <w:tcPr>
            <w:tcW w:type="dxa" w:w="92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−16.8%</w:t>
            </w:r>
          </w:p>
        </w:tc>
        <w:tc>
          <w:tcPr>
            <w:tcW w:type="dxa" w:w="92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+67.6%</w:t>
            </w:r>
          </w:p>
        </w:tc>
        <w:tc>
          <w:tcPr>
            <w:tcW w:type="dxa" w:w="10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+30.2%</w:t>
            </w:r>
          </w:p>
        </w:tc>
      </w:tr>
      <w:tr>
        <w:trPr>
          <w:cantSplit/>
        </w:trPr>
        <w:tc>
          <w:tcPr>
            <w:tcW w:type="dxa" w:w="698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(Tokai Rika, Imasen, Mitsuba, Kongsberg Automotive)</w:t>
            </w:r>
          </w:p>
        </w:tc>
        <w:tc>
          <w:tcPr>
            <w:tcW w:type="dxa" w:w="92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+27.1%</w:t>
            </w:r>
          </w:p>
        </w:tc>
        <w:tc>
          <w:tcPr>
            <w:tcW w:type="dxa" w:w="92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+59.2%</w:t>
            </w:r>
          </w:p>
        </w:tc>
        <w:tc>
          <w:tcPr>
            <w:tcW w:type="dxa" w:w="107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+78.5%</w:t>
            </w:r>
          </w:p>
        </w:tc>
      </w:tr>
      <w:tr>
        <w:trPr>
          <w:cantSplit/>
        </w:trPr>
        <w:tc>
          <w:tcPr>
            <w:tcW w:type="dxa" w:w="698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Automobiles &amp; Transport Equipment (1622)</w:t>
            </w:r>
          </w:p>
        </w:tc>
        <w:tc>
          <w:tcPr>
            <w:tcW w:type="dxa" w:w="92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+7.2%</w:t>
            </w:r>
          </w:p>
        </w:tc>
        <w:tc>
          <w:tcPr>
            <w:tcW w:type="dxa" w:w="92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+16.1%</w:t>
            </w:r>
          </w:p>
        </w:tc>
        <w:tc>
          <w:tcPr>
            <w:tcW w:type="dxa" w:w="10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+44.9%</w:t>
            </w:r>
          </w:p>
        </w:tc>
      </w:tr>
      <w:tr>
        <w:trPr>
          <w:cantSplit/>
        </w:trPr>
        <w:tc>
          <w:tcPr>
            <w:tcW w:type="dxa" w:w="698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92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92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07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3"/>
        <w:gridCol w:w="866"/>
        <w:gridCol w:w="2917"/>
        <w:gridCol w:w="1925"/>
        <w:gridCol w:w="601"/>
        <w:gridCol w:w="650"/>
        <w:gridCol w:w="650"/>
        <w:gridCol w:w="974"/>
      </w:tblGrid>
      <w:tr>
        <w:trPr>
          <w:cantSplit/>
          <w:tblHeader/>
        </w:trPr>
        <w:tc>
          <w:tcPr>
            <w:tcW w:type="dxa" w:w="132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86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291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192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60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6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6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97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132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Hi-Lex</w:t>
            </w:r>
          </w:p>
        </w:tc>
        <w:tc>
          <w:tcPr>
            <w:tcW w:type="dxa" w:w="86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0.11x</w:t>
            </w:r>
          </w:p>
        </w:tc>
        <w:tc>
          <w:tcPr>
            <w:tcW w:type="dxa" w:w="29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11.0x (≈3.2x net of securities)</w:t>
            </w:r>
          </w:p>
        </w:tc>
        <w:tc>
          <w:tcPr>
            <w:tcW w:type="dxa" w:w="192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1.8x (one-off gains)</w:t>
            </w:r>
          </w:p>
        </w:tc>
        <w:tc>
          <w:tcPr>
            <w:tcW w:type="dxa" w:w="60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2.1%</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w:t>
            </w:r>
          </w:p>
        </w:tc>
        <w:tc>
          <w:tcPr>
            <w:tcW w:type="dxa" w:w="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3.8%</w:t>
            </w:r>
          </w:p>
        </w:tc>
        <w:tc>
          <w:tcPr>
            <w:tcW w:type="dxa" w:w="97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−3.76x</w:t>
            </w:r>
          </w:p>
        </w:tc>
      </w:tr>
      <w:tr>
        <w:trPr>
          <w:cantSplit/>
        </w:trPr>
        <w:tc>
          <w:tcPr>
            <w:tcW w:type="dxa" w:w="132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86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0.27x</w:t>
            </w:r>
          </w:p>
        </w:tc>
        <w:tc>
          <w:tcPr>
            <w:tcW w:type="dxa" w:w="29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4.7x</w:t>
            </w:r>
          </w:p>
        </w:tc>
        <w:tc>
          <w:tcPr>
            <w:tcW w:type="dxa" w:w="192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7.9x</w:t>
            </w:r>
          </w:p>
        </w:tc>
        <w:tc>
          <w:tcPr>
            <w:tcW w:type="dxa" w:w="60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14.6%</w:t>
            </w:r>
          </w:p>
        </w:tc>
        <w:tc>
          <w:tcPr>
            <w:tcW w:type="dxa" w:w="65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4.7%</w:t>
            </w:r>
          </w:p>
        </w:tc>
        <w:tc>
          <w:tcPr>
            <w:tcW w:type="dxa" w:w="65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8.0%</w:t>
            </w:r>
          </w:p>
        </w:tc>
        <w:tc>
          <w:tcPr>
            <w:tcW w:type="dxa" w:w="97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−0.55x</w:t>
            </w:r>
          </w:p>
        </w:tc>
      </w:tr>
    </w:tbl>
    <w:p>
      <w:pPr>
        <w:spacing w:after="100"/>
      </w:pPr>
    </w:p>
    <w:p>
      <w:pPr>
        <w:spacing w:after="100" w:line="264"/>
      </w:pPr>
      <w:r>
        <w:rPr>
          <w:rFonts w:ascii="Calibri" w:cs="Calibri" w:eastAsia="Calibri" w:hAnsi="Calibri"/>
          <w:b/>
          <w:bCs/>
          <w:sz w:val="19"/>
          <w:szCs w:val="19"/>
        </w:rPr>
        <w:t xml:space="preserve">Top 5 shareholders (30-Apr-2026):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49"/>
        <w:gridCol w:w="1177"/>
        <w:gridCol w:w="4080"/>
      </w:tblGrid>
      <w:tr>
        <w:trPr>
          <w:cantSplit/>
          <w:tblHeader/>
        </w:trPr>
        <w:tc>
          <w:tcPr>
            <w:tcW w:type="dxa" w:w="46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17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40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Type</w:t>
            </w:r>
          </w:p>
        </w:tc>
      </w:tr>
      <w:tr>
        <w:trPr>
          <w:cantSplit/>
        </w:trPr>
        <w:tc>
          <w:tcPr>
            <w:tcW w:type="dxa" w:w="46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Teraura Kosan</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27.73%</w:t>
            </w:r>
          </w:p>
        </w:tc>
        <w:tc>
          <w:tcPr>
            <w:tcW w:type="dxa" w:w="40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Founder-family asset company</w:t>
            </w:r>
          </w:p>
        </w:tc>
      </w:tr>
      <w:tr>
        <w:trPr>
          <w:cantSplit/>
        </w:trPr>
        <w:tc>
          <w:tcPr>
            <w:tcW w:type="dxa" w:w="46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Teraura Scholarship Foundation</w:t>
            </w:r>
          </w:p>
        </w:tc>
        <w:tc>
          <w:tcPr>
            <w:tcW w:type="dxa" w:w="11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4.07%</w:t>
            </w:r>
          </w:p>
        </w:tc>
        <w:tc>
          <w:tcPr>
            <w:tcW w:type="dxa" w:w="40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Family-linked</w:t>
            </w:r>
          </w:p>
        </w:tc>
      </w:tr>
      <w:tr>
        <w:trPr>
          <w:cantSplit/>
        </w:trPr>
        <w:tc>
          <w:tcPr>
            <w:tcW w:type="dxa" w:w="46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3.30%</w:t>
            </w:r>
          </w:p>
        </w:tc>
        <w:tc>
          <w:tcPr>
            <w:tcW w:type="dxa" w:w="40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46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Nippon Life</w:t>
            </w:r>
          </w:p>
        </w:tc>
        <w:tc>
          <w:tcPr>
            <w:tcW w:type="dxa" w:w="11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3.29%</w:t>
            </w:r>
          </w:p>
        </w:tc>
        <w:tc>
          <w:tcPr>
            <w:tcW w:type="dxa" w:w="40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Insurer</w:t>
            </w:r>
          </w:p>
        </w:tc>
      </w:tr>
      <w:tr>
        <w:trPr>
          <w:cantSplit/>
        </w:trPr>
        <w:tc>
          <w:tcPr>
            <w:tcW w:type="dxa" w:w="46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Nishikawa Rubber</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2.71%</w:t>
            </w:r>
          </w:p>
        </w:tc>
        <w:tc>
          <w:tcPr>
            <w:tcW w:type="dxa" w:w="40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Cross-holding</w:t>
            </w:r>
          </w:p>
        </w:tc>
      </w:tr>
    </w:tbl>
    <w:p>
      <w:pPr>
        <w:spacing w:after="100"/>
      </w:pPr>
    </w:p>
    <w:p>
      <w:pPr>
        <w:spacing w:after="100" w:line="264"/>
      </w:pPr>
      <w:r>
        <w:rPr>
          <w:rFonts w:ascii="Calibri" w:cs="Calibri" w:eastAsia="Calibri" w:hAnsi="Calibri"/>
          <w:sz w:val="19"/>
          <w:szCs w:val="19"/>
        </w:rPr>
        <w:t xml:space="preserve">The Teraura group holds 31.8%. Zennor Asset Management holds 7.65–7.77%.</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The balance sheet is worth more than the company.</w:t>
      </w:r>
      <w:r>
        <w:rPr>
          <w:rFonts w:ascii="Calibri" w:cs="Calibri" w:eastAsia="Calibri" w:hAnsi="Calibri"/>
          <w:sz w:val="19"/>
          <w:szCs w:val="19"/>
        </w:rPr>
        <w:t xml:space="preserve"> Net cash of ¥57bn is 69% of market cap. Add ¥32bn of investment securities and cash plus securities are about 1.37x market cap. The stock trades at 0.38x book.</w:t>
      </w:r>
    </w:p>
    <w:p>
      <w:pPr>
        <w:pStyle w:val="ListParagraph"/>
        <w:numPr>
          <w:ilvl w:val="0"/>
          <w:numId w:val="2"/>
        </w:numPr>
        <w:spacing w:after="50" w:line="252"/>
      </w:pPr>
      <w:r>
        <w:rPr>
          <w:rFonts w:ascii="Calibri" w:cs="Calibri" w:eastAsia="Calibri" w:hAnsi="Calibri"/>
          <w:b/>
          <w:bCs/>
          <w:sz w:val="19"/>
          <w:szCs w:val="19"/>
        </w:rPr>
        <w:t xml:space="preserve">Five years of near-zero margins.</w:t>
      </w:r>
      <w:r>
        <w:rPr>
          <w:rFonts w:ascii="Calibri" w:cs="Calibri" w:eastAsia="Calibri" w:hAnsi="Calibri"/>
          <w:sz w:val="19"/>
          <w:szCs w:val="19"/>
        </w:rPr>
        <w:t xml:space="preserve"> Operating income on ¥230–300bn of sales has been −¥4.7bn to ¥3.4bn a year since FY21, with net losses in FY22–23. LTM EBIT margin is 1.0% against a 4.7% peer median.</w:t>
      </w:r>
    </w:p>
    <w:p>
      <w:pPr>
        <w:pStyle w:val="ListParagraph"/>
        <w:numPr>
          <w:ilvl w:val="0"/>
          <w:numId w:val="2"/>
        </w:numPr>
        <w:spacing w:after="50" w:line="252"/>
      </w:pPr>
      <w:r>
        <w:rPr>
          <w:rFonts w:ascii="Calibri" w:cs="Calibri" w:eastAsia="Calibri" w:hAnsi="Calibri"/>
          <w:b/>
          <w:bCs/>
          <w:sz w:val="19"/>
          <w:szCs w:val="19"/>
        </w:rPr>
        <w:t xml:space="preserve">Scale over returns.</w:t>
      </w:r>
      <w:r>
        <w:rPr>
          <w:rFonts w:ascii="Calibri" w:cs="Calibri" w:eastAsia="Calibri" w:hAnsi="Calibri"/>
          <w:sz w:val="19"/>
          <w:szCs w:val="19"/>
        </w:rPr>
        <w:t xml:space="preserve"> The ACT door-latch acquisition from Mitsui Kinzoku added ¥78bn of sales but only ¥0.6bn of OP in nine months. It booked a ¥28bn bargain-purchase gain that flatters reported earnings. The takeover defence was renewed in Jan-2026.</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19"/>
        </w:numPr>
        <w:spacing w:after="50" w:line="252"/>
      </w:pPr>
      <w:r>
        <w:rPr>
          <w:rFonts w:ascii="Calibri" w:cs="Calibri" w:eastAsia="Calibri" w:hAnsi="Calibri"/>
          <w:b/>
          <w:bCs/>
          <w:sz w:val="19"/>
          <w:szCs w:val="19"/>
        </w:rPr>
        <w:t xml:space="preserve">Return excess capital.</w:t>
      </w:r>
      <w:r>
        <w:rPr>
          <w:rFonts w:ascii="Calibri" w:cs="Calibri" w:eastAsia="Calibri" w:hAnsi="Calibri"/>
          <w:sz w:val="19"/>
          <w:szCs w:val="19"/>
        </w:rPr>
        <w:t xml:space="preserve"> Hi-Lex could pay ¥50bn+ (about 60% of market cap) through a tender and still be net cash. Lift DOE to at least 5%, as Catalyst/Monex proposed.</w:t>
      </w:r>
    </w:p>
    <w:p>
      <w:pPr>
        <w:pStyle w:val="ListParagraph"/>
        <w:numPr>
          <w:ilvl w:val="0"/>
          <w:numId w:val="19"/>
        </w:numPr>
        <w:spacing w:after="50" w:line="252"/>
      </w:pPr>
      <w:r>
        <w:rPr>
          <w:rFonts w:ascii="Calibri" w:cs="Calibri" w:eastAsia="Calibri" w:hAnsi="Calibri"/>
          <w:b/>
          <w:bCs/>
          <w:sz w:val="19"/>
          <w:szCs w:val="19"/>
        </w:rPr>
        <w:t xml:space="preserve">Consider going private or a strategic combination.</w:t>
      </w:r>
      <w:r>
        <w:rPr>
          <w:rFonts w:ascii="Calibri" w:cs="Calibri" w:eastAsia="Calibri" w:hAnsi="Calibri"/>
          <w:sz w:val="19"/>
          <w:szCs w:val="19"/>
        </w:rPr>
        <w:t xml:space="preserve"> With the family at 31.8% and the shares at 0.38x book, an MBO or sponsor-backed take-private at a premium is the cleanest fix, and has been publicly floated by shareholders.</w:t>
      </w:r>
    </w:p>
    <w:p>
      <w:pPr>
        <w:pStyle w:val="ListParagraph"/>
        <w:numPr>
          <w:ilvl w:val="0"/>
          <w:numId w:val="19"/>
        </w:numPr>
        <w:spacing w:after="50" w:line="252"/>
      </w:pPr>
      <w:r>
        <w:rPr>
          <w:rFonts w:ascii="Calibri" w:cs="Calibri" w:eastAsia="Calibri" w:hAnsi="Calibri"/>
          <w:b/>
          <w:bCs/>
          <w:sz w:val="19"/>
          <w:szCs w:val="19"/>
        </w:rPr>
        <w:t xml:space="preserve">Governance clean-up.</w:t>
      </w:r>
      <w:r>
        <w:rPr>
          <w:rFonts w:ascii="Calibri" w:cs="Calibri" w:eastAsia="Calibri" w:hAnsi="Calibri"/>
          <w:sz w:val="19"/>
          <w:szCs w:val="19"/>
        </w:rPr>
        <w:t xml:space="preserve"> Abolish the takeover defence, complete the cross-holding exit (target ≤10% of net assets), and set a 4% operating-margin target with restructuring of loss-making plants (Hungary, Serbia, Indonesia).</w:t>
      </w:r>
    </w:p>
    <w:p>
      <w:pPr>
        <w:spacing w:after="100" w:line="264"/>
      </w:pPr>
      <w:r>
        <w:rPr>
          <w:rFonts w:ascii="Calibri" w:cs="Calibri" w:eastAsia="Calibri" w:hAnsi="Calibri"/>
          <w:b/>
          <w:bCs/>
          <w:sz w:val="19"/>
          <w:szCs w:val="19"/>
        </w:rPr>
        <w:t xml:space="preserve">Ease of building support: 2/5.</w:t>
      </w:r>
      <w:r>
        <w:rPr>
          <w:rFonts w:ascii="Calibri" w:cs="Calibri" w:eastAsia="Calibri" w:hAnsi="Calibri"/>
          <w:sz w:val="19"/>
          <w:szCs w:val="19"/>
        </w:rPr>
        <w:t xml:space="preserve"> The family's 31.8% is a near-blocking stake, and the defence plan was renewed with shareholder approval. The case is strongest as an event-driven </w:t>
      </w:r>
      <w:r>
        <w:rPr>
          <w:rFonts w:ascii="Calibri" w:cs="Calibri" w:eastAsia="Calibri" w:hAnsi="Calibri"/>
          <w:i/>
          <w:iCs/>
          <w:sz w:val="19"/>
          <w:szCs w:val="19"/>
        </w:rPr>
        <w:t xml:space="preserve">take-private</w:t>
      </w:r>
      <w:r>
        <w:rPr>
          <w:rFonts w:ascii="Calibri" w:cs="Calibri" w:eastAsia="Calibri" w:hAnsi="Calibri"/>
          <w:sz w:val="19"/>
          <w:szCs w:val="19"/>
        </w:rPr>
        <w:t xml:space="preserve"> thesis: LIM, Catalyst/Monex and Zennor (7.7%) are already on the register and aligned. The family is the only party that can unlock value at 0.38x book.</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"ACT doubles our scale in door systems; integration and EV capex need the balance sheet, and synergies will lift margins. Returns have already risen (DPS ¥46 to ¥80, two ¥1.5bn buybacks, ¥16bn of cross-holdings sold). Low margins reflect customer volume and pricing and one-off restructuring abroad."</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Capital allocation · Take-private / MBO · M&amp;A discipline · Governance (takeover defence)</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18. Canon Inc. (7751 JP) — Tier 3</w:t>
      </w:r>
    </w:p>
    <w:p>
      <w:pPr>
        <w:spacing w:after="100" w:line="264"/>
      </w:pPr>
      <w:r>
        <w:rPr>
          <w:rFonts w:ascii="Calibri" w:cs="Calibri" w:eastAsia="Calibri" w:hAnsi="Calibri"/>
          <w:b/>
          <w:bCs/>
          <w:sz w:val="19"/>
          <w:szCs w:val="19"/>
        </w:rPr>
        <w:t xml:space="preserve">Printing, medical systems, imaging, industrial equipment · Market cap ¥4,052bn (US$25.6bn) · Support score 3/5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17"/>
        <w:gridCol w:w="957"/>
        <w:gridCol w:w="1116"/>
        <w:gridCol w:w="1116"/>
      </w:tblGrid>
      <w:tr>
        <w:trPr>
          <w:cantSplit/>
          <w:tblHeader/>
        </w:trPr>
        <w:tc>
          <w:tcPr>
            <w:tcW w:type="dxa" w:w="671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9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11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11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7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Canon</w:t>
            </w:r>
          </w:p>
        </w:tc>
        <w:tc>
          <w:tcPr>
            <w:tcW w:type="dxa" w:w="9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+11.1%</w:t>
            </w:r>
          </w:p>
        </w:tc>
        <w:tc>
          <w:tcPr>
            <w:tcW w:type="dxa" w:w="11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+43.8%</w:t>
            </w:r>
          </w:p>
        </w:tc>
        <w:tc>
          <w:tcPr>
            <w:tcW w:type="dxa" w:w="11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+94.4%</w:t>
            </w:r>
          </w:p>
        </w:tc>
      </w:tr>
      <w:tr>
        <w:trPr>
          <w:cantSplit/>
        </w:trPr>
        <w:tc>
          <w:tcPr>
            <w:tcW w:type="dxa" w:w="67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(Ricoh, Fujifilm, Konica Minolta, Nikon, HP)</w:t>
            </w:r>
          </w:p>
        </w:tc>
        <w:tc>
          <w:tcPr>
            <w:tcW w:type="dxa" w:w="9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w:t>
            </w:r>
          </w:p>
        </w:tc>
        <w:tc>
          <w:tcPr>
            <w:tcW w:type="dxa" w:w="11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+27.4%</w:t>
            </w:r>
          </w:p>
        </w:tc>
        <w:tc>
          <w:tcPr>
            <w:tcW w:type="dxa" w:w="11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+25.7%</w:t>
            </w:r>
          </w:p>
        </w:tc>
      </w:tr>
      <w:tr>
        <w:trPr>
          <w:cantSplit/>
        </w:trPr>
        <w:tc>
          <w:tcPr>
            <w:tcW w:type="dxa" w:w="67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Electric Appliances &amp; Precision (1625)</w:t>
            </w:r>
          </w:p>
        </w:tc>
        <w:tc>
          <w:tcPr>
            <w:tcW w:type="dxa" w:w="9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+47.4%</w:t>
            </w:r>
          </w:p>
        </w:tc>
        <w:tc>
          <w:tcPr>
            <w:tcW w:type="dxa" w:w="11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+114.1%</w:t>
            </w:r>
          </w:p>
        </w:tc>
        <w:tc>
          <w:tcPr>
            <w:tcW w:type="dxa" w:w="11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+118.3%</w:t>
            </w:r>
          </w:p>
        </w:tc>
      </w:tr>
      <w:tr>
        <w:trPr>
          <w:cantSplit/>
        </w:trPr>
        <w:tc>
          <w:tcPr>
            <w:tcW w:type="dxa" w:w="67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9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11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1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p>
      <w:pPr>
        <w:spacing w:after="100" w:line="264"/>
      </w:pPr>
      <w:r>
        <w:rPr>
          <w:rFonts w:ascii="Calibri" w:cs="Calibri" w:eastAsia="Calibri" w:hAnsi="Calibri"/>
          <w:i/>
          <w:iCs/>
          <w:sz w:val="19"/>
          <w:szCs w:val="19"/>
        </w:rPr>
        <w:t xml:space="preserve">Canon beats office-equipment peers but trails its TOPIX sector by 70pp over 3 years and 24pp over 5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335"/>
        <w:gridCol w:w="1168"/>
        <w:gridCol w:w="927"/>
        <w:gridCol w:w="927"/>
        <w:gridCol w:w="1001"/>
        <w:gridCol w:w="1001"/>
        <w:gridCol w:w="1507"/>
      </w:tblGrid>
      <w:tr>
        <w:trPr>
          <w:cantSplit/>
          <w:tblHeader/>
        </w:trPr>
        <w:tc>
          <w:tcPr>
            <w:tcW w:type="dxa" w:w="204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133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116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9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100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100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50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20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Canon</w:t>
            </w:r>
          </w:p>
        </w:tc>
        <w:tc>
          <w:tcPr>
            <w:tcW w:type="dxa" w:w="133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1.02x</w:t>
            </w:r>
          </w:p>
        </w:tc>
        <w:tc>
          <w:tcPr>
            <w:tcW w:type="dxa" w:w="116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9.9x</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11.7x</w:t>
            </w:r>
          </w:p>
        </w:tc>
        <w:tc>
          <w:tcPr>
            <w:tcW w:type="dxa" w:w="9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6.3%</w:t>
            </w:r>
          </w:p>
        </w:tc>
        <w:tc>
          <w:tcPr>
            <w:tcW w:type="dxa" w:w="100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10.2%</w:t>
            </w:r>
          </w:p>
        </w:tc>
        <w:tc>
          <w:tcPr>
            <w:tcW w:type="dxa" w:w="100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15.4%</w:t>
            </w:r>
          </w:p>
        </w:tc>
        <w:tc>
          <w:tcPr>
            <w:tcW w:type="dxa" w:w="150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0.72x</w:t>
            </w:r>
          </w:p>
        </w:tc>
      </w:tr>
      <w:tr>
        <w:trPr>
          <w:cantSplit/>
        </w:trPr>
        <w:tc>
          <w:tcPr>
            <w:tcW w:type="dxa" w:w="204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133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0.57x</w:t>
            </w:r>
          </w:p>
        </w:tc>
        <w:tc>
          <w:tcPr>
            <w:tcW w:type="dxa" w:w="116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11.0x</w:t>
            </w:r>
          </w:p>
        </w:tc>
        <w:tc>
          <w:tcPr>
            <w:tcW w:type="dxa" w:w="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11.6x</w:t>
            </w:r>
          </w:p>
        </w:tc>
        <w:tc>
          <w:tcPr>
            <w:tcW w:type="dxa" w:w="9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14.1%</w:t>
            </w:r>
          </w:p>
        </w:tc>
        <w:tc>
          <w:tcPr>
            <w:tcW w:type="dxa" w:w="100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5.0%</w:t>
            </w:r>
          </w:p>
        </w:tc>
        <w:tc>
          <w:tcPr>
            <w:tcW w:type="dxa" w:w="100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7.8%</w:t>
            </w:r>
          </w:p>
        </w:tc>
        <w:tc>
          <w:tcPr>
            <w:tcW w:type="dxa" w:w="150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1.89x</w:t>
            </w:r>
          </w:p>
        </w:tc>
      </w:tr>
    </w:tbl>
    <w:p>
      <w:pPr>
        <w:spacing w:after="100"/>
      </w:pPr>
    </w:p>
    <w:p>
      <w:pPr>
        <w:spacing w:after="100" w:line="264"/>
      </w:pPr>
      <w:r>
        <w:rPr>
          <w:rFonts w:ascii="Calibri" w:cs="Calibri" w:eastAsia="Calibri" w:hAnsi="Calibri"/>
          <w:b/>
          <w:bCs/>
          <w:sz w:val="19"/>
          <w:szCs w:val="19"/>
        </w:rPr>
        <w:t xml:space="preserve">Top 5 shareholders (31-Dec-2025):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3"/>
        <w:gridCol w:w="1585"/>
        <w:gridCol w:w="3698"/>
      </w:tblGrid>
      <w:tr>
        <w:trPr>
          <w:cantSplit/>
          <w:tblHeader/>
        </w:trPr>
        <w:tc>
          <w:tcPr>
            <w:tcW w:type="dxa" w:w="462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58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369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Type</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w:t>
            </w:r>
          </w:p>
        </w:tc>
        <w:tc>
          <w:tcPr>
            <w:tcW w:type="dxa" w:w="158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17.59%</w:t>
            </w:r>
          </w:p>
        </w:tc>
        <w:tc>
          <w:tcPr>
            <w:tcW w:type="dxa" w:w="369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462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 Bank of Japan</w:t>
            </w:r>
          </w:p>
        </w:tc>
        <w:tc>
          <w:tcPr>
            <w:tcW w:type="dxa" w:w="158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6.15%</w:t>
            </w:r>
          </w:p>
        </w:tc>
        <w:tc>
          <w:tcPr>
            <w:tcW w:type="dxa" w:w="369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Mizuho Bank</w:t>
            </w:r>
          </w:p>
        </w:tc>
        <w:tc>
          <w:tcPr>
            <w:tcW w:type="dxa" w:w="158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2.57%</w:t>
            </w:r>
          </w:p>
        </w:tc>
        <w:tc>
          <w:tcPr>
            <w:tcW w:type="dxa" w:w="369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Bank</w:t>
            </w:r>
          </w:p>
        </w:tc>
      </w:tr>
      <w:tr>
        <w:trPr>
          <w:cantSplit/>
        </w:trPr>
        <w:tc>
          <w:tcPr>
            <w:tcW w:type="dxa" w:w="462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Moxley &amp; Co</w:t>
            </w:r>
          </w:p>
        </w:tc>
        <w:tc>
          <w:tcPr>
            <w:tcW w:type="dxa" w:w="158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1.49%</w:t>
            </w:r>
          </w:p>
        </w:tc>
        <w:tc>
          <w:tcPr>
            <w:tcW w:type="dxa" w:w="369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ADR depositary</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SMBC Nikko</w:t>
            </w:r>
          </w:p>
        </w:tc>
        <w:tc>
          <w:tcPr>
            <w:tcW w:type="dxa" w:w="158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1.45%</w:t>
            </w:r>
          </w:p>
        </w:tc>
        <w:tc>
          <w:tcPr>
            <w:tcW w:type="dxa" w:w="369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Broker</w:t>
            </w:r>
          </w:p>
        </w:tc>
      </w:tr>
    </w:tbl>
    <w:p>
      <w:pPr>
        <w:spacing w:after="100"/>
      </w:pPr>
    </w:p>
    <w:p>
      <w:pPr>
        <w:spacing w:after="100" w:line="264"/>
      </w:pPr>
      <w:r>
        <w:rPr>
          <w:rFonts w:ascii="Calibri" w:cs="Calibri" w:eastAsia="Calibri" w:hAnsi="Calibri"/>
          <w:sz w:val="19"/>
          <w:szCs w:val="19"/>
        </w:rPr>
        <w:t xml:space="preserve">There is no family or controlling group.</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A third of the company is held in its own treasury.</w:t>
      </w:r>
      <w:r>
        <w:rPr>
          <w:rFonts w:ascii="Calibri" w:cs="Calibri" w:eastAsia="Calibri" w:hAnsi="Calibri"/>
          <w:sz w:val="19"/>
          <w:szCs w:val="19"/>
        </w:rPr>
        <w:t xml:space="preserve"> 455m shares (34.1% of issued) were held at Dec-2025, and about 37.5% after the 2026 programme. ¥800bn of buybacks since 2023 sits uncancelled under management's discretion.</w:t>
      </w:r>
    </w:p>
    <w:p>
      <w:pPr>
        <w:pStyle w:val="ListParagraph"/>
        <w:numPr>
          <w:ilvl w:val="0"/>
          <w:numId w:val="2"/>
        </w:numPr>
        <w:spacing w:after="50" w:line="252"/>
      </w:pPr>
      <w:r>
        <w:rPr>
          <w:rFonts w:ascii="Calibri" w:cs="Calibri" w:eastAsia="Calibri" w:hAnsi="Calibri"/>
          <w:b/>
          <w:bCs/>
          <w:sz w:val="19"/>
          <w:szCs w:val="19"/>
        </w:rPr>
        <w:t xml:space="preserve">Medical is a value trap.</w:t>
      </w:r>
      <w:r>
        <w:rPr>
          <w:rFonts w:ascii="Calibri" w:cs="Calibri" w:eastAsia="Calibri" w:hAnsi="Calibri"/>
          <w:sz w:val="19"/>
          <w:szCs w:val="19"/>
        </w:rPr>
        <w:t xml:space="preserve"> Toshiba Medical cost ¥666bn in 2016. It earns a 5.6% OP margin, took a ¥165bn goodwill impairment in FY2024, and still carries low impairment headroom.</w:t>
      </w:r>
    </w:p>
    <w:p>
      <w:pPr>
        <w:pStyle w:val="ListParagraph"/>
        <w:numPr>
          <w:ilvl w:val="0"/>
          <w:numId w:val="2"/>
        </w:numPr>
        <w:spacing w:after="50" w:line="252"/>
      </w:pPr>
      <w:r>
        <w:rPr>
          <w:rFonts w:ascii="Calibri" w:cs="Calibri" w:eastAsia="Calibri" w:hAnsi="Calibri"/>
          <w:b/>
          <w:bCs/>
          <w:sz w:val="19"/>
          <w:szCs w:val="19"/>
        </w:rPr>
        <w:t xml:space="preserve">Thirty years of one leader, plus a listed subsidiary.</w:t>
      </w:r>
      <w:r>
        <w:rPr>
          <w:rFonts w:ascii="Calibri" w:cs="Calibri" w:eastAsia="Calibri" w:hAnsi="Calibri"/>
          <w:sz w:val="19"/>
          <w:szCs w:val="19"/>
        </w:rPr>
        <w:t xml:space="preserve"> Fujio Mitarai first became president in 1995 and remains Chairman &amp; CEO. Canon Marketing Japan is 52%-owned and listed, leaving about ¥395bn of value with its minorities.</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20"/>
        </w:numPr>
        <w:spacing w:after="50" w:line="252"/>
      </w:pPr>
      <w:r>
        <w:rPr>
          <w:rFonts w:ascii="Calibri" w:cs="Calibri" w:eastAsia="Calibri" w:hAnsi="Calibri"/>
          <w:b/>
          <w:bCs/>
          <w:sz w:val="19"/>
          <w:szCs w:val="19"/>
        </w:rPr>
        <w:t xml:space="preserve">Cancel the treasury shares</w:t>
      </w:r>
      <w:r>
        <w:rPr>
          <w:rFonts w:ascii="Calibri" w:cs="Calibri" w:eastAsia="Calibri" w:hAnsi="Calibri"/>
          <w:sz w:val="19"/>
          <w:szCs w:val="19"/>
        </w:rPr>
        <w:t xml:space="preserve"> (at least 30% of issued) and adopt automatic cancellation of future buybacks.</w:t>
      </w:r>
    </w:p>
    <w:p>
      <w:pPr>
        <w:pStyle w:val="ListParagraph"/>
        <w:numPr>
          <w:ilvl w:val="0"/>
          <w:numId w:val="20"/>
        </w:numPr>
        <w:spacing w:after="50" w:line="252"/>
      </w:pPr>
      <w:r>
        <w:rPr>
          <w:rFonts w:ascii="Calibri" w:cs="Calibri" w:eastAsia="Calibri" w:hAnsi="Calibri"/>
          <w:b/>
          <w:bCs/>
          <w:sz w:val="19"/>
          <w:szCs w:val="19"/>
        </w:rPr>
        <w:t xml:space="preserve">Run a strategic review of Medical</w:t>
      </w:r>
      <w:r>
        <w:rPr>
          <w:rFonts w:ascii="Calibri" w:cs="Calibri" w:eastAsia="Calibri" w:hAnsi="Calibri"/>
          <w:sz w:val="19"/>
          <w:szCs w:val="19"/>
        </w:rPr>
        <w:t xml:space="preserve"> (sale, spin-off or partnership), with an outside adviser and a 12-month deadline.</w:t>
      </w:r>
    </w:p>
    <w:p>
      <w:pPr>
        <w:pStyle w:val="ListParagraph"/>
        <w:numPr>
          <w:ilvl w:val="0"/>
          <w:numId w:val="20"/>
        </w:numPr>
        <w:spacing w:after="50" w:line="252"/>
      </w:pPr>
      <w:r>
        <w:rPr>
          <w:rFonts w:ascii="Calibri" w:cs="Calibri" w:eastAsia="Calibri" w:hAnsi="Calibri"/>
          <w:b/>
          <w:bCs/>
          <w:sz w:val="19"/>
          <w:szCs w:val="19"/>
        </w:rPr>
        <w:t xml:space="preserve">End the parent–subsidiary listing</w:t>
      </w:r>
      <w:r>
        <w:rPr>
          <w:rFonts w:ascii="Calibri" w:cs="Calibri" w:eastAsia="Calibri" w:hAnsi="Calibri"/>
          <w:sz w:val="19"/>
          <w:szCs w:val="19"/>
        </w:rPr>
        <w:t xml:space="preserve"> by buying out or selling down Canon Marketing Japan. Separate chair and CEO, and publish a CEO succession timeline.</w:t>
      </w:r>
    </w:p>
    <w:p>
      <w:pPr>
        <w:spacing w:after="100" w:line="264"/>
      </w:pPr>
      <w:r>
        <w:rPr>
          <w:rFonts w:ascii="Calibri" w:cs="Calibri" w:eastAsia="Calibri" w:hAnsi="Calibri"/>
          <w:b/>
          <w:bCs/>
          <w:sz w:val="19"/>
          <w:szCs w:val="19"/>
        </w:rPr>
        <w:t xml:space="preserve">Ease of building support: 3/5.</w:t>
      </w:r>
      <w:r>
        <w:rPr>
          <w:rFonts w:ascii="Calibri" w:cs="Calibri" w:eastAsia="Calibri" w:hAnsi="Calibri"/>
          <w:sz w:val="19"/>
          <w:szCs w:val="19"/>
        </w:rPr>
        <w:t xml:space="preserve"> The register is fully institutional with no strategic anchor, and governance asks (cancellation, succession, listed-subsidiary clean-up) are core to proxy-adviser and TSE agendas. The obstacle is size: at ¥4tn, meaningful ownership is expensive, so the campaign suits a large-cap specialist working with proxy advisers and global long-only holders.</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"We returned about ¥800bn through buybacks in 2023–26, and Phase VII targets 15% ROE by 2030. Medical is a long-term core business, and the 2024 impairment does not change the strategy. We already privatised Canon Electronics, and CMJ is our strategic domestic channel. We have appointed a new President/COO and added outside directors."</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Governance · Capital allocation (treasury) · Portfolio (Medical, listed subsidiary)</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19. Toei Company (9605 JP) — Tier 3</w:t>
      </w:r>
    </w:p>
    <w:p>
      <w:pPr>
        <w:spacing w:after="100" w:line="264"/>
      </w:pPr>
      <w:r>
        <w:rPr>
          <w:rFonts w:ascii="Calibri" w:cs="Calibri" w:eastAsia="Calibri" w:hAnsi="Calibri"/>
          <w:b/>
          <w:bCs/>
          <w:sz w:val="19"/>
          <w:szCs w:val="19"/>
        </w:rPr>
        <w:t xml:space="preserve">Film/TV production, cinemas (T-Joy), studios, real estate; 41% parent of Toei Animation · Market cap ¥369bn (US$2.33bn) · Support score 2/5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89"/>
        <w:gridCol w:w="1016"/>
        <w:gridCol w:w="1016"/>
        <w:gridCol w:w="1185"/>
      </w:tblGrid>
      <w:tr>
        <w:trPr>
          <w:cantSplit/>
          <w:tblHeader/>
        </w:trPr>
        <w:tc>
          <w:tcPr>
            <w:tcW w:type="dxa" w:w="668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101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01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18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68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Toei</w:t>
            </w:r>
          </w:p>
        </w:tc>
        <w:tc>
          <w:tcPr>
            <w:tcW w:type="dxa" w:w="10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+5.9%</w:t>
            </w:r>
          </w:p>
        </w:tc>
        <w:tc>
          <w:tcPr>
            <w:tcW w:type="dxa" w:w="10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+57.8%</w:t>
            </w:r>
          </w:p>
        </w:tc>
        <w:tc>
          <w:tcPr>
            <w:tcW w:type="dxa" w:w="118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+33.6%</w:t>
            </w:r>
          </w:p>
        </w:tc>
      </w:tr>
      <w:tr>
        <w:trPr>
          <w:cantSplit/>
        </w:trPr>
        <w:tc>
          <w:tcPr>
            <w:tcW w:type="dxa" w:w="668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(Toho, Shochiku, Kadokawa, Toei Animation)</w:t>
            </w:r>
          </w:p>
        </w:tc>
        <w:tc>
          <w:tcPr>
            <w:tcW w:type="dxa" w:w="10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−14.4%</w:t>
            </w:r>
          </w:p>
        </w:tc>
        <w:tc>
          <w:tcPr>
            <w:tcW w:type="dxa" w:w="10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+20.6%</w:t>
            </w:r>
          </w:p>
        </w:tc>
        <w:tc>
          <w:tcPr>
            <w:tcW w:type="dxa" w:w="118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+4.7%</w:t>
            </w:r>
          </w:p>
        </w:tc>
      </w:tr>
      <w:tr>
        <w:trPr>
          <w:cantSplit/>
        </w:trPr>
        <w:tc>
          <w:tcPr>
            <w:tcW w:type="dxa" w:w="668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IT &amp; Services, Others (1626)</w:t>
            </w:r>
          </w:p>
        </w:tc>
        <w:tc>
          <w:tcPr>
            <w:tcW w:type="dxa" w:w="10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+14.1%</w:t>
            </w:r>
          </w:p>
        </w:tc>
        <w:tc>
          <w:tcPr>
            <w:tcW w:type="dxa" w:w="101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+65.4%</w:t>
            </w:r>
          </w:p>
        </w:tc>
        <w:tc>
          <w:tcPr>
            <w:tcW w:type="dxa" w:w="118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+60.7%</w:t>
            </w:r>
          </w:p>
        </w:tc>
      </w:tr>
      <w:tr>
        <w:trPr>
          <w:cantSplit/>
        </w:trPr>
        <w:tc>
          <w:tcPr>
            <w:tcW w:type="dxa" w:w="668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10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101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18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p>
      <w:pPr>
        <w:spacing w:after="100" w:line="264"/>
      </w:pPr>
      <w:r>
        <w:rPr>
          <w:rFonts w:ascii="Calibri" w:cs="Calibri" w:eastAsia="Calibri" w:hAnsi="Calibri"/>
          <w:i/>
          <w:iCs/>
          <w:sz w:val="19"/>
          <w:szCs w:val="19"/>
        </w:rPr>
        <w:t xml:space="preserve">Toei beats domestic content peers but trails its TOPIX sector by 27pp and TOPIX by 72pp over 5 years. TSR includes special dividends.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3"/>
        <w:gridCol w:w="925"/>
        <w:gridCol w:w="3919"/>
        <w:gridCol w:w="642"/>
        <w:gridCol w:w="578"/>
        <w:gridCol w:w="694"/>
        <w:gridCol w:w="694"/>
        <w:gridCol w:w="1041"/>
      </w:tblGrid>
      <w:tr>
        <w:trPr>
          <w:cantSplit/>
          <w:tblHeader/>
        </w:trPr>
        <w:tc>
          <w:tcPr>
            <w:tcW w:type="dxa" w:w="141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92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391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6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5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69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69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10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141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Toei</w:t>
            </w:r>
          </w:p>
        </w:tc>
        <w:tc>
          <w:tcPr>
            <w:tcW w:type="dxa" w:w="92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1.96x</w:t>
            </w:r>
          </w:p>
        </w:tc>
        <w:tc>
          <w:tcPr>
            <w:tcW w:type="dxa" w:w="39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9.9x (16.7x with TA minority at market)</w:t>
            </w:r>
          </w:p>
        </w:tc>
        <w:tc>
          <w:tcPr>
            <w:tcW w:type="dxa" w:w="64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15.8x</w:t>
            </w:r>
          </w:p>
        </w:tc>
        <w:tc>
          <w:tcPr>
            <w:tcW w:type="dxa" w:w="5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4.3%</w:t>
            </w:r>
          </w:p>
        </w:tc>
        <w:tc>
          <w:tcPr>
            <w:tcW w:type="dxa" w:w="6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19.9%</w:t>
            </w:r>
          </w:p>
        </w:tc>
        <w:tc>
          <w:tcPr>
            <w:tcW w:type="dxa" w:w="6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22.3%</w:t>
            </w:r>
          </w:p>
        </w:tc>
        <w:tc>
          <w:tcPr>
            <w:tcW w:type="dxa" w:w="10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−2.39x</w:t>
            </w:r>
          </w:p>
        </w:tc>
      </w:tr>
      <w:tr>
        <w:trPr>
          <w:cantSplit/>
        </w:trPr>
        <w:tc>
          <w:tcPr>
            <w:tcW w:type="dxa" w:w="141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92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2.72x</w:t>
            </w:r>
          </w:p>
        </w:tc>
        <w:tc>
          <w:tcPr>
            <w:tcW w:type="dxa" w:w="39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28.7x</w:t>
            </w:r>
          </w:p>
        </w:tc>
        <w:tc>
          <w:tcPr>
            <w:tcW w:type="dxa" w:w="64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26.9x</w:t>
            </w:r>
          </w:p>
        </w:tc>
        <w:tc>
          <w:tcPr>
            <w:tcW w:type="dxa" w:w="578"/>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2.9%</w:t>
            </w:r>
          </w:p>
        </w:tc>
        <w:tc>
          <w:tcPr>
            <w:tcW w:type="dxa" w:w="69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11.3%</w:t>
            </w:r>
          </w:p>
        </w:tc>
        <w:tc>
          <w:tcPr>
            <w:tcW w:type="dxa" w:w="69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15.9%</w:t>
            </w:r>
          </w:p>
        </w:tc>
        <w:tc>
          <w:tcPr>
            <w:tcW w:type="dxa" w:w="104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−1.95x</w:t>
            </w:r>
          </w:p>
        </w:tc>
      </w:tr>
    </w:tbl>
    <w:p>
      <w:pPr>
        <w:spacing w:after="100"/>
      </w:pPr>
    </w:p>
    <w:p>
      <w:pPr>
        <w:spacing w:after="100" w:line="264"/>
      </w:pPr>
      <w:r>
        <w:rPr>
          <w:rFonts w:ascii="Calibri" w:cs="Calibri" w:eastAsia="Calibri" w:hAnsi="Calibri"/>
          <w:b/>
          <w:bCs/>
          <w:sz w:val="19"/>
          <w:szCs w:val="19"/>
        </w:rPr>
        <w:t xml:space="preserve">Top 5 shareholders (31-Mar-2026):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0"/>
        <w:gridCol w:w="1624"/>
        <w:gridCol w:w="3952"/>
      </w:tblGrid>
      <w:tr>
        <w:trPr>
          <w:cantSplit/>
          <w:tblHeader/>
        </w:trPr>
        <w:tc>
          <w:tcPr>
            <w:tcW w:type="dxa" w:w="433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62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395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Type</w:t>
            </w:r>
          </w:p>
        </w:tc>
      </w:tr>
      <w:tr>
        <w:trPr>
          <w:cantSplit/>
        </w:trPr>
        <w:tc>
          <w:tcPr>
            <w:tcW w:type="dxa" w:w="433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TV Asahi Holdings</w:t>
            </w:r>
          </w:p>
        </w:tc>
        <w:tc>
          <w:tcPr>
            <w:tcW w:type="dxa" w:w="162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19.43%</w:t>
            </w:r>
          </w:p>
        </w:tc>
        <w:tc>
          <w:tcPr>
            <w:tcW w:type="dxa" w:w="395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Mutual cross-holder</w:t>
            </w:r>
          </w:p>
        </w:tc>
      </w:tr>
      <w:tr>
        <w:trPr>
          <w:cantSplit/>
        </w:trPr>
        <w:tc>
          <w:tcPr>
            <w:tcW w:type="dxa" w:w="433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TBS Television</w:t>
            </w:r>
          </w:p>
        </w:tc>
        <w:tc>
          <w:tcPr>
            <w:tcW w:type="dxa" w:w="162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9.34%</w:t>
            </w:r>
          </w:p>
        </w:tc>
        <w:tc>
          <w:tcPr>
            <w:tcW w:type="dxa" w:w="395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Strategic</w:t>
            </w:r>
          </w:p>
        </w:tc>
      </w:tr>
      <w:tr>
        <w:trPr>
          <w:cantSplit/>
        </w:trPr>
        <w:tc>
          <w:tcPr>
            <w:tcW w:type="dxa" w:w="433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Bandai Namco</w:t>
            </w:r>
          </w:p>
        </w:tc>
        <w:tc>
          <w:tcPr>
            <w:tcW w:type="dxa" w:w="162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7.96%</w:t>
            </w:r>
          </w:p>
        </w:tc>
        <w:tc>
          <w:tcPr>
            <w:tcW w:type="dxa" w:w="395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Strategic</w:t>
            </w:r>
          </w:p>
        </w:tc>
      </w:tr>
      <w:tr>
        <w:trPr>
          <w:cantSplit/>
        </w:trPr>
        <w:tc>
          <w:tcPr>
            <w:tcW w:type="dxa" w:w="433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JPMorgan 380752</w:t>
            </w:r>
          </w:p>
        </w:tc>
        <w:tc>
          <w:tcPr>
            <w:tcW w:type="dxa" w:w="162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7.17%</w:t>
            </w:r>
          </w:p>
        </w:tc>
        <w:tc>
          <w:tcPr>
            <w:tcW w:type="dxa" w:w="395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Nominee</w:t>
            </w:r>
          </w:p>
        </w:tc>
      </w:tr>
      <w:tr>
        <w:trPr>
          <w:cantSplit/>
        </w:trPr>
        <w:tc>
          <w:tcPr>
            <w:tcW w:type="dxa" w:w="433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w:t>
            </w:r>
          </w:p>
        </w:tc>
        <w:tc>
          <w:tcPr>
            <w:tcW w:type="dxa" w:w="162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6.47%</w:t>
            </w:r>
          </w:p>
        </w:tc>
        <w:tc>
          <w:tcPr>
            <w:tcW w:type="dxa" w:w="395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bl>
    <w:p>
      <w:pPr>
        <w:spacing w:after="100"/>
      </w:pPr>
    </w:p>
    <w:p>
      <w:pPr>
        <w:spacing w:after="100" w:line="264"/>
      </w:pPr>
      <w:r>
        <w:rPr>
          <w:rFonts w:ascii="Calibri" w:cs="Calibri" w:eastAsia="Calibri" w:hAnsi="Calibri"/>
          <w:sz w:val="19"/>
          <w:szCs w:val="19"/>
        </w:rPr>
        <w:t xml:space="preserve">The strategic bloc (TV Asahi, TBS, Bandai Namco, Tokyu, Fuji Media, NTV) totals about 49%, but no single holder is near 40%.</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The listed stakes are worth 95% of the market cap.</w:t>
      </w:r>
    </w:p>
    <w:p>
      <w:pPr>
        <w:pStyle w:val="ListParagraph"/>
        <w:numPr>
          <w:ilvl w:val="1"/>
          <w:numId w:val="2"/>
        </w:numPr>
        <w:spacing w:after="50" w:line="252"/>
      </w:pPr>
      <w:r>
        <w:rPr>
          <w:rFonts w:ascii="Calibri" w:cs="Calibri" w:eastAsia="Calibri" w:hAnsi="Calibri"/>
          <w:sz w:val="19"/>
          <w:szCs w:val="19"/>
        </w:rPr>
        <w:t xml:space="preserve">41% of Toei Animation is worth ¥242bn, 19.7% of TV Asahi ¥60bn and policy shares ¥48bn: about ¥350bn in total.</w:t>
      </w:r>
    </w:p>
    <w:p>
      <w:pPr>
        <w:pStyle w:val="ListParagraph"/>
        <w:numPr>
          <w:ilvl w:val="1"/>
          <w:numId w:val="2"/>
        </w:numPr>
        <w:spacing w:after="50" w:line="252"/>
      </w:pPr>
      <w:r>
        <w:rPr>
          <w:rFonts w:ascii="Calibri" w:cs="Calibri" w:eastAsia="Calibri" w:hAnsi="Calibri"/>
          <w:sz w:val="19"/>
          <w:szCs w:val="19"/>
        </w:rPr>
        <w:t xml:space="preserve">Toei's own film, TV, cinema, studio and Ginza/Kyoto real-estate businesses are therefore valued at about ¥9bn.</w:t>
      </w:r>
    </w:p>
    <w:p>
      <w:pPr>
        <w:pStyle w:val="ListParagraph"/>
        <w:numPr>
          <w:ilvl w:val="0"/>
          <w:numId w:val="2"/>
        </w:numPr>
        <w:spacing w:after="50" w:line="252"/>
      </w:pPr>
      <w:r>
        <w:rPr>
          <w:rFonts w:ascii="Calibri" w:cs="Calibri" w:eastAsia="Calibri" w:hAnsi="Calibri"/>
          <w:b/>
          <w:bCs/>
          <w:sz w:val="19"/>
          <w:szCs w:val="19"/>
        </w:rPr>
        <w:t xml:space="preserve">The subsidiary is the company.</w:t>
      </w:r>
      <w:r>
        <w:rPr>
          <w:rFonts w:ascii="Calibri" w:cs="Calibri" w:eastAsia="Calibri" w:hAnsi="Calibri"/>
          <w:sz w:val="19"/>
          <w:szCs w:val="19"/>
        </w:rPr>
        <w:t xml:space="preserve"> Toei Animation (One Piece, Dragon Ball) generates 87% of Toei's EBIT, while Toei's own businesses earn about 5–6%. Payout is 3–10% of EPS and there were essentially no buybacks in three years.</w:t>
      </w:r>
    </w:p>
    <w:p>
      <w:pPr>
        <w:pStyle w:val="ListParagraph"/>
        <w:numPr>
          <w:ilvl w:val="0"/>
          <w:numId w:val="2"/>
        </w:numPr>
        <w:spacing w:after="50" w:line="252"/>
      </w:pPr>
      <w:r>
        <w:rPr>
          <w:rFonts w:ascii="Calibri" w:cs="Calibri" w:eastAsia="Calibri" w:hAnsi="Calibri"/>
          <w:b/>
          <w:bCs/>
          <w:sz w:val="19"/>
          <w:szCs w:val="19"/>
        </w:rPr>
        <w:t xml:space="preserve">A web of mutual holdings shields the board.</w:t>
      </w:r>
      <w:r>
        <w:rPr>
          <w:rFonts w:ascii="Calibri" w:cs="Calibri" w:eastAsia="Calibri" w:hAnsi="Calibri"/>
          <w:sz w:val="19"/>
          <w:szCs w:val="19"/>
        </w:rPr>
        <w:t xml:space="preserve"> Toei and TV Asahi each hold about 19–20% of the other, with further stakes in TBS, Bandai Namco, Fuji, NTV and Tokyu. "Independent" directors include TV Asahi's chairman (age 82) and Tokyu's chairman.</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21"/>
        </w:numPr>
        <w:spacing w:after="50" w:line="252"/>
      </w:pPr>
      <w:r>
        <w:rPr>
          <w:rFonts w:ascii="Calibri" w:cs="Calibri" w:eastAsia="Calibri" w:hAnsi="Calibri"/>
          <w:b/>
          <w:bCs/>
          <w:sz w:val="19"/>
          <w:szCs w:val="19"/>
        </w:rPr>
        <w:t xml:space="preserve">Collapse the parent–subsidiary structure</w:t>
      </w:r>
      <w:r>
        <w:rPr>
          <w:rFonts w:ascii="Calibri" w:cs="Calibri" w:eastAsia="Calibri" w:hAnsi="Calibri"/>
          <w:sz w:val="19"/>
          <w:szCs w:val="19"/>
        </w:rPr>
        <w:t xml:space="preserve">: merge with Toei Animation through a share exchange, or distribute TA shares to Toei holders, to capture the holding-company discount.</w:t>
      </w:r>
    </w:p>
    <w:p>
      <w:pPr>
        <w:pStyle w:val="ListParagraph"/>
        <w:numPr>
          <w:ilvl w:val="0"/>
          <w:numId w:val="21"/>
        </w:numPr>
        <w:spacing w:after="50" w:line="252"/>
      </w:pPr>
      <w:r>
        <w:rPr>
          <w:rFonts w:ascii="Calibri" w:cs="Calibri" w:eastAsia="Calibri" w:hAnsi="Calibri"/>
          <w:b/>
          <w:bCs/>
          <w:sz w:val="19"/>
          <w:szCs w:val="19"/>
        </w:rPr>
        <w:t xml:space="preserve">Unwind the TV Asahi mutual holding</w:t>
      </w:r>
      <w:r>
        <w:rPr>
          <w:rFonts w:ascii="Calibri" w:cs="Calibri" w:eastAsia="Calibri" w:hAnsi="Calibri"/>
          <w:sz w:val="19"/>
          <w:szCs w:val="19"/>
        </w:rPr>
        <w:t xml:space="preserve"> and the other policy shares (¥48bn+), and return the proceeds through buybacks.</w:t>
      </w:r>
    </w:p>
    <w:p>
      <w:pPr>
        <w:pStyle w:val="ListParagraph"/>
        <w:numPr>
          <w:ilvl w:val="0"/>
          <w:numId w:val="21"/>
        </w:numPr>
        <w:spacing w:after="50" w:line="252"/>
      </w:pPr>
      <w:r>
        <w:rPr>
          <w:rFonts w:ascii="Calibri" w:cs="Calibri" w:eastAsia="Calibri" w:hAnsi="Calibri"/>
          <w:b/>
          <w:bCs/>
          <w:sz w:val="19"/>
          <w:szCs w:val="19"/>
        </w:rPr>
        <w:t xml:space="preserve">Board refresh.</w:t>
      </w:r>
      <w:r>
        <w:rPr>
          <w:rFonts w:ascii="Calibri" w:cs="Calibri" w:eastAsia="Calibri" w:hAnsi="Calibri"/>
          <w:sz w:val="19"/>
          <w:szCs w:val="19"/>
        </w:rPr>
        <w:t xml:space="preserve"> Replace interlocked "independents" with genuinely independent directors and move to a 30% </w:t>
      </w:r>
      <w:r>
        <w:rPr>
          <w:rFonts w:ascii="Calibri" w:cs="Calibri" w:eastAsia="Calibri" w:hAnsi="Calibri"/>
          <w:i/>
          <w:iCs/>
          <w:sz w:val="19"/>
          <w:szCs w:val="19"/>
        </w:rPr>
        <w:t xml:space="preserve">consolidated</w:t>
      </w:r>
      <w:r>
        <w:rPr>
          <w:rFonts w:ascii="Calibri" w:cs="Calibri" w:eastAsia="Calibri" w:hAnsi="Calibri"/>
          <w:sz w:val="19"/>
          <w:szCs w:val="19"/>
        </w:rPr>
        <w:t xml:space="preserve"> payout.</w:t>
      </w:r>
    </w:p>
    <w:p>
      <w:pPr>
        <w:spacing w:after="100" w:line="264"/>
      </w:pPr>
      <w:r>
        <w:rPr>
          <w:rFonts w:ascii="Calibri" w:cs="Calibri" w:eastAsia="Calibri" w:hAnsi="Calibri"/>
          <w:b/>
          <w:bCs/>
          <w:sz w:val="19"/>
          <w:szCs w:val="19"/>
        </w:rPr>
        <w:t xml:space="preserve">Ease of building support: 2/5.</w:t>
      </w:r>
      <w:r>
        <w:rPr>
          <w:rFonts w:ascii="Calibri" w:cs="Calibri" w:eastAsia="Calibri" w:hAnsi="Calibri"/>
          <w:sz w:val="19"/>
          <w:szCs w:val="19"/>
        </w:rPr>
        <w:t xml:space="preserve"> About half the register is friendly strategic holders. The opening is that the broadcasters themselves (TV Asahi, TBS, Fuji Media, NTV) face TSE, proxy-adviser and activist pressure to sell cross-holdings. The campaign therefore works by engaging Toei's holders as much as Toei's board. A long-dated, multi-company thesis.</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"Cross-holdings support IP collaboration across broadcasting and merchandising and maximise the value of our content. Content is volatile, so a cash and real-estate buffer is prudent. We just adopted a 30% payout policy and a ¥240bn content investment plan. Any Toei Animation transaction involves TV Asahi and minority-protection issues and cannot be decided by Toei alone."</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Portfolio simplification (holdco discount) · Capital allocation · Governance (cross-holdings, interlocks)</w:t>
      </w:r>
    </w:p>
    <w:p>
      <w:pPr>
        <w:pStyle w:val="Heading2"/>
        <w:keepNext/>
        <w:pageBreakBefore/>
        <w:pBdr>
          <w:bottom w:val="single" w:color="2E75B6" w:sz="8" w:space="2"/>
        </w:pBdr>
        <w:spacing w:after="100" w:before="0"/>
      </w:pPr>
      <w:r>
        <w:rPr>
          <w:rFonts w:ascii="Calibri" w:cs="Calibri" w:eastAsia="Calibri" w:hAnsi="Calibri"/>
          <w:b/>
          <w:bCs/>
          <w:color w:val="1F3864"/>
          <w:sz w:val="26"/>
          <w:szCs w:val="26"/>
        </w:rPr>
        <w:t xml:space="preserve">20. Mitsubishi Motors (7211 JP) — Tier 3 (catalyst: lock-up expiry 20-Oct-2026)</w:t>
      </w:r>
    </w:p>
    <w:p>
      <w:pPr>
        <w:spacing w:after="100" w:line="264"/>
      </w:pPr>
      <w:r>
        <w:rPr>
          <w:rFonts w:ascii="Calibri" w:cs="Calibri" w:eastAsia="Calibri" w:hAnsi="Calibri"/>
          <w:b/>
          <w:bCs/>
          <w:sz w:val="19"/>
          <w:szCs w:val="19"/>
        </w:rPr>
        <w:t xml:space="preserve">Passenger cars and pick-ups (ASEAN, Oceania, Japan) · Market cap ¥466bn (US$2.95bn) · Support score 2/5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47"/>
        <w:gridCol w:w="1029"/>
        <w:gridCol w:w="1029"/>
        <w:gridCol w:w="1201"/>
      </w:tblGrid>
      <w:tr>
        <w:trPr>
          <w:cantSplit/>
          <w:tblHeader/>
        </w:trPr>
        <w:tc>
          <w:tcPr>
            <w:tcW w:type="dxa" w:w="664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TSR</w:t>
            </w:r>
          </w:p>
        </w:tc>
        <w:tc>
          <w:tcPr>
            <w:tcW w:type="dxa" w:w="102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1y</w:t>
            </w:r>
          </w:p>
        </w:tc>
        <w:tc>
          <w:tcPr>
            <w:tcW w:type="dxa" w:w="102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3y</w:t>
            </w:r>
          </w:p>
        </w:tc>
        <w:tc>
          <w:tcPr>
            <w:tcW w:type="dxa" w:w="120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w:t>
            </w:r>
          </w:p>
        </w:tc>
      </w:tr>
      <w:tr>
        <w:trPr>
          <w:cantSplit/>
        </w:trPr>
        <w:tc>
          <w:tcPr>
            <w:tcW w:type="dxa" w:w="664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Mitsubishi Motors</w:t>
            </w:r>
          </w:p>
        </w:tc>
        <w:tc>
          <w:tcPr>
            <w:tcW w:type="dxa" w:w="102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−6.8%</w:t>
            </w:r>
          </w:p>
        </w:tc>
        <w:tc>
          <w:tcPr>
            <w:tcW w:type="dxa" w:w="102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−30.3%</w:t>
            </w:r>
          </w:p>
        </w:tc>
        <w:tc>
          <w:tcPr>
            <w:tcW w:type="dxa" w:w="120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b/>
                <w:bCs/>
                <w:sz w:val="16"/>
                <w:szCs w:val="16"/>
              </w:rPr>
              <w:t xml:space="preserve">+10.4%</w:t>
            </w:r>
          </w:p>
        </w:tc>
      </w:tr>
      <w:tr>
        <w:trPr>
          <w:cantSplit/>
        </w:trPr>
        <w:tc>
          <w:tcPr>
            <w:tcW w:type="dxa" w:w="664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Peer median (Mazda, Subaru, Suzuki, Nissan)</w:t>
            </w:r>
          </w:p>
        </w:tc>
        <w:tc>
          <w:tcPr>
            <w:tcW w:type="dxa" w:w="102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−8.9%</w:t>
            </w:r>
          </w:p>
        </w:tc>
        <w:tc>
          <w:tcPr>
            <w:tcW w:type="dxa" w:w="102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−9.2%</w:t>
            </w:r>
          </w:p>
        </w:tc>
        <w:tc>
          <w:tcPr>
            <w:tcW w:type="dxa" w:w="120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+29.9%</w:t>
            </w:r>
          </w:p>
        </w:tc>
      </w:tr>
      <w:tr>
        <w:trPr>
          <w:cantSplit/>
        </w:trPr>
        <w:tc>
          <w:tcPr>
            <w:tcW w:type="dxa" w:w="664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TOPIX-17 Automobiles &amp; Transport Equipment (1622)</w:t>
            </w:r>
          </w:p>
        </w:tc>
        <w:tc>
          <w:tcPr>
            <w:tcW w:type="dxa" w:w="102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+7.2%</w:t>
            </w:r>
          </w:p>
        </w:tc>
        <w:tc>
          <w:tcPr>
            <w:tcW w:type="dxa" w:w="102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+16.1%</w:t>
            </w:r>
          </w:p>
        </w:tc>
        <w:tc>
          <w:tcPr>
            <w:tcW w:type="dxa" w:w="120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+44.9%</w:t>
            </w:r>
          </w:p>
        </w:tc>
      </w:tr>
      <w:tr>
        <w:trPr>
          <w:cantSplit/>
        </w:trPr>
        <w:tc>
          <w:tcPr>
            <w:tcW w:type="dxa" w:w="664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TOPIX</w:t>
            </w:r>
          </w:p>
        </w:tc>
        <w:tc>
          <w:tcPr>
            <w:tcW w:type="dxa" w:w="102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+29.0%</w:t>
            </w:r>
          </w:p>
        </w:tc>
        <w:tc>
          <w:tcPr>
            <w:tcW w:type="dxa" w:w="102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+78.8%</w:t>
            </w:r>
          </w:p>
        </w:tc>
        <w:tc>
          <w:tcPr>
            <w:tcW w:type="dxa" w:w="120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+105.2%</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4"/>
        <w:gridCol w:w="577"/>
        <w:gridCol w:w="1846"/>
        <w:gridCol w:w="506"/>
        <w:gridCol w:w="2127"/>
        <w:gridCol w:w="506"/>
        <w:gridCol w:w="506"/>
        <w:gridCol w:w="2594"/>
      </w:tblGrid>
      <w:tr>
        <w:trPr>
          <w:cantSplit/>
          <w:tblHeader/>
        </w:trPr>
        <w:tc>
          <w:tcPr>
            <w:tcW w:type="dxa" w:w="124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Valuation (LTM)</w:t>
            </w:r>
          </w:p>
        </w:tc>
        <w:tc>
          <w:tcPr>
            <w:tcW w:type="dxa" w:w="57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EV/Sales</w:t>
            </w:r>
          </w:p>
        </w:tc>
        <w:tc>
          <w:tcPr>
            <w:tcW w:type="dxa" w:w="18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EV/EBIT</w:t>
            </w:r>
          </w:p>
        </w:tc>
        <w:tc>
          <w:tcPr>
            <w:tcW w:type="dxa" w:w="5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P/E</w:t>
            </w:r>
          </w:p>
        </w:tc>
        <w:tc>
          <w:tcPr>
            <w:tcW w:type="dxa" w:w="212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FCF yield</w:t>
            </w:r>
          </w:p>
        </w:tc>
        <w:tc>
          <w:tcPr>
            <w:tcW w:type="dxa" w:w="5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 margin</w:t>
            </w:r>
          </w:p>
        </w:tc>
        <w:tc>
          <w:tcPr>
            <w:tcW w:type="dxa" w:w="5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EBITDA margin</w:t>
            </w:r>
          </w:p>
        </w:tc>
        <w:tc>
          <w:tcPr>
            <w:tcW w:type="dxa" w:w="259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4"/>
                <w:szCs w:val="14"/>
              </w:rPr>
              <w:t xml:space="preserve">ND/EBITDA</w:t>
            </w:r>
          </w:p>
        </w:tc>
      </w:tr>
      <w:tr>
        <w:trPr>
          <w:cantSplit/>
        </w:trPr>
        <w:tc>
          <w:tcPr>
            <w:tcW w:type="dxa" w:w="124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4"/>
                <w:szCs w:val="14"/>
              </w:rPr>
              <w:t xml:space="preserve">Mitsubishi Motors</w:t>
            </w:r>
          </w:p>
        </w:tc>
        <w:tc>
          <w:tcPr>
            <w:tcW w:type="dxa" w:w="5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0.21x</w:t>
            </w:r>
          </w:p>
        </w:tc>
        <w:tc>
          <w:tcPr>
            <w:tcW w:type="dxa" w:w="18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7.7x (≈1.3x ex auto net cash)</w:t>
            </w:r>
          </w:p>
        </w:tc>
        <w:tc>
          <w:tcPr>
            <w:tcW w:type="dxa" w:w="5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43.6x</w:t>
            </w:r>
          </w:p>
        </w:tc>
        <w:tc>
          <w:tcPr>
            <w:tcW w:type="dxa" w:w="212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−16.5% (incl. finance receivables)</w:t>
            </w:r>
          </w:p>
        </w:tc>
        <w:tc>
          <w:tcPr>
            <w:tcW w:type="dxa" w:w="5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2.8%</w:t>
            </w:r>
          </w:p>
        </w:tc>
        <w:tc>
          <w:tcPr>
            <w:tcW w:type="dxa" w:w="5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5.7%</w:t>
            </w:r>
          </w:p>
        </w:tc>
        <w:tc>
          <w:tcPr>
            <w:tcW w:type="dxa" w:w="25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+0.65x consolidated; auto net cash ¥406bn</w:t>
            </w:r>
          </w:p>
        </w:tc>
      </w:tr>
      <w:tr>
        <w:trPr>
          <w:cantSplit/>
        </w:trPr>
        <w:tc>
          <w:tcPr>
            <w:tcW w:type="dxa" w:w="124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4"/>
                <w:szCs w:val="14"/>
              </w:rPr>
              <w:t xml:space="preserve">Peer median</w:t>
            </w:r>
          </w:p>
        </w:tc>
        <w:tc>
          <w:tcPr>
            <w:tcW w:type="dxa" w:w="5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0.38x</w:t>
            </w:r>
          </w:p>
        </w:tc>
        <w:tc>
          <w:tcPr>
            <w:tcW w:type="dxa" w:w="18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23.2x</w:t>
            </w:r>
          </w:p>
        </w:tc>
        <w:tc>
          <w:tcPr>
            <w:tcW w:type="dxa" w:w="5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7.6x</w:t>
            </w:r>
          </w:p>
        </w:tc>
        <w:tc>
          <w:tcPr>
            <w:tcW w:type="dxa" w:w="212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2.2%</w:t>
            </w:r>
          </w:p>
        </w:tc>
        <w:tc>
          <w:tcPr>
            <w:tcW w:type="dxa" w:w="5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2.2%</w:t>
            </w:r>
          </w:p>
        </w:tc>
        <w:tc>
          <w:tcPr>
            <w:tcW w:type="dxa" w:w="5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5.5%</w:t>
            </w:r>
          </w:p>
        </w:tc>
        <w:tc>
          <w:tcPr>
            <w:tcW w:type="dxa" w:w="259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4"/>
                <w:szCs w:val="14"/>
              </w:rPr>
              <w:t xml:space="preserve">−0.84x</w:t>
            </w:r>
          </w:p>
        </w:tc>
      </w:tr>
    </w:tbl>
    <w:p>
      <w:pPr>
        <w:spacing w:after="100"/>
      </w:pPr>
    </w:p>
    <w:p>
      <w:pPr>
        <w:spacing w:after="100" w:line="264"/>
      </w:pPr>
      <w:r>
        <w:rPr>
          <w:rFonts w:ascii="Calibri" w:cs="Calibri" w:eastAsia="Calibri" w:hAnsi="Calibri"/>
          <w:b/>
          <w:bCs/>
          <w:sz w:val="19"/>
          <w:szCs w:val="19"/>
        </w:rPr>
        <w:t xml:space="preserve">Top shareholders (31-Mar-2026):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6"/>
        <w:gridCol w:w="1446"/>
        <w:gridCol w:w="3254"/>
      </w:tblGrid>
      <w:tr>
        <w:trPr>
          <w:cantSplit/>
          <w:tblHeader/>
        </w:trPr>
        <w:tc>
          <w:tcPr>
            <w:tcW w:type="dxa" w:w="52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Holder</w:t>
            </w:r>
          </w:p>
        </w:tc>
        <w:tc>
          <w:tcPr>
            <w:tcW w:type="dxa" w:w="144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Stake</w:t>
            </w:r>
          </w:p>
        </w:tc>
        <w:tc>
          <w:tcPr>
            <w:tcW w:type="dxa" w:w="325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Type</w:t>
            </w:r>
          </w:p>
        </w:tc>
      </w:tr>
      <w:tr>
        <w:trPr>
          <w:cantSplit/>
        </w:trPr>
        <w:tc>
          <w:tcPr>
            <w:tcW w:type="dxa" w:w="52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Nissan Motor</w:t>
            </w:r>
          </w:p>
        </w:tc>
        <w:tc>
          <w:tcPr>
            <w:tcW w:type="dxa" w:w="14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26.67%</w:t>
            </w:r>
          </w:p>
        </w:tc>
        <w:tc>
          <w:tcPr>
            <w:tcW w:type="dxa" w:w="325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Alliance partner</w:t>
            </w:r>
          </w:p>
        </w:tc>
      </w:tr>
      <w:tr>
        <w:trPr>
          <w:cantSplit/>
        </w:trPr>
        <w:tc>
          <w:tcPr>
            <w:tcW w:type="dxa" w:w="52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Mitsubishi Corp</w:t>
            </w:r>
          </w:p>
        </w:tc>
        <w:tc>
          <w:tcPr>
            <w:tcW w:type="dxa" w:w="14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22.23%</w:t>
            </w:r>
          </w:p>
        </w:tc>
        <w:tc>
          <w:tcPr>
            <w:tcW w:type="dxa" w:w="325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Mitsubishi group</w:t>
            </w:r>
          </w:p>
        </w:tc>
      </w:tr>
      <w:tr>
        <w:trPr>
          <w:cantSplit/>
        </w:trPr>
        <w:tc>
          <w:tcPr>
            <w:tcW w:type="dxa" w:w="52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Master Trust Bank</w:t>
            </w:r>
          </w:p>
        </w:tc>
        <w:tc>
          <w:tcPr>
            <w:tcW w:type="dxa" w:w="14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6.29%</w:t>
            </w:r>
          </w:p>
        </w:tc>
        <w:tc>
          <w:tcPr>
            <w:tcW w:type="dxa" w:w="325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Custody</w:t>
            </w:r>
          </w:p>
        </w:tc>
      </w:tr>
      <w:tr>
        <w:trPr>
          <w:cantSplit/>
        </w:trPr>
        <w:tc>
          <w:tcPr>
            <w:tcW w:type="dxa" w:w="520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4th holder</w:t>
            </w:r>
          </w:p>
        </w:tc>
        <w:tc>
          <w:tcPr>
            <w:tcW w:type="dxa" w:w="144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n/a</w:t>
            </w:r>
          </w:p>
        </w:tc>
        <w:tc>
          <w:tcPr>
            <w:tcW w:type="dxa" w:w="325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52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Mitsubishi Heavy Industries</w:t>
            </w:r>
          </w:p>
        </w:tc>
        <w:tc>
          <w:tcPr>
            <w:tcW w:type="dxa" w:w="14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1.60%</w:t>
            </w:r>
          </w:p>
        </w:tc>
        <w:tc>
          <w:tcPr>
            <w:tcW w:type="dxa" w:w="325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Mitsubishi group</w:t>
            </w:r>
          </w:p>
        </w:tc>
      </w:tr>
    </w:tbl>
    <w:p>
      <w:pPr>
        <w:spacing w:after="100"/>
      </w:pPr>
    </w:p>
    <w:p>
      <w:pPr>
        <w:spacing w:after="100" w:line="264"/>
      </w:pPr>
      <w:r>
        <w:rPr>
          <w:rFonts w:ascii="Calibri" w:cs="Calibri" w:eastAsia="Calibri" w:hAnsi="Calibri"/>
          <w:sz w:val="19"/>
          <w:szCs w:val="19"/>
        </w:rPr>
        <w:t xml:space="preserve">Treasury is 8.2%. The anchors total 50.5%, but no single holder is above 40%.</w:t>
      </w:r>
    </w:p>
    <w:p>
      <w:pPr>
        <w:pBdr>
          <w:left w:val="single" w:color="2E75B6" w:sz="18" w:space="6"/>
        </w:pBdr>
        <w:shd w:fill="EAF1FB" w:color="auto" w:val="clear"/>
        <w:spacing w:after="120" w:before="60"/>
        <w:ind w:left="200" w:right="100"/>
      </w:pPr>
      <w:r>
        <w:rPr>
          <w:rFonts w:ascii="Calibri" w:cs="Calibri" w:eastAsia="Calibri" w:hAnsi="Calibri"/>
          <w:b/>
          <w:bCs/>
          <w:sz w:val="19"/>
          <w:szCs w:val="19"/>
        </w:rPr>
        <w:t xml:space="preserve">Leverage note.</w:t>
      </w:r>
      <w:r>
        <w:rPr>
          <w:rFonts w:ascii="Calibri" w:cs="Calibri" w:eastAsia="Calibri" w:hAnsi="Calibri"/>
          <w:sz w:val="19"/>
          <w:szCs w:val="19"/>
        </w:rPr>
        <w:t xml:space="preserve"> Consolidated net debt/EBITDA of 0.65x reflects the finance subsidiary's funding. The automobile business alone has ¥406bn of net cash (Mar-2026, company disclosure).</w:t>
      </w:r>
    </w:p>
    <w:p>
      <w:pPr>
        <w:pStyle w:val="Heading3"/>
        <w:keepNext/>
        <w:spacing w:after="80" w:before="180"/>
      </w:pPr>
      <w:r>
        <w:rPr>
          <w:rFonts w:ascii="Calibri" w:cs="Calibri" w:eastAsia="Calibri" w:hAnsi="Calibri"/>
          <w:b/>
          <w:bCs/>
          <w:color w:val="2E75B6"/>
          <w:sz w:val="22"/>
          <w:szCs w:val="22"/>
        </w:rPr>
        <w:t xml:space="preserve">What an activist would say</w:t>
      </w:r>
    </w:p>
    <w:p>
      <w:pPr>
        <w:pStyle w:val="ListParagraph"/>
        <w:numPr>
          <w:ilvl w:val="0"/>
          <w:numId w:val="2"/>
        </w:numPr>
        <w:spacing w:after="50" w:line="252"/>
      </w:pPr>
      <w:r>
        <w:rPr>
          <w:rFonts w:ascii="Calibri" w:cs="Calibri" w:eastAsia="Calibri" w:hAnsi="Calibri"/>
          <w:b/>
          <w:bCs/>
          <w:sz w:val="19"/>
          <w:szCs w:val="19"/>
        </w:rPr>
        <w:t xml:space="preserve">The car business is almost free.</w:t>
      </w:r>
      <w:r>
        <w:rPr>
          <w:rFonts w:ascii="Calibri" w:cs="Calibri" w:eastAsia="Calibri" w:hAnsi="Calibri"/>
          <w:sz w:val="19"/>
          <w:szCs w:val="19"/>
        </w:rPr>
        <w:t xml:space="preserve"> Auto net cash of ¥406bn is 87% of market cap. Strip it out and the operating business trades at about 1.3x EBIT. The stock is at 0.51x book.</w:t>
      </w:r>
    </w:p>
    <w:p>
      <w:pPr>
        <w:pStyle w:val="ListParagraph"/>
        <w:numPr>
          <w:ilvl w:val="0"/>
          <w:numId w:val="2"/>
        </w:numPr>
        <w:spacing w:after="50" w:line="252"/>
      </w:pPr>
      <w:r>
        <w:rPr>
          <w:rFonts w:ascii="Calibri" w:cs="Calibri" w:eastAsia="Calibri" w:hAnsi="Calibri"/>
          <w:b/>
          <w:bCs/>
          <w:sz w:val="19"/>
          <w:szCs w:val="19"/>
        </w:rPr>
        <w:t xml:space="preserve">Profitability has collapsed.</w:t>
      </w:r>
    </w:p>
    <w:p>
      <w:pPr>
        <w:pStyle w:val="ListParagraph"/>
        <w:numPr>
          <w:ilvl w:val="1"/>
          <w:numId w:val="2"/>
        </w:numPr>
        <w:spacing w:after="50" w:line="252"/>
      </w:pPr>
      <w:r>
        <w:rPr>
          <w:rFonts w:ascii="Calibri" w:cs="Calibri" w:eastAsia="Calibri" w:hAnsi="Calibri"/>
          <w:sz w:val="19"/>
          <w:szCs w:val="19"/>
        </w:rPr>
        <w:t xml:space="preserve">OP margin fell from 7.7% (FY3/23) to 2.6% (FY3/26).</w:t>
      </w:r>
    </w:p>
    <w:p>
      <w:pPr>
        <w:pStyle w:val="ListParagraph"/>
        <w:numPr>
          <w:ilvl w:val="1"/>
          <w:numId w:val="2"/>
        </w:numPr>
        <w:spacing w:after="50" w:line="252"/>
      </w:pPr>
      <w:r>
        <w:rPr>
          <w:rFonts w:ascii="Calibri" w:cs="Calibri" w:eastAsia="Calibri" w:hAnsi="Calibri"/>
          <w:sz w:val="19"/>
          <w:szCs w:val="19"/>
        </w:rPr>
        <w:t xml:space="preserve">Net income fell from ¥169bn to ¥10bn, and ROE is about 1%.</w:t>
      </w:r>
    </w:p>
    <w:p>
      <w:pPr>
        <w:pStyle w:val="ListParagraph"/>
        <w:numPr>
          <w:ilvl w:val="1"/>
          <w:numId w:val="2"/>
        </w:numPr>
        <w:spacing w:after="50" w:line="252"/>
      </w:pPr>
      <w:r>
        <w:rPr>
          <w:rFonts w:ascii="Calibri" w:cs="Calibri" w:eastAsia="Calibri" w:hAnsi="Calibri"/>
          <w:sz w:val="19"/>
          <w:szCs w:val="19"/>
        </w:rPr>
        <w:t xml:space="preserve">Management concedes that parts of the last plan "have not progressed as expected".</w:t>
      </w:r>
    </w:p>
    <w:p>
      <w:pPr>
        <w:pStyle w:val="ListParagraph"/>
        <w:numPr>
          <w:ilvl w:val="0"/>
          <w:numId w:val="2"/>
        </w:numPr>
        <w:spacing w:after="50" w:line="252"/>
      </w:pPr>
      <w:r>
        <w:rPr>
          <w:rFonts w:ascii="Calibri" w:cs="Calibri" w:eastAsia="Calibri" w:hAnsi="Calibri"/>
          <w:b/>
          <w:bCs/>
          <w:sz w:val="19"/>
          <w:szCs w:val="19"/>
        </w:rPr>
        <w:t xml:space="preserve">The anchor structure is now optional.</w:t>
      </w:r>
      <w:r>
        <w:rPr>
          <w:rFonts w:ascii="Calibri" w:cs="Calibri" w:eastAsia="Calibri" w:hAnsi="Calibri"/>
          <w:sz w:val="19"/>
          <w:szCs w:val="19"/>
        </w:rPr>
        <w:t xml:space="preserve"> The 10-year restriction on the Nissan and Mitsubishi Corp stakes expires on 20-Oct-2026. The May-2026 plan to spend ¥1tn on growth, with only ¥100bn of returns over four years, sent the shares sharply lower.</w:t>
      </w:r>
    </w:p>
    <w:p>
      <w:pPr>
        <w:pStyle w:val="Heading3"/>
        <w:keepNext/>
        <w:spacing w:after="80" w:before="180"/>
      </w:pPr>
      <w:r>
        <w:rPr>
          <w:rFonts w:ascii="Calibri" w:cs="Calibri" w:eastAsia="Calibri" w:hAnsi="Calibri"/>
          <w:b/>
          <w:bCs/>
          <w:color w:val="2E75B6"/>
          <w:sz w:val="22"/>
          <w:szCs w:val="22"/>
        </w:rPr>
        <w:t xml:space="preserve">Most actionable changes</w:t>
      </w:r>
    </w:p>
    <w:p>
      <w:pPr>
        <w:pStyle w:val="ListParagraph"/>
        <w:numPr>
          <w:ilvl w:val="0"/>
          <w:numId w:val="22"/>
        </w:numPr>
        <w:spacing w:after="50" w:line="252"/>
      </w:pPr>
      <w:r>
        <w:rPr>
          <w:rFonts w:ascii="Calibri" w:cs="Calibri" w:eastAsia="Calibri" w:hAnsi="Calibri"/>
          <w:b/>
          <w:bCs/>
          <w:sz w:val="19"/>
          <w:szCs w:val="19"/>
        </w:rPr>
        <w:t xml:space="preserve">Return at least ¥200bn of auto net cash.</w:t>
      </w:r>
      <w:r>
        <w:rPr>
          <w:rFonts w:ascii="Calibri" w:cs="Calibri" w:eastAsia="Calibri" w:hAnsi="Calibri"/>
          <w:sz w:val="19"/>
          <w:szCs w:val="19"/>
        </w:rPr>
        <w:t xml:space="preserve"> The most efficient route is a tender or off-market buyback that gives Nissan (which needs liquidity) a partial exit at a fair price.</w:t>
      </w:r>
    </w:p>
    <w:p>
      <w:pPr>
        <w:pStyle w:val="ListParagraph"/>
        <w:numPr>
          <w:ilvl w:val="0"/>
          <w:numId w:val="22"/>
        </w:numPr>
        <w:spacing w:after="50" w:line="252"/>
      </w:pPr>
      <w:r>
        <w:rPr>
          <w:rFonts w:ascii="Calibri" w:cs="Calibri" w:eastAsia="Calibri" w:hAnsi="Calibri"/>
          <w:b/>
          <w:bCs/>
          <w:sz w:val="19"/>
          <w:szCs w:val="19"/>
        </w:rPr>
        <w:t xml:space="preserve">Strategic review of alliance options</w:t>
      </w:r>
      <w:r>
        <w:rPr>
          <w:rFonts w:ascii="Calibri" w:cs="Calibri" w:eastAsia="Calibri" w:hAnsi="Calibri"/>
          <w:sz w:val="19"/>
          <w:szCs w:val="19"/>
        </w:rPr>
        <w:t xml:space="preserve"> now that the lock-up has expired: Honda and Foxconn interest has been reported. Also sell the 19.9% FleetPartners stake.</w:t>
      </w:r>
    </w:p>
    <w:p>
      <w:pPr>
        <w:pStyle w:val="ListParagraph"/>
        <w:numPr>
          <w:ilvl w:val="0"/>
          <w:numId w:val="22"/>
        </w:numPr>
        <w:spacing w:after="50" w:line="252"/>
      </w:pPr>
      <w:r>
        <w:rPr>
          <w:rFonts w:ascii="Calibri" w:cs="Calibri" w:eastAsia="Calibri" w:hAnsi="Calibri"/>
          <w:b/>
          <w:bCs/>
          <w:sz w:val="19"/>
          <w:szCs w:val="19"/>
        </w:rPr>
        <w:t xml:space="preserve">Independent board.</w:t>
      </w:r>
      <w:r>
        <w:rPr>
          <w:rFonts w:ascii="Calibri" w:cs="Calibri" w:eastAsia="Calibri" w:hAnsi="Calibri"/>
          <w:sz w:val="19"/>
          <w:szCs w:val="19"/>
        </w:rPr>
        <w:t xml:space="preserve"> Several outside directors are drawn from the anchor shareholders' orbits, so add directors independent of Nissan and Mitsubishi Corp, and cut the ¥1tn capex plan to projects clearing a published hurdle.</w:t>
      </w:r>
    </w:p>
    <w:p>
      <w:pPr>
        <w:spacing w:after="100" w:line="264"/>
      </w:pPr>
      <w:r>
        <w:rPr>
          <w:rFonts w:ascii="Calibri" w:cs="Calibri" w:eastAsia="Calibri" w:hAnsi="Calibri"/>
          <w:b/>
          <w:bCs/>
          <w:sz w:val="19"/>
          <w:szCs w:val="19"/>
        </w:rPr>
        <w:t xml:space="preserve">Ease of building support: 2/5.</w:t>
      </w:r>
      <w:r>
        <w:rPr>
          <w:rFonts w:ascii="Calibri" w:cs="Calibri" w:eastAsia="Calibri" w:hAnsi="Calibri"/>
          <w:sz w:val="19"/>
          <w:szCs w:val="19"/>
        </w:rPr>
        <w:t xml:space="preserve"> No resolution can pass without Nissan or Mitsubishi Corp. The thesis works only by aligning with an anchor. Nissan is restructuring and holds a block worth about ¥124bn below its cost, so a well-priced exit mechanism is in its interest. The remaining half of the register is fragmented and institutional.</w:t>
      </w:r>
    </w:p>
    <w:p>
      <w:pPr>
        <w:spacing w:after="100" w:line="264"/>
      </w:pPr>
      <w:r>
        <w:rPr>
          <w:rFonts w:ascii="Calibri" w:cs="Calibri" w:eastAsia="Calibri" w:hAnsi="Calibri"/>
          <w:b/>
          <w:bCs/>
          <w:sz w:val="19"/>
          <w:szCs w:val="19"/>
        </w:rPr>
        <w:t xml:space="preserve">Expected defence (inference).</w:t>
      </w:r>
      <w:r>
        <w:rPr>
          <w:rFonts w:ascii="Calibri" w:cs="Calibri" w:eastAsia="Calibri" w:hAnsi="Calibri"/>
          <w:sz w:val="19"/>
          <w:szCs w:val="19"/>
        </w:rPr>
        <w:t xml:space="preserve"> "Cash is needed for the ¥1tn product programme (the Pajero series), electrification and support of the finance arm. Returns are protected: a ¥10 dividend floor 'under any circumstances' and ¥100bn over four years. In a tariff- and geopolitics-heavy world, the net cash is a buffer. Our strategic shareholders' decision to stay signals confidence."</w:t>
      </w:r>
    </w:p>
    <w:p>
      <w:pPr>
        <w:spacing w:after="100" w:line="264"/>
      </w:pPr>
      <w:r>
        <w:rPr>
          <w:rFonts w:ascii="Calibri" w:cs="Calibri" w:eastAsia="Calibri" w:hAnsi="Calibri"/>
          <w:b/>
          <w:bCs/>
          <w:sz w:val="19"/>
          <w:szCs w:val="19"/>
        </w:rPr>
        <w:t xml:space="preserve">Activist angles:</w:t>
      </w:r>
      <w:r>
        <w:rPr>
          <w:rFonts w:ascii="Calibri" w:cs="Calibri" w:eastAsia="Calibri" w:hAnsi="Calibri"/>
          <w:sz w:val="19"/>
          <w:szCs w:val="19"/>
        </w:rPr>
        <w:t xml:space="preserve"> Capital allocation · Strategic review / M&amp;A · Governance</w:t>
      </w:r>
    </w:p>
    <w:p>
      <w:pPr>
        <w:pStyle w:val="Heading1"/>
        <w:pageBreakBefore/>
        <w:spacing w:after="160" w:before="120"/>
      </w:pPr>
      <w:r>
        <w:rPr>
          <w:rFonts w:ascii="Calibri" w:cs="Calibri" w:eastAsia="Calibri" w:hAnsi="Calibri"/>
          <w:b/>
          <w:bCs/>
          <w:color w:val="1F3864"/>
          <w:sz w:val="32"/>
          <w:szCs w:val="32"/>
        </w:rPr>
        <w:t xml:space="preserve">4. Cross-cutting observations and sequencing</w:t>
      </w:r>
    </w:p>
    <w:p>
      <w:pPr>
        <w:pStyle w:val="Heading3"/>
        <w:keepNext/>
        <w:spacing w:after="80" w:before="180"/>
      </w:pPr>
      <w:r>
        <w:rPr>
          <w:rFonts w:ascii="Calibri" w:cs="Calibri" w:eastAsia="Calibri" w:hAnsi="Calibri"/>
          <w:b/>
          <w:bCs/>
          <w:color w:val="2E75B6"/>
          <w:sz w:val="22"/>
          <w:szCs w:val="22"/>
        </w:rPr>
        <w:t xml:space="preserve">The five repeating patterns, and the standard ask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2"/>
        <w:gridCol w:w="3832"/>
        <w:gridCol w:w="3832"/>
      </w:tblGrid>
      <w:tr>
        <w:trPr>
          <w:cantSplit/>
          <w:tblHeader/>
        </w:trPr>
        <w:tc>
          <w:tcPr>
            <w:tcW w:type="dxa" w:w="224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Pattern</w:t>
            </w:r>
          </w:p>
        </w:tc>
        <w:tc>
          <w:tcPr>
            <w:tcW w:type="dxa" w:w="38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Where it shows up</w:t>
            </w:r>
          </w:p>
        </w:tc>
        <w:tc>
          <w:tcPr>
            <w:tcW w:type="dxa" w:w="383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Standard activist ask</w:t>
            </w:r>
          </w:p>
        </w:tc>
      </w:tr>
      <w:tr>
        <w:trPr>
          <w:cantSplit/>
        </w:trPr>
        <w:tc>
          <w:tcPr>
            <w:tcW w:type="dxa" w:w="224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Idle cash and securities</w:t>
            </w:r>
          </w:p>
        </w:tc>
        <w:tc>
          <w:tcPr>
            <w:tcW w:type="dxa" w:w="383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Hi-Lex (cash and securities ≈137% of market cap), Teikoku Sen-i (≈83%), Kumho (≈93%), GungHo (≈79% incl. Gravity), Mitsubishi Motors (auto net cash ≈87%), TS Tech (≈53%), NC (≈52%), Shibaura Machine (non-operating assets ≈49%), Rinnai (net cash 37%), Toei (listed stakes ≈95%)</w:t>
            </w:r>
          </w:p>
        </w:tc>
        <w:tc>
          <w:tcPr>
            <w:tcW w:type="dxa" w:w="383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Tender offer or accelerated buyback with cancellation; a published cash-holding policy (e.g. months of sales); sale of policy shareholdings</w:t>
            </w:r>
          </w:p>
        </w:tc>
      </w:tr>
      <w:tr>
        <w:trPr>
          <w:cantSplit/>
        </w:trPr>
        <w:tc>
          <w:tcPr>
            <w:tcW w:type="dxa" w:w="224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Margin gap vs peers</w:t>
            </w:r>
          </w:p>
        </w:tc>
        <w:tc>
          <w:tcPr>
            <w:tcW w:type="dxa" w:w="38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Omron, Daikin, Yamaha, NC, Hi-Lex, TS Tech, Shibaura Machine, Wacom (Branded), KH Neochem (Basic Chemicals), T. Hasegawa (SG&amp;A)</w:t>
            </w:r>
          </w:p>
        </w:tc>
        <w:tc>
          <w:tcPr>
            <w:tcW w:type="dxa" w:w="38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Hard margin and ROIC targets linked to pay; SG&amp;A programmes; exit of sub-scale units</w:t>
            </w:r>
          </w:p>
        </w:tc>
      </w:tr>
      <w:tr>
        <w:trPr>
          <w:cantSplit/>
        </w:trPr>
        <w:tc>
          <w:tcPr>
            <w:tcW w:type="dxa" w:w="224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Undisciplined M&amp;A</w:t>
            </w:r>
          </w:p>
        </w:tc>
        <w:tc>
          <w:tcPr>
            <w:tcW w:type="dxa" w:w="383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Dentsu, Canon (Medical), NAVER (Poshmark, Dunamu terms), NC (mobile casual), T. Hasegawa (US), Hodogaya (Framochem, CDMO), Omron (JMDC, OnLogic), Rinnai (LatAm), Hi-Lex (ACT), Shibaura Machine (Moore Nanotechnology)</w:t>
            </w:r>
          </w:p>
        </w:tc>
        <w:tc>
          <w:tcPr>
            <w:tcW w:type="dxa" w:w="383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M&amp;A moratorium until a capital-allocation framework with hurdle rates and post-deal reviews is adopted</w:t>
            </w:r>
          </w:p>
        </w:tc>
      </w:tr>
      <w:tr>
        <w:trPr>
          <w:cantSplit/>
        </w:trPr>
        <w:tc>
          <w:tcPr>
            <w:tcW w:type="dxa" w:w="224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Holding-company / listed-subsidiary discounts</w:t>
            </w:r>
          </w:p>
        </w:tc>
        <w:tc>
          <w:tcPr>
            <w:tcW w:type="dxa" w:w="38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Toei/Toei Animation, Omron/JMDC, Canon/Canon Marketing Japan, GungHo/Gravity, Hodogaya/SFC, NAVER/LY Corp and WEBTOON, Dentsu/Dentsu Soken</w:t>
            </w:r>
          </w:p>
        </w:tc>
        <w:tc>
          <w:tcPr>
            <w:tcW w:type="dxa" w:w="383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Merge or distribute the subsidiary, or sell it, to end the parent–subsidiary listing</w:t>
            </w:r>
          </w:p>
        </w:tc>
      </w:tr>
      <w:tr>
        <w:trPr>
          <w:cantSplit/>
        </w:trPr>
        <w:tc>
          <w:tcPr>
            <w:tcW w:type="dxa" w:w="224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Entrenched governance</w:t>
            </w:r>
          </w:p>
        </w:tc>
        <w:tc>
          <w:tcPr>
            <w:tcW w:type="dxa" w:w="383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Canon, Daikin, Teikoku Sen-i (long-tenured chair-CEOs); Hodogaya, Hi-Lex (takeover defences); Toei, Teikoku Sen-i (cross-holding webs and interlocked "independents")</w:t>
            </w:r>
          </w:p>
        </w:tc>
        <w:tc>
          <w:tcPr>
            <w:tcW w:type="dxa" w:w="383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Chair/CEO separation, independent majority, succession plan, abolition of defences, an independent committee for related-party deals</w:t>
            </w:r>
          </w:p>
        </w:tc>
      </w:tr>
    </w:tbl>
    <w:p>
      <w:pPr>
        <w:spacing w:after="100"/>
      </w:pPr>
    </w:p>
    <w:p>
      <w:pPr>
        <w:pStyle w:val="Heading3"/>
        <w:keepNext/>
        <w:spacing w:after="80" w:before="180"/>
      </w:pPr>
      <w:r>
        <w:rPr>
          <w:rFonts w:ascii="Calibri" w:cs="Calibri" w:eastAsia="Calibri" w:hAnsi="Calibri"/>
          <w:b/>
          <w:bCs/>
          <w:color w:val="2E75B6"/>
          <w:sz w:val="22"/>
          <w:szCs w:val="22"/>
        </w:rPr>
        <w:t xml:space="preserve">Sequencing and the calendar</w:t>
      </w:r>
    </w:p>
    <w:p>
      <w:pPr>
        <w:spacing w:after="100" w:line="264"/>
      </w:pPr>
      <w:r>
        <w:rPr>
          <w:rFonts w:ascii="Calibri" w:cs="Calibri" w:eastAsia="Calibri" w:hAnsi="Calibri"/>
          <w:sz w:val="19"/>
          <w:szCs w:val="19"/>
        </w:rPr>
        <w:t xml:space="preserve">Fiscal year-ends differ, so the campaign calendar is staggered. Japan's Companies Act requires shareholder proposals at least 8 weeks before the AGM, from a holder of 1% or 300 voting units held for 6 months. In Korea, proposals are due 6 weeks before the AGM, and listed-company holding thresholds are 0.5–1% held for 6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1"/>
        <w:gridCol w:w="4479"/>
        <w:gridCol w:w="3936"/>
      </w:tblGrid>
      <w:tr>
        <w:trPr>
          <w:cantSplit/>
          <w:tblHeader/>
        </w:trPr>
        <w:tc>
          <w:tcPr>
            <w:tcW w:type="dxa" w:w="149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Window</w:t>
            </w:r>
          </w:p>
        </w:tc>
        <w:tc>
          <w:tcPr>
            <w:tcW w:type="dxa" w:w="447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Event</w:t>
            </w:r>
          </w:p>
        </w:tc>
        <w:tc>
          <w:tcPr>
            <w:tcW w:type="dxa" w:w="393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Names</w:t>
            </w:r>
          </w:p>
        </w:tc>
      </w:tr>
      <w:tr>
        <w:trPr>
          <w:cantSplit/>
        </w:trPr>
        <w:tc>
          <w:tcPr>
            <w:tcW w:type="dxa" w:w="149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20-Oct-2026</w:t>
            </w:r>
          </w:p>
        </w:tc>
        <w:tc>
          <w:tcPr>
            <w:tcW w:type="dxa" w:w="44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Nissan / Mitsubishi Corp 10-year lock-up expires</w:t>
            </w:r>
          </w:p>
        </w:tc>
        <w:tc>
          <w:tcPr>
            <w:tcW w:type="dxa" w:w="39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Mitsubishi Motors</w:t>
            </w:r>
          </w:p>
        </w:tc>
      </w:tr>
      <w:tr>
        <w:trPr>
          <w:cantSplit/>
        </w:trPr>
        <w:tc>
          <w:tcPr>
            <w:tcW w:type="dxa" w:w="149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Late Nov-2026 onward</w:t>
            </w:r>
          </w:p>
        </w:tc>
        <w:tc>
          <w:tcPr>
            <w:tcW w:type="dxa" w:w="44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SFC KOSPI IPO</w:t>
            </w:r>
          </w:p>
        </w:tc>
        <w:tc>
          <w:tcPr>
            <w:tcW w:type="dxa" w:w="39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Hodogaya</w:t>
            </w:r>
          </w:p>
        </w:tc>
      </w:tr>
      <w:tr>
        <w:trPr>
          <w:cantSplit/>
        </w:trPr>
        <w:tc>
          <w:tcPr>
            <w:tcW w:type="dxa" w:w="149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Nov–Dec 2026</w:t>
            </w:r>
          </w:p>
        </w:tc>
        <w:tc>
          <w:tcPr>
            <w:tcW w:type="dxa" w:w="44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FY9/26 results and capital policy; December AGM</w:t>
            </w:r>
          </w:p>
        </w:tc>
        <w:tc>
          <w:tcPr>
            <w:tcW w:type="dxa" w:w="39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 Hasegawa</w:t>
            </w:r>
          </w:p>
        </w:tc>
      </w:tr>
      <w:tr>
        <w:trPr>
          <w:cantSplit/>
        </w:trPr>
        <w:tc>
          <w:tcPr>
            <w:tcW w:type="dxa" w:w="149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30-Dec-2026</w:t>
            </w:r>
          </w:p>
        </w:tc>
        <w:tc>
          <w:tcPr>
            <w:tcW w:type="dxa" w:w="44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Son → Sony Music block sale closes</w:t>
            </w:r>
          </w:p>
        </w:tc>
        <w:tc>
          <w:tcPr>
            <w:tcW w:type="dxa" w:w="39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GungHo</w:t>
            </w:r>
          </w:p>
        </w:tc>
      </w:tr>
      <w:tr>
        <w:trPr>
          <w:cantSplit/>
        </w:trPr>
        <w:tc>
          <w:tcPr>
            <w:tcW w:type="dxa" w:w="149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Late Jan-2027</w:t>
            </w:r>
          </w:p>
        </w:tc>
        <w:tc>
          <w:tcPr>
            <w:tcW w:type="dxa" w:w="44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October-FY AGM</w:t>
            </w:r>
          </w:p>
        </w:tc>
        <w:tc>
          <w:tcPr>
            <w:tcW w:type="dxa" w:w="39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Hi-Lex</w:t>
            </w:r>
          </w:p>
        </w:tc>
      </w:tr>
      <w:tr>
        <w:trPr>
          <w:cantSplit/>
        </w:trPr>
        <w:tc>
          <w:tcPr>
            <w:tcW w:type="dxa" w:w="149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26-Feb-2027</w:t>
            </w:r>
          </w:p>
        </w:tc>
        <w:tc>
          <w:tcPr>
            <w:tcW w:type="dxa" w:w="44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EGM on the NAVER Financial–Dunamu exchange</w:t>
            </w:r>
          </w:p>
        </w:tc>
        <w:tc>
          <w:tcPr>
            <w:tcW w:type="dxa" w:w="39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NAVER</w:t>
            </w:r>
          </w:p>
        </w:tc>
      </w:tr>
      <w:tr>
        <w:trPr>
          <w:cantSplit/>
        </w:trPr>
        <w:tc>
          <w:tcPr>
            <w:tcW w:type="dxa" w:w="149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Late Mar-2027</w:t>
            </w:r>
          </w:p>
        </w:tc>
        <w:tc>
          <w:tcPr>
            <w:tcW w:type="dxa" w:w="44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December-FY AGMs (proposal deadlines about late Jan / early Feb)</w:t>
            </w:r>
          </w:p>
        </w:tc>
        <w:tc>
          <w:tcPr>
            <w:tcW w:type="dxa" w:w="393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Dentsu, Canon, GungHo, KH Neochem, Teikoku Sen-i, NAVER, NC, Kumho</w:t>
            </w:r>
          </w:p>
        </w:tc>
      </w:tr>
      <w:tr>
        <w:trPr>
          <w:cantSplit/>
        </w:trPr>
        <w:tc>
          <w:tcPr>
            <w:tcW w:type="dxa" w:w="149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Late Jun-2027</w:t>
            </w:r>
          </w:p>
        </w:tc>
        <w:tc>
          <w:tcPr>
            <w:tcW w:type="dxa" w:w="44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March-FY AGMs (proposal deadlines about late April)</w:t>
            </w:r>
          </w:p>
        </w:tc>
        <w:tc>
          <w:tcPr>
            <w:tcW w:type="dxa" w:w="393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Omron, Yamaha, Daikin, Hodogaya, Rinnai, Shibaura Machine, TS Tech, Wacom, Toei, Mitsubishi Motors</w:t>
            </w:r>
          </w:p>
        </w:tc>
      </w:tr>
    </w:tbl>
    <w:p>
      <w:pPr>
        <w:spacing w:after="100"/>
      </w:pPr>
    </w:p>
    <w:p>
      <w:pPr>
        <w:pStyle w:val="Heading3"/>
        <w:keepNext/>
        <w:spacing w:after="80" w:before="180"/>
      </w:pPr>
      <w:r>
        <w:rPr>
          <w:rFonts w:ascii="Calibri" w:cs="Calibri" w:eastAsia="Calibri" w:hAnsi="Calibri"/>
          <w:b/>
          <w:bCs/>
          <w:color w:val="2E75B6"/>
          <w:sz w:val="22"/>
          <w:szCs w:val="22"/>
        </w:rPr>
        <w:t xml:space="preserve">How we would allocate effort</w:t>
      </w:r>
    </w:p>
    <w:p>
      <w:pPr>
        <w:pStyle w:val="ListParagraph"/>
        <w:numPr>
          <w:ilvl w:val="0"/>
          <w:numId w:val="23"/>
        </w:numPr>
        <w:spacing w:after="50" w:line="252"/>
      </w:pPr>
      <w:r>
        <w:rPr>
          <w:rFonts w:ascii="Calibri" w:cs="Calibri" w:eastAsia="Calibri" w:hAnsi="Calibri"/>
          <w:b/>
          <w:bCs/>
          <w:sz w:val="19"/>
          <w:szCs w:val="19"/>
        </w:rPr>
        <w:t xml:space="preserve">Open now, privately: Omron, Dentsu and Yamaha.</w:t>
      </w:r>
      <w:r>
        <w:rPr>
          <w:rFonts w:ascii="Calibri" w:cs="Calibri" w:eastAsia="Calibri" w:hAnsi="Calibri"/>
          <w:sz w:val="19"/>
          <w:szCs w:val="19"/>
        </w:rPr>
        <w:t xml:space="preserve"> All three have institutional registers with no anchor, a quantifiable gap and no incumbent campaign. The asks are portfolio simplification and capital return, which long-only holders already support. Build to 1–3% ahead of the June-2027 (Omron, Yamaha) and March-2027 (Dentsu) AGMs.</w:t>
      </w:r>
    </w:p>
    <w:p>
      <w:pPr>
        <w:pStyle w:val="ListParagraph"/>
        <w:numPr>
          <w:ilvl w:val="0"/>
          <w:numId w:val="23"/>
        </w:numPr>
        <w:spacing w:after="50" w:line="252"/>
      </w:pPr>
      <w:r>
        <w:rPr>
          <w:rFonts w:ascii="Calibri" w:cs="Calibri" w:eastAsia="Calibri" w:hAnsi="Calibri"/>
          <w:b/>
          <w:bCs/>
          <w:sz w:val="19"/>
          <w:szCs w:val="19"/>
        </w:rPr>
        <w:t xml:space="preserve">Event trades with dated catalysts: Hodogaya (SFC IPO), GungHo (Sony closing), Mitsubishi Motors (lock-up expiry).</w:t>
      </w:r>
      <w:r>
        <w:rPr>
          <w:rFonts w:ascii="Calibri" w:cs="Calibri" w:eastAsia="Calibri" w:hAnsi="Calibri"/>
          <w:sz w:val="19"/>
          <w:szCs w:val="19"/>
        </w:rPr>
        <w:t xml:space="preserve"> Position size should reflect the event, not a multi-year campaign.</w:t>
      </w:r>
    </w:p>
    <w:p>
      <w:pPr>
        <w:pStyle w:val="ListParagraph"/>
        <w:numPr>
          <w:ilvl w:val="0"/>
          <w:numId w:val="23"/>
        </w:numPr>
        <w:spacing w:after="50" w:line="252"/>
      </w:pPr>
      <w:r>
        <w:rPr>
          <w:rFonts w:ascii="Calibri" w:cs="Calibri" w:eastAsia="Calibri" w:hAnsi="Calibri"/>
          <w:b/>
          <w:bCs/>
          <w:sz w:val="19"/>
          <w:szCs w:val="19"/>
        </w:rPr>
        <w:t xml:space="preserve">Korea: NAVER first, then NC and Kumho.</w:t>
      </w:r>
      <w:r>
        <w:rPr>
          <w:rFonts w:ascii="Calibri" w:cs="Calibri" w:eastAsia="Calibri" w:hAnsi="Calibri"/>
          <w:sz w:val="19"/>
          <w:szCs w:val="19"/>
        </w:rPr>
        <w:t xml:space="preserve"> The new treasury-share and cumulative-voting rules make board-seat and cancellation demands winnable without a majority. NAVER's 26-Feb-2027 EGM is the natural moment to engage on minority protection.</w:t>
      </w:r>
    </w:p>
    <w:p>
      <w:pPr>
        <w:pStyle w:val="ListParagraph"/>
        <w:numPr>
          <w:ilvl w:val="0"/>
          <w:numId w:val="23"/>
        </w:numPr>
        <w:spacing w:after="50" w:line="252"/>
      </w:pPr>
      <w:r>
        <w:rPr>
          <w:rFonts w:ascii="Calibri" w:cs="Calibri" w:eastAsia="Calibri" w:hAnsi="Calibri"/>
          <w:b/>
          <w:bCs/>
          <w:sz w:val="19"/>
          <w:szCs w:val="19"/>
        </w:rPr>
        <w:t xml:space="preserve">Co-investment where an activist is already present: Daikin, KH Neochem, Wacom, Teikoku Sen-i, Rinnai, Shibaura Machine, Hi-Lex.</w:t>
      </w:r>
      <w:r>
        <w:rPr>
          <w:rFonts w:ascii="Calibri" w:cs="Calibri" w:eastAsia="Calibri" w:hAnsi="Calibri"/>
          <w:sz w:val="19"/>
          <w:szCs w:val="19"/>
        </w:rPr>
        <w:t xml:space="preserve"> These registers are primed. A supportive second fund can move a 30–43% dissident vote to a majority at Wacom and Teikoku Sen-i, and adds weight to Elliott's ask at Daikin.</w:t>
      </w:r>
    </w:p>
    <w:p>
      <w:pPr>
        <w:pStyle w:val="ListParagraph"/>
        <w:numPr>
          <w:ilvl w:val="0"/>
          <w:numId w:val="23"/>
        </w:numPr>
        <w:spacing w:after="50" w:line="252"/>
      </w:pPr>
      <w:r>
        <w:rPr>
          <w:rFonts w:ascii="Calibri" w:cs="Calibri" w:eastAsia="Calibri" w:hAnsi="Calibri"/>
          <w:b/>
          <w:bCs/>
          <w:sz w:val="19"/>
          <w:szCs w:val="19"/>
        </w:rPr>
        <w:t xml:space="preserve">Long-dated, relationship-led: Canon, Toei, T. Hasegawa, TS Tech.</w:t>
      </w:r>
      <w:r>
        <w:rPr>
          <w:rFonts w:ascii="Calibri" w:cs="Calibri" w:eastAsia="Calibri" w:hAnsi="Calibri"/>
          <w:sz w:val="19"/>
          <w:szCs w:val="19"/>
        </w:rPr>
        <w:t xml:space="preserve"> The value is large but unlocking it depends on a few counterparties: Canon's CEO succession, the TV Asahi cross-holding at Toei, the Hasegawa family, and Honda at TS Tech. Engage privately and let the TSE/stewardship backdrop do part of the work.</w:t>
      </w:r>
    </w:p>
    <w:p>
      <w:pPr>
        <w:pStyle w:val="Heading3"/>
        <w:keepNext/>
        <w:spacing w:after="80" w:before="180"/>
      </w:pPr>
      <w:r>
        <w:rPr>
          <w:rFonts w:ascii="Calibri" w:cs="Calibri" w:eastAsia="Calibri" w:hAnsi="Calibri"/>
          <w:b/>
          <w:bCs/>
          <w:color w:val="2E75B6"/>
          <w:sz w:val="22"/>
          <w:szCs w:val="22"/>
        </w:rPr>
        <w:t xml:space="preserve">The Korean exceptions problem</w:t>
      </w:r>
    </w:p>
    <w:p>
      <w:pPr>
        <w:spacing w:after="100" w:line="264"/>
      </w:pPr>
      <w:r>
        <w:rPr>
          <w:rFonts w:ascii="Calibri" w:cs="Calibri" w:eastAsia="Calibri" w:hAnsi="Calibri"/>
          <w:sz w:val="19"/>
          <w:szCs w:val="19"/>
        </w:rPr>
        <w:t xml:space="preserve">Of the 20 Korean names that pass the leverage test, nine fail the 40% control test. Three are listed subsidiaries (Doosan Bobcat, Iljin Electric, KT Alpha). Six are family-controlled small caps where the family group owns 42–62%: Ubiquoss, Daehan Flour, Seoul City Gas, It's Hanbul, SNT Motiv and Sindoh. Seven more family-run small caps were not verified. These are among the cheapest stocks screened: Seoul City Gas, It's Hanbul and Sindoh trade below net cash. Minority-shareholder proposals have started to appear: Daehan Flour shareholders forced a vote on a buyback in March 2026. They are not campaignable on the mandate's ownership test. They could be revisited as </w:t>
      </w:r>
      <w:r>
        <w:rPr>
          <w:rFonts w:ascii="Calibri" w:cs="Calibri" w:eastAsia="Calibri" w:hAnsi="Calibri"/>
          <w:i/>
          <w:iCs/>
          <w:sz w:val="19"/>
          <w:szCs w:val="19"/>
        </w:rPr>
        <w:t xml:space="preserve">minority-protection</w:t>
      </w:r>
      <w:r>
        <w:rPr>
          <w:rFonts w:ascii="Calibri" w:cs="Calibri" w:eastAsia="Calibri" w:hAnsi="Calibri"/>
          <w:sz w:val="19"/>
          <w:szCs w:val="19"/>
        </w:rPr>
        <w:t xml:space="preserve"> situations under Korea's amended Commercial Act, but that is a different strategy.</w:t>
      </w:r>
    </w:p>
    <w:p>
      <w:pPr>
        <w:pStyle w:val="Heading1"/>
        <w:pageBreakBefore/>
        <w:spacing w:after="160" w:before="120"/>
      </w:pPr>
      <w:r>
        <w:rPr>
          <w:rFonts w:ascii="Calibri" w:cs="Calibri" w:eastAsia="Calibri" w:hAnsi="Calibri"/>
          <w:b/>
          <w:bCs/>
          <w:color w:val="1F3864"/>
          <w:sz w:val="32"/>
          <w:szCs w:val="32"/>
        </w:rPr>
        <w:t xml:space="preserve">5. Appendix — screening record: names excluded, and why</w:t>
      </w:r>
    </w:p>
    <w:p>
      <w:pPr>
        <w:spacing w:after="100" w:line="264"/>
      </w:pPr>
      <w:r>
        <w:rPr>
          <w:rFonts w:ascii="Calibri" w:cs="Calibri" w:eastAsia="Calibri" w:hAnsi="Calibri"/>
          <w:sz w:val="19"/>
          <w:szCs w:val="19"/>
        </w:rPr>
        <w:t xml:space="preserve">The source list contained 124 unique securities: 90 Tokyo-listed and 34 Korea-listed. Duplicate lines in the list were removed. Every name was screened. The tables below record why the 104 names not in the final 20 were set aside, so the screen can be audited and re-run.</w:t>
      </w:r>
    </w:p>
    <w:p>
      <w:pPr>
        <w:pStyle w:val="Heading3"/>
        <w:keepNext/>
        <w:spacing w:after="80" w:before="180"/>
      </w:pPr>
      <w:r>
        <w:rPr>
          <w:rFonts w:ascii="Calibri" w:cs="Calibri" w:eastAsia="Calibri" w:hAnsi="Calibri"/>
          <w:b/>
          <w:bCs/>
          <w:color w:val="2E75B6"/>
          <w:sz w:val="22"/>
          <w:szCs w:val="22"/>
        </w:rPr>
        <w:t xml:space="preserve">A. Excluded on balance-sheet capacity (net debt/EBITDA ≥ 1.0x or not meaningful)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7"/>
        <w:gridCol w:w="1119"/>
        <w:gridCol w:w="2249"/>
        <w:gridCol w:w="4261"/>
      </w:tblGrid>
      <w:tr>
        <w:trPr>
          <w:cantSplit/>
          <w:tblHeader/>
        </w:trPr>
        <w:tc>
          <w:tcPr>
            <w:tcW w:type="dxa" w:w="227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Company</w:t>
            </w:r>
          </w:p>
        </w:tc>
        <w:tc>
          <w:tcPr>
            <w:tcW w:type="dxa" w:w="111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Ticker</w:t>
            </w:r>
          </w:p>
        </w:tc>
        <w:tc>
          <w:tcPr>
            <w:tcW w:type="dxa" w:w="224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Net debt / EBITDA (LTM)</w:t>
            </w:r>
          </w:p>
        </w:tc>
        <w:tc>
          <w:tcPr>
            <w:tcW w:type="dxa" w:w="426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Comment</w:t>
            </w: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Rakuten Group</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4755 JP</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n.m.</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Consolidated figures include Rakuten Bank/Card. Non-financial leverage is high after the mobile build-out.</w:t>
            </w: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Nissan Motor</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7201 JP</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≈14x consolidated</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Restructuring; auto business under stress</w:t>
            </w: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Park24</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4666 JP</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1.75x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Tokyo Electron Device</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2760 JP</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2.0x</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Hokuriku Electric Power</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9505 JP</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7.2x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Regulated utility</w:t>
            </w: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Hokuetsu</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3865 JP</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4.3x</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Daio Paper</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3880 JP</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4.3x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Mitsubishi Chemical Group</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4188 JP</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3.6x</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Sumitomo Chemical</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4005 JP</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2.6x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DIC</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4631 JP</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2.7x</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Shochiku</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9601 JP</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4.6x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Tosei</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8923 JP</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5.5x</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Real-estate developer</w:t>
            </w: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Goldcrest</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8871 JP</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7.1x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Real-estate developer</w:t>
            </w: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Sotetsu Holdings</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9003 JP</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Net debt ¥418bn (&gt;5x, approx.)</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Railway</w:t>
            </w: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West Japan Railway</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9021 JP</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3.7x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Railway</w:t>
            </w: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Japan Airport Terminal</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9706 JP</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1.5x</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KYB</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7242 JP</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1.8x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Saibu Gas Holdings</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9536 JP</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9.7x</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Utility</w:t>
            </w: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Autobacs Seven</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9832 JP</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1.08x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Borderline; fails a literal test</w:t>
            </w: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gumi</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3903 JP</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Net debt, LTM EBIT loss</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Micro-cap</w:t>
            </w: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Doosan Corp</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000150 KS</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2.6x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Pan Ocean</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028670 KS</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3.5x</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CJ Corp</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001040 KS</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KCC</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002380 KS</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5.3x</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KISCO Holdings</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001940 KS</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16x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Loss-making</w:t>
            </w: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Kolmar Holdings</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024720 KS</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2.7x</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SK Chemicals</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285130 KS</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2.4x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SK Discovery</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006120 KS</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4.5x</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SK Inc</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034730 KS</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2.9x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Solum</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248070 KS</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3.5x</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Young Poong</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000670 KS</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9.2x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Loss-making</w:t>
            </w: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Taekwang Industrial</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003240 KS</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n.m. (EBITDA ≈ nil)</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Coway</w:t>
            </w:r>
          </w:p>
        </w:tc>
        <w:tc>
          <w:tcPr>
            <w:tcW w:type="dxa" w:w="111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021240 KS</w:t>
            </w:r>
          </w:p>
        </w:tc>
        <w:tc>
          <w:tcPr>
            <w:tcW w:type="dxa" w:w="224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1.9x</w:t>
            </w:r>
          </w:p>
        </w:tc>
        <w:tc>
          <w:tcPr>
            <w:tcW w:type="dxa" w:w="426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27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GS Holdings</w:t>
            </w:r>
          </w:p>
        </w:tc>
        <w:tc>
          <w:tcPr>
            <w:tcW w:type="dxa" w:w="111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078930 KS</w:t>
            </w:r>
          </w:p>
        </w:tc>
        <w:tc>
          <w:tcPr>
            <w:tcW w:type="dxa" w:w="224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right"/>
            </w:pPr>
            <w:r>
              <w:rPr>
                <w:rFonts w:ascii="Calibri" w:cs="Calibri" w:eastAsia="Calibri" w:hAnsi="Calibri"/>
                <w:sz w:val="16"/>
                <w:szCs w:val="16"/>
              </w:rPr>
              <w:t xml:space="preserve">1.1x</w:t>
            </w:r>
          </w:p>
        </w:tc>
        <w:tc>
          <w:tcPr>
            <w:tcW w:type="dxa" w:w="426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bl>
    <w:p>
      <w:pPr>
        <w:spacing w:after="100"/>
      </w:pPr>
    </w:p>
    <w:p>
      <w:pPr>
        <w:pStyle w:val="Heading3"/>
        <w:keepNext/>
        <w:spacing w:after="80" w:before="180"/>
      </w:pPr>
      <w:r>
        <w:rPr>
          <w:rFonts w:ascii="Calibri" w:cs="Calibri" w:eastAsia="Calibri" w:hAnsi="Calibri"/>
          <w:b/>
          <w:bCs/>
          <w:color w:val="2E75B6"/>
          <w:sz w:val="22"/>
          <w:szCs w:val="22"/>
        </w:rPr>
        <w:t xml:space="preserve">B. Excluded on control (a single holder or controlling group above 40%), or no longer investable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9"/>
        <w:gridCol w:w="1151"/>
        <w:gridCol w:w="6776"/>
      </w:tblGrid>
      <w:tr>
        <w:trPr>
          <w:cantSplit/>
          <w:tblHeader/>
        </w:trPr>
        <w:tc>
          <w:tcPr>
            <w:tcW w:type="dxa" w:w="197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Company</w:t>
            </w:r>
          </w:p>
        </w:tc>
        <w:tc>
          <w:tcPr>
            <w:tcW w:type="dxa" w:w="115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Ticker</w:t>
            </w:r>
          </w:p>
        </w:tc>
        <w:tc>
          <w:tcPr>
            <w:tcW w:type="dxa" w:w="677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Controlling holder / status</w:t>
            </w:r>
          </w:p>
        </w:tc>
      </w:tr>
      <w:tr>
        <w:trPr>
          <w:cantSplit/>
        </w:trPr>
        <w:tc>
          <w:tcPr>
            <w:tcW w:type="dxa" w:w="19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Yutaka Giken</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7229 JP</w:t>
            </w:r>
          </w:p>
        </w:tc>
        <w:tc>
          <w:tcPr>
            <w:tcW w:type="dxa" w:w="67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Delisted 10-Jun-2026 after Motherson tender offer (Honda sold 69.7%)</w:t>
            </w:r>
          </w:p>
        </w:tc>
      </w:tr>
      <w:tr>
        <w:trPr>
          <w:cantSplit/>
        </w:trPr>
        <w:tc>
          <w:tcPr>
            <w:tcW w:type="dxa" w:w="19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Shinko Shoji</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8141 JP</w:t>
            </w:r>
          </w:p>
        </w:tc>
        <w:tc>
          <w:tcPr>
            <w:tcW w:type="dxa" w:w="67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Subject to Kaga Electronics tender offer (¥1,580) to become a wholly owned subsidiary</w:t>
            </w:r>
          </w:p>
        </w:tc>
      </w:tr>
      <w:tr>
        <w:trPr>
          <w:cantSplit/>
        </w:trPr>
        <w:tc>
          <w:tcPr>
            <w:tcW w:type="dxa" w:w="19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Hokkaidenko</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1832 JP</w:t>
            </w:r>
          </w:p>
        </w:tc>
        <w:tc>
          <w:tcPr>
            <w:tcW w:type="dxa" w:w="67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Hokkaido Electric group 55.8% of votes</w:t>
            </w:r>
          </w:p>
        </w:tc>
      </w:tr>
      <w:tr>
        <w:trPr>
          <w:cantSplit/>
        </w:trPr>
        <w:tc>
          <w:tcPr>
            <w:tcW w:type="dxa" w:w="19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Shin-Etsu Polymer</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7970 JP</w:t>
            </w:r>
          </w:p>
        </w:tc>
        <w:tc>
          <w:tcPr>
            <w:tcW w:type="dxa" w:w="67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Listed subsidiary of Shin-Etsu Chemical</w:t>
            </w:r>
          </w:p>
        </w:tc>
      </w:tr>
      <w:tr>
        <w:trPr>
          <w:cantSplit/>
        </w:trPr>
        <w:tc>
          <w:tcPr>
            <w:tcW w:type="dxa" w:w="19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Toei Animation</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4816 JP</w:t>
            </w:r>
          </w:p>
        </w:tc>
        <w:tc>
          <w:tcPr>
            <w:tcW w:type="dxa" w:w="67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Toei 41.0% plus TV Asahi 20.0% (≈61%); addressed through Toei (#18)</w:t>
            </w:r>
          </w:p>
        </w:tc>
      </w:tr>
      <w:tr>
        <w:trPr>
          <w:cantSplit/>
        </w:trPr>
        <w:tc>
          <w:tcPr>
            <w:tcW w:type="dxa" w:w="19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SK Kaken</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4628 JP</w:t>
            </w:r>
          </w:p>
        </w:tc>
        <w:tc>
          <w:tcPr>
            <w:tcW w:type="dxa" w:w="67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Fujii family 41.2% (incl. Shikoku Kosan 31.9%)</w:t>
            </w:r>
          </w:p>
        </w:tc>
      </w:tr>
      <w:tr>
        <w:trPr>
          <w:cantSplit/>
        </w:trPr>
        <w:tc>
          <w:tcPr>
            <w:tcW w:type="dxa" w:w="19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Corona</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5909 JP</w:t>
            </w:r>
          </w:p>
        </w:tc>
        <w:tc>
          <w:tcPr>
            <w:tcW w:type="dxa" w:w="67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Corona Kosan, Uchida foundation and family ≈47%</w:t>
            </w:r>
          </w:p>
        </w:tc>
      </w:tr>
      <w:tr>
        <w:trPr>
          <w:cantSplit/>
        </w:trPr>
        <w:tc>
          <w:tcPr>
            <w:tcW w:type="dxa" w:w="19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Xebio Holdings</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8281 JP</w:t>
            </w:r>
          </w:p>
        </w:tc>
        <w:tc>
          <w:tcPr>
            <w:tcW w:type="dxa" w:w="67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Morohashi group ≈38%, ≈49% with the family foundation</w:t>
            </w:r>
          </w:p>
        </w:tc>
      </w:tr>
      <w:tr>
        <w:trPr>
          <w:cantSplit/>
        </w:trPr>
        <w:tc>
          <w:tcPr>
            <w:tcW w:type="dxa" w:w="19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oRo</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3983 JP</w:t>
            </w:r>
          </w:p>
        </w:tc>
        <w:tc>
          <w:tcPr>
            <w:tcW w:type="dxa" w:w="67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Founder 39.3% plus co-founder 17.8% (57%)</w:t>
            </w:r>
          </w:p>
        </w:tc>
      </w:tr>
      <w:tr>
        <w:trPr>
          <w:cantSplit/>
        </w:trPr>
        <w:tc>
          <w:tcPr>
            <w:tcW w:type="dxa" w:w="19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Komeri</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8218 JP</w:t>
            </w:r>
          </w:p>
        </w:tc>
        <w:tc>
          <w:tcPr>
            <w:tcW w:type="dxa" w:w="67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Sasage family companies and foundation ≈42–44%</w:t>
            </w:r>
          </w:p>
        </w:tc>
      </w:tr>
      <w:tr>
        <w:trPr>
          <w:cantSplit/>
        </w:trPr>
        <w:tc>
          <w:tcPr>
            <w:tcW w:type="dxa" w:w="19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M&amp;A Capital Partners</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6080 JP</w:t>
            </w:r>
          </w:p>
        </w:tc>
        <w:tc>
          <w:tcPr>
            <w:tcW w:type="dxa" w:w="67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Founder Satoru Nakamura 42.2%</w:t>
            </w:r>
          </w:p>
        </w:tc>
      </w:tr>
      <w:tr>
        <w:trPr>
          <w:cantSplit/>
        </w:trPr>
        <w:tc>
          <w:tcPr>
            <w:tcW w:type="dxa" w:w="19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Daiho</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1822 JP</w:t>
            </w:r>
          </w:p>
        </w:tc>
        <w:tc>
          <w:tcPr>
            <w:tcW w:type="dxa" w:w="67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Aso Corp 50.1%</w:t>
            </w:r>
          </w:p>
        </w:tc>
      </w:tr>
      <w:tr>
        <w:trPr>
          <w:cantSplit/>
        </w:trPr>
        <w:tc>
          <w:tcPr>
            <w:tcW w:type="dxa" w:w="19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Doosan Bobcat</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241560 KS</w:t>
            </w:r>
          </w:p>
        </w:tc>
        <w:tc>
          <w:tcPr>
            <w:tcW w:type="dxa" w:w="67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Doosan Enerbility ≈46% (parent)</w:t>
            </w:r>
          </w:p>
        </w:tc>
      </w:tr>
      <w:tr>
        <w:trPr>
          <w:cantSplit/>
        </w:trPr>
        <w:tc>
          <w:tcPr>
            <w:tcW w:type="dxa" w:w="19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Iljin Electric</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103590 KS</w:t>
            </w:r>
          </w:p>
        </w:tc>
        <w:tc>
          <w:tcPr>
            <w:tcW w:type="dxa" w:w="67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Listed subsidiary of Iljin Holdings</w:t>
            </w:r>
          </w:p>
        </w:tc>
      </w:tr>
      <w:tr>
        <w:trPr>
          <w:cantSplit/>
        </w:trPr>
        <w:tc>
          <w:tcPr>
            <w:tcW w:type="dxa" w:w="19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KT Alpha</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036030 KS</w:t>
            </w:r>
          </w:p>
        </w:tc>
        <w:tc>
          <w:tcPr>
            <w:tcW w:type="dxa" w:w="67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Listed subsidiary of KT</w:t>
            </w:r>
          </w:p>
        </w:tc>
      </w:tr>
      <w:tr>
        <w:trPr>
          <w:cantSplit/>
        </w:trPr>
        <w:tc>
          <w:tcPr>
            <w:tcW w:type="dxa" w:w="19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Ubiquoss Holdings</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078070 KQ</w:t>
            </w:r>
          </w:p>
        </w:tc>
        <w:tc>
          <w:tcPr>
            <w:tcW w:type="dxa" w:w="67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Founder ≈50%; group 52.6–53.1%</w:t>
            </w:r>
          </w:p>
        </w:tc>
      </w:tr>
      <w:tr>
        <w:trPr>
          <w:cantSplit/>
        </w:trPr>
        <w:tc>
          <w:tcPr>
            <w:tcW w:type="dxa" w:w="19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Daehan Flour Mills</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001130 KS</w:t>
            </w:r>
          </w:p>
        </w:tc>
        <w:tc>
          <w:tcPr>
            <w:tcW w:type="dxa" w:w="67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Family vehicle D&amp;B 27.8%; group 42.3% (borderline)</w:t>
            </w:r>
          </w:p>
        </w:tc>
      </w:tr>
      <w:tr>
        <w:trPr>
          <w:cantSplit/>
        </w:trPr>
        <w:tc>
          <w:tcPr>
            <w:tcW w:type="dxa" w:w="19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Seoul City Gas</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017390 KS</w:t>
            </w:r>
          </w:p>
        </w:tc>
        <w:tc>
          <w:tcPr>
            <w:tcW w:type="dxa" w:w="67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Chairman's vehicle 26.3%; group 51.2%</w:t>
            </w:r>
          </w:p>
        </w:tc>
      </w:tr>
      <w:tr>
        <w:trPr>
          <w:cantSplit/>
        </w:trPr>
        <w:tc>
          <w:tcPr>
            <w:tcW w:type="dxa" w:w="19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It's Hanbul</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226320 KS</w:t>
            </w:r>
          </w:p>
        </w:tc>
        <w:tc>
          <w:tcPr>
            <w:tcW w:type="dxa" w:w="67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Chairman 35.3%; group 61.6%</w:t>
            </w:r>
          </w:p>
        </w:tc>
      </w:tr>
      <w:tr>
        <w:trPr>
          <w:cantSplit/>
        </w:trPr>
        <w:tc>
          <w:tcPr>
            <w:tcW w:type="dxa" w:w="19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SNT Motiv</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064960 KS</w:t>
            </w:r>
          </w:p>
        </w:tc>
        <w:tc>
          <w:tcPr>
            <w:tcW w:type="dxa" w:w="67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SNT Holdings 45.1%; group 46.3%</w:t>
            </w:r>
          </w:p>
        </w:tc>
      </w:tr>
      <w:tr>
        <w:trPr>
          <w:cantSplit/>
        </w:trPr>
        <w:tc>
          <w:tcPr>
            <w:tcW w:type="dxa" w:w="197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Sindoh</w:t>
            </w:r>
          </w:p>
        </w:tc>
        <w:tc>
          <w:tcPr>
            <w:tcW w:type="dxa" w:w="115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029530 KS</w:t>
            </w:r>
          </w:p>
        </w:tc>
        <w:tc>
          <w:tcPr>
            <w:tcW w:type="dxa" w:w="677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Family vehicle 22.6%; group 48.7%</w:t>
            </w:r>
          </w:p>
        </w:tc>
      </w:tr>
      <w:tr>
        <w:trPr>
          <w:cantSplit/>
        </w:trPr>
        <w:tc>
          <w:tcPr>
            <w:tcW w:type="dxa" w:w="1979"/>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TOC</w:t>
            </w:r>
          </w:p>
        </w:tc>
        <w:tc>
          <w:tcPr>
            <w:tcW w:type="dxa" w:w="1151"/>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8841 JP</w:t>
            </w:r>
          </w:p>
        </w:tc>
        <w:tc>
          <w:tcPr>
            <w:tcW w:type="dxa" w:w="6776"/>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Otani group 52.0% (New Otani 24.1% plus family vehicles). Rental-property unrealised gain ≈1.6x market cap: an MBO candidate, not a campaign.</w:t>
            </w:r>
          </w:p>
        </w:tc>
      </w:tr>
    </w:tbl>
    <w:p>
      <w:pPr>
        <w:spacing w:after="100"/>
      </w:pPr>
    </w:p>
    <w:p>
      <w:pPr>
        <w:pStyle w:val="Heading3"/>
        <w:keepNext/>
        <w:spacing w:after="80" w:before="180"/>
      </w:pPr>
      <w:r>
        <w:rPr>
          <w:rFonts w:ascii="Calibri" w:cs="Calibri" w:eastAsia="Calibri" w:hAnsi="Calibri"/>
          <w:b/>
          <w:bCs/>
          <w:color w:val="2E75B6"/>
          <w:sz w:val="22"/>
          <w:szCs w:val="22"/>
        </w:rPr>
        <w:t xml:space="preserve">C. Excluded because the TSR test is not met (5-year return in line with or ahead of TOPIX and the sector), or the gap is already closing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5"/>
        <w:gridCol w:w="1357"/>
        <w:gridCol w:w="2364"/>
        <w:gridCol w:w="3480"/>
      </w:tblGrid>
      <w:tr>
        <w:trPr>
          <w:cantSplit/>
          <w:tblHeader/>
        </w:trPr>
        <w:tc>
          <w:tcPr>
            <w:tcW w:type="dxa" w:w="2705"/>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Company</w:t>
            </w:r>
          </w:p>
        </w:tc>
        <w:tc>
          <w:tcPr>
            <w:tcW w:type="dxa" w:w="135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Ticker</w:t>
            </w:r>
          </w:p>
        </w:tc>
        <w:tc>
          <w:tcPr>
            <w:tcW w:type="dxa" w:w="236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5y price/TSR indication</w:t>
            </w:r>
          </w:p>
        </w:tc>
        <w:tc>
          <w:tcPr>
            <w:tcW w:type="dxa" w:w="34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Comment</w:t>
            </w:r>
          </w:p>
        </w:tc>
      </w:tr>
      <w:tr>
        <w:trPr>
          <w:cantSplit/>
        </w:trPr>
        <w:tc>
          <w:tcPr>
            <w:tcW w:type="dxa" w:w="27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Toyo Tire</w:t>
            </w:r>
          </w:p>
        </w:tc>
        <w:tc>
          <w:tcPr>
            <w:tcW w:type="dxa" w:w="13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5105 JP</w:t>
            </w:r>
          </w:p>
        </w:tc>
        <w:tc>
          <w:tcPr>
            <w:tcW w:type="dxa" w:w="23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≈+155%</w:t>
            </w:r>
          </w:p>
        </w:tc>
        <w:tc>
          <w:tcPr>
            <w:tcW w:type="dxa" w:w="34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Re-rated</w:t>
            </w:r>
          </w:p>
        </w:tc>
      </w:tr>
      <w:tr>
        <w:trPr>
          <w:cantSplit/>
        </w:trPr>
        <w:tc>
          <w:tcPr>
            <w:tcW w:type="dxa" w:w="27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Horiba</w:t>
            </w:r>
          </w:p>
        </w:tc>
        <w:tc>
          <w:tcPr>
            <w:tcW w:type="dxa" w:w="13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6856 JP</w:t>
            </w:r>
          </w:p>
        </w:tc>
        <w:tc>
          <w:tcPr>
            <w:tcW w:type="dxa" w:w="23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≈+270%</w:t>
            </w:r>
          </w:p>
        </w:tc>
        <w:tc>
          <w:tcPr>
            <w:tcW w:type="dxa" w:w="34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Valqua</w:t>
            </w:r>
          </w:p>
        </w:tc>
        <w:tc>
          <w:tcPr>
            <w:tcW w:type="dxa" w:w="13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7995 JP</w:t>
            </w:r>
          </w:p>
        </w:tc>
        <w:tc>
          <w:tcPr>
            <w:tcW w:type="dxa" w:w="23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≈+290%</w:t>
            </w:r>
          </w:p>
        </w:tc>
        <w:tc>
          <w:tcPr>
            <w:tcW w:type="dxa" w:w="34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Fujikura Composites</w:t>
            </w:r>
          </w:p>
        </w:tc>
        <w:tc>
          <w:tcPr>
            <w:tcW w:type="dxa" w:w="13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5121 JP</w:t>
            </w:r>
          </w:p>
        </w:tc>
        <w:tc>
          <w:tcPr>
            <w:tcW w:type="dxa" w:w="23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≈+340%</w:t>
            </w:r>
          </w:p>
        </w:tc>
        <w:tc>
          <w:tcPr>
            <w:tcW w:type="dxa" w:w="34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Enplas</w:t>
            </w:r>
          </w:p>
        </w:tc>
        <w:tc>
          <w:tcPr>
            <w:tcW w:type="dxa" w:w="13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6961 JP</w:t>
            </w:r>
          </w:p>
        </w:tc>
        <w:tc>
          <w:tcPr>
            <w:tcW w:type="dxa" w:w="23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≈+270%</w:t>
            </w:r>
          </w:p>
        </w:tc>
        <w:tc>
          <w:tcPr>
            <w:tcW w:type="dxa" w:w="34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A&amp;D Holon</w:t>
            </w:r>
          </w:p>
        </w:tc>
        <w:tc>
          <w:tcPr>
            <w:tcW w:type="dxa" w:w="13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7745 JP</w:t>
            </w:r>
          </w:p>
        </w:tc>
        <w:tc>
          <w:tcPr>
            <w:tcW w:type="dxa" w:w="23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≈+215%</w:t>
            </w:r>
          </w:p>
        </w:tc>
        <w:tc>
          <w:tcPr>
            <w:tcW w:type="dxa" w:w="34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MegaChips</w:t>
            </w:r>
          </w:p>
        </w:tc>
        <w:tc>
          <w:tcPr>
            <w:tcW w:type="dxa" w:w="13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6875 JP</w:t>
            </w:r>
          </w:p>
        </w:tc>
        <w:tc>
          <w:tcPr>
            <w:tcW w:type="dxa" w:w="23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≈+230%</w:t>
            </w:r>
          </w:p>
        </w:tc>
        <w:tc>
          <w:tcPr>
            <w:tcW w:type="dxa" w:w="34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Meisei Industrial</w:t>
            </w:r>
          </w:p>
        </w:tc>
        <w:tc>
          <w:tcPr>
            <w:tcW w:type="dxa" w:w="13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1976 JP</w:t>
            </w:r>
          </w:p>
        </w:tc>
        <w:tc>
          <w:tcPr>
            <w:tcW w:type="dxa" w:w="23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≈+165%</w:t>
            </w:r>
          </w:p>
        </w:tc>
        <w:tc>
          <w:tcPr>
            <w:tcW w:type="dxa" w:w="34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Tigers Polymer</w:t>
            </w:r>
          </w:p>
        </w:tc>
        <w:tc>
          <w:tcPr>
            <w:tcW w:type="dxa" w:w="13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4231 JP</w:t>
            </w:r>
          </w:p>
        </w:tc>
        <w:tc>
          <w:tcPr>
            <w:tcW w:type="dxa" w:w="23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≈+165%</w:t>
            </w:r>
          </w:p>
        </w:tc>
        <w:tc>
          <w:tcPr>
            <w:tcW w:type="dxa" w:w="34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Matsumoto Yushi-Seiyaku</w:t>
            </w:r>
          </w:p>
        </w:tc>
        <w:tc>
          <w:tcPr>
            <w:tcW w:type="dxa" w:w="13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4365 JP</w:t>
            </w:r>
          </w:p>
        </w:tc>
        <w:tc>
          <w:tcPr>
            <w:tcW w:type="dxa" w:w="23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≈+155%</w:t>
            </w:r>
          </w:p>
        </w:tc>
        <w:tc>
          <w:tcPr>
            <w:tcW w:type="dxa" w:w="34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Large net cash, but TSR ahead of TOPIX</w:t>
            </w:r>
          </w:p>
        </w:tc>
      </w:tr>
      <w:tr>
        <w:trPr>
          <w:cantSplit/>
        </w:trPr>
        <w:tc>
          <w:tcPr>
            <w:tcW w:type="dxa" w:w="27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Optex Group</w:t>
            </w:r>
          </w:p>
        </w:tc>
        <w:tc>
          <w:tcPr>
            <w:tcW w:type="dxa" w:w="13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6914 JP</w:t>
            </w:r>
          </w:p>
        </w:tc>
        <w:tc>
          <w:tcPr>
            <w:tcW w:type="dxa" w:w="23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≈+145%</w:t>
            </w:r>
          </w:p>
        </w:tc>
        <w:tc>
          <w:tcPr>
            <w:tcW w:type="dxa" w:w="34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Gamecard Holdings</w:t>
            </w:r>
          </w:p>
        </w:tc>
        <w:tc>
          <w:tcPr>
            <w:tcW w:type="dxa" w:w="13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6249 JP</w:t>
            </w:r>
          </w:p>
        </w:tc>
        <w:tc>
          <w:tcPr>
            <w:tcW w:type="dxa" w:w="23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≈+135%</w:t>
            </w:r>
          </w:p>
        </w:tc>
        <w:tc>
          <w:tcPr>
            <w:tcW w:type="dxa" w:w="34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Kamigumi</w:t>
            </w:r>
          </w:p>
        </w:tc>
        <w:tc>
          <w:tcPr>
            <w:tcW w:type="dxa" w:w="13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9364 JP</w:t>
            </w:r>
          </w:p>
        </w:tc>
        <w:tc>
          <w:tcPr>
            <w:tcW w:type="dxa" w:w="23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≈+130%</w:t>
            </w:r>
          </w:p>
        </w:tc>
        <w:tc>
          <w:tcPr>
            <w:tcW w:type="dxa" w:w="34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Obara Group</w:t>
            </w:r>
          </w:p>
        </w:tc>
        <w:tc>
          <w:tcPr>
            <w:tcW w:type="dxa" w:w="13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6877 JP</w:t>
            </w:r>
          </w:p>
        </w:tc>
        <w:tc>
          <w:tcPr>
            <w:tcW w:type="dxa" w:w="23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≈+115%</w:t>
            </w:r>
          </w:p>
        </w:tc>
        <w:tc>
          <w:tcPr>
            <w:tcW w:type="dxa" w:w="34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Hosokawa Micron</w:t>
            </w:r>
          </w:p>
        </w:tc>
        <w:tc>
          <w:tcPr>
            <w:tcW w:type="dxa" w:w="13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6277 JP</w:t>
            </w:r>
          </w:p>
        </w:tc>
        <w:tc>
          <w:tcPr>
            <w:tcW w:type="dxa" w:w="23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≈+115%</w:t>
            </w:r>
          </w:p>
        </w:tc>
        <w:tc>
          <w:tcPr>
            <w:tcW w:type="dxa" w:w="34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ASKA Pharmaceutical</w:t>
            </w:r>
          </w:p>
        </w:tc>
        <w:tc>
          <w:tcPr>
            <w:tcW w:type="dxa" w:w="13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4886 JP</w:t>
            </w:r>
          </w:p>
        </w:tc>
        <w:tc>
          <w:tcPr>
            <w:tcW w:type="dxa" w:w="23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≈+110%</w:t>
            </w:r>
          </w:p>
        </w:tc>
        <w:tc>
          <w:tcPr>
            <w:tcW w:type="dxa" w:w="34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Ebara Jitsugyo</w:t>
            </w:r>
          </w:p>
        </w:tc>
        <w:tc>
          <w:tcPr>
            <w:tcW w:type="dxa" w:w="13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6328 JP</w:t>
            </w:r>
          </w:p>
        </w:tc>
        <w:tc>
          <w:tcPr>
            <w:tcW w:type="dxa" w:w="23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≈+100%</w:t>
            </w:r>
          </w:p>
        </w:tc>
        <w:tc>
          <w:tcPr>
            <w:tcW w:type="dxa" w:w="34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Sakai Chemical</w:t>
            </w:r>
          </w:p>
        </w:tc>
        <w:tc>
          <w:tcPr>
            <w:tcW w:type="dxa" w:w="13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4078 JP</w:t>
            </w:r>
          </w:p>
        </w:tc>
        <w:tc>
          <w:tcPr>
            <w:tcW w:type="dxa" w:w="23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≈+100%</w:t>
            </w:r>
          </w:p>
        </w:tc>
        <w:tc>
          <w:tcPr>
            <w:tcW w:type="dxa" w:w="34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RS Technologies</w:t>
            </w:r>
          </w:p>
        </w:tc>
        <w:tc>
          <w:tcPr>
            <w:tcW w:type="dxa" w:w="13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3445 JP</w:t>
            </w:r>
          </w:p>
        </w:tc>
        <w:tc>
          <w:tcPr>
            <w:tcW w:type="dxa" w:w="23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≈+90%</w:t>
            </w:r>
          </w:p>
        </w:tc>
        <w:tc>
          <w:tcPr>
            <w:tcW w:type="dxa" w:w="34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V Technology</w:t>
            </w:r>
          </w:p>
        </w:tc>
        <w:tc>
          <w:tcPr>
            <w:tcW w:type="dxa" w:w="13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7717 JP</w:t>
            </w:r>
          </w:p>
        </w:tc>
        <w:tc>
          <w:tcPr>
            <w:tcW w:type="dxa" w:w="23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3y ≈+235%</w:t>
            </w:r>
          </w:p>
        </w:tc>
        <w:tc>
          <w:tcPr>
            <w:tcW w:type="dxa" w:w="34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Seria</w:t>
            </w:r>
          </w:p>
        </w:tc>
        <w:tc>
          <w:tcPr>
            <w:tcW w:type="dxa" w:w="13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2782 JP</w:t>
            </w:r>
          </w:p>
        </w:tc>
        <w:tc>
          <w:tcPr>
            <w:tcW w:type="dxa" w:w="23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3y ≈+100%</w:t>
            </w:r>
          </w:p>
        </w:tc>
        <w:tc>
          <w:tcPr>
            <w:tcW w:type="dxa" w:w="34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r>
        <w:trPr>
          <w:cantSplit/>
        </w:trPr>
        <w:tc>
          <w:tcPr>
            <w:tcW w:type="dxa" w:w="27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Tsurumi Manufacturing</w:t>
            </w:r>
          </w:p>
        </w:tc>
        <w:tc>
          <w:tcPr>
            <w:tcW w:type="dxa" w:w="13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6351 JP</w:t>
            </w:r>
          </w:p>
        </w:tc>
        <w:tc>
          <w:tcPr>
            <w:tcW w:type="dxa" w:w="23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TSR +214% vs peers +221%</w:t>
            </w:r>
          </w:p>
        </w:tc>
        <w:tc>
          <w:tcPr>
            <w:tcW w:type="dxa" w:w="34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Dalton already engaged</w:t>
            </w:r>
          </w:p>
        </w:tc>
      </w:tr>
      <w:tr>
        <w:trPr>
          <w:cantSplit/>
        </w:trPr>
        <w:tc>
          <w:tcPr>
            <w:tcW w:type="dxa" w:w="27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Fukuvi Chemical</w:t>
            </w:r>
          </w:p>
        </w:tc>
        <w:tc>
          <w:tcPr>
            <w:tcW w:type="dxa" w:w="13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7871 JP</w:t>
            </w:r>
          </w:p>
        </w:tc>
        <w:tc>
          <w:tcPr>
            <w:tcW w:type="dxa" w:w="23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≈+85%</w:t>
            </w:r>
          </w:p>
        </w:tc>
        <w:tc>
          <w:tcPr>
            <w:tcW w:type="dxa" w:w="34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Micro-cap (≈US$125m)</w:t>
            </w:r>
          </w:p>
        </w:tc>
      </w:tr>
      <w:tr>
        <w:trPr>
          <w:cantSplit/>
        </w:trPr>
        <w:tc>
          <w:tcPr>
            <w:tcW w:type="dxa" w:w="2705"/>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Imasen Electric</w:t>
            </w:r>
          </w:p>
        </w:tc>
        <w:tc>
          <w:tcPr>
            <w:tcW w:type="dxa" w:w="135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7266 JP</w:t>
            </w:r>
          </w:p>
        </w:tc>
        <w:tc>
          <w:tcPr>
            <w:tcW w:type="dxa" w:w="2364"/>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≈+50%, 3y ≈+65%</w:t>
            </w:r>
          </w:p>
        </w:tc>
        <w:tc>
          <w:tcPr>
            <w:tcW w:type="dxa" w:w="348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Micro-cap (≈US$125m); cheap but sub-scale</w:t>
            </w:r>
          </w:p>
        </w:tc>
      </w:tr>
      <w:tr>
        <w:trPr>
          <w:cantSplit/>
        </w:trPr>
        <w:tc>
          <w:tcPr>
            <w:tcW w:type="dxa" w:w="2705"/>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SNT Holdings</w:t>
            </w:r>
          </w:p>
        </w:tc>
        <w:tc>
          <w:tcPr>
            <w:tcW w:type="dxa" w:w="135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036530 KS</w:t>
            </w:r>
          </w:p>
        </w:tc>
        <w:tc>
          <w:tcPr>
            <w:tcW w:type="dxa" w:w="236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3y ≈+215%</w:t>
            </w:r>
          </w:p>
        </w:tc>
        <w:tc>
          <w:tcPr>
            <w:tcW w:type="dxa" w:w="34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p>
        </w:tc>
      </w:tr>
    </w:tbl>
    <w:p>
      <w:pPr>
        <w:spacing w:after="100"/>
      </w:pPr>
    </w:p>
    <w:p>
      <w:pPr>
        <w:spacing w:after="100" w:line="264"/>
      </w:pPr>
      <w:r>
        <w:rPr>
          <w:rFonts w:ascii="Calibri" w:cs="Calibri" w:eastAsia="Calibri" w:hAnsi="Calibri"/>
          <w:sz w:val="19"/>
          <w:szCs w:val="19"/>
        </w:rPr>
        <w:t xml:space="preserve">5-year figures marked ≈ in this table are screening indications from a total-return-adjusted price series, not the S&amp;P price-plus-dividend method used for the 20 dossiers.</w:t>
      </w:r>
    </w:p>
    <w:p>
      <w:pPr>
        <w:pStyle w:val="Heading3"/>
        <w:keepNext/>
        <w:spacing w:after="80" w:before="180"/>
      </w:pPr>
      <w:r>
        <w:rPr>
          <w:rFonts w:ascii="Calibri" w:cs="Calibri" w:eastAsia="Calibri" w:hAnsi="Calibri"/>
          <w:b/>
          <w:bCs/>
          <w:color w:val="2E75B6"/>
          <w:sz w:val="22"/>
          <w:szCs w:val="22"/>
        </w:rPr>
        <w:t xml:space="preserve">D. Not taken forward for other reasons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93"/>
        <w:gridCol w:w="1070"/>
        <w:gridCol w:w="5243"/>
      </w:tblGrid>
      <w:tr>
        <w:trPr>
          <w:cantSplit/>
          <w:tblHeader/>
        </w:trPr>
        <w:tc>
          <w:tcPr>
            <w:tcW w:type="dxa" w:w="359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Company</w:t>
            </w:r>
          </w:p>
        </w:tc>
        <w:tc>
          <w:tcPr>
            <w:tcW w:type="dxa" w:w="107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Ticker</w:t>
            </w:r>
          </w:p>
        </w:tc>
        <w:tc>
          <w:tcPr>
            <w:tcW w:type="dxa" w:w="5243"/>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Reason</w:t>
            </w:r>
          </w:p>
        </w:tc>
      </w:tr>
      <w:tr>
        <w:trPr>
          <w:cantSplit/>
        </w:trPr>
        <w:tc>
          <w:tcPr>
            <w:tcW w:type="dxa" w:w="359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Sanken Electric</w:t>
            </w:r>
          </w:p>
        </w:tc>
        <w:tc>
          <w:tcPr>
            <w:tcW w:type="dxa" w:w="107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6707 JP</w:t>
            </w:r>
          </w:p>
        </w:tc>
        <w:tc>
          <w:tcPr>
            <w:tcW w:type="dxa" w:w="52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Loss-making (LTM EBIT margin −8%); leverage not meaningful</w:t>
            </w:r>
          </w:p>
        </w:tc>
      </w:tr>
      <w:tr>
        <w:trPr>
          <w:cantSplit/>
        </w:trPr>
        <w:tc>
          <w:tcPr>
            <w:tcW w:type="dxa" w:w="359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SHIFT</w:t>
            </w:r>
          </w:p>
        </w:tc>
        <w:tc>
          <w:tcPr>
            <w:tcW w:type="dxa" w:w="107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3697 JP</w:t>
            </w:r>
          </w:p>
        </w:tc>
        <w:tc>
          <w:tcPr>
            <w:tcW w:type="dxa" w:w="52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Founder-led growth company; not a value/activist profile</w:t>
            </w:r>
          </w:p>
        </w:tc>
      </w:tr>
      <w:tr>
        <w:trPr>
          <w:cantSplit/>
        </w:trPr>
        <w:tc>
          <w:tcPr>
            <w:tcW w:type="dxa" w:w="359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Appier Group</w:t>
            </w:r>
          </w:p>
        </w:tc>
        <w:tc>
          <w:tcPr>
            <w:tcW w:type="dxa" w:w="107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4180 JP</w:t>
            </w:r>
          </w:p>
        </w:tc>
        <w:tc>
          <w:tcPr>
            <w:tcW w:type="dxa" w:w="52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Founder-led growth company; not a value/activist profile</w:t>
            </w:r>
          </w:p>
        </w:tc>
      </w:tr>
      <w:tr>
        <w:trPr>
          <w:cantSplit/>
        </w:trPr>
        <w:tc>
          <w:tcPr>
            <w:tcW w:type="dxa" w:w="359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JSP</w:t>
            </w:r>
          </w:p>
        </w:tc>
        <w:tc>
          <w:tcPr>
            <w:tcW w:type="dxa" w:w="107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7942 JP</w:t>
            </w:r>
          </w:p>
        </w:tc>
        <w:tc>
          <w:tcPr>
            <w:tcW w:type="dxa" w:w="52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Listed affiliate of Mitsubishi Gas Chemical; parent stake not verified in this pass</w:t>
            </w:r>
          </w:p>
        </w:tc>
      </w:tr>
      <w:tr>
        <w:trPr>
          <w:cantSplit/>
        </w:trPr>
        <w:tc>
          <w:tcPr>
            <w:tcW w:type="dxa" w:w="359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Kabuki-za</w:t>
            </w:r>
          </w:p>
        </w:tc>
        <w:tc>
          <w:tcPr>
            <w:tcW w:type="dxa" w:w="107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9661 JP</w:t>
            </w:r>
          </w:p>
        </w:tc>
        <w:tc>
          <w:tcPr>
            <w:tcW w:type="dxa" w:w="52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Shochiku-related; tiny revenue base (¥3.7bn)</w:t>
            </w:r>
          </w:p>
        </w:tc>
      </w:tr>
      <w:tr>
        <w:trPr>
          <w:cantSplit/>
        </w:trPr>
        <w:tc>
          <w:tcPr>
            <w:tcW w:type="dxa" w:w="359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Fudo Tetra</w:t>
            </w:r>
          </w:p>
        </w:tc>
        <w:tc>
          <w:tcPr>
            <w:tcW w:type="dxa" w:w="107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1813 JP</w:t>
            </w:r>
          </w:p>
        </w:tc>
        <w:tc>
          <w:tcPr>
            <w:tcW w:type="dxa" w:w="52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Passes leverage (−0.2x) but was not prioritised; candidate for a second pass</w:t>
            </w:r>
          </w:p>
        </w:tc>
      </w:tr>
      <w:tr>
        <w:trPr>
          <w:cantSplit/>
        </w:trPr>
        <w:tc>
          <w:tcPr>
            <w:tcW w:type="dxa" w:w="359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Aoyama Zaisan Networks, Helios Techno</w:t>
            </w:r>
          </w:p>
        </w:tc>
        <w:tc>
          <w:tcPr>
            <w:tcW w:type="dxa" w:w="107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8929 JP, 6927 JP</w:t>
            </w:r>
          </w:p>
        </w:tc>
        <w:tc>
          <w:tcPr>
            <w:tcW w:type="dxa" w:w="5243"/>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Micro-caps (≈US$110–200m); liquidity too thin for a campaign</w:t>
            </w:r>
          </w:p>
        </w:tc>
      </w:tr>
      <w:tr>
        <w:trPr>
          <w:cantSplit/>
        </w:trPr>
        <w:tc>
          <w:tcPr>
            <w:tcW w:type="dxa" w:w="359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Motonic, SYTS, Eusu Holdings, KPX Chemical, Kukbo Design, Daewon San Up, Iljin Holdings</w:t>
            </w:r>
          </w:p>
        </w:tc>
        <w:tc>
          <w:tcPr>
            <w:tcW w:type="dxa" w:w="107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various KS</w:t>
            </w:r>
          </w:p>
        </w:tc>
        <w:tc>
          <w:tcPr>
            <w:tcW w:type="dxa" w:w="5243"/>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Korean small caps with large TSR gaps vs KOSPI 200, but family or holding-company control is typical. Registers were </w:t>
            </w:r>
            <w:r>
              <w:rPr>
                <w:rFonts w:ascii="Calibri" w:cs="Calibri" w:eastAsia="Calibri" w:hAnsi="Calibri"/>
                <w:b/>
                <w:bCs/>
                <w:sz w:val="16"/>
                <w:szCs w:val="16"/>
              </w:rPr>
              <w:t xml:space="preserve">not</w:t>
            </w:r>
            <w:r>
              <w:rPr>
                <w:rFonts w:ascii="Calibri" w:cs="Calibri" w:eastAsia="Calibri" w:hAnsi="Calibri"/>
                <w:sz w:val="16"/>
                <w:szCs w:val="16"/>
              </w:rPr>
              <w:t xml:space="preserve"> verified in this pass; check DART before dismissing.</w:t>
            </w:r>
          </w:p>
        </w:tc>
      </w:tr>
    </w:tbl>
    <w:p>
      <w:pPr>
        <w:spacing w:after="100"/>
      </w:pPr>
    </w:p>
    <w:p>
      <w:pPr>
        <w:pStyle w:val="Heading3"/>
        <w:keepNext/>
        <w:spacing w:after="80" w:before="180"/>
      </w:pPr>
      <w:r>
        <w:rPr>
          <w:rFonts w:ascii="Calibri" w:cs="Calibri" w:eastAsia="Calibri" w:hAnsi="Calibri"/>
          <w:b/>
          <w:bCs/>
          <w:color w:val="2E75B6"/>
          <w:sz w:val="22"/>
          <w:szCs w:val="22"/>
        </w:rPr>
        <w:t xml:space="preserve">E. Monitor list — near-misses that could enter the 20 on a change of facts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2"/>
        <w:gridCol w:w="517"/>
        <w:gridCol w:w="4107"/>
        <w:gridCol w:w="4110"/>
      </w:tblGrid>
      <w:tr>
        <w:trPr>
          <w:cantSplit/>
          <w:tblHeader/>
        </w:trPr>
        <w:tc>
          <w:tcPr>
            <w:tcW w:type="dxa" w:w="117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Company</w:t>
            </w:r>
          </w:p>
        </w:tc>
        <w:tc>
          <w:tcPr>
            <w:tcW w:type="dxa" w:w="51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Ticker</w:t>
            </w:r>
          </w:p>
        </w:tc>
        <w:tc>
          <w:tcPr>
            <w:tcW w:type="dxa" w:w="4107"/>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Why it is close</w:t>
            </w:r>
          </w:p>
        </w:tc>
        <w:tc>
          <w:tcPr>
            <w:tcW w:type="dxa" w:w="411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0" w:before="0"/>
              <w:jc w:val="left"/>
            </w:pPr>
            <w:r>
              <w:rPr>
                <w:rFonts w:ascii="Calibri" w:cs="Calibri" w:eastAsia="Calibri" w:hAnsi="Calibri"/>
                <w:b/>
                <w:bCs/>
                <w:color w:val="FFFFFF"/>
                <w:sz w:val="16"/>
                <w:szCs w:val="16"/>
              </w:rPr>
              <w:t xml:space="preserve">What would move it in</w:t>
            </w:r>
          </w:p>
        </w:tc>
      </w:tr>
      <w:tr>
        <w:trPr>
          <w:cantSplit/>
        </w:trPr>
        <w:tc>
          <w:tcPr>
            <w:tcW w:type="dxa" w:w="117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Toho Holdings</w:t>
            </w:r>
          </w:p>
        </w:tc>
        <w:tc>
          <w:tcPr>
            <w:tcW w:type="dxa" w:w="5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8129 JP</w:t>
            </w:r>
          </w:p>
        </w:tc>
        <w:tc>
          <w:tcPr>
            <w:tcW w:type="dxa" w:w="410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3D Investment Partners holds about 24%. The Tokyo District Court enjoined Toho's poison pill on 18-Sep-2026, and Toho's objection is pending. Net cash plus securities equal about 66% of market cap.</w:t>
            </w:r>
          </w:p>
        </w:tc>
        <w:tc>
          <w:tcPr>
            <w:tcW w:type="dxa" w:w="411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It fails the 5-year TSR test (+130% vs a +64% peer median). It is a live special situation better approached as a co-investment.</w:t>
            </w:r>
          </w:p>
        </w:tc>
      </w:tr>
      <w:tr>
        <w:trPr>
          <w:cantSplit/>
        </w:trPr>
        <w:tc>
          <w:tcPr>
            <w:tcW w:type="dxa" w:w="117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Tokyotokeiba</w:t>
            </w:r>
          </w:p>
        </w:tc>
        <w:tc>
          <w:tcPr>
            <w:tcW w:type="dxa" w:w="5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9672 JP</w:t>
            </w:r>
          </w:p>
        </w:tc>
        <w:tc>
          <w:tcPr>
            <w:tcW w:type="dxa" w:w="410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37% EBIT margin, 7.6x EV/EBIT, and a ¥160bn racecourse redevelopment (1.3x market cap) approved Sep-2026</w:t>
            </w:r>
          </w:p>
        </w:tc>
        <w:tc>
          <w:tcPr>
            <w:tcW w:type="dxa" w:w="411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Three public bodies hold 45.6% ex-treasury, so support is impractical unless the Tokyo Metropolitan Government engages.</w:t>
            </w:r>
          </w:p>
        </w:tc>
      </w:tr>
      <w:tr>
        <w:trPr>
          <w:cantSplit/>
        </w:trPr>
        <w:tc>
          <w:tcPr>
            <w:tcW w:type="dxa" w:w="117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Seiko Epson</w:t>
            </w:r>
          </w:p>
        </w:tc>
        <w:tc>
          <w:tcPr>
            <w:tcW w:type="dxa" w:w="5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6724 JP</w:t>
            </w:r>
          </w:p>
        </w:tc>
        <w:tc>
          <w:tcPr>
            <w:tcW w:type="dxa" w:w="410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Margin gap remains</w:t>
            </w:r>
          </w:p>
        </w:tc>
        <w:tc>
          <w:tcPr>
            <w:tcW w:type="dxa" w:w="411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Re-rated by +80% in a year on its new capital policy</w:t>
            </w:r>
          </w:p>
        </w:tc>
      </w:tr>
      <w:tr>
        <w:trPr>
          <w:cantSplit/>
        </w:trPr>
        <w:tc>
          <w:tcPr>
            <w:tcW w:type="dxa" w:w="117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MatsukiyoCocokara</w:t>
            </w:r>
          </w:p>
        </w:tc>
        <w:tc>
          <w:tcPr>
            <w:tcW w:type="dxa" w:w="5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3088 JP</w:t>
            </w:r>
          </w:p>
        </w:tc>
        <w:tc>
          <w:tcPr>
            <w:tcW w:type="dxa" w:w="410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Flat 3-year TSR; 35.7% payout vs its own 50% target</w:t>
            </w:r>
          </w:p>
        </w:tc>
        <w:tc>
          <w:tcPr>
            <w:tcW w:type="dxa" w:w="411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Ahead of drugstore peers over 5 years; the best operator in its peer set</w:t>
            </w:r>
          </w:p>
        </w:tc>
      </w:tr>
      <w:tr>
        <w:trPr>
          <w:cantSplit/>
        </w:trPr>
        <w:tc>
          <w:tcPr>
            <w:tcW w:type="dxa" w:w="117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Mirai Industry</w:t>
            </w:r>
          </w:p>
        </w:tc>
        <w:tc>
          <w:tcPr>
            <w:tcW w:type="dxa" w:w="5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7931 JP</w:t>
            </w:r>
          </w:p>
        </w:tc>
        <w:tc>
          <w:tcPr>
            <w:tcW w:type="dxa" w:w="410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b/>
                <w:bCs/>
                <w:sz w:val="16"/>
                <w:szCs w:val="16"/>
              </w:rPr>
              <w:t xml:space="preserve">Treasury shares are 32.8% of issued and uncancelled.</w:t>
            </w:r>
            <w:r>
              <w:rPr>
                <w:rFonts w:ascii="Calibri" w:cs="Calibri" w:eastAsia="Calibri" w:hAnsi="Calibri"/>
                <w:sz w:val="16"/>
                <w:szCs w:val="16"/>
              </w:rPr>
              <w:t xml:space="preserve"> Cash is about 51% of market cap; 3-year TSR is +13% vs +42% for peers.</w:t>
            </w:r>
          </w:p>
        </w:tc>
        <w:tc>
          <w:tcPr>
            <w:tcW w:type="dxa" w:w="411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5-year TSR is ahead of peers, and an insider-friendly bloc of about 42% makes votes hard.</w:t>
            </w:r>
          </w:p>
        </w:tc>
      </w:tr>
      <w:tr>
        <w:trPr>
          <w:cantSplit/>
        </w:trPr>
        <w:tc>
          <w:tcPr>
            <w:tcW w:type="dxa" w:w="117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Katakura Industries</w:t>
            </w:r>
          </w:p>
        </w:tc>
        <w:tc>
          <w:tcPr>
            <w:tcW w:type="dxa" w:w="5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3001 JP</w:t>
            </w:r>
          </w:p>
        </w:tc>
        <w:tc>
          <w:tcPr>
            <w:tcW w:type="dxa" w:w="410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Real-estate-rich, net cash</w:t>
            </w:r>
          </w:p>
        </w:tc>
        <w:tc>
          <w:tcPr>
            <w:tcW w:type="dxa" w:w="411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TSR gap narrowing</w:t>
            </w:r>
          </w:p>
        </w:tc>
      </w:tr>
      <w:tr>
        <w:trPr>
          <w:cantSplit/>
        </w:trPr>
        <w:tc>
          <w:tcPr>
            <w:tcW w:type="dxa" w:w="117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The Pack</w:t>
            </w:r>
          </w:p>
        </w:tc>
        <w:tc>
          <w:tcPr>
            <w:tcW w:type="dxa" w:w="51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3950 JP</w:t>
            </w:r>
          </w:p>
        </w:tc>
        <w:tc>
          <w:tcPr>
            <w:tcW w:type="dxa" w:w="4107"/>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NAVF holds 10.8% (doubled in H1-2026). TSR trails peers by 53pp over 3 years and 59pp over 5 years.</w:t>
            </w:r>
          </w:p>
        </w:tc>
        <w:tc>
          <w:tcPr>
            <w:tcW w:type="dxa" w:w="411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Management has pre-empted the case with a 70% total payout and a P/B &gt; 1 priority.</w:t>
            </w:r>
          </w:p>
        </w:tc>
      </w:tr>
      <w:tr>
        <w:trPr>
          <w:cantSplit/>
        </w:trPr>
        <w:tc>
          <w:tcPr>
            <w:tcW w:type="dxa" w:w="1172"/>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Nakayama Steel Works</w:t>
            </w:r>
          </w:p>
        </w:tc>
        <w:tc>
          <w:tcPr>
            <w:tcW w:type="dxa" w:w="51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5408 JP</w:t>
            </w:r>
          </w:p>
        </w:tc>
        <w:tc>
          <w:tcPr>
            <w:tcW w:type="dxa" w:w="4107"/>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0.3x book, net cash, 3-year TSR −18%</w:t>
            </w:r>
          </w:p>
        </w:tc>
        <w:tc>
          <w:tcPr>
            <w:tcW w:type="dxa" w:w="4110"/>
            <w:tcBorders>
              <w:top w:val="single" w:color="BFBFBF" w:sz="4"/>
              <w:left w:val="single" w:color="BFBFBF" w:sz="4"/>
              <w:bottom w:val="single" w:color="BFBFBF" w:sz="4"/>
              <w:right w:val="single" w:color="BFBFBF" w:sz="4"/>
            </w:tcBorders>
            <w:shd w:fill="F2F5FA" w:color="auto" w:val="clear"/>
            <w:tcMar>
              <w:top w:type="dxa" w:w="40"/>
              <w:left w:type="dxa" w:w="70"/>
              <w:bottom w:type="dxa" w:w="40"/>
              <w:right w:type="dxa" w:w="70"/>
            </w:tcMar>
            <w:vAlign w:val="center"/>
          </w:tcPr>
          <w:p>
            <w:pPr>
              <w:spacing w:after="0" w:before="0"/>
              <w:jc w:val="left"/>
            </w:pPr>
            <w:r>
              <w:rPr>
                <w:rFonts w:ascii="Calibri" w:cs="Calibri" w:eastAsia="Calibri" w:hAnsi="Calibri"/>
                <w:sz w:val="16"/>
                <w:szCs w:val="16"/>
              </w:rPr>
              <w:t xml:space="preserve">A Hanwa/YODOKO placement takes business partners to ≈46%, and a 20%-trigger takeover defence is in place.</w:t>
            </w:r>
          </w:p>
        </w:tc>
      </w:tr>
    </w:tbl>
    <w:p>
      <w:pPr>
        <w:spacing w:after="100"/>
      </w:pPr>
    </w:p>
    <w:p>
      <w:pPr>
        <w:pStyle w:val="Heading3"/>
        <w:keepNext/>
        <w:spacing w:after="80" w:before="180"/>
      </w:pPr>
      <w:r>
        <w:rPr>
          <w:rFonts w:ascii="Calibri" w:cs="Calibri" w:eastAsia="Calibri" w:hAnsi="Calibri"/>
          <w:b/>
          <w:bCs/>
          <w:color w:val="2E75B6"/>
          <w:sz w:val="22"/>
          <w:szCs w:val="22"/>
        </w:rPr>
        <w:t xml:space="preserve">F. Data notes and sources</w:t>
      </w:r>
    </w:p>
    <w:p>
      <w:pPr>
        <w:pStyle w:val="ListParagraph"/>
        <w:numPr>
          <w:ilvl w:val="0"/>
          <w:numId w:val="2"/>
        </w:numPr>
        <w:spacing w:after="50" w:line="252"/>
      </w:pPr>
      <w:r>
        <w:rPr>
          <w:rFonts w:ascii="Calibri" w:cs="Calibri" w:eastAsia="Calibri" w:hAnsi="Calibri"/>
          <w:b/>
          <w:bCs/>
          <w:sz w:val="19"/>
          <w:szCs w:val="19"/>
        </w:rPr>
        <w:t xml:space="preserve">Market data and financials:</w:t>
      </w:r>
      <w:r>
        <w:rPr>
          <w:rFonts w:ascii="Calibri" w:cs="Calibri" w:eastAsia="Calibri" w:hAnsi="Calibri"/>
          <w:sz w:val="19"/>
          <w:szCs w:val="19"/>
        </w:rPr>
        <w:t xml:space="preserve"> S&amp;P Capital IQ (via S&amp;P Global Adaptive Retrieval and the deterministic financial API), pulled 15-Oct-2026.</w:t>
      </w:r>
    </w:p>
    <w:p>
      <w:pPr>
        <w:pStyle w:val="ListParagraph"/>
        <w:numPr>
          <w:ilvl w:val="1"/>
          <w:numId w:val="2"/>
        </w:numPr>
        <w:spacing w:after="50" w:line="252"/>
      </w:pPr>
      <w:r>
        <w:rPr>
          <w:rFonts w:ascii="Calibri" w:cs="Calibri" w:eastAsia="Calibri" w:hAnsi="Calibri"/>
          <w:sz w:val="19"/>
          <w:szCs w:val="19"/>
        </w:rPr>
        <w:t xml:space="preserve">LTM to 30-Jun-2026 unless stated.</w:t>
      </w:r>
    </w:p>
    <w:p>
      <w:pPr>
        <w:pStyle w:val="ListParagraph"/>
        <w:numPr>
          <w:ilvl w:val="1"/>
          <w:numId w:val="2"/>
        </w:numPr>
        <w:spacing w:after="50" w:line="252"/>
      </w:pPr>
      <w:r>
        <w:rPr>
          <w:rFonts w:ascii="Calibri" w:cs="Calibri" w:eastAsia="Calibri" w:hAnsi="Calibri"/>
          <w:sz w:val="19"/>
          <w:szCs w:val="19"/>
        </w:rPr>
        <w:t xml:space="preserve">FCF for several Japanese companies uses the latest fiscal-year cash flow, because quarterly cash flows are not published.</w:t>
      </w:r>
    </w:p>
    <w:p>
      <w:pPr>
        <w:pStyle w:val="ListParagraph"/>
        <w:numPr>
          <w:ilvl w:val="1"/>
          <w:numId w:val="2"/>
        </w:numPr>
        <w:spacing w:after="50" w:line="252"/>
      </w:pPr>
      <w:r>
        <w:rPr>
          <w:rFonts w:ascii="Calibri" w:cs="Calibri" w:eastAsia="Calibri" w:hAnsi="Calibri"/>
          <w:sz w:val="19"/>
          <w:szCs w:val="19"/>
        </w:rPr>
        <w:t xml:space="preserve">FX: ¥158/US$ and ₩1,410/US$.</w:t>
      </w:r>
    </w:p>
    <w:p>
      <w:pPr>
        <w:pStyle w:val="ListParagraph"/>
        <w:numPr>
          <w:ilvl w:val="0"/>
          <w:numId w:val="2"/>
        </w:numPr>
        <w:spacing w:after="50" w:line="252"/>
      </w:pPr>
      <w:r>
        <w:rPr>
          <w:rFonts w:ascii="Calibri" w:cs="Calibri" w:eastAsia="Calibri" w:hAnsi="Calibri"/>
          <w:b/>
          <w:bCs/>
          <w:sz w:val="19"/>
          <w:szCs w:val="19"/>
        </w:rPr>
        <w:t xml:space="preserve">TSR method:</w:t>
      </w:r>
      <w:r>
        <w:rPr>
          <w:rFonts w:ascii="Calibri" w:cs="Calibri" w:eastAsia="Calibri" w:hAnsi="Calibri"/>
          <w:sz w:val="19"/>
          <w:szCs w:val="19"/>
        </w:rPr>
        <w:t xml:space="preserve"> split-adjusted closes on four fixed dates plus fiscal-year DPS in the window, with no reinvestment.</w:t>
      </w:r>
    </w:p>
    <w:p>
      <w:pPr>
        <w:pStyle w:val="ListParagraph"/>
        <w:numPr>
          <w:ilvl w:val="1"/>
          <w:numId w:val="2"/>
        </w:numPr>
        <w:spacing w:after="50" w:line="252"/>
      </w:pPr>
      <w:r>
        <w:rPr>
          <w:rFonts w:ascii="Calibri" w:cs="Calibri" w:eastAsia="Calibri" w:hAnsi="Calibri"/>
          <w:sz w:val="19"/>
          <w:szCs w:val="19"/>
        </w:rPr>
        <w:t xml:space="preserve">Peer medians use the same method.</w:t>
      </w:r>
    </w:p>
    <w:p>
      <w:pPr>
        <w:pStyle w:val="ListParagraph"/>
        <w:numPr>
          <w:ilvl w:val="1"/>
          <w:numId w:val="2"/>
        </w:numPr>
        <w:spacing w:after="50" w:line="252"/>
      </w:pPr>
      <w:r>
        <w:rPr>
          <w:rFonts w:ascii="Calibri" w:cs="Calibri" w:eastAsia="Calibri" w:hAnsi="Calibri"/>
          <w:sz w:val="19"/>
          <w:szCs w:val="19"/>
        </w:rPr>
        <w:t xml:space="preserve">Sector-index (NEXT FUNDS TOPIX-17 ETF), TOPIX (ETF 1306) and KOSPI 200 (KODEX 200) comparisons are price-only. This understates the target's underperformance by roughly 2 percentage points a year, so it is a conservative comparison.</w:t>
      </w:r>
    </w:p>
    <w:p>
      <w:pPr>
        <w:pStyle w:val="ListParagraph"/>
        <w:numPr>
          <w:ilvl w:val="1"/>
          <w:numId w:val="2"/>
        </w:numPr>
        <w:spacing w:after="50" w:line="252"/>
      </w:pPr>
      <w:r>
        <w:rPr>
          <w:rFonts w:ascii="Calibri" w:cs="Calibri" w:eastAsia="Calibri" w:hAnsi="Calibri"/>
          <w:sz w:val="19"/>
          <w:szCs w:val="19"/>
        </w:rPr>
        <w:t xml:space="preserve">Pronto price history was used only for first-pass triage (sections C and E), because part of its history is dividend-adjusted.</w:t>
      </w:r>
    </w:p>
    <w:p>
      <w:pPr>
        <w:pStyle w:val="ListParagraph"/>
        <w:numPr>
          <w:ilvl w:val="0"/>
          <w:numId w:val="2"/>
        </w:numPr>
        <w:spacing w:after="50" w:line="252"/>
      </w:pPr>
      <w:r>
        <w:rPr>
          <w:rFonts w:ascii="Calibri" w:cs="Calibri" w:eastAsia="Calibri" w:hAnsi="Calibri"/>
          <w:b/>
          <w:bCs/>
          <w:sz w:val="19"/>
          <w:szCs w:val="19"/>
        </w:rPr>
        <w:t xml:space="preserve">Ownership:</w:t>
      </w:r>
    </w:p>
    <w:p>
      <w:pPr>
        <w:pStyle w:val="ListParagraph"/>
        <w:numPr>
          <w:ilvl w:val="1"/>
          <w:numId w:val="2"/>
        </w:numPr>
        <w:spacing w:after="50" w:line="252"/>
      </w:pPr>
      <w:r>
        <w:rPr>
          <w:rFonts w:ascii="Calibri" w:cs="Calibri" w:eastAsia="Calibri" w:hAnsi="Calibri"/>
          <w:sz w:val="19"/>
          <w:szCs w:val="19"/>
        </w:rPr>
        <w:t xml:space="preserve">Japan: latest annual securities report (有価証券報告書), large-holding reports and company IR.</w:t>
      </w:r>
    </w:p>
    <w:p>
      <w:pPr>
        <w:pStyle w:val="ListParagraph"/>
        <w:numPr>
          <w:ilvl w:val="1"/>
          <w:numId w:val="2"/>
        </w:numPr>
        <w:spacing w:after="50" w:line="252"/>
      </w:pPr>
      <w:r>
        <w:rPr>
          <w:rFonts w:ascii="Calibri" w:cs="Calibri" w:eastAsia="Calibri" w:hAnsi="Calibri"/>
          <w:sz w:val="19"/>
          <w:szCs w:val="19"/>
        </w:rPr>
        <w:t xml:space="preserve">Korea: DART and press summaries of filings.</w:t>
      </w:r>
    </w:p>
    <w:p>
      <w:pPr>
        <w:pStyle w:val="ListParagraph"/>
        <w:numPr>
          <w:ilvl w:val="1"/>
          <w:numId w:val="2"/>
        </w:numPr>
        <w:spacing w:after="50" w:line="252"/>
      </w:pPr>
      <w:r>
        <w:rPr>
          <w:rFonts w:ascii="Calibri" w:cs="Calibri" w:eastAsia="Calibri" w:hAnsi="Calibri"/>
          <w:sz w:val="19"/>
          <w:szCs w:val="19"/>
        </w:rPr>
        <w:t xml:space="preserve">Percentages are generally of shares outstanding excluding treasury, and dates differ by company (stated in each dossier).</w:t>
      </w:r>
    </w:p>
    <w:p>
      <w:pPr>
        <w:pStyle w:val="ListParagraph"/>
        <w:numPr>
          <w:ilvl w:val="1"/>
          <w:numId w:val="2"/>
        </w:numPr>
        <w:spacing w:after="50" w:line="252"/>
      </w:pPr>
      <w:r>
        <w:rPr>
          <w:rFonts w:ascii="Calibri" w:cs="Calibri" w:eastAsia="Calibri" w:hAnsi="Calibri"/>
          <w:sz w:val="19"/>
          <w:szCs w:val="19"/>
        </w:rPr>
        <w:t xml:space="preserve">Custody accounts (Master Trust, Custody Bank, State Street and JPMorgan nominees) aggregate many beneficial owners and are not controlling holders.</w:t>
      </w:r>
    </w:p>
    <w:p>
      <w:pPr>
        <w:pStyle w:val="ListParagraph"/>
        <w:numPr>
          <w:ilvl w:val="0"/>
          <w:numId w:val="2"/>
        </w:numPr>
        <w:spacing w:after="50" w:line="252"/>
      </w:pPr>
      <w:r>
        <w:rPr>
          <w:rFonts w:ascii="Calibri" w:cs="Calibri" w:eastAsia="Calibri" w:hAnsi="Calibri"/>
          <w:b/>
          <w:bCs/>
          <w:sz w:val="19"/>
          <w:szCs w:val="19"/>
        </w:rPr>
        <w:t xml:space="preserve">Filings and transcripts:</w:t>
      </w:r>
      <w:r>
        <w:rPr>
          <w:rFonts w:ascii="Calibri" w:cs="Calibri" w:eastAsia="Calibri" w:hAnsi="Calibri"/>
          <w:sz w:val="19"/>
          <w:szCs w:val="19"/>
        </w:rPr>
        <w:t xml:space="preserve"> ProntoNLP-indexed annual reports, tanshin and earnings calls, cited in the working files.</w:t>
      </w:r>
    </w:p>
    <w:p>
      <w:pPr>
        <w:pStyle w:val="ListParagraph"/>
        <w:numPr>
          <w:ilvl w:val="0"/>
          <w:numId w:val="2"/>
        </w:numPr>
        <w:spacing w:after="50" w:line="252"/>
      </w:pPr>
      <w:r>
        <w:rPr>
          <w:rFonts w:ascii="Calibri" w:cs="Calibri" w:eastAsia="Calibri" w:hAnsi="Calibri"/>
          <w:b/>
          <w:bCs/>
          <w:sz w:val="19"/>
          <w:szCs w:val="19"/>
        </w:rPr>
        <w:t xml:space="preserve">Web sources:</w:t>
      </w:r>
      <w:r>
        <w:rPr>
          <w:rFonts w:ascii="Calibri" w:cs="Calibri" w:eastAsia="Calibri" w:hAnsi="Calibri"/>
          <w:sz w:val="19"/>
          <w:szCs w:val="19"/>
        </w:rPr>
        <w:t xml:space="preserve"> web data were taken from search-engine extracts of the cited pages. Direct page retrieval was unavailable in this environment, so several AGM vote percentages and registers are marked n/a and should be confirmed from primary filings before any approach.</w:t>
      </w:r>
    </w:p>
    <w:p>
      <w:pPr>
        <w:pStyle w:val="ListParagraph"/>
        <w:numPr>
          <w:ilvl w:val="0"/>
          <w:numId w:val="2"/>
        </w:numPr>
        <w:spacing w:after="50" w:line="252"/>
      </w:pPr>
      <w:r>
        <w:rPr>
          <w:rFonts w:ascii="Calibri" w:cs="Calibri" w:eastAsia="Calibri" w:hAnsi="Calibri"/>
          <w:b/>
          <w:bCs/>
          <w:sz w:val="19"/>
          <w:szCs w:val="19"/>
        </w:rPr>
        <w:t xml:space="preserve">Defences</w:t>
      </w:r>
      <w:r>
        <w:rPr>
          <w:rFonts w:ascii="Calibri" w:cs="Calibri" w:eastAsia="Calibri" w:hAnsi="Calibri"/>
          <w:sz w:val="19"/>
          <w:szCs w:val="19"/>
        </w:rPr>
        <w:t xml:space="preserve"> are inference based on company statements and plans, not quotations unless marked.</w:t>
      </w:r>
    </w:p>
    <w:p>
      <w:pPr>
        <w:pStyle w:val="ListParagraph"/>
        <w:numPr>
          <w:ilvl w:val="0"/>
          <w:numId w:val="2"/>
        </w:numPr>
        <w:spacing w:after="50" w:line="252"/>
      </w:pPr>
      <w:r>
        <w:rPr>
          <w:rFonts w:ascii="Calibri" w:cs="Calibri" w:eastAsia="Calibri" w:hAnsi="Calibri"/>
          <w:b/>
          <w:bCs/>
          <w:sz w:val="19"/>
          <w:szCs w:val="19"/>
        </w:rPr>
        <w:t xml:space="preserve">Regulatory context:</w:t>
      </w:r>
    </w:p>
    <w:p>
      <w:pPr>
        <w:pStyle w:val="ListParagraph"/>
        <w:numPr>
          <w:ilvl w:val="1"/>
          <w:numId w:val="2"/>
        </w:numPr>
        <w:spacing w:after="50" w:line="252"/>
      </w:pPr>
      <w:r>
        <w:rPr>
          <w:rFonts w:ascii="Calibri" w:cs="Calibri" w:eastAsia="Calibri" w:hAnsi="Calibri"/>
          <w:sz w:val="19"/>
          <w:szCs w:val="19"/>
        </w:rPr>
        <w:t xml:space="preserve">Korea's third Commercial Act amendment (passed 25-Feb-2026, effective 6-Mar-2026) requires newly acquired treasury shares to be cancelled within one year as a general rule.</w:t>
      </w:r>
    </w:p>
    <w:p>
      <w:pPr>
        <w:pStyle w:val="ListParagraph"/>
        <w:numPr>
          <w:ilvl w:val="1"/>
          <w:numId w:val="2"/>
        </w:numPr>
        <w:spacing w:after="50" w:line="252"/>
      </w:pPr>
      <w:r>
        <w:rPr>
          <w:rFonts w:ascii="Calibri" w:cs="Calibri" w:eastAsia="Calibri" w:hAnsi="Calibri"/>
          <w:sz w:val="19"/>
          <w:szCs w:val="19"/>
        </w:rPr>
        <w:t xml:space="preserve">Cumulative voting became mandatory for listed companies with assets above ₩2tn under the August-2025 amendment.</w:t>
      </w:r>
    </w:p>
    <w:p>
      <w:pPr>
        <w:pStyle w:val="ListParagraph"/>
        <w:numPr>
          <w:ilvl w:val="1"/>
          <w:numId w:val="2"/>
        </w:numPr>
        <w:spacing w:after="50" w:line="252"/>
      </w:pPr>
      <w:r>
        <w:rPr>
          <w:rFonts w:ascii="Calibri" w:cs="Calibri" w:eastAsia="Calibri" w:hAnsi="Calibri"/>
          <w:sz w:val="19"/>
          <w:szCs w:val="19"/>
        </w:rPr>
        <w:t xml:space="preserve">Japan's June-2026 AGM season saw shareholder proposals at 106 companies (White &amp; Case count).</w:t>
      </w:r>
    </w:p>
    <w:p>
      <w:pPr>
        <w:pStyle w:val="ListParagraph"/>
        <w:numPr>
          <w:ilvl w:val="1"/>
          <w:numId w:val="2"/>
        </w:numPr>
        <w:spacing w:after="50" w:line="252"/>
      </w:pPr>
      <w:r>
        <w:rPr>
          <w:rFonts w:ascii="Calibri" w:cs="Calibri" w:eastAsia="Calibri" w:hAnsi="Calibri"/>
          <w:sz w:val="19"/>
          <w:szCs w:val="19"/>
        </w:rPr>
        <w:t xml:space="preserve">ISS's Japan policy recommends against the top executive where cross-shareholdings are 20% or more of net assets.</w:t>
      </w:r>
    </w:p>
    <w:p>
      <w:pPr>
        <w:spacing w:after="100" w:line="264"/>
      </w:pPr>
      <w:r>
        <w:rPr>
          <w:rFonts w:ascii="Calibri" w:cs="Calibri" w:eastAsia="Calibri" w:hAnsi="Calibri"/>
          <w:i/>
          <w:iCs/>
          <w:sz w:val="19"/>
          <w:szCs w:val="19"/>
        </w:rPr>
        <w:t xml:space="preserve">This document is for internal discussion only. It is not investment advice and does not constitute an offer or solicitation. Figures are indicative and should be refreshed from primary sources before any capital is committed or any approach is made.</w:t>
      </w:r>
    </w:p>
    <w:sectPr>
      <w:headerReference w:type="default" r:id="rId7"/>
      <w:footerReference w:type="default" r:id="rId8"/>
      <w:pgSz w:w="11906" w:h="16838" w:orient="portrait"/>
      <w:pgMar w:top="1000" w:right="1000" w:bottom="900" w:left="1000"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5"/>
        <w:szCs w:val="15"/>
      </w:rPr>
      <w:t xml:space="preserve">For internal discussion only — not investment advice. Data indicative; verify before use.   |   Page </w:t>
    </w:r>
    <w:r>
      <w:rPr>
        <w:rFonts w:ascii="Calibri" w:cs="Calibri" w:eastAsia="Calibri" w:hAnsi="Calibri"/>
        <w:color w:val="7F7F7F"/>
        <w:sz w:val="15"/>
        <w:szCs w:val="15"/>
      </w:rPr>
      <w:fldChar w:fldCharType="begin"/>
      <w:instrText xml:space="preserve">PAGE</w:instrText>
      <w:fldChar w:fldCharType="separate"/>
      <w:fldChar w:fldCharType="end"/>
    </w:r>
    <w:r>
      <w:rPr>
        <w:rFonts w:ascii="Calibri" w:cs="Calibri" w:eastAsia="Calibri" w:hAnsi="Calibri"/>
        <w:color w:val="7F7F7F"/>
        <w:sz w:val="15"/>
        <w:szCs w:val="15"/>
      </w:rPr>
      <w:t xml:space="preserve"> of </w:t>
    </w:r>
    <w:r>
      <w:rPr>
        <w:rFonts w:ascii="Calibri" w:cs="Calibri" w:eastAsia="Calibri" w:hAnsi="Calibri"/>
        <w:color w:val="7F7F7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5"/>
        <w:szCs w:val="15"/>
      </w:rPr>
      <w:t xml:space="preserve">Japan &amp; Korea Activist Target Screen —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1F3864"/>
      <w:sz w:val="26"/>
      <w:szCs w:val="26"/>
    </w:rPr>
  </w:style>
  <w:style w:type="paragraph" w:styleId="Heading3">
    <w:name w:val="Heading 3"/>
    <w:basedOn w:val="Normal"/>
    <w:next w:val="Normal"/>
    <w:qFormat/>
    <w:pPr>
      <w:outlineLvl w:val="2"/>
    </w:pPr>
    <w:rPr>
      <w:rFonts w:ascii="Calibri" w:cs="Calibri" w:eastAsia="Calibri" w:hAnsi="Calibri"/>
      <w:b/>
      <w:bCs/>
      <w:color w:val="2E75B6"/>
      <w:sz w:val="22"/>
      <w:szCs w:val="22"/>
    </w:rPr>
  </w:style>
  <w:style w:type="paragraph" w:styleId="Heading4">
    <w:name w:val="Heading 4"/>
    <w:basedOn w:val="Normal"/>
    <w:next w:val="Normal"/>
    <w:qFormat/>
    <w:pPr>
      <w:outlineLvl w:val="3"/>
    </w:pPr>
    <w:rPr>
      <w:rFonts w:ascii="Calibri" w:cs="Calibri" w:eastAsia="Calibri" w:hAnsi="Calibri"/>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Japan &amp; Korea Activist Target Screen — October 2026</dc:title>
  <dc:creator>Activist screen</dc:creator>
  <cp:lastModifiedBy>Un-named</cp:lastModifiedBy>
  <cp:revision>1</cp:revision>
  <dcterms:created xsi:type="dcterms:W3CDTF">2026-10-15T22:24:26.803Z</dcterms:created>
  <dcterms:modified xsi:type="dcterms:W3CDTF">2026-10-15T22:24:26.803Z</dcterms:modified>
</cp:coreProperties>
</file>

<file path=docProps/custom.xml><?xml version="1.0" encoding="utf-8"?>
<Properties xmlns="http://schemas.openxmlformats.org/officeDocument/2006/custom-properties" xmlns:vt="http://schemas.openxmlformats.org/officeDocument/2006/docPropsVTypes"/>
</file>