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LG</w:t>
      </w:r>
      <w:r>
        <w:t xml:space="preserve"> </w:t>
      </w:r>
      <w:r>
        <w:t xml:space="preserve">Uplus</w:t>
      </w:r>
      <w:r>
        <w:t xml:space="preserve"> </w:t>
      </w:r>
      <w:r>
        <w:t xml:space="preserve">Corp. (032640</w:t>
      </w:r>
      <w:r>
        <w:t xml:space="preserve"> </w:t>
      </w:r>
      <w:r>
        <w:t xml:space="preserve">KS)</w:t>
      </w:r>
    </w:p>
    <w:p>
      <w:pPr>
        <w:pStyle w:val="Subtitle"/>
      </w:pPr>
      <w:r>
        <w:t xml:space="preserve">Institutional</w:t>
      </w:r>
      <w:r>
        <w:t xml:space="preserve"> </w:t>
      </w:r>
      <w:r>
        <w:t xml:space="preserve">equity</w:t>
      </w:r>
      <w:r>
        <w:t xml:space="preserve"> </w:t>
      </w:r>
      <w:r>
        <w:t xml:space="preserve">research:</w:t>
      </w:r>
      <w:r>
        <w:t xml:space="preserve"> </w:t>
      </w:r>
      <w:r>
        <w:t xml:space="preserve">a</w:t>
      </w:r>
      <w:r>
        <w:t xml:space="preserve"> </w:t>
      </w:r>
      <w:r>
        <w:t xml:space="preserve">~2x-EBITDA</w:t>
      </w:r>
      <w:r>
        <w:t xml:space="preserve"> </w:t>
      </w:r>
      <w:r>
        <w:t xml:space="preserve">telecom</w:t>
      </w:r>
      <w:r>
        <w:t xml:space="preserve"> </w:t>
      </w:r>
      <w:r>
        <w:t xml:space="preserve">core</w:t>
      </w:r>
      <w:r>
        <w:t xml:space="preserve"> </w:t>
      </w:r>
      <w:r>
        <w:t xml:space="preserve">with</w:t>
      </w:r>
      <w:r>
        <w:t xml:space="preserve"> </w:t>
      </w:r>
      <w:r>
        <w:t xml:space="preserve">an</w:t>
      </w:r>
      <w:r>
        <w:t xml:space="preserve"> </w:t>
      </w:r>
      <w:r>
        <w:t xml:space="preserve">AI</w:t>
      </w:r>
      <w:r>
        <w:t xml:space="preserve"> </w:t>
      </w:r>
      <w:r>
        <w:t xml:space="preserve">data-centre</w:t>
      </w:r>
      <w:r>
        <w:t xml:space="preserve"> </w:t>
      </w:r>
      <w:r>
        <w:t xml:space="preserve">platform</w:t>
      </w:r>
      <w:r>
        <w:t xml:space="preserve"> </w:t>
      </w:r>
      <w:r>
        <w:t xml:space="preserve">attached</w:t>
      </w:r>
    </w:p>
    <w:p>
      <w:pPr>
        <w:pStyle w:val="Author"/>
      </w:pPr>
      <w:r>
        <w:t xml:space="preserve">Event-Driven</w:t>
      </w:r>
      <w:r>
        <w:t xml:space="preserve"> </w:t>
      </w:r>
      <w:r>
        <w:t xml:space="preserve">&amp;</w:t>
      </w:r>
      <w:r>
        <w:t xml:space="preserve"> </w:t>
      </w:r>
      <w:r>
        <w:t xml:space="preserve">Special</w:t>
      </w:r>
      <w:r>
        <w:t xml:space="preserve"> </w:t>
      </w:r>
      <w:r>
        <w:t xml:space="preserve">Situations</w:t>
      </w:r>
      <w:r>
        <w:t xml:space="preserve"> </w:t>
      </w:r>
      <w:r>
        <w:t xml:space="preserve">|</w:t>
      </w:r>
      <w:r>
        <w:t xml:space="preserve"> </w:t>
      </w:r>
      <w:r>
        <w:t xml:space="preserve">Equity</w:t>
      </w:r>
      <w:r>
        <w:t xml:space="preserve"> </w:t>
      </w:r>
      <w:r>
        <w:t xml:space="preserve">Research</w:t>
      </w:r>
    </w:p>
    <w:p>
      <w:pPr>
        <w:pStyle w:val="Date"/>
      </w:pPr>
      <w:r>
        <w:t xml:space="preserve">17</w:t>
      </w:r>
      <w:r>
        <w:t xml:space="preserve"> </w:t>
      </w:r>
      <w:r>
        <w:t xml:space="preserve">October</w:t>
      </w:r>
      <w:r>
        <w:t xml:space="preserve"> </w:t>
      </w:r>
      <w:r>
        <w:t xml:space="preserve">2026</w:t>
      </w:r>
      <w:r>
        <w:t xml:space="preserve"> </w:t>
      </w:r>
      <w:r>
        <w:t xml:space="preserve">|</w:t>
      </w:r>
      <w:r>
        <w:t xml:space="preserve"> </w:t>
      </w:r>
      <w:r>
        <w:t xml:space="preserve">Reference</w:t>
      </w:r>
      <w:r>
        <w:t xml:space="preserve"> </w:t>
      </w:r>
      <w:r>
        <w:t xml:space="preserve">price</w:t>
      </w:r>
      <w:r>
        <w:t xml:space="preserve"> </w:t>
      </w:r>
      <w:r>
        <w:t xml:space="preserve">KRW15,510</w:t>
      </w:r>
      <w:r>
        <w:t xml:space="preserve"> </w:t>
      </w:r>
      <w:r>
        <w:t xml:space="preserve">(close</w:t>
      </w:r>
      <w:r>
        <w:t xml:space="preserve"> </w:t>
      </w:r>
      <w:r>
        <w:t xml:space="preserve">16-Oct-2026)</w:t>
      </w:r>
    </w:p>
    <w:bookmarkStart w:id="22" w:name="recommendation-and-key-data"/>
    <w:p>
      <w:pPr>
        <w:pStyle w:val="Heading1"/>
      </w:pPr>
      <w:r>
        <w:t xml:space="preserve">Recommendation and key data</w:t>
      </w:r>
    </w:p>
    <w:p>
      <w:pPr>
        <w:pStyle w:val="FirstParagraph"/>
      </w:pPr>
      <w:r>
        <w:rPr>
          <w:bCs/>
          <w:b/>
        </w:rPr>
        <w:t xml:space="preserve">Recommendation: BUY (event-driven, medium conviction). 12-month target price KRW20,000 (+29%); probability-weighted value KRW20,800 (+34%); bear case KRW13,000 (-16%); bull case KRW29,800 (+92%).</w:t>
      </w:r>
      <w:r>
        <w:t xml:space="preserve"> </w:t>
      </w:r>
      <w:r>
        <w:t xml:space="preserve">The 4.5% dividend yield adds to the total return.</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2547"/>
        <w:gridCol w:w="1476"/>
        <w:gridCol w:w="3521"/>
        <w:gridCol w:w="2432"/>
      </w:tblGrid>
      <w:tr>
        <w:trPr>
          <w:tblHeader w:val="true"/>
          <w:tblHeader w:val="true"/>
          <w:cantSplit/>
        </w:trPr>
        <w:tc>
          <w:tcPr>
            <w:tcW w:type="dxa" w:w="2548"/>
            <w:shd w:val="clear" w:color="auto" w:fill="13213F"/>
          </w:tcPr>
          <w:p>
            <w:pPr>
              <w:pStyle w:val="Compact"/>
              <w:spacing w:after="0" w:before="0" w:line="240" w:lineRule="auto"/>
              <w:jc w:val="left"/>
            </w:pPr>
            <w:r>
              <w:rPr>
                <w:rFonts w:ascii="Arial" w:hAnsi="Arial"/>
                <w:b/>
                <w:color w:val="FFFFFF"/>
                <w:sz w:val="15"/>
              </w:rPr>
              <w:t xml:space="preserve">Item</w:t>
            </w:r>
          </w:p>
        </w:tc>
        <w:tc>
          <w:tcPr>
            <w:tcW w:type="dxa" w:w="1476"/>
            <w:shd w:val="clear" w:color="auto" w:fill="13213F"/>
          </w:tcPr>
          <w:p>
            <w:pPr>
              <w:pStyle w:val="Compact"/>
              <w:spacing w:after="0" w:before="0" w:line="240" w:lineRule="auto"/>
              <w:jc w:val="right"/>
            </w:pPr>
            <w:r>
              <w:rPr>
                <w:rFonts w:ascii="Arial" w:hAnsi="Arial"/>
                <w:b/>
                <w:color w:val="FFFFFF"/>
                <w:sz w:val="15"/>
              </w:rPr>
              <w:t xml:space="preserve">Value</w:t>
            </w:r>
          </w:p>
        </w:tc>
        <w:tc>
          <w:tcPr>
            <w:tcW w:type="dxa" w:w="3521"/>
            <w:shd w:val="clear" w:color="auto" w:fill="13213F"/>
          </w:tcPr>
          <w:p>
            <w:pPr>
              <w:pStyle w:val="Compact"/>
              <w:spacing w:after="0" w:before="0" w:line="240" w:lineRule="auto"/>
              <w:jc w:val="left"/>
            </w:pPr>
            <w:r>
              <w:rPr>
                <w:rFonts w:ascii="Arial" w:hAnsi="Arial"/>
                <w:b/>
                <w:color w:val="FFFFFF"/>
                <w:sz w:val="15"/>
              </w:rPr>
              <w:t xml:space="preserve">Item</w:t>
            </w:r>
          </w:p>
        </w:tc>
        <w:tc>
          <w:tcPr>
            <w:tcW w:type="dxa" w:w="2433"/>
            <w:shd w:val="clear" w:color="auto" w:fill="13213F"/>
          </w:tcPr>
          <w:p>
            <w:pPr>
              <w:pStyle w:val="Compact"/>
              <w:spacing w:after="0" w:before="0" w:line="240" w:lineRule="auto"/>
              <w:jc w:val="right"/>
            </w:pPr>
            <w:r>
              <w:rPr>
                <w:rFonts w:ascii="Arial" w:hAnsi="Arial"/>
                <w:b/>
                <w:color w:val="FFFFFF"/>
                <w:sz w:val="15"/>
              </w:rPr>
              <w:t xml:space="preserve">Value</w:t>
            </w:r>
          </w:p>
        </w:tc>
      </w:tr>
      <w:tr>
        <w:trPr>
          <w:cantSplit/>
        </w:trPr>
        <w:tc>
          <w:tcPr>
            <w:tcW w:type="dxa" w:w="2548"/>
          </w:tcPr>
          <w:p>
            <w:pPr>
              <w:pStyle w:val="Compact"/>
              <w:spacing w:after="0" w:before="0" w:line="240" w:lineRule="auto"/>
              <w:jc w:val="left"/>
            </w:pPr>
            <w:r>
              <w:rPr>
                <w:rFonts w:ascii="Arial" w:hAnsi="Arial"/>
                <w:sz w:val="15"/>
              </w:rPr>
              <w:t xml:space="preserve">Share price (16-Oct-2026)</w:t>
            </w:r>
          </w:p>
        </w:tc>
        <w:tc>
          <w:tcPr>
            <w:tcW w:type="dxa" w:w="1476"/>
          </w:tcPr>
          <w:p>
            <w:pPr>
              <w:pStyle w:val="Compact"/>
              <w:spacing w:after="0" w:before="0" w:line="240" w:lineRule="auto"/>
              <w:jc w:val="right"/>
            </w:pPr>
            <w:r>
              <w:rPr>
                <w:rFonts w:ascii="Arial" w:hAnsi="Arial"/>
                <w:sz w:val="15"/>
              </w:rPr>
              <w:t xml:space="preserve">KRW15,510</w:t>
            </w:r>
          </w:p>
        </w:tc>
        <w:tc>
          <w:tcPr>
            <w:tcW w:type="dxa" w:w="3521"/>
          </w:tcPr>
          <w:p>
            <w:pPr>
              <w:pStyle w:val="Compact"/>
              <w:spacing w:after="0" w:before="0" w:line="240" w:lineRule="auto"/>
              <w:jc w:val="left"/>
            </w:pPr>
            <w:r>
              <w:rPr>
                <w:rFonts w:ascii="Arial" w:hAnsi="Arial"/>
                <w:sz w:val="15"/>
              </w:rPr>
              <w:t xml:space="preserve">52-week closing range</w:t>
            </w:r>
          </w:p>
        </w:tc>
        <w:tc>
          <w:tcPr>
            <w:tcW w:type="dxa" w:w="2433"/>
          </w:tcPr>
          <w:p>
            <w:pPr>
              <w:pStyle w:val="Compact"/>
              <w:spacing w:after="0" w:before="0" w:line="240" w:lineRule="auto"/>
              <w:jc w:val="right"/>
            </w:pPr>
            <w:r>
              <w:rPr>
                <w:rFonts w:ascii="Arial" w:hAnsi="Arial"/>
                <w:sz w:val="15"/>
              </w:rPr>
              <w:t xml:space="preserve">KRW14,000–17,810</w:t>
            </w:r>
          </w:p>
        </w:tc>
      </w:tr>
      <w:tr>
        <w:trPr>
          <w:cantSplit/>
        </w:trPr>
        <w:tc>
          <w:tcPr>
            <w:tcW w:type="dxa" w:w="2548"/>
            <w:shd w:val="clear" w:color="auto" w:fill="F1F2F5"/>
          </w:tcPr>
          <w:p>
            <w:pPr>
              <w:pStyle w:val="Compact"/>
              <w:spacing w:after="0" w:before="0" w:line="240" w:lineRule="auto"/>
              <w:jc w:val="left"/>
            </w:pPr>
            <w:r>
              <w:rPr>
                <w:rFonts w:ascii="Arial" w:hAnsi="Arial"/>
                <w:sz w:val="15"/>
              </w:rPr>
              <w:t xml:space="preserve">Shares outstanding</w:t>
            </w:r>
          </w:p>
        </w:tc>
        <w:tc>
          <w:tcPr>
            <w:tcW w:type="dxa" w:w="1476"/>
            <w:shd w:val="clear" w:color="auto" w:fill="F1F2F5"/>
          </w:tcPr>
          <w:p>
            <w:pPr>
              <w:pStyle w:val="Compact"/>
              <w:spacing w:after="0" w:before="0" w:line="240" w:lineRule="auto"/>
              <w:jc w:val="right"/>
            </w:pPr>
            <w:r>
              <w:rPr>
                <w:rFonts w:ascii="Arial" w:hAnsi="Arial"/>
                <w:sz w:val="15"/>
              </w:rPr>
              <w:t xml:space="preserve">424.43m</w:t>
            </w:r>
          </w:p>
        </w:tc>
        <w:tc>
          <w:tcPr>
            <w:tcW w:type="dxa" w:w="3521"/>
            <w:shd w:val="clear" w:color="auto" w:fill="F1F2F5"/>
          </w:tcPr>
          <w:p>
            <w:pPr>
              <w:pStyle w:val="Compact"/>
              <w:spacing w:after="0" w:before="0" w:line="240" w:lineRule="auto"/>
              <w:jc w:val="left"/>
            </w:pPr>
            <w:r>
              <w:rPr>
                <w:rFonts w:ascii="Arial" w:hAnsi="Arial"/>
                <w:sz w:val="15"/>
              </w:rPr>
              <w:t xml:space="preserve">Market cap</w:t>
            </w:r>
          </w:p>
        </w:tc>
        <w:tc>
          <w:tcPr>
            <w:tcW w:type="dxa" w:w="2433"/>
            <w:shd w:val="clear" w:color="auto" w:fill="F1F2F5"/>
          </w:tcPr>
          <w:p>
            <w:pPr>
              <w:pStyle w:val="Compact"/>
              <w:spacing w:after="0" w:before="0" w:line="240" w:lineRule="auto"/>
              <w:jc w:val="right"/>
            </w:pPr>
            <w:r>
              <w:rPr>
                <w:rFonts w:ascii="Arial" w:hAnsi="Arial"/>
                <w:sz w:val="15"/>
              </w:rPr>
              <w:t xml:space="preserve">KRW6.58tn / US$4.9bn</w:t>
            </w:r>
          </w:p>
        </w:tc>
      </w:tr>
      <w:tr>
        <w:trPr>
          <w:cantSplit/>
        </w:trPr>
        <w:tc>
          <w:tcPr>
            <w:tcW w:type="dxa" w:w="2548"/>
            <w:shd w:val="clear" w:color="auto" w:fill="DCE4F2"/>
          </w:tcPr>
          <w:p>
            <w:pPr>
              <w:pStyle w:val="Compact"/>
              <w:spacing w:after="0" w:before="0" w:line="240" w:lineRule="auto"/>
              <w:jc w:val="left"/>
            </w:pPr>
            <w:r>
              <w:rPr>
                <w:rFonts w:ascii="Arial" w:hAnsi="Arial"/>
                <w:b/>
                <w:sz w:val="15"/>
              </w:rPr>
              <w:t xml:space="preserve">Net debt (ex-leases, Jun-26)</w:t>
            </w:r>
          </w:p>
        </w:tc>
        <w:tc>
          <w:tcPr>
            <w:tcW w:type="dxa" w:w="1476"/>
            <w:shd w:val="clear" w:color="auto" w:fill="DCE4F2"/>
          </w:tcPr>
          <w:p>
            <w:pPr>
              <w:pStyle w:val="Compact"/>
              <w:spacing w:after="0" w:before="0" w:line="240" w:lineRule="auto"/>
              <w:jc w:val="right"/>
            </w:pPr>
            <w:r>
              <w:rPr>
                <w:rFonts w:ascii="Arial" w:hAnsi="Arial"/>
                <w:b/>
                <w:sz w:val="15"/>
              </w:rPr>
              <w:t xml:space="preserve">KRW4.51tn</w:t>
            </w:r>
          </w:p>
        </w:tc>
        <w:tc>
          <w:tcPr>
            <w:tcW w:type="dxa" w:w="3521"/>
            <w:shd w:val="clear" w:color="auto" w:fill="DCE4F2"/>
          </w:tcPr>
          <w:p>
            <w:pPr>
              <w:pStyle w:val="Compact"/>
              <w:spacing w:after="0" w:before="0" w:line="240" w:lineRule="auto"/>
              <w:jc w:val="left"/>
            </w:pPr>
            <w:r>
              <w:rPr>
                <w:rFonts w:ascii="Arial" w:hAnsi="Arial"/>
                <w:b/>
                <w:sz w:val="15"/>
              </w:rPr>
              <w:t xml:space="preserve">TEV (S&amp;P Capital IQ)</w:t>
            </w:r>
          </w:p>
        </w:tc>
        <w:tc>
          <w:tcPr>
            <w:tcW w:type="dxa" w:w="2433"/>
            <w:shd w:val="clear" w:color="auto" w:fill="DCE4F2"/>
          </w:tcPr>
          <w:p>
            <w:pPr>
              <w:pStyle w:val="Compact"/>
              <w:spacing w:after="0" w:before="0" w:line="240" w:lineRule="auto"/>
              <w:jc w:val="right"/>
            </w:pPr>
            <w:r>
              <w:rPr>
                <w:rFonts w:ascii="Arial" w:hAnsi="Arial"/>
                <w:b/>
                <w:sz w:val="15"/>
              </w:rPr>
              <w:t xml:space="preserve">KRW11.29tn / US$8.5bn</w:t>
            </w:r>
          </w:p>
        </w:tc>
      </w:tr>
      <w:tr>
        <w:trPr>
          <w:cantSplit/>
        </w:trPr>
        <w:tc>
          <w:tcPr>
            <w:tcW w:type="dxa" w:w="2548"/>
            <w:shd w:val="clear" w:color="auto" w:fill="F1F2F5"/>
          </w:tcPr>
          <w:p>
            <w:pPr>
              <w:pStyle w:val="Compact"/>
              <w:spacing w:after="0" w:before="0" w:line="240" w:lineRule="auto"/>
              <w:jc w:val="left"/>
            </w:pPr>
            <w:r>
              <w:rPr>
                <w:rFonts w:ascii="Arial" w:hAnsi="Arial"/>
                <w:sz w:val="15"/>
              </w:rPr>
              <w:t xml:space="preserve">TEV / FY26E EBITDA (ours)</w:t>
            </w:r>
          </w:p>
        </w:tc>
        <w:tc>
          <w:tcPr>
            <w:tcW w:type="dxa" w:w="1476"/>
            <w:shd w:val="clear" w:color="auto" w:fill="F1F2F5"/>
          </w:tcPr>
          <w:p>
            <w:pPr>
              <w:pStyle w:val="Compact"/>
              <w:spacing w:after="0" w:before="0" w:line="240" w:lineRule="auto"/>
              <w:jc w:val="right"/>
            </w:pPr>
            <w:r>
              <w:rPr>
                <w:rFonts w:ascii="Arial" w:hAnsi="Arial"/>
                <w:sz w:val="15"/>
              </w:rPr>
              <w:t xml:space="preserve">2.9x</w:t>
            </w:r>
          </w:p>
        </w:tc>
        <w:tc>
          <w:tcPr>
            <w:tcW w:type="dxa" w:w="3521"/>
            <w:shd w:val="clear" w:color="auto" w:fill="F1F2F5"/>
          </w:tcPr>
          <w:p>
            <w:pPr>
              <w:pStyle w:val="Compact"/>
              <w:spacing w:after="0" w:before="0" w:line="240" w:lineRule="auto"/>
              <w:jc w:val="left"/>
            </w:pPr>
            <w:r>
              <w:rPr>
                <w:rFonts w:ascii="Arial" w:hAnsi="Arial"/>
                <w:sz w:val="15"/>
              </w:rPr>
              <w:t xml:space="preserve">P/E FY26E / FY27E (ours)</w:t>
            </w:r>
          </w:p>
        </w:tc>
        <w:tc>
          <w:tcPr>
            <w:tcW w:type="dxa" w:w="2433"/>
            <w:shd w:val="clear" w:color="auto" w:fill="F1F2F5"/>
          </w:tcPr>
          <w:p>
            <w:pPr>
              <w:pStyle w:val="Compact"/>
              <w:spacing w:after="0" w:before="0" w:line="240" w:lineRule="auto"/>
              <w:jc w:val="right"/>
            </w:pPr>
            <w:r>
              <w:rPr>
                <w:rFonts w:ascii="Arial" w:hAnsi="Arial"/>
                <w:sz w:val="15"/>
              </w:rPr>
              <w:t xml:space="preserve">9.5x / 8.8x</w:t>
            </w:r>
          </w:p>
        </w:tc>
      </w:tr>
      <w:tr>
        <w:trPr>
          <w:cantSplit/>
        </w:trPr>
        <w:tc>
          <w:tcPr>
            <w:tcW w:type="dxa" w:w="2548"/>
          </w:tcPr>
          <w:p>
            <w:pPr>
              <w:pStyle w:val="Compact"/>
              <w:spacing w:after="0" w:before="0" w:line="240" w:lineRule="auto"/>
              <w:jc w:val="left"/>
            </w:pPr>
            <w:r>
              <w:rPr>
                <w:rFonts w:ascii="Arial" w:hAnsi="Arial"/>
                <w:sz w:val="15"/>
              </w:rPr>
              <w:t xml:space="preserve">P/B (LTM)</w:t>
            </w:r>
          </w:p>
        </w:tc>
        <w:tc>
          <w:tcPr>
            <w:tcW w:type="dxa" w:w="1476"/>
          </w:tcPr>
          <w:p>
            <w:pPr>
              <w:pStyle w:val="Compact"/>
              <w:spacing w:after="0" w:before="0" w:line="240" w:lineRule="auto"/>
              <w:jc w:val="right"/>
            </w:pPr>
            <w:r>
              <w:rPr>
                <w:rFonts w:ascii="Arial" w:hAnsi="Arial"/>
                <w:sz w:val="15"/>
              </w:rPr>
              <w:t xml:space="preserve">0.73x</w:t>
            </w:r>
          </w:p>
        </w:tc>
        <w:tc>
          <w:tcPr>
            <w:tcW w:type="dxa" w:w="3521"/>
          </w:tcPr>
          <w:p>
            <w:pPr>
              <w:pStyle w:val="Compact"/>
              <w:spacing w:after="0" w:before="0" w:line="240" w:lineRule="auto"/>
              <w:jc w:val="left"/>
            </w:pPr>
            <w:r>
              <w:rPr>
                <w:rFonts w:ascii="Arial" w:hAnsi="Arial"/>
                <w:sz w:val="15"/>
              </w:rPr>
              <w:t xml:space="preserve">FY26E DPS / yield</w:t>
            </w:r>
          </w:p>
        </w:tc>
        <w:tc>
          <w:tcPr>
            <w:tcW w:type="dxa" w:w="2433"/>
          </w:tcPr>
          <w:p>
            <w:pPr>
              <w:pStyle w:val="Compact"/>
              <w:spacing w:after="0" w:before="0" w:line="240" w:lineRule="auto"/>
              <w:jc w:val="right"/>
            </w:pPr>
            <w:r>
              <w:rPr>
                <w:rFonts w:ascii="Arial" w:hAnsi="Arial"/>
                <w:sz w:val="15"/>
              </w:rPr>
              <w:t xml:space="preserve">KRW700 / 4.5%</w:t>
            </w:r>
          </w:p>
        </w:tc>
      </w:tr>
      <w:tr>
        <w:trPr>
          <w:cantSplit/>
        </w:trPr>
        <w:tc>
          <w:tcPr>
            <w:tcW w:type="dxa" w:w="2548"/>
            <w:shd w:val="clear" w:color="auto" w:fill="DCE4F2"/>
          </w:tcPr>
          <w:p>
            <w:pPr>
              <w:pStyle w:val="Compact"/>
              <w:spacing w:after="0" w:before="0" w:line="240" w:lineRule="auto"/>
              <w:jc w:val="left"/>
            </w:pPr>
            <w:r>
              <w:rPr>
                <w:rFonts w:ascii="Arial" w:hAnsi="Arial"/>
                <w:b/>
                <w:sz w:val="15"/>
              </w:rPr>
              <w:t xml:space="preserve">Net debt / LTM EBITDA</w:t>
            </w:r>
          </w:p>
        </w:tc>
        <w:tc>
          <w:tcPr>
            <w:tcW w:type="dxa" w:w="1476"/>
            <w:shd w:val="clear" w:color="auto" w:fill="DCE4F2"/>
          </w:tcPr>
          <w:p>
            <w:pPr>
              <w:pStyle w:val="Compact"/>
              <w:spacing w:after="0" w:before="0" w:line="240" w:lineRule="auto"/>
              <w:jc w:val="right"/>
            </w:pPr>
            <w:r>
              <w:rPr>
                <w:rFonts w:ascii="Arial" w:hAnsi="Arial"/>
                <w:b/>
                <w:sz w:val="15"/>
              </w:rPr>
              <w:t xml:space="preserve">1.22x</w:t>
            </w:r>
          </w:p>
        </w:tc>
        <w:tc>
          <w:tcPr>
            <w:tcW w:type="dxa" w:w="3521"/>
            <w:shd w:val="clear" w:color="auto" w:fill="DCE4F2"/>
          </w:tcPr>
          <w:p>
            <w:pPr>
              <w:pStyle w:val="Compact"/>
              <w:spacing w:after="0" w:before="0" w:line="240" w:lineRule="auto"/>
              <w:jc w:val="left"/>
            </w:pPr>
            <w:r>
              <w:rPr>
                <w:rFonts w:ascii="Arial" w:hAnsi="Arial"/>
                <w:b/>
                <w:sz w:val="15"/>
              </w:rPr>
              <w:t xml:space="preserve">Shareholder yield FY26E (div + buyback)</w:t>
            </w:r>
          </w:p>
        </w:tc>
        <w:tc>
          <w:tcPr>
            <w:tcW w:type="dxa" w:w="2433"/>
            <w:shd w:val="clear" w:color="auto" w:fill="DCE4F2"/>
          </w:tcPr>
          <w:p>
            <w:pPr>
              <w:pStyle w:val="Compact"/>
              <w:spacing w:after="0" w:before="0" w:line="240" w:lineRule="auto"/>
              <w:jc w:val="right"/>
            </w:pPr>
            <w:r>
              <w:rPr>
                <w:rFonts w:ascii="Arial" w:hAnsi="Arial"/>
                <w:b/>
                <w:sz w:val="15"/>
              </w:rPr>
              <w:t xml:space="preserve">5.9%</w:t>
            </w:r>
          </w:p>
        </w:tc>
      </w:tr>
      <w:tr>
        <w:trPr>
          <w:cantSplit/>
        </w:trPr>
        <w:tc>
          <w:tcPr>
            <w:tcW w:type="dxa" w:w="2548"/>
          </w:tcPr>
          <w:p>
            <w:pPr>
              <w:pStyle w:val="Compact"/>
              <w:spacing w:after="0" w:before="0" w:line="240" w:lineRule="auto"/>
              <w:jc w:val="left"/>
            </w:pPr>
            <w:r>
              <w:rPr>
                <w:rFonts w:ascii="Arial" w:hAnsi="Arial"/>
                <w:sz w:val="15"/>
              </w:rPr>
              <w:t xml:space="preserve">Largest holder</w:t>
            </w:r>
          </w:p>
        </w:tc>
        <w:tc>
          <w:tcPr>
            <w:tcW w:type="dxa" w:w="1476"/>
          </w:tcPr>
          <w:p>
            <w:pPr>
              <w:pStyle w:val="Compact"/>
              <w:spacing w:after="0" w:before="0" w:line="240" w:lineRule="auto"/>
              <w:jc w:val="right"/>
            </w:pPr>
            <w:r>
              <w:rPr>
                <w:rFonts w:ascii="Arial" w:hAnsi="Arial"/>
                <w:sz w:val="15"/>
              </w:rPr>
              <w:t xml:space="preserve">LG Corp 38.7%</w:t>
            </w:r>
          </w:p>
        </w:tc>
        <w:tc>
          <w:tcPr>
            <w:tcW w:type="dxa" w:w="3521"/>
          </w:tcPr>
          <w:p>
            <w:pPr>
              <w:pStyle w:val="Compact"/>
              <w:spacing w:after="0" w:before="0" w:line="240" w:lineRule="auto"/>
              <w:jc w:val="left"/>
            </w:pPr>
            <w:r>
              <w:rPr>
                <w:rFonts w:ascii="Arial" w:hAnsi="Arial"/>
                <w:sz w:val="15"/>
              </w:rPr>
              <w:t xml:space="preserve">Foreign ownership / statutory cap</w:t>
            </w:r>
          </w:p>
        </w:tc>
        <w:tc>
          <w:tcPr>
            <w:tcW w:type="dxa" w:w="2433"/>
          </w:tcPr>
          <w:p>
            <w:pPr>
              <w:pStyle w:val="Compact"/>
              <w:spacing w:after="0" w:before="0" w:line="240" w:lineRule="auto"/>
              <w:jc w:val="right"/>
            </w:pPr>
            <w:r>
              <w:rPr>
                <w:rFonts w:ascii="Arial" w:hAnsi="Arial"/>
                <w:sz w:val="15"/>
              </w:rPr>
              <w:t xml:space="preserve">~41.9% / 49%</w:t>
            </w:r>
          </w:p>
        </w:tc>
      </w:tr>
      <w:tr>
        <w:trPr>
          <w:cantSplit/>
        </w:trPr>
        <w:tc>
          <w:tcPr>
            <w:tcW w:type="dxa" w:w="2548"/>
            <w:shd w:val="clear" w:color="auto" w:fill="F1F2F5"/>
          </w:tcPr>
          <w:p>
            <w:pPr>
              <w:pStyle w:val="Compact"/>
              <w:spacing w:after="0" w:before="0" w:line="240" w:lineRule="auto"/>
              <w:jc w:val="left"/>
            </w:pPr>
            <w:r>
              <w:rPr>
                <w:rFonts w:ascii="Arial" w:hAnsi="Arial"/>
                <w:sz w:val="15"/>
              </w:rPr>
              <w:t xml:space="preserve">Consensus target (22 analysts)</w:t>
            </w:r>
          </w:p>
        </w:tc>
        <w:tc>
          <w:tcPr>
            <w:tcW w:type="dxa" w:w="1476"/>
            <w:shd w:val="clear" w:color="auto" w:fill="F1F2F5"/>
          </w:tcPr>
          <w:p>
            <w:pPr>
              <w:pStyle w:val="Compact"/>
              <w:spacing w:after="0" w:before="0" w:line="240" w:lineRule="auto"/>
              <w:jc w:val="right"/>
            </w:pPr>
            <w:r>
              <w:rPr>
                <w:rFonts w:ascii="Arial" w:hAnsi="Arial"/>
                <w:sz w:val="15"/>
              </w:rPr>
              <w:t xml:space="preserve">KRW18,964</w:t>
            </w:r>
          </w:p>
        </w:tc>
        <w:tc>
          <w:tcPr>
            <w:tcW w:type="dxa" w:w="3521"/>
            <w:shd w:val="clear" w:color="auto" w:fill="F1F2F5"/>
          </w:tcPr>
          <w:p>
            <w:pPr>
              <w:pStyle w:val="Compact"/>
              <w:spacing w:after="0" w:before="0" w:line="240" w:lineRule="auto"/>
              <w:jc w:val="left"/>
            </w:pPr>
            <w:r>
              <w:rPr>
                <w:rFonts w:ascii="Arial" w:hAnsi="Arial"/>
                <w:sz w:val="15"/>
              </w:rPr>
              <w:t xml:space="preserve">Ratings (Buy/Outperform/Hold/Sell)</w:t>
            </w:r>
          </w:p>
        </w:tc>
        <w:tc>
          <w:tcPr>
            <w:tcW w:type="dxa" w:w="2433"/>
            <w:shd w:val="clear" w:color="auto" w:fill="F1F2F5"/>
          </w:tcPr>
          <w:p>
            <w:pPr>
              <w:pStyle w:val="Compact"/>
              <w:spacing w:after="0" w:before="0" w:line="240" w:lineRule="auto"/>
              <w:jc w:val="right"/>
            </w:pPr>
            <w:r>
              <w:rPr>
                <w:rFonts w:ascii="Arial" w:hAnsi="Arial"/>
                <w:sz w:val="15"/>
              </w:rPr>
              <w:t xml:space="preserve">9 / 7 / 6 / 0</w:t>
            </w:r>
          </w:p>
        </w:tc>
      </w:tr>
    </w:tbl>
    <w:p>
      <w:pPr>
        <w:pStyle w:val="BodyText"/>
      </w:pPr>
      <w:r>
        <w:rPr>
          <w:iCs/>
          <w:i/>
        </w:rPr>
        <w:t xml:space="preserve">Sources: S&amp;P Capital IQ (prices, financials, estimates), company filings (DART via ProntoNLP), company earnings calls. [u] = unverified (single secondary source or search summary); [e] = our estimate. US$ at KRW1,335/US$ (Capital IQ spot, 17-Oct-2026).</w:t>
      </w:r>
    </w:p>
    <w:bookmarkStart w:id="20" w:name="investment-summary"/>
    <w:p>
      <w:pPr>
        <w:pStyle w:val="Heading2"/>
      </w:pPr>
      <w:r>
        <w:t xml:space="preserve">Investment summary</w:t>
      </w:r>
    </w:p>
    <w:p>
      <w:pPr>
        <w:numPr>
          <w:ilvl w:val="0"/>
          <w:numId w:val="1001"/>
        </w:numPr>
        <w:pStyle w:val="Compact"/>
      </w:pPr>
      <w:r>
        <w:rPr>
          <w:bCs/>
          <w:b/>
        </w:rPr>
        <w:t xml:space="preserve">The market prices LG Uplus as an ex-growth telco at 2.9x FY26E EBITDA, the second-lowest multiple among 30 listed telecom peers (median 7.2x).</w:t>
      </w:r>
      <w:r>
        <w:t xml:space="preserve"> </w:t>
      </w:r>
      <w:r>
        <w:t xml:space="preserve">That is broadly in line with KT (3.2x) and with LG Uplus’s own five-year average (3.1x), so the discount is a Korea-wide phenomenon rather than company-specific distress.</w:t>
      </w:r>
    </w:p>
    <w:p>
      <w:pPr>
        <w:numPr>
          <w:ilvl w:val="0"/>
          <w:numId w:val="1001"/>
        </w:numPr>
        <w:pStyle w:val="Compact"/>
      </w:pPr>
      <w:r>
        <w:rPr>
          <w:bCs/>
          <w:b/>
        </w:rPr>
        <w:t xml:space="preserve">What the multiple ignores is a data-centre (IDC/AIDC) business growing ~30% a year.</w:t>
      </w:r>
      <w:r>
        <w:t xml:space="preserve"> </w:t>
      </w:r>
      <w:r>
        <w:t xml:space="preserve">IDC revenue was ~KRW422bn in FY25 [e] and KRW124bn in 2Q26 (+29% YoY). On top of that sits the 200MW Paju AI data-centre campus (first 50MW building due Jun-2027 and reported fully pre-leased [u]). In August 2026, KKR and IMM paid KRW3.08tn for 49% of SK Telecom’s data-centre carve-out (SK Horizon), roughly 14.6x trailing sales [e].</w:t>
      </w:r>
      <w:r>
        <w:t xml:space="preserve"> </w:t>
      </w:r>
      <w:r>
        <w:rPr>
          <w:bCs/>
          <w:b/>
        </w:rPr>
        <w:t xml:space="preserve">Valuing LG Uplus’s IDC at only 8x sales (a 45% discount to that mark) implies the telecom core trades at ~1.8x EBITDA.</w:t>
      </w:r>
    </w:p>
    <w:p>
      <w:pPr>
        <w:numPr>
          <w:ilvl w:val="0"/>
          <w:numId w:val="1001"/>
        </w:numPr>
        <w:pStyle w:val="Compact"/>
      </w:pPr>
      <w:r>
        <w:rPr>
          <w:bCs/>
          <w:b/>
        </w:rPr>
        <w:t xml:space="preserve">Earnings are inflecting on the end of the 5G capex cycle and cost reset.</w:t>
      </w:r>
      <w:r>
        <w:t xml:space="preserve"> </w:t>
      </w:r>
      <w:r>
        <w:t xml:space="preserve">Capex fell from KRW2.51tn (FY23) to ~KRW1.75tn (FY25). The KRW150bn early-retirement programme in 3Q25 removed ~6% of headcount. 1H26 operating profit rose 10% YoY to KRW617bn, and 2Q26 OP was a record KRW344.5bn (9.0% above consensus, although ~KRW20–25bn was one-off).</w:t>
      </w:r>
    </w:p>
    <w:p>
      <w:pPr>
        <w:numPr>
          <w:ilvl w:val="0"/>
          <w:numId w:val="1001"/>
        </w:numPr>
        <w:pStyle w:val="Compact"/>
      </w:pPr>
      <w:r>
        <w:rPr>
          <w:bCs/>
          <w:b/>
        </w:rPr>
        <w:t xml:space="preserve">Capital returns are credible and rising.</w:t>
      </w:r>
      <w:r>
        <w:t xml:space="preserve"> </w:t>
      </w:r>
      <w:r>
        <w:t xml:space="preserve">The KRW100bn (2021) and KRW80bn (2025–26) buybacks have been cancelled, and a KRW90bn programme runs to 13-Feb-2027. FY26 interim DPS rose 8% to KRW270. Domestic ratings were upgraded to AA+ in Feb–Mar 2026, the first upgrade in 13 years. LG Uplus also qualifies as a</w:t>
      </w:r>
      <w:r>
        <w:t xml:space="preserve"> </w:t>
      </w:r>
      <w:r>
        <w:t xml:space="preserve">“</w:t>
      </w:r>
      <w:r>
        <w:t xml:space="preserve">high-dividend company</w:t>
      </w:r>
      <w:r>
        <w:t xml:space="preserve">”</w:t>
      </w:r>
      <w:r>
        <w:t xml:space="preserve"> </w:t>
      </w:r>
      <w:r>
        <w:t xml:space="preserve">under Korea’s 2026 separate dividend-tax regime [u].</w:t>
      </w:r>
    </w:p>
    <w:p>
      <w:pPr>
        <w:numPr>
          <w:ilvl w:val="0"/>
          <w:numId w:val="1001"/>
        </w:numPr>
        <w:pStyle w:val="Compact"/>
      </w:pPr>
      <w:r>
        <w:rPr>
          <w:bCs/>
          <w:b/>
        </w:rPr>
        <w:t xml:space="preserve">Event path.</w:t>
      </w:r>
      <w:r>
        <w:t xml:space="preserve"> </w:t>
      </w:r>
      <w:r>
        <w:t xml:space="preserve">The catalysts we expect, in order of likelihood:</w:t>
      </w:r>
    </w:p>
    <w:p>
      <w:pPr>
        <w:numPr>
          <w:ilvl w:val="1"/>
          <w:numId w:val="1002"/>
        </w:numPr>
        <w:pStyle w:val="Compact"/>
      </w:pPr>
      <w:r>
        <w:t xml:space="preserve">Continued buyback cancellations and payout drift to the 60% ceiling.</w:t>
      </w:r>
    </w:p>
    <w:p>
      <w:pPr>
        <w:numPr>
          <w:ilvl w:val="1"/>
          <w:numId w:val="1002"/>
        </w:numPr>
        <w:pStyle w:val="Compact"/>
      </w:pPr>
      <w:r>
        <w:t xml:space="preserve">Possible MSCI Korea deletion flows on 30-Nov-2026 [u], which offer a better entry point rather than a thesis risk.</w:t>
      </w:r>
    </w:p>
    <w:p>
      <w:pPr>
        <w:numPr>
          <w:ilvl w:val="1"/>
          <w:numId w:val="1002"/>
        </w:numPr>
        <w:pStyle w:val="Compact"/>
      </w:pPr>
      <w:r>
        <w:t xml:space="preserve">An AIDC minority sale or carve-out on the SK Horizon template.</w:t>
      </w:r>
    </w:p>
    <w:p>
      <w:pPr>
        <w:numPr>
          <w:ilvl w:val="1"/>
          <w:numId w:val="1002"/>
        </w:numPr>
        <w:pStyle w:val="Compact"/>
      </w:pPr>
      <w:r>
        <w:t xml:space="preserve">LG HelloVision simplification.</w:t>
      </w:r>
    </w:p>
    <w:p>
      <w:pPr>
        <w:numPr>
          <w:ilvl w:val="1"/>
          <w:numId w:val="1002"/>
        </w:numPr>
        <w:pStyle w:val="Compact"/>
      </w:pPr>
      <w:r>
        <w:t xml:space="preserve">A first-ever minority-shareholder campaign once mandatory cumulative voting applies to large Korean companies [u].</w:t>
      </w:r>
    </w:p>
    <w:p>
      <w:pPr>
        <w:numPr>
          <w:ilvl w:val="0"/>
          <w:numId w:val="1001"/>
        </w:numPr>
        <w:pStyle w:val="Compact"/>
      </w:pPr>
      <w:r>
        <w:rPr>
          <w:bCs/>
          <w:b/>
        </w:rPr>
        <w:t xml:space="preserve">What could make us wrong.</w:t>
      </w:r>
    </w:p>
    <w:p>
      <w:pPr>
        <w:numPr>
          <w:ilvl w:val="1"/>
          <w:numId w:val="1003"/>
        </w:numPr>
        <w:pStyle w:val="Compact"/>
      </w:pPr>
      <w:r>
        <w:t xml:space="preserve">A large privacy-regulator (PIPC) fine or licence sanction over the 2025 hacking case, in which LG Uplus is under police investigation for wiping servers before the probe.</w:t>
      </w:r>
    </w:p>
    <w:p>
      <w:pPr>
        <w:numPr>
          <w:ilvl w:val="1"/>
          <w:numId w:val="1003"/>
        </w:numPr>
        <w:pStyle w:val="Compact"/>
      </w:pPr>
      <w:r>
        <w:t xml:space="preserve">A subsidy war after the July-2025 abolition of the handset-subsidy cap.</w:t>
      </w:r>
    </w:p>
    <w:p>
      <w:pPr>
        <w:numPr>
          <w:ilvl w:val="1"/>
          <w:numId w:val="1003"/>
        </w:numPr>
        <w:pStyle w:val="Compact"/>
      </w:pPr>
      <w:r>
        <w:t xml:space="preserve">The ~KRW2tn Paju AIDC programme failing to lease up beyond building 1.</w:t>
      </w:r>
    </w:p>
    <w:bookmarkEnd w:id="20"/>
    <w:bookmarkStart w:id="21" w:name="our-estimates-vs-consensus"/>
    <w:p>
      <w:pPr>
        <w:pStyle w:val="Heading2"/>
      </w:pPr>
      <w:r>
        <w:t xml:space="preserve">Our estimates vs consensus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2943"/>
        <w:gridCol w:w="1371"/>
        <w:gridCol w:w="1383"/>
        <w:gridCol w:w="1426"/>
        <w:gridCol w:w="1426"/>
        <w:gridCol w:w="1426"/>
      </w:tblGrid>
      <w:tr>
        <w:trPr>
          <w:tblHeader w:val="true"/>
          <w:tblHeader w:val="true"/>
          <w:cantSplit/>
        </w:trPr>
        <w:tc>
          <w:tcPr>
            <w:tcW w:type="dxa" w:w="2943"/>
            <w:shd w:val="clear" w:color="auto" w:fill="13213F"/>
          </w:tcPr>
          <w:p>
            <w:pPr>
              <w:pStyle w:val="Compact"/>
              <w:spacing w:after="0" w:before="0" w:line="240" w:lineRule="auto"/>
              <w:jc w:val="left"/>
            </w:pPr>
            <w:r>
              <w:rPr>
                <w:rFonts w:ascii="Arial" w:hAnsi="Arial"/>
                <w:b/>
                <w:color w:val="FFFFFF"/>
                <w:sz w:val="15"/>
              </w:rPr>
              <w:t xml:space="preserve">KRW bn (Dec YE)</w:t>
            </w:r>
          </w:p>
        </w:tc>
        <w:tc>
          <w:tcPr>
            <w:tcW w:type="dxa" w:w="1372"/>
            <w:shd w:val="clear" w:color="auto" w:fill="13213F"/>
          </w:tcPr>
          <w:p>
            <w:pPr>
              <w:pStyle w:val="Compact"/>
              <w:spacing w:after="0" w:before="0" w:line="240" w:lineRule="auto"/>
              <w:jc w:val="right"/>
            </w:pPr>
            <w:r>
              <w:rPr>
                <w:rFonts w:ascii="Arial" w:hAnsi="Arial"/>
                <w:b/>
                <w:color w:val="FFFFFF"/>
                <w:sz w:val="15"/>
              </w:rPr>
              <w:t xml:space="preserve">FY2024A</w:t>
            </w:r>
          </w:p>
        </w:tc>
        <w:tc>
          <w:tcPr>
            <w:tcW w:type="dxa" w:w="1384"/>
            <w:shd w:val="clear" w:color="auto" w:fill="13213F"/>
          </w:tcPr>
          <w:p>
            <w:pPr>
              <w:pStyle w:val="Compact"/>
              <w:spacing w:after="0" w:before="0" w:line="240" w:lineRule="auto"/>
              <w:jc w:val="right"/>
            </w:pPr>
            <w:r>
              <w:rPr>
                <w:rFonts w:ascii="Arial" w:hAnsi="Arial"/>
                <w:b/>
                <w:color w:val="FFFFFF"/>
                <w:sz w:val="15"/>
              </w:rPr>
              <w:t xml:space="preserve">FY2025A</w:t>
            </w:r>
          </w:p>
        </w:tc>
        <w:tc>
          <w:tcPr>
            <w:tcW w:type="dxa" w:w="1426"/>
            <w:shd w:val="clear" w:color="auto" w:fill="13213F"/>
          </w:tcPr>
          <w:p>
            <w:pPr>
              <w:pStyle w:val="Compact"/>
              <w:spacing w:after="0" w:before="0" w:line="240" w:lineRule="auto"/>
              <w:jc w:val="right"/>
            </w:pPr>
            <w:r>
              <w:rPr>
                <w:rFonts w:ascii="Arial" w:hAnsi="Arial"/>
                <w:b/>
                <w:color w:val="FFFFFF"/>
                <w:sz w:val="15"/>
              </w:rPr>
              <w:t xml:space="preserve">FY2026E</w:t>
            </w:r>
          </w:p>
        </w:tc>
        <w:tc>
          <w:tcPr>
            <w:tcW w:type="dxa" w:w="1426"/>
            <w:shd w:val="clear" w:color="auto" w:fill="13213F"/>
          </w:tcPr>
          <w:p>
            <w:pPr>
              <w:pStyle w:val="Compact"/>
              <w:spacing w:after="0" w:before="0" w:line="240" w:lineRule="auto"/>
              <w:jc w:val="right"/>
            </w:pPr>
            <w:r>
              <w:rPr>
                <w:rFonts w:ascii="Arial" w:hAnsi="Arial"/>
                <w:b/>
                <w:color w:val="FFFFFF"/>
                <w:sz w:val="15"/>
              </w:rPr>
              <w:t xml:space="preserve">FY2027E</w:t>
            </w:r>
          </w:p>
        </w:tc>
        <w:tc>
          <w:tcPr>
            <w:tcW w:type="dxa" w:w="1426"/>
            <w:shd w:val="clear" w:color="auto" w:fill="13213F"/>
          </w:tcPr>
          <w:p>
            <w:pPr>
              <w:pStyle w:val="Compact"/>
              <w:spacing w:after="0" w:before="0" w:line="240" w:lineRule="auto"/>
              <w:jc w:val="right"/>
            </w:pPr>
            <w:r>
              <w:rPr>
                <w:rFonts w:ascii="Arial" w:hAnsi="Arial"/>
                <w:b/>
                <w:color w:val="FFFFFF"/>
                <w:sz w:val="15"/>
              </w:rPr>
              <w:t xml:space="preserve">FY2028E</w:t>
            </w:r>
          </w:p>
        </w:tc>
      </w:tr>
      <w:tr>
        <w:trPr>
          <w:cantSplit/>
        </w:trPr>
        <w:tc>
          <w:tcPr>
            <w:tcW w:type="dxa" w:w="2943"/>
          </w:tcPr>
          <w:p>
            <w:pPr>
              <w:pStyle w:val="Compact"/>
              <w:spacing w:after="0" w:before="0" w:line="240" w:lineRule="auto"/>
              <w:jc w:val="left"/>
            </w:pPr>
            <w:r>
              <w:rPr>
                <w:rFonts w:ascii="Arial" w:hAnsi="Arial"/>
                <w:sz w:val="15"/>
              </w:rPr>
              <w:t xml:space="preserve">Revenue</w:t>
            </w:r>
          </w:p>
        </w:tc>
        <w:tc>
          <w:tcPr>
            <w:tcW w:type="dxa" w:w="1372"/>
          </w:tcPr>
          <w:p>
            <w:pPr>
              <w:pStyle w:val="Compact"/>
              <w:spacing w:after="0" w:before="0" w:line="240" w:lineRule="auto"/>
              <w:jc w:val="right"/>
            </w:pPr>
            <w:r>
              <w:rPr>
                <w:rFonts w:ascii="Arial" w:hAnsi="Arial"/>
                <w:sz w:val="15"/>
              </w:rPr>
              <w:t xml:space="preserve">14,625</w:t>
            </w:r>
          </w:p>
        </w:tc>
        <w:tc>
          <w:tcPr>
            <w:tcW w:type="dxa" w:w="1384"/>
          </w:tcPr>
          <w:p>
            <w:pPr>
              <w:pStyle w:val="Compact"/>
              <w:spacing w:after="0" w:before="0" w:line="240" w:lineRule="auto"/>
              <w:jc w:val="right"/>
            </w:pPr>
            <w:r>
              <w:rPr>
                <w:rFonts w:ascii="Arial" w:hAnsi="Arial"/>
                <w:sz w:val="15"/>
              </w:rPr>
              <w:t xml:space="preserve">15,452</w:t>
            </w:r>
          </w:p>
        </w:tc>
        <w:tc>
          <w:tcPr>
            <w:tcW w:type="dxa" w:w="1426"/>
          </w:tcPr>
          <w:p>
            <w:pPr>
              <w:pStyle w:val="Compact"/>
              <w:spacing w:after="0" w:before="0" w:line="240" w:lineRule="auto"/>
              <w:jc w:val="right"/>
            </w:pPr>
            <w:r>
              <w:rPr>
                <w:rFonts w:ascii="Arial" w:hAnsi="Arial"/>
                <w:sz w:val="15"/>
              </w:rPr>
              <w:t xml:space="preserve">15,329</w:t>
            </w:r>
          </w:p>
        </w:tc>
        <w:tc>
          <w:tcPr>
            <w:tcW w:type="dxa" w:w="1426"/>
          </w:tcPr>
          <w:p>
            <w:pPr>
              <w:pStyle w:val="Compact"/>
              <w:spacing w:after="0" w:before="0" w:line="240" w:lineRule="auto"/>
              <w:jc w:val="right"/>
            </w:pPr>
            <w:r>
              <w:rPr>
                <w:rFonts w:ascii="Arial" w:hAnsi="Arial"/>
                <w:sz w:val="15"/>
              </w:rPr>
              <w:t xml:space="preserve">15,591</w:t>
            </w:r>
          </w:p>
        </w:tc>
        <w:tc>
          <w:tcPr>
            <w:tcW w:type="dxa" w:w="1426"/>
          </w:tcPr>
          <w:p>
            <w:pPr>
              <w:pStyle w:val="Compact"/>
              <w:spacing w:after="0" w:before="0" w:line="240" w:lineRule="auto"/>
              <w:jc w:val="right"/>
            </w:pPr>
            <w:r>
              <w:rPr>
                <w:rFonts w:ascii="Arial" w:hAnsi="Arial"/>
                <w:sz w:val="15"/>
              </w:rPr>
              <w:t xml:space="preserve">15,955</w:t>
            </w:r>
          </w:p>
        </w:tc>
      </w:tr>
      <w:tr>
        <w:trPr>
          <w:cantSplit/>
        </w:trPr>
        <w:tc>
          <w:tcPr>
            <w:tcW w:type="dxa" w:w="2943"/>
            <w:shd w:val="clear" w:color="auto" w:fill="F1F2F5"/>
          </w:tcPr>
          <w:p>
            <w:pPr>
              <w:pStyle w:val="Compact"/>
              <w:spacing w:after="0" w:before="0" w:line="240" w:lineRule="auto"/>
              <w:jc w:val="left"/>
            </w:pPr>
            <w:r>
              <w:rPr>
                <w:rFonts w:ascii="Arial" w:hAnsi="Arial"/>
                <w:sz w:val="15"/>
              </w:rPr>
              <w:t xml:space="preserve">EBITDA</w:t>
            </w:r>
          </w:p>
        </w:tc>
        <w:tc>
          <w:tcPr>
            <w:tcW w:type="dxa" w:w="1372"/>
            <w:shd w:val="clear" w:color="auto" w:fill="F1F2F5"/>
          </w:tcPr>
          <w:p>
            <w:pPr>
              <w:pStyle w:val="Compact"/>
              <w:spacing w:after="0" w:before="0" w:line="240" w:lineRule="auto"/>
              <w:jc w:val="right"/>
            </w:pPr>
            <w:r>
              <w:rPr>
                <w:rFonts w:ascii="Arial" w:hAnsi="Arial"/>
                <w:sz w:val="15"/>
              </w:rPr>
              <w:t xml:space="preserve">3,527</w:t>
            </w:r>
          </w:p>
        </w:tc>
        <w:tc>
          <w:tcPr>
            <w:tcW w:type="dxa" w:w="1384"/>
            <w:shd w:val="clear" w:color="auto" w:fill="F1F2F5"/>
          </w:tcPr>
          <w:p>
            <w:pPr>
              <w:pStyle w:val="Compact"/>
              <w:spacing w:after="0" w:before="0" w:line="240" w:lineRule="auto"/>
              <w:jc w:val="right"/>
            </w:pPr>
            <w:r>
              <w:rPr>
                <w:rFonts w:ascii="Arial" w:hAnsi="Arial"/>
                <w:sz w:val="15"/>
              </w:rPr>
              <w:t xml:space="preserve">3,589</w:t>
            </w:r>
          </w:p>
        </w:tc>
        <w:tc>
          <w:tcPr>
            <w:tcW w:type="dxa" w:w="1426"/>
            <w:shd w:val="clear" w:color="auto" w:fill="F1F2F5"/>
          </w:tcPr>
          <w:p>
            <w:pPr>
              <w:pStyle w:val="Compact"/>
              <w:spacing w:after="0" w:before="0" w:line="240" w:lineRule="auto"/>
              <w:jc w:val="right"/>
            </w:pPr>
            <w:r>
              <w:rPr>
                <w:rFonts w:ascii="Arial" w:hAnsi="Arial"/>
                <w:sz w:val="15"/>
              </w:rPr>
              <w:t xml:space="preserve">3,904</w:t>
            </w:r>
          </w:p>
        </w:tc>
        <w:tc>
          <w:tcPr>
            <w:tcW w:type="dxa" w:w="1426"/>
            <w:shd w:val="clear" w:color="auto" w:fill="F1F2F5"/>
          </w:tcPr>
          <w:p>
            <w:pPr>
              <w:pStyle w:val="Compact"/>
              <w:spacing w:after="0" w:before="0" w:line="240" w:lineRule="auto"/>
              <w:jc w:val="right"/>
            </w:pPr>
            <w:r>
              <w:rPr>
                <w:rFonts w:ascii="Arial" w:hAnsi="Arial"/>
                <w:sz w:val="15"/>
              </w:rPr>
              <w:t xml:space="preserve">3,945</w:t>
            </w:r>
          </w:p>
        </w:tc>
        <w:tc>
          <w:tcPr>
            <w:tcW w:type="dxa" w:w="1426"/>
            <w:shd w:val="clear" w:color="auto" w:fill="F1F2F5"/>
          </w:tcPr>
          <w:p>
            <w:pPr>
              <w:pStyle w:val="Compact"/>
              <w:spacing w:after="0" w:before="0" w:line="240" w:lineRule="auto"/>
              <w:jc w:val="right"/>
            </w:pPr>
            <w:r>
              <w:rPr>
                <w:rFonts w:ascii="Arial" w:hAnsi="Arial"/>
                <w:sz w:val="15"/>
              </w:rPr>
              <w:t xml:space="preserve">4,058</w:t>
            </w:r>
          </w:p>
        </w:tc>
      </w:tr>
      <w:tr>
        <w:trPr>
          <w:cantSplit/>
        </w:trPr>
        <w:tc>
          <w:tcPr>
            <w:tcW w:type="dxa" w:w="2943"/>
          </w:tcPr>
          <w:p>
            <w:pPr>
              <w:pStyle w:val="Compact"/>
              <w:spacing w:after="0" w:before="0" w:line="240" w:lineRule="auto"/>
              <w:jc w:val="left"/>
            </w:pPr>
            <w:r>
              <w:rPr>
                <w:rFonts w:ascii="Arial" w:hAnsi="Arial"/>
                <w:sz w:val="15"/>
              </w:rPr>
              <w:t xml:space="preserve">Operating profit (EBIT)</w:t>
            </w:r>
          </w:p>
        </w:tc>
        <w:tc>
          <w:tcPr>
            <w:tcW w:type="dxa" w:w="1372"/>
          </w:tcPr>
          <w:p>
            <w:pPr>
              <w:pStyle w:val="Compact"/>
              <w:spacing w:after="0" w:before="0" w:line="240" w:lineRule="auto"/>
              <w:jc w:val="right"/>
            </w:pPr>
            <w:r>
              <w:rPr>
                <w:rFonts w:ascii="Arial" w:hAnsi="Arial"/>
                <w:sz w:val="15"/>
              </w:rPr>
              <w:t xml:space="preserve">863</w:t>
            </w:r>
          </w:p>
        </w:tc>
        <w:tc>
          <w:tcPr>
            <w:tcW w:type="dxa" w:w="1384"/>
          </w:tcPr>
          <w:p>
            <w:pPr>
              <w:pStyle w:val="Compact"/>
              <w:spacing w:after="0" w:before="0" w:line="240" w:lineRule="auto"/>
              <w:jc w:val="right"/>
            </w:pPr>
            <w:r>
              <w:rPr>
                <w:rFonts w:ascii="Arial" w:hAnsi="Arial"/>
                <w:sz w:val="15"/>
              </w:rPr>
              <w:t xml:space="preserve">892</w:t>
            </w:r>
          </w:p>
        </w:tc>
        <w:tc>
          <w:tcPr>
            <w:tcW w:type="dxa" w:w="1426"/>
          </w:tcPr>
          <w:p>
            <w:pPr>
              <w:pStyle w:val="Compact"/>
              <w:spacing w:after="0" w:before="0" w:line="240" w:lineRule="auto"/>
              <w:jc w:val="right"/>
            </w:pPr>
            <w:r>
              <w:rPr>
                <w:rFonts w:ascii="Arial" w:hAnsi="Arial"/>
                <w:sz w:val="15"/>
              </w:rPr>
              <w:t xml:space="preserve">1,137</w:t>
            </w:r>
          </w:p>
        </w:tc>
        <w:tc>
          <w:tcPr>
            <w:tcW w:type="dxa" w:w="1426"/>
          </w:tcPr>
          <w:p>
            <w:pPr>
              <w:pStyle w:val="Compact"/>
              <w:spacing w:after="0" w:before="0" w:line="240" w:lineRule="auto"/>
              <w:jc w:val="right"/>
            </w:pPr>
            <w:r>
              <w:rPr>
                <w:rFonts w:ascii="Arial" w:hAnsi="Arial"/>
                <w:sz w:val="15"/>
              </w:rPr>
              <w:t xml:space="preserve">1,185</w:t>
            </w:r>
          </w:p>
        </w:tc>
        <w:tc>
          <w:tcPr>
            <w:tcW w:type="dxa" w:w="1426"/>
          </w:tcPr>
          <w:p>
            <w:pPr>
              <w:pStyle w:val="Compact"/>
              <w:spacing w:after="0" w:before="0" w:line="240" w:lineRule="auto"/>
              <w:jc w:val="right"/>
            </w:pPr>
            <w:r>
              <w:rPr>
                <w:rFonts w:ascii="Arial" w:hAnsi="Arial"/>
                <w:sz w:val="15"/>
              </w:rPr>
              <w:t xml:space="preserve">1,268</w:t>
            </w:r>
          </w:p>
        </w:tc>
      </w:tr>
      <w:tr>
        <w:trPr>
          <w:cantSplit/>
        </w:trPr>
        <w:tc>
          <w:tcPr>
            <w:tcW w:type="dxa" w:w="2943"/>
            <w:shd w:val="clear" w:color="auto" w:fill="F1F2F5"/>
          </w:tcPr>
          <w:p>
            <w:pPr>
              <w:pStyle w:val="Compact"/>
              <w:spacing w:after="0" w:before="0" w:line="240" w:lineRule="auto"/>
              <w:jc w:val="left"/>
            </w:pPr>
            <w:r>
              <w:rPr>
                <w:rFonts w:ascii="Arial" w:hAnsi="Arial"/>
                <w:sz w:val="15"/>
              </w:rPr>
              <w:t xml:space="preserve">OP margin</w:t>
            </w:r>
          </w:p>
        </w:tc>
        <w:tc>
          <w:tcPr>
            <w:tcW w:type="dxa" w:w="1372"/>
            <w:shd w:val="clear" w:color="auto" w:fill="F1F2F5"/>
          </w:tcPr>
          <w:p>
            <w:pPr>
              <w:pStyle w:val="Compact"/>
              <w:spacing w:after="0" w:before="0" w:line="240" w:lineRule="auto"/>
              <w:jc w:val="right"/>
            </w:pPr>
            <w:r>
              <w:rPr>
                <w:rFonts w:ascii="Arial" w:hAnsi="Arial"/>
                <w:sz w:val="15"/>
              </w:rPr>
              <w:t xml:space="preserve">5.9%</w:t>
            </w:r>
          </w:p>
        </w:tc>
        <w:tc>
          <w:tcPr>
            <w:tcW w:type="dxa" w:w="1384"/>
            <w:shd w:val="clear" w:color="auto" w:fill="F1F2F5"/>
          </w:tcPr>
          <w:p>
            <w:pPr>
              <w:pStyle w:val="Compact"/>
              <w:spacing w:after="0" w:before="0" w:line="240" w:lineRule="auto"/>
              <w:jc w:val="right"/>
            </w:pPr>
            <w:r>
              <w:rPr>
                <w:rFonts w:ascii="Arial" w:hAnsi="Arial"/>
                <w:sz w:val="15"/>
              </w:rPr>
              <w:t xml:space="preserve">5.8%</w:t>
            </w:r>
          </w:p>
        </w:tc>
        <w:tc>
          <w:tcPr>
            <w:tcW w:type="dxa" w:w="1426"/>
            <w:shd w:val="clear" w:color="auto" w:fill="F1F2F5"/>
          </w:tcPr>
          <w:p>
            <w:pPr>
              <w:pStyle w:val="Compact"/>
              <w:spacing w:after="0" w:before="0" w:line="240" w:lineRule="auto"/>
              <w:jc w:val="right"/>
            </w:pPr>
            <w:r>
              <w:rPr>
                <w:rFonts w:ascii="Arial" w:hAnsi="Arial"/>
                <w:sz w:val="15"/>
              </w:rPr>
              <w:t xml:space="preserve">7.4%</w:t>
            </w:r>
          </w:p>
        </w:tc>
        <w:tc>
          <w:tcPr>
            <w:tcW w:type="dxa" w:w="1426"/>
            <w:shd w:val="clear" w:color="auto" w:fill="F1F2F5"/>
          </w:tcPr>
          <w:p>
            <w:pPr>
              <w:pStyle w:val="Compact"/>
              <w:spacing w:after="0" w:before="0" w:line="240" w:lineRule="auto"/>
              <w:jc w:val="right"/>
            </w:pPr>
            <w:r>
              <w:rPr>
                <w:rFonts w:ascii="Arial" w:hAnsi="Arial"/>
                <w:sz w:val="15"/>
              </w:rPr>
              <w:t xml:space="preserve">7.6%</w:t>
            </w:r>
          </w:p>
        </w:tc>
        <w:tc>
          <w:tcPr>
            <w:tcW w:type="dxa" w:w="1426"/>
            <w:shd w:val="clear" w:color="auto" w:fill="F1F2F5"/>
          </w:tcPr>
          <w:p>
            <w:pPr>
              <w:pStyle w:val="Compact"/>
              <w:spacing w:after="0" w:before="0" w:line="240" w:lineRule="auto"/>
              <w:jc w:val="right"/>
            </w:pPr>
            <w:r>
              <w:rPr>
                <w:rFonts w:ascii="Arial" w:hAnsi="Arial"/>
                <w:sz w:val="15"/>
              </w:rPr>
              <w:t xml:space="preserve">7.9%</w:t>
            </w:r>
          </w:p>
        </w:tc>
      </w:tr>
      <w:tr>
        <w:trPr>
          <w:cantSplit/>
        </w:trPr>
        <w:tc>
          <w:tcPr>
            <w:tcW w:type="dxa" w:w="2943"/>
          </w:tcPr>
          <w:p>
            <w:pPr>
              <w:pStyle w:val="Compact"/>
              <w:spacing w:after="0" w:before="0" w:line="240" w:lineRule="auto"/>
              <w:jc w:val="left"/>
            </w:pPr>
            <w:r>
              <w:rPr>
                <w:rFonts w:ascii="Arial" w:hAnsi="Arial"/>
                <w:sz w:val="15"/>
              </w:rPr>
              <w:t xml:space="preserve">Net income (to parent)</w:t>
            </w:r>
          </w:p>
        </w:tc>
        <w:tc>
          <w:tcPr>
            <w:tcW w:type="dxa" w:w="1372"/>
          </w:tcPr>
          <w:p>
            <w:pPr>
              <w:pStyle w:val="Compact"/>
              <w:spacing w:after="0" w:before="0" w:line="240" w:lineRule="auto"/>
              <w:jc w:val="right"/>
            </w:pPr>
            <w:r>
              <w:rPr>
                <w:rFonts w:ascii="Arial" w:hAnsi="Arial"/>
                <w:sz w:val="15"/>
              </w:rPr>
              <w:t xml:space="preserve">374</w:t>
            </w:r>
          </w:p>
        </w:tc>
        <w:tc>
          <w:tcPr>
            <w:tcW w:type="dxa" w:w="1384"/>
          </w:tcPr>
          <w:p>
            <w:pPr>
              <w:pStyle w:val="Compact"/>
              <w:spacing w:after="0" w:before="0" w:line="240" w:lineRule="auto"/>
              <w:jc w:val="right"/>
            </w:pPr>
            <w:r>
              <w:rPr>
                <w:rFonts w:ascii="Arial" w:hAnsi="Arial"/>
                <w:sz w:val="15"/>
              </w:rPr>
              <w:t xml:space="preserve">524</w:t>
            </w:r>
          </w:p>
        </w:tc>
        <w:tc>
          <w:tcPr>
            <w:tcW w:type="dxa" w:w="1426"/>
          </w:tcPr>
          <w:p>
            <w:pPr>
              <w:pStyle w:val="Compact"/>
              <w:spacing w:after="0" w:before="0" w:line="240" w:lineRule="auto"/>
              <w:jc w:val="right"/>
            </w:pPr>
            <w:r>
              <w:rPr>
                <w:rFonts w:ascii="Arial" w:hAnsi="Arial"/>
                <w:sz w:val="15"/>
              </w:rPr>
              <w:t xml:space="preserve">694</w:t>
            </w:r>
          </w:p>
        </w:tc>
        <w:tc>
          <w:tcPr>
            <w:tcW w:type="dxa" w:w="1426"/>
          </w:tcPr>
          <w:p>
            <w:pPr>
              <w:pStyle w:val="Compact"/>
              <w:spacing w:after="0" w:before="0" w:line="240" w:lineRule="auto"/>
              <w:jc w:val="right"/>
            </w:pPr>
            <w:r>
              <w:rPr>
                <w:rFonts w:ascii="Arial" w:hAnsi="Arial"/>
                <w:sz w:val="15"/>
              </w:rPr>
              <w:t xml:space="preserve">731</w:t>
            </w:r>
          </w:p>
        </w:tc>
        <w:tc>
          <w:tcPr>
            <w:tcW w:type="dxa" w:w="1426"/>
          </w:tcPr>
          <w:p>
            <w:pPr>
              <w:pStyle w:val="Compact"/>
              <w:spacing w:after="0" w:before="0" w:line="240" w:lineRule="auto"/>
              <w:jc w:val="right"/>
            </w:pPr>
            <w:r>
              <w:rPr>
                <w:rFonts w:ascii="Arial" w:hAnsi="Arial"/>
                <w:sz w:val="15"/>
              </w:rPr>
              <w:t xml:space="preserve">789</w:t>
            </w:r>
          </w:p>
        </w:tc>
      </w:tr>
      <w:tr>
        <w:trPr>
          <w:cantSplit/>
        </w:trPr>
        <w:tc>
          <w:tcPr>
            <w:tcW w:type="dxa" w:w="2943"/>
            <w:shd w:val="clear" w:color="auto" w:fill="F1F2F5"/>
          </w:tcPr>
          <w:p>
            <w:pPr>
              <w:pStyle w:val="Compact"/>
              <w:spacing w:after="0" w:before="0" w:line="240" w:lineRule="auto"/>
              <w:jc w:val="left"/>
            </w:pPr>
            <w:r>
              <w:rPr>
                <w:rFonts w:ascii="Arial" w:hAnsi="Arial"/>
                <w:sz w:val="15"/>
              </w:rPr>
              <w:t xml:space="preserve">EPS (KRW)</w:t>
            </w:r>
          </w:p>
        </w:tc>
        <w:tc>
          <w:tcPr>
            <w:tcW w:type="dxa" w:w="1372"/>
            <w:shd w:val="clear" w:color="auto" w:fill="F1F2F5"/>
          </w:tcPr>
          <w:p>
            <w:pPr>
              <w:pStyle w:val="Compact"/>
              <w:spacing w:after="0" w:before="0" w:line="240" w:lineRule="auto"/>
              <w:jc w:val="right"/>
            </w:pPr>
            <w:r>
              <w:rPr>
                <w:rFonts w:ascii="Arial" w:hAnsi="Arial"/>
                <w:sz w:val="15"/>
              </w:rPr>
              <w:t xml:space="preserve">871</w:t>
            </w:r>
          </w:p>
        </w:tc>
        <w:tc>
          <w:tcPr>
            <w:tcW w:type="dxa" w:w="1384"/>
            <w:shd w:val="clear" w:color="auto" w:fill="F1F2F5"/>
          </w:tcPr>
          <w:p>
            <w:pPr>
              <w:pStyle w:val="Compact"/>
              <w:spacing w:after="0" w:before="0" w:line="240" w:lineRule="auto"/>
              <w:jc w:val="right"/>
            </w:pPr>
            <w:r>
              <w:rPr>
                <w:rFonts w:ascii="Arial" w:hAnsi="Arial"/>
                <w:sz w:val="15"/>
              </w:rPr>
              <w:t xml:space="preserve">1,221</w:t>
            </w:r>
          </w:p>
        </w:tc>
        <w:tc>
          <w:tcPr>
            <w:tcW w:type="dxa" w:w="1426"/>
            <w:shd w:val="clear" w:color="auto" w:fill="F1F2F5"/>
          </w:tcPr>
          <w:p>
            <w:pPr>
              <w:pStyle w:val="Compact"/>
              <w:spacing w:after="0" w:before="0" w:line="240" w:lineRule="auto"/>
              <w:jc w:val="right"/>
            </w:pPr>
            <w:r>
              <w:rPr>
                <w:rFonts w:ascii="Arial" w:hAnsi="Arial"/>
                <w:sz w:val="15"/>
              </w:rPr>
              <w:t xml:space="preserve">1,641</w:t>
            </w:r>
          </w:p>
        </w:tc>
        <w:tc>
          <w:tcPr>
            <w:tcW w:type="dxa" w:w="1426"/>
            <w:shd w:val="clear" w:color="auto" w:fill="F1F2F5"/>
          </w:tcPr>
          <w:p>
            <w:pPr>
              <w:pStyle w:val="Compact"/>
              <w:spacing w:after="0" w:before="0" w:line="240" w:lineRule="auto"/>
              <w:jc w:val="right"/>
            </w:pPr>
            <w:r>
              <w:rPr>
                <w:rFonts w:ascii="Arial" w:hAnsi="Arial"/>
                <w:sz w:val="15"/>
              </w:rPr>
              <w:t xml:space="preserve">1,756</w:t>
            </w:r>
          </w:p>
        </w:tc>
        <w:tc>
          <w:tcPr>
            <w:tcW w:type="dxa" w:w="1426"/>
            <w:shd w:val="clear" w:color="auto" w:fill="F1F2F5"/>
          </w:tcPr>
          <w:p>
            <w:pPr>
              <w:pStyle w:val="Compact"/>
              <w:spacing w:after="0" w:before="0" w:line="240" w:lineRule="auto"/>
              <w:jc w:val="right"/>
            </w:pPr>
            <w:r>
              <w:rPr>
                <w:rFonts w:ascii="Arial" w:hAnsi="Arial"/>
                <w:sz w:val="15"/>
              </w:rPr>
              <w:t xml:space="preserve">1,927</w:t>
            </w:r>
          </w:p>
        </w:tc>
      </w:tr>
      <w:tr>
        <w:trPr>
          <w:cantSplit/>
        </w:trPr>
        <w:tc>
          <w:tcPr>
            <w:tcW w:type="dxa" w:w="2943"/>
          </w:tcPr>
          <w:p>
            <w:pPr>
              <w:pStyle w:val="Compact"/>
              <w:spacing w:after="0" w:before="0" w:line="240" w:lineRule="auto"/>
              <w:jc w:val="left"/>
            </w:pPr>
            <w:r>
              <w:rPr>
                <w:rFonts w:ascii="Arial" w:hAnsi="Arial"/>
                <w:sz w:val="15"/>
              </w:rPr>
              <w:t xml:space="preserve">Consensus EPS (KRW)</w:t>
            </w:r>
          </w:p>
        </w:tc>
        <w:tc>
          <w:tcPr>
            <w:tcW w:type="dxa" w:w="1372"/>
          </w:tcPr>
          <w:p>
            <w:pPr>
              <w:pStyle w:val="Compact"/>
              <w:spacing w:after="0" w:before="0" w:line="240" w:lineRule="auto"/>
              <w:jc w:val="right"/>
            </w:pPr>
            <w:r>
              <w:rPr>
                <w:rFonts w:ascii="Arial" w:hAnsi="Arial"/>
                <w:sz w:val="15"/>
              </w:rPr>
              <w:t xml:space="preserve">–</w:t>
            </w:r>
          </w:p>
        </w:tc>
        <w:tc>
          <w:tcPr>
            <w:tcW w:type="dxa" w:w="1384"/>
          </w:tcPr>
          <w:p>
            <w:pPr>
              <w:pStyle w:val="Compact"/>
              <w:spacing w:after="0" w:before="0" w:line="240" w:lineRule="auto"/>
              <w:jc w:val="right"/>
            </w:pPr>
            <w:r>
              <w:rPr>
                <w:rFonts w:ascii="Arial" w:hAnsi="Arial"/>
                <w:sz w:val="15"/>
              </w:rPr>
              <w:t xml:space="preserve">–</w:t>
            </w:r>
          </w:p>
        </w:tc>
        <w:tc>
          <w:tcPr>
            <w:tcW w:type="dxa" w:w="1426"/>
          </w:tcPr>
          <w:p>
            <w:pPr>
              <w:pStyle w:val="Compact"/>
              <w:spacing w:after="0" w:before="0" w:line="240" w:lineRule="auto"/>
              <w:jc w:val="right"/>
            </w:pPr>
            <w:r>
              <w:rPr>
                <w:rFonts w:ascii="Arial" w:hAnsi="Arial"/>
                <w:sz w:val="15"/>
              </w:rPr>
              <w:t xml:space="preserve">1,733</w:t>
            </w:r>
          </w:p>
        </w:tc>
        <w:tc>
          <w:tcPr>
            <w:tcW w:type="dxa" w:w="1426"/>
          </w:tcPr>
          <w:p>
            <w:pPr>
              <w:pStyle w:val="Compact"/>
              <w:spacing w:after="0" w:before="0" w:line="240" w:lineRule="auto"/>
              <w:jc w:val="right"/>
            </w:pPr>
            <w:r>
              <w:rPr>
                <w:rFonts w:ascii="Arial" w:hAnsi="Arial"/>
                <w:sz w:val="15"/>
              </w:rPr>
              <w:t xml:space="preserve">1,922</w:t>
            </w:r>
          </w:p>
        </w:tc>
        <w:tc>
          <w:tcPr>
            <w:tcW w:type="dxa" w:w="1426"/>
          </w:tcPr>
          <w:p>
            <w:pPr>
              <w:pStyle w:val="Compact"/>
              <w:spacing w:after="0" w:before="0" w:line="240" w:lineRule="auto"/>
              <w:jc w:val="right"/>
            </w:pPr>
            <w:r>
              <w:rPr>
                <w:rFonts w:ascii="Arial" w:hAnsi="Arial"/>
                <w:sz w:val="15"/>
              </w:rPr>
              <w:t xml:space="preserve">2,079</w:t>
            </w:r>
          </w:p>
        </w:tc>
      </w:tr>
      <w:tr>
        <w:trPr>
          <w:cantSplit/>
        </w:trPr>
        <w:tc>
          <w:tcPr>
            <w:tcW w:type="dxa" w:w="2943"/>
            <w:shd w:val="clear" w:color="auto" w:fill="F1F2F5"/>
          </w:tcPr>
          <w:p>
            <w:pPr>
              <w:pStyle w:val="Compact"/>
              <w:spacing w:after="0" w:before="0" w:line="240" w:lineRule="auto"/>
              <w:jc w:val="left"/>
            </w:pPr>
            <w:r>
              <w:rPr>
                <w:rFonts w:ascii="Arial" w:hAnsi="Arial"/>
                <w:sz w:val="15"/>
              </w:rPr>
              <w:t xml:space="preserve">Ours vs consensus</w:t>
            </w:r>
          </w:p>
        </w:tc>
        <w:tc>
          <w:tcPr>
            <w:tcW w:type="dxa" w:w="1372"/>
            <w:shd w:val="clear" w:color="auto" w:fill="F1F2F5"/>
          </w:tcPr>
          <w:p>
            <w:pPr>
              <w:pStyle w:val="Compact"/>
              <w:spacing w:after="0" w:before="0" w:line="240" w:lineRule="auto"/>
              <w:jc w:val="right"/>
            </w:pPr>
            <w:r>
              <w:rPr>
                <w:rFonts w:ascii="Arial" w:hAnsi="Arial"/>
                <w:sz w:val="15"/>
              </w:rPr>
              <w:t xml:space="preserve">–</w:t>
            </w:r>
          </w:p>
        </w:tc>
        <w:tc>
          <w:tcPr>
            <w:tcW w:type="dxa" w:w="1384"/>
            <w:shd w:val="clear" w:color="auto" w:fill="F1F2F5"/>
          </w:tcPr>
          <w:p>
            <w:pPr>
              <w:pStyle w:val="Compact"/>
              <w:spacing w:after="0" w:before="0" w:line="240" w:lineRule="auto"/>
              <w:jc w:val="right"/>
            </w:pPr>
            <w:r>
              <w:rPr>
                <w:rFonts w:ascii="Arial" w:hAnsi="Arial"/>
                <w:sz w:val="15"/>
              </w:rPr>
              <w:t xml:space="preserve">–</w:t>
            </w:r>
          </w:p>
        </w:tc>
        <w:tc>
          <w:tcPr>
            <w:tcW w:type="dxa" w:w="1426"/>
            <w:shd w:val="clear" w:color="auto" w:fill="F1F2F5"/>
          </w:tcPr>
          <w:p>
            <w:pPr>
              <w:pStyle w:val="Compact"/>
              <w:spacing w:after="0" w:before="0" w:line="240" w:lineRule="auto"/>
              <w:jc w:val="right"/>
            </w:pPr>
            <w:r>
              <w:rPr>
                <w:rFonts w:ascii="Arial" w:hAnsi="Arial"/>
                <w:sz w:val="15"/>
              </w:rPr>
              <w:t xml:space="preserve">-5%</w:t>
            </w:r>
          </w:p>
        </w:tc>
        <w:tc>
          <w:tcPr>
            <w:tcW w:type="dxa" w:w="1426"/>
            <w:shd w:val="clear" w:color="auto" w:fill="F1F2F5"/>
          </w:tcPr>
          <w:p>
            <w:pPr>
              <w:pStyle w:val="Compact"/>
              <w:spacing w:after="0" w:before="0" w:line="240" w:lineRule="auto"/>
              <w:jc w:val="right"/>
            </w:pPr>
            <w:r>
              <w:rPr>
                <w:rFonts w:ascii="Arial" w:hAnsi="Arial"/>
                <w:sz w:val="15"/>
              </w:rPr>
              <w:t xml:space="preserve">-9%</w:t>
            </w:r>
          </w:p>
        </w:tc>
        <w:tc>
          <w:tcPr>
            <w:tcW w:type="dxa" w:w="1426"/>
            <w:shd w:val="clear" w:color="auto" w:fill="F1F2F5"/>
          </w:tcPr>
          <w:p>
            <w:pPr>
              <w:pStyle w:val="Compact"/>
              <w:spacing w:after="0" w:before="0" w:line="240" w:lineRule="auto"/>
              <w:jc w:val="right"/>
            </w:pPr>
            <w:r>
              <w:rPr>
                <w:rFonts w:ascii="Arial" w:hAnsi="Arial"/>
                <w:sz w:val="15"/>
              </w:rPr>
              <w:t xml:space="preserve">-7%</w:t>
            </w:r>
          </w:p>
        </w:tc>
      </w:tr>
      <w:tr>
        <w:trPr>
          <w:cantSplit/>
        </w:trPr>
        <w:tc>
          <w:tcPr>
            <w:tcW w:type="dxa" w:w="2943"/>
          </w:tcPr>
          <w:p>
            <w:pPr>
              <w:pStyle w:val="Compact"/>
              <w:spacing w:after="0" w:before="0" w:line="240" w:lineRule="auto"/>
              <w:jc w:val="left"/>
            </w:pPr>
            <w:r>
              <w:rPr>
                <w:rFonts w:ascii="Arial" w:hAnsi="Arial"/>
                <w:sz w:val="15"/>
              </w:rPr>
              <w:t xml:space="preserve">DPS (KRW)</w:t>
            </w:r>
          </w:p>
        </w:tc>
        <w:tc>
          <w:tcPr>
            <w:tcW w:type="dxa" w:w="1372"/>
          </w:tcPr>
          <w:p>
            <w:pPr>
              <w:pStyle w:val="Compact"/>
              <w:spacing w:after="0" w:before="0" w:line="240" w:lineRule="auto"/>
              <w:jc w:val="right"/>
            </w:pPr>
            <w:r>
              <w:rPr>
                <w:rFonts w:ascii="Arial" w:hAnsi="Arial"/>
                <w:sz w:val="15"/>
              </w:rPr>
              <w:t xml:space="preserve">650</w:t>
            </w:r>
          </w:p>
        </w:tc>
        <w:tc>
          <w:tcPr>
            <w:tcW w:type="dxa" w:w="1384"/>
          </w:tcPr>
          <w:p>
            <w:pPr>
              <w:pStyle w:val="Compact"/>
              <w:spacing w:after="0" w:before="0" w:line="240" w:lineRule="auto"/>
              <w:jc w:val="right"/>
            </w:pPr>
            <w:r>
              <w:rPr>
                <w:rFonts w:ascii="Arial" w:hAnsi="Arial"/>
                <w:sz w:val="15"/>
              </w:rPr>
              <w:t xml:space="preserve">660</w:t>
            </w:r>
          </w:p>
        </w:tc>
        <w:tc>
          <w:tcPr>
            <w:tcW w:type="dxa" w:w="1426"/>
          </w:tcPr>
          <w:p>
            <w:pPr>
              <w:pStyle w:val="Compact"/>
              <w:spacing w:after="0" w:before="0" w:line="240" w:lineRule="auto"/>
              <w:jc w:val="right"/>
            </w:pPr>
            <w:r>
              <w:rPr>
                <w:rFonts w:ascii="Arial" w:hAnsi="Arial"/>
                <w:sz w:val="15"/>
              </w:rPr>
              <w:t xml:space="preserve">700</w:t>
            </w:r>
          </w:p>
        </w:tc>
        <w:tc>
          <w:tcPr>
            <w:tcW w:type="dxa" w:w="1426"/>
          </w:tcPr>
          <w:p>
            <w:pPr>
              <w:pStyle w:val="Compact"/>
              <w:spacing w:after="0" w:before="0" w:line="240" w:lineRule="auto"/>
              <w:jc w:val="right"/>
            </w:pPr>
            <w:r>
              <w:rPr>
                <w:rFonts w:ascii="Arial" w:hAnsi="Arial"/>
                <w:sz w:val="15"/>
              </w:rPr>
              <w:t xml:space="preserve">740</w:t>
            </w:r>
          </w:p>
        </w:tc>
        <w:tc>
          <w:tcPr>
            <w:tcW w:type="dxa" w:w="1426"/>
          </w:tcPr>
          <w:p>
            <w:pPr>
              <w:pStyle w:val="Compact"/>
              <w:spacing w:after="0" w:before="0" w:line="240" w:lineRule="auto"/>
              <w:jc w:val="right"/>
            </w:pPr>
            <w:r>
              <w:rPr>
                <w:rFonts w:ascii="Arial" w:hAnsi="Arial"/>
                <w:sz w:val="15"/>
              </w:rPr>
              <w:t xml:space="preserve">780</w:t>
            </w:r>
          </w:p>
        </w:tc>
      </w:tr>
      <w:tr>
        <w:trPr>
          <w:cantSplit/>
        </w:trPr>
        <w:tc>
          <w:tcPr>
            <w:tcW w:type="dxa" w:w="2943"/>
            <w:shd w:val="clear" w:color="auto" w:fill="F1F2F5"/>
          </w:tcPr>
          <w:p>
            <w:pPr>
              <w:pStyle w:val="Compact"/>
              <w:spacing w:after="0" w:before="0" w:line="240" w:lineRule="auto"/>
              <w:jc w:val="left"/>
            </w:pPr>
            <w:r>
              <w:rPr>
                <w:rFonts w:ascii="Arial" w:hAnsi="Arial"/>
                <w:sz w:val="15"/>
              </w:rPr>
              <w:t xml:space="preserve">P/E at KRW15,510</w:t>
            </w:r>
          </w:p>
        </w:tc>
        <w:tc>
          <w:tcPr>
            <w:tcW w:type="dxa" w:w="1372"/>
            <w:shd w:val="clear" w:color="auto" w:fill="F1F2F5"/>
          </w:tcPr>
          <w:p>
            <w:pPr>
              <w:pStyle w:val="Compact"/>
              <w:spacing w:after="0" w:before="0" w:line="240" w:lineRule="auto"/>
              <w:jc w:val="right"/>
            </w:pPr>
            <w:r>
              <w:rPr>
                <w:rFonts w:ascii="Arial" w:hAnsi="Arial"/>
                <w:sz w:val="15"/>
              </w:rPr>
              <w:t xml:space="preserve">17.8x</w:t>
            </w:r>
          </w:p>
        </w:tc>
        <w:tc>
          <w:tcPr>
            <w:tcW w:type="dxa" w:w="1384"/>
            <w:shd w:val="clear" w:color="auto" w:fill="F1F2F5"/>
          </w:tcPr>
          <w:p>
            <w:pPr>
              <w:pStyle w:val="Compact"/>
              <w:spacing w:after="0" w:before="0" w:line="240" w:lineRule="auto"/>
              <w:jc w:val="right"/>
            </w:pPr>
            <w:r>
              <w:rPr>
                <w:rFonts w:ascii="Arial" w:hAnsi="Arial"/>
                <w:sz w:val="15"/>
              </w:rPr>
              <w:t xml:space="preserve">12.7x</w:t>
            </w:r>
          </w:p>
        </w:tc>
        <w:tc>
          <w:tcPr>
            <w:tcW w:type="dxa" w:w="1426"/>
            <w:shd w:val="clear" w:color="auto" w:fill="F1F2F5"/>
          </w:tcPr>
          <w:p>
            <w:pPr>
              <w:pStyle w:val="Compact"/>
              <w:spacing w:after="0" w:before="0" w:line="240" w:lineRule="auto"/>
              <w:jc w:val="right"/>
            </w:pPr>
            <w:r>
              <w:rPr>
                <w:rFonts w:ascii="Arial" w:hAnsi="Arial"/>
                <w:sz w:val="15"/>
              </w:rPr>
              <w:t xml:space="preserve">9.5x</w:t>
            </w:r>
          </w:p>
        </w:tc>
        <w:tc>
          <w:tcPr>
            <w:tcW w:type="dxa" w:w="1426"/>
            <w:shd w:val="clear" w:color="auto" w:fill="F1F2F5"/>
          </w:tcPr>
          <w:p>
            <w:pPr>
              <w:pStyle w:val="Compact"/>
              <w:spacing w:after="0" w:before="0" w:line="240" w:lineRule="auto"/>
              <w:jc w:val="right"/>
            </w:pPr>
            <w:r>
              <w:rPr>
                <w:rFonts w:ascii="Arial" w:hAnsi="Arial"/>
                <w:sz w:val="15"/>
              </w:rPr>
              <w:t xml:space="preserve">8.8x</w:t>
            </w:r>
          </w:p>
        </w:tc>
        <w:tc>
          <w:tcPr>
            <w:tcW w:type="dxa" w:w="1426"/>
            <w:shd w:val="clear" w:color="auto" w:fill="F1F2F5"/>
          </w:tcPr>
          <w:p>
            <w:pPr>
              <w:pStyle w:val="Compact"/>
              <w:spacing w:after="0" w:before="0" w:line="240" w:lineRule="auto"/>
              <w:jc w:val="right"/>
            </w:pPr>
            <w:r>
              <w:rPr>
                <w:rFonts w:ascii="Arial" w:hAnsi="Arial"/>
                <w:sz w:val="15"/>
              </w:rPr>
              <w:t xml:space="preserve">8.0x</w:t>
            </w:r>
          </w:p>
        </w:tc>
      </w:tr>
    </w:tbl>
    <w:p>
      <w:pPr>
        <w:pStyle w:val="BodyText"/>
      </w:pPr>
      <w:r>
        <w:rPr>
          <w:iCs/>
          <w:i/>
        </w:rPr>
        <w:t xml:space="preserve">Actuals: S&amp;P Capital IQ, consolidated K-IFRS. Estimates: ours [e]. Consensus: S&amp;P Capital IQ, 16-Oct-2026. We are below consensus on earnings: we assume a higher tax rate (25% vs ~23%), recurring non-operating losses and less operating leverage. Our upside case therefore rests on asset value, not on an earnings beat.</w:t>
      </w:r>
    </w:p>
    <w:bookmarkEnd w:id="21"/>
    <w:bookmarkEnd w:id="22"/>
    <w:bookmarkStart w:id="23" w:name="a-laymans-guide-to-lg-uplus"/>
    <w:p>
      <w:pPr>
        <w:pStyle w:val="Heading1"/>
      </w:pPr>
      <w:r>
        <w:t xml:space="preserve">A layman’s guide to LG Uplus</w:t>
      </w:r>
    </w:p>
    <w:p>
      <w:pPr>
        <w:pStyle w:val="FirstParagraph"/>
      </w:pPr>
      <w:r>
        <w:rPr>
          <w:bCs/>
          <w:b/>
        </w:rPr>
        <w:t xml:space="preserve">What it is.</w:t>
      </w:r>
      <w:r>
        <w:t xml:space="preserve"> </w:t>
      </w:r>
      <w:r>
        <w:t xml:space="preserve">LG Uplus (</w:t>
      </w:r>
      <w:r>
        <w:t xml:space="preserve">“</w:t>
      </w:r>
      <w:r>
        <w:t xml:space="preserve">LG U+</w:t>
      </w:r>
      <w:r>
        <w:t xml:space="preserve">”</w:t>
      </w:r>
      <w:r>
        <w:t xml:space="preserve">) is South Korea’s third-largest mobile operator and one of its three big telecom companies, alongside SK Telecom and KT. It is controlled by LG Corp, the holding company of the LG Group. It sells phone plans, home internet and IPTV to households, and network, data-centre and AI services to businesses. Virtually all its revenue is earned in Korea.</w:t>
      </w:r>
    </w:p>
    <w:p>
      <w:pPr>
        <w:pStyle w:val="BodyText"/>
      </w:pPr>
      <w:r>
        <w:rPr>
          <w:bCs/>
          <w:b/>
        </w:rPr>
        <w:t xml:space="preserve">How it makes money.</w:t>
      </w:r>
      <w:r>
        <w:t xml:space="preserve"> </w:t>
      </w:r>
      <w:r>
        <w:t xml:space="preserve">Think of it as a toll road for data. LG Uplus spends heavily up front on licences to use radio spectrum, base stations, fibre and data centres. It then collects monthly subscriptions from millions of customers, mostly by automatic bank or card debit. Most costs are fixed (depreciation, network upkeep, staff), so each extra subscriber or price increase falls largely to profit. The main recurring variable cost is marketing: handset subsidies and commissions paid to the dealers who sign customers up. The company also sells handsets (mostly Samsung and Apple) at low margin, which inflates revenue but adds little profit.</w:t>
      </w:r>
    </w:p>
    <w:p>
      <w:pPr>
        <w:pStyle w:val="BodyText"/>
      </w:pPr>
      <w:r>
        <w:rPr>
          <w:bCs/>
          <w:b/>
        </w:rPr>
        <w:t xml:space="preserve">How each division contributes (FY2025).</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2368"/>
        <w:gridCol w:w="2612"/>
        <w:gridCol w:w="1124"/>
        <w:gridCol w:w="1032"/>
        <w:gridCol w:w="2840"/>
      </w:tblGrid>
      <w:tr>
        <w:trPr>
          <w:tblHeader w:val="true"/>
          <w:tblHeader w:val="true"/>
          <w:cantSplit/>
        </w:trPr>
        <w:tc>
          <w:tcPr>
            <w:tcW w:type="dxa" w:w="2368"/>
            <w:shd w:val="clear" w:color="auto" w:fill="13213F"/>
          </w:tcPr>
          <w:p>
            <w:pPr>
              <w:pStyle w:val="Compact"/>
              <w:spacing w:after="0" w:before="0" w:line="240" w:lineRule="auto"/>
              <w:jc w:val="left"/>
            </w:pPr>
            <w:r>
              <w:rPr>
                <w:rFonts w:ascii="Arial" w:hAnsi="Arial"/>
                <w:b/>
                <w:color w:val="FFFFFF"/>
                <w:sz w:val="15"/>
              </w:rPr>
              <w:t xml:space="preserve">Division</w:t>
            </w:r>
          </w:p>
        </w:tc>
        <w:tc>
          <w:tcPr>
            <w:tcW w:type="dxa" w:w="2613"/>
            <w:shd w:val="clear" w:color="auto" w:fill="13213F"/>
          </w:tcPr>
          <w:p>
            <w:pPr>
              <w:pStyle w:val="Compact"/>
              <w:spacing w:after="0" w:before="0" w:line="240" w:lineRule="auto"/>
              <w:jc w:val="left"/>
            </w:pPr>
            <w:r>
              <w:rPr>
                <w:rFonts w:ascii="Arial" w:hAnsi="Arial"/>
                <w:b/>
                <w:color w:val="FFFFFF"/>
                <w:sz w:val="15"/>
              </w:rPr>
              <w:t xml:space="preserve">What it sells</w:t>
            </w:r>
          </w:p>
        </w:tc>
        <w:tc>
          <w:tcPr>
            <w:tcW w:type="dxa" w:w="1124"/>
            <w:shd w:val="clear" w:color="auto" w:fill="13213F"/>
          </w:tcPr>
          <w:p>
            <w:pPr>
              <w:pStyle w:val="Compact"/>
              <w:spacing w:after="0" w:before="0" w:line="240" w:lineRule="auto"/>
              <w:jc w:val="right"/>
            </w:pPr>
            <w:r>
              <w:rPr>
                <w:rFonts w:ascii="Arial" w:hAnsi="Arial"/>
                <w:b/>
                <w:color w:val="FFFFFF"/>
                <w:sz w:val="15"/>
              </w:rPr>
              <w:t xml:space="preserve">FY25 revenue (KRW bn)</w:t>
            </w:r>
          </w:p>
        </w:tc>
        <w:tc>
          <w:tcPr>
            <w:tcW w:type="dxa" w:w="1032"/>
            <w:shd w:val="clear" w:color="auto" w:fill="13213F"/>
          </w:tcPr>
          <w:p>
            <w:pPr>
              <w:pStyle w:val="Compact"/>
              <w:spacing w:after="0" w:before="0" w:line="240" w:lineRule="auto"/>
              <w:jc w:val="right"/>
            </w:pPr>
            <w:r>
              <w:rPr>
                <w:rFonts w:ascii="Arial" w:hAnsi="Arial"/>
                <w:b/>
                <w:color w:val="FFFFFF"/>
                <w:sz w:val="15"/>
              </w:rPr>
              <w:t xml:space="preserve">Share of revenue</w:t>
            </w:r>
          </w:p>
        </w:tc>
        <w:tc>
          <w:tcPr>
            <w:tcW w:type="dxa" w:w="2841"/>
            <w:shd w:val="clear" w:color="auto" w:fill="13213F"/>
          </w:tcPr>
          <w:p>
            <w:pPr>
              <w:pStyle w:val="Compact"/>
              <w:spacing w:after="0" w:before="0" w:line="240" w:lineRule="auto"/>
              <w:jc w:val="left"/>
            </w:pPr>
            <w:r>
              <w:rPr>
                <w:rFonts w:ascii="Arial" w:hAnsi="Arial"/>
                <w:b/>
                <w:color w:val="FFFFFF"/>
                <w:sz w:val="15"/>
              </w:rPr>
              <w:t xml:space="preserve">Profit contribution and trend</w:t>
            </w:r>
          </w:p>
        </w:tc>
      </w:tr>
      <w:tr>
        <w:trPr>
          <w:cantSplit/>
        </w:trPr>
        <w:tc>
          <w:tcPr>
            <w:tcW w:type="dxa" w:w="2368"/>
          </w:tcPr>
          <w:p>
            <w:pPr>
              <w:pStyle w:val="Compact"/>
              <w:spacing w:after="0" w:before="0" w:line="240" w:lineRule="auto"/>
              <w:jc w:val="left"/>
            </w:pPr>
            <w:r>
              <w:rPr>
                <w:rFonts w:ascii="Arial" w:hAnsi="Arial"/>
                <w:sz w:val="15"/>
              </w:rPr>
              <w:t xml:space="preserve">Mobile service</w:t>
            </w:r>
          </w:p>
        </w:tc>
        <w:tc>
          <w:tcPr>
            <w:tcW w:type="dxa" w:w="2613"/>
          </w:tcPr>
          <w:p>
            <w:pPr>
              <w:pStyle w:val="Compact"/>
              <w:spacing w:after="0" w:before="0" w:line="240" w:lineRule="auto"/>
              <w:jc w:val="left"/>
            </w:pPr>
            <w:r>
              <w:rPr>
                <w:rFonts w:ascii="Arial" w:hAnsi="Arial"/>
                <w:sz w:val="15"/>
              </w:rPr>
              <w:t xml:space="preserve">Mobile plans (5G/LTE), roaming, IoT lines, wholesale to budget operators (MVNOs)</w:t>
            </w:r>
          </w:p>
        </w:tc>
        <w:tc>
          <w:tcPr>
            <w:tcW w:type="dxa" w:w="1124"/>
          </w:tcPr>
          <w:p>
            <w:pPr>
              <w:pStyle w:val="Compact"/>
              <w:spacing w:after="0" w:before="0" w:line="240" w:lineRule="auto"/>
              <w:jc w:val="right"/>
            </w:pPr>
            <w:r>
              <w:rPr>
                <w:rFonts w:ascii="Arial" w:hAnsi="Arial"/>
                <w:sz w:val="15"/>
              </w:rPr>
              <w:t xml:space="preserve">6,371</w:t>
            </w:r>
          </w:p>
        </w:tc>
        <w:tc>
          <w:tcPr>
            <w:tcW w:type="dxa" w:w="1032"/>
          </w:tcPr>
          <w:p>
            <w:pPr>
              <w:pStyle w:val="Compact"/>
              <w:spacing w:after="0" w:before="0" w:line="240" w:lineRule="auto"/>
              <w:jc w:val="right"/>
            </w:pPr>
            <w:r>
              <w:rPr>
                <w:rFonts w:ascii="Arial" w:hAnsi="Arial"/>
                <w:sz w:val="15"/>
              </w:rPr>
              <w:t xml:space="preserve">41%</w:t>
            </w:r>
          </w:p>
        </w:tc>
        <w:tc>
          <w:tcPr>
            <w:tcW w:type="dxa" w:w="2841"/>
          </w:tcPr>
          <w:p>
            <w:pPr>
              <w:pStyle w:val="Compact"/>
              <w:spacing w:after="0" w:before="0" w:line="240" w:lineRule="auto"/>
              <w:jc w:val="left"/>
            </w:pPr>
            <w:r>
              <w:rPr>
                <w:rFonts w:ascii="Arial" w:hAnsi="Arial"/>
                <w:sz w:val="15"/>
              </w:rPr>
              <w:t xml:space="preserve">The profit engine. Growing ~2–4% a year; 85% of handset users now on 5G.</w:t>
            </w:r>
          </w:p>
        </w:tc>
      </w:tr>
      <w:tr>
        <w:trPr>
          <w:cantSplit/>
        </w:trPr>
        <w:tc>
          <w:tcPr>
            <w:tcW w:type="dxa" w:w="2368"/>
            <w:shd w:val="clear" w:color="auto" w:fill="F1F2F5"/>
          </w:tcPr>
          <w:p>
            <w:pPr>
              <w:pStyle w:val="Compact"/>
              <w:spacing w:after="0" w:before="0" w:line="240" w:lineRule="auto"/>
              <w:jc w:val="left"/>
            </w:pPr>
            <w:r>
              <w:rPr>
                <w:rFonts w:ascii="Arial" w:hAnsi="Arial"/>
                <w:sz w:val="15"/>
              </w:rPr>
              <w:t xml:space="preserve">Smart Home</w:t>
            </w:r>
          </w:p>
        </w:tc>
        <w:tc>
          <w:tcPr>
            <w:tcW w:type="dxa" w:w="2613"/>
            <w:shd w:val="clear" w:color="auto" w:fill="F1F2F5"/>
          </w:tcPr>
          <w:p>
            <w:pPr>
              <w:pStyle w:val="Compact"/>
              <w:spacing w:after="0" w:before="0" w:line="240" w:lineRule="auto"/>
              <w:jc w:val="left"/>
            </w:pPr>
            <w:r>
              <w:rPr>
                <w:rFonts w:ascii="Arial" w:hAnsi="Arial"/>
                <w:sz w:val="15"/>
              </w:rPr>
              <w:t xml:space="preserve">IPTV (U+tv) and broadband internet</w:t>
            </w:r>
          </w:p>
        </w:tc>
        <w:tc>
          <w:tcPr>
            <w:tcW w:type="dxa" w:w="1124"/>
            <w:shd w:val="clear" w:color="auto" w:fill="F1F2F5"/>
          </w:tcPr>
          <w:p>
            <w:pPr>
              <w:pStyle w:val="Compact"/>
              <w:spacing w:after="0" w:before="0" w:line="240" w:lineRule="auto"/>
              <w:jc w:val="right"/>
            </w:pPr>
            <w:r>
              <w:rPr>
                <w:rFonts w:ascii="Arial" w:hAnsi="Arial"/>
                <w:sz w:val="15"/>
              </w:rPr>
              <w:t xml:space="preserve">2,590</w:t>
            </w:r>
          </w:p>
        </w:tc>
        <w:tc>
          <w:tcPr>
            <w:tcW w:type="dxa" w:w="1032"/>
            <w:shd w:val="clear" w:color="auto" w:fill="F1F2F5"/>
          </w:tcPr>
          <w:p>
            <w:pPr>
              <w:pStyle w:val="Compact"/>
              <w:spacing w:after="0" w:before="0" w:line="240" w:lineRule="auto"/>
              <w:jc w:val="right"/>
            </w:pPr>
            <w:r>
              <w:rPr>
                <w:rFonts w:ascii="Arial" w:hAnsi="Arial"/>
                <w:sz w:val="15"/>
              </w:rPr>
              <w:t xml:space="preserve">17%</w:t>
            </w:r>
          </w:p>
        </w:tc>
        <w:tc>
          <w:tcPr>
            <w:tcW w:type="dxa" w:w="2841"/>
            <w:shd w:val="clear" w:color="auto" w:fill="F1F2F5"/>
          </w:tcPr>
          <w:p>
            <w:pPr>
              <w:pStyle w:val="Compact"/>
              <w:spacing w:after="0" w:before="0" w:line="240" w:lineRule="auto"/>
              <w:jc w:val="left"/>
            </w:pPr>
            <w:r>
              <w:rPr>
                <w:rFonts w:ascii="Arial" w:hAnsi="Arial"/>
                <w:sz w:val="15"/>
              </w:rPr>
              <w:t xml:space="preserve">Steady +3–4% a year. Broadband growing, IPTV flat.</w:t>
            </w:r>
          </w:p>
        </w:tc>
      </w:tr>
      <w:tr>
        <w:trPr>
          <w:cantSplit/>
        </w:trPr>
        <w:tc>
          <w:tcPr>
            <w:tcW w:type="dxa" w:w="2368"/>
          </w:tcPr>
          <w:p>
            <w:pPr>
              <w:pStyle w:val="Compact"/>
              <w:spacing w:after="0" w:before="0" w:line="240" w:lineRule="auto"/>
              <w:jc w:val="left"/>
            </w:pPr>
            <w:r>
              <w:rPr>
                <w:rFonts w:ascii="Arial" w:hAnsi="Arial"/>
                <w:sz w:val="15"/>
              </w:rPr>
              <w:t xml:space="preserve">Enterprise infrastructure</w:t>
            </w:r>
          </w:p>
        </w:tc>
        <w:tc>
          <w:tcPr>
            <w:tcW w:type="dxa" w:w="2613"/>
          </w:tcPr>
          <w:p>
            <w:pPr>
              <w:pStyle w:val="Compact"/>
              <w:spacing w:after="0" w:before="0" w:line="240" w:lineRule="auto"/>
              <w:jc w:val="left"/>
            </w:pPr>
            <w:r>
              <w:rPr>
                <w:rFonts w:ascii="Arial" w:hAnsi="Arial"/>
                <w:sz w:val="15"/>
              </w:rPr>
              <w:t xml:space="preserve">Business lines, solutions, AI call centres, IDC/AI data centres</w:t>
            </w:r>
          </w:p>
        </w:tc>
        <w:tc>
          <w:tcPr>
            <w:tcW w:type="dxa" w:w="1124"/>
          </w:tcPr>
          <w:p>
            <w:pPr>
              <w:pStyle w:val="Compact"/>
              <w:spacing w:after="0" w:before="0" w:line="240" w:lineRule="auto"/>
              <w:jc w:val="right"/>
            </w:pPr>
            <w:r>
              <w:rPr>
                <w:rFonts w:ascii="Arial" w:hAnsi="Arial"/>
                <w:sz w:val="15"/>
              </w:rPr>
              <w:t xml:space="preserve">1,808</w:t>
            </w:r>
          </w:p>
        </w:tc>
        <w:tc>
          <w:tcPr>
            <w:tcW w:type="dxa" w:w="1032"/>
          </w:tcPr>
          <w:p>
            <w:pPr>
              <w:pStyle w:val="Compact"/>
              <w:spacing w:after="0" w:before="0" w:line="240" w:lineRule="auto"/>
              <w:jc w:val="right"/>
            </w:pPr>
            <w:r>
              <w:rPr>
                <w:rFonts w:ascii="Arial" w:hAnsi="Arial"/>
                <w:sz w:val="15"/>
              </w:rPr>
              <w:t xml:space="preserve">12%</w:t>
            </w:r>
          </w:p>
        </w:tc>
        <w:tc>
          <w:tcPr>
            <w:tcW w:type="dxa" w:w="2841"/>
          </w:tcPr>
          <w:p>
            <w:pPr>
              <w:pStyle w:val="Compact"/>
              <w:spacing w:after="0" w:before="0" w:line="240" w:lineRule="auto"/>
              <w:jc w:val="left"/>
            </w:pPr>
            <w:r>
              <w:rPr>
                <w:rFonts w:ascii="Arial" w:hAnsi="Arial"/>
                <w:sz w:val="15"/>
              </w:rPr>
              <w:t xml:space="preserve">The growth division. IDC/AIDC +18% in FY25 and +29% in 2Q26; the highest incremental returns.</w:t>
            </w:r>
          </w:p>
        </w:tc>
      </w:tr>
      <w:tr>
        <w:trPr>
          <w:cantSplit/>
        </w:trPr>
        <w:tc>
          <w:tcPr>
            <w:tcW w:type="dxa" w:w="2368"/>
            <w:shd w:val="clear" w:color="auto" w:fill="F1F2F5"/>
          </w:tcPr>
          <w:p>
            <w:pPr>
              <w:pStyle w:val="Compact"/>
              <w:spacing w:after="0" w:before="0" w:line="240" w:lineRule="auto"/>
              <w:jc w:val="left"/>
            </w:pPr>
            <w:r>
              <w:rPr>
                <w:rFonts w:ascii="Arial" w:hAnsi="Arial"/>
                <w:sz w:val="15"/>
              </w:rPr>
              <w:t xml:space="preserve">Telephony, interconnection, LG HelloVision and other</w:t>
            </w:r>
          </w:p>
        </w:tc>
        <w:tc>
          <w:tcPr>
            <w:tcW w:type="dxa" w:w="2613"/>
            <w:shd w:val="clear" w:color="auto" w:fill="F1F2F5"/>
          </w:tcPr>
          <w:p>
            <w:pPr>
              <w:pStyle w:val="Compact"/>
              <w:spacing w:after="0" w:before="0" w:line="240" w:lineRule="auto"/>
              <w:jc w:val="left"/>
            </w:pPr>
            <w:r>
              <w:rPr>
                <w:rFonts w:ascii="Arial" w:hAnsi="Arial"/>
                <w:sz w:val="15"/>
              </w:rPr>
              <w:t xml:space="preserve">Fixed voice, fees from other carriers, cable TV (58.6%-owned LG HelloVision)</w:t>
            </w:r>
          </w:p>
        </w:tc>
        <w:tc>
          <w:tcPr>
            <w:tcW w:type="dxa" w:w="1124"/>
            <w:shd w:val="clear" w:color="auto" w:fill="F1F2F5"/>
          </w:tcPr>
          <w:p>
            <w:pPr>
              <w:pStyle w:val="Compact"/>
              <w:spacing w:after="0" w:before="0" w:line="240" w:lineRule="auto"/>
              <w:jc w:val="right"/>
            </w:pPr>
            <w:r>
              <w:rPr>
                <w:rFonts w:ascii="Arial" w:hAnsi="Arial"/>
                <w:sz w:val="15"/>
              </w:rPr>
              <w:t xml:space="preserve">1,489</w:t>
            </w:r>
          </w:p>
        </w:tc>
        <w:tc>
          <w:tcPr>
            <w:tcW w:type="dxa" w:w="1032"/>
            <w:shd w:val="clear" w:color="auto" w:fill="F1F2F5"/>
          </w:tcPr>
          <w:p>
            <w:pPr>
              <w:pStyle w:val="Compact"/>
              <w:spacing w:after="0" w:before="0" w:line="240" w:lineRule="auto"/>
              <w:jc w:val="right"/>
            </w:pPr>
            <w:r>
              <w:rPr>
                <w:rFonts w:ascii="Arial" w:hAnsi="Arial"/>
                <w:sz w:val="15"/>
              </w:rPr>
              <w:t xml:space="preserve">10%</w:t>
            </w:r>
          </w:p>
        </w:tc>
        <w:tc>
          <w:tcPr>
            <w:tcW w:type="dxa" w:w="2841"/>
            <w:shd w:val="clear" w:color="auto" w:fill="F1F2F5"/>
          </w:tcPr>
          <w:p>
            <w:pPr>
              <w:pStyle w:val="Compact"/>
              <w:spacing w:after="0" w:before="0" w:line="240" w:lineRule="auto"/>
              <w:jc w:val="left"/>
            </w:pPr>
            <w:r>
              <w:rPr>
                <w:rFonts w:ascii="Arial" w:hAnsi="Arial"/>
                <w:sz w:val="15"/>
              </w:rPr>
              <w:t xml:space="preserve">Shrinking or flat. LG HelloVision is barely profitable.</w:t>
            </w:r>
          </w:p>
        </w:tc>
      </w:tr>
      <w:tr>
        <w:trPr>
          <w:cantSplit/>
        </w:trPr>
        <w:tc>
          <w:tcPr>
            <w:tcW w:type="dxa" w:w="2368"/>
          </w:tcPr>
          <w:p>
            <w:pPr>
              <w:pStyle w:val="Compact"/>
              <w:spacing w:after="0" w:before="0" w:line="240" w:lineRule="auto"/>
              <w:jc w:val="left"/>
            </w:pPr>
            <w:r>
              <w:rPr>
                <w:rFonts w:ascii="Arial" w:hAnsi="Arial"/>
                <w:sz w:val="15"/>
              </w:rPr>
              <w:t xml:space="preserve">Handset sales</w:t>
            </w:r>
          </w:p>
        </w:tc>
        <w:tc>
          <w:tcPr>
            <w:tcW w:type="dxa" w:w="2613"/>
          </w:tcPr>
          <w:p>
            <w:pPr>
              <w:pStyle w:val="Compact"/>
              <w:spacing w:after="0" w:before="0" w:line="240" w:lineRule="auto"/>
              <w:jc w:val="left"/>
            </w:pPr>
            <w:r>
              <w:rPr>
                <w:rFonts w:ascii="Arial" w:hAnsi="Arial"/>
                <w:sz w:val="15"/>
              </w:rPr>
              <w:t xml:space="preserve">Phones sold to subscribers</w:t>
            </w:r>
          </w:p>
        </w:tc>
        <w:tc>
          <w:tcPr>
            <w:tcW w:type="dxa" w:w="1124"/>
          </w:tcPr>
          <w:p>
            <w:pPr>
              <w:pStyle w:val="Compact"/>
              <w:spacing w:after="0" w:before="0" w:line="240" w:lineRule="auto"/>
              <w:jc w:val="right"/>
            </w:pPr>
            <w:r>
              <w:rPr>
                <w:rFonts w:ascii="Arial" w:hAnsi="Arial"/>
                <w:sz w:val="15"/>
              </w:rPr>
              <w:t xml:space="preserve">~3,194 [e]</w:t>
            </w:r>
          </w:p>
        </w:tc>
        <w:tc>
          <w:tcPr>
            <w:tcW w:type="dxa" w:w="1032"/>
          </w:tcPr>
          <w:p>
            <w:pPr>
              <w:pStyle w:val="Compact"/>
              <w:spacing w:after="0" w:before="0" w:line="240" w:lineRule="auto"/>
              <w:jc w:val="right"/>
            </w:pPr>
            <w:r>
              <w:rPr>
                <w:rFonts w:ascii="Arial" w:hAnsi="Arial"/>
                <w:sz w:val="15"/>
              </w:rPr>
              <w:t xml:space="preserve">21%</w:t>
            </w:r>
          </w:p>
        </w:tc>
        <w:tc>
          <w:tcPr>
            <w:tcW w:type="dxa" w:w="2841"/>
          </w:tcPr>
          <w:p>
            <w:pPr>
              <w:pStyle w:val="Compact"/>
              <w:spacing w:after="0" w:before="0" w:line="240" w:lineRule="auto"/>
              <w:jc w:val="left"/>
            </w:pPr>
            <w:r>
              <w:rPr>
                <w:rFonts w:ascii="Arial" w:hAnsi="Arial"/>
                <w:sz w:val="15"/>
              </w:rPr>
              <w:t xml:space="preserve">Low margin; swings with phone launch cycles.</w:t>
            </w:r>
          </w:p>
        </w:tc>
      </w:tr>
      <w:tr>
        <w:trPr>
          <w:cantSplit/>
        </w:trPr>
        <w:tc>
          <w:tcPr>
            <w:tcW w:type="dxa" w:w="2368"/>
            <w:shd w:val="clear" w:color="auto" w:fill="DCE4F2"/>
          </w:tcPr>
          <w:p>
            <w:pPr>
              <w:pStyle w:val="Compact"/>
              <w:spacing w:after="0" w:before="0" w:line="240" w:lineRule="auto"/>
              <w:jc w:val="left"/>
            </w:pPr>
            <w:r>
              <w:rPr>
                <w:bCs/>
                <w:rFonts w:ascii="Arial" w:hAnsi="Arial"/>
                <w:b/>
                <w:sz w:val="15"/>
              </w:rPr>
              <w:t xml:space="preserve">Total</w:t>
            </w:r>
          </w:p>
        </w:tc>
        <w:tc>
          <w:tcPr>
            <w:tcW w:type="dxa" w:w="2613"/>
            <w:shd w:val="clear" w:color="auto" w:fill="DCE4F2"/>
          </w:tcPr>
          <w:p>
            <w:pPr>
              <w:pStyle w:val="Compact"/>
              <w:spacing w:after="0" w:before="0" w:line="240" w:lineRule="auto"/>
            </w:pPr>
          </w:p>
        </w:tc>
        <w:tc>
          <w:tcPr>
            <w:tcW w:type="dxa" w:w="1124"/>
            <w:shd w:val="clear" w:color="auto" w:fill="DCE4F2"/>
          </w:tcPr>
          <w:p>
            <w:pPr>
              <w:pStyle w:val="Compact"/>
              <w:spacing w:after="0" w:before="0" w:line="240" w:lineRule="auto"/>
              <w:jc w:val="right"/>
            </w:pPr>
            <w:r>
              <w:rPr>
                <w:bCs/>
                <w:rFonts w:ascii="Arial" w:hAnsi="Arial"/>
                <w:b/>
                <w:sz w:val="15"/>
              </w:rPr>
              <w:t xml:space="preserve">15,452</w:t>
            </w:r>
          </w:p>
        </w:tc>
        <w:tc>
          <w:tcPr>
            <w:tcW w:type="dxa" w:w="1032"/>
            <w:shd w:val="clear" w:color="auto" w:fill="DCE4F2"/>
          </w:tcPr>
          <w:p>
            <w:pPr>
              <w:pStyle w:val="Compact"/>
              <w:spacing w:after="0" w:before="0" w:line="240" w:lineRule="auto"/>
              <w:jc w:val="right"/>
            </w:pPr>
            <w:r>
              <w:rPr>
                <w:bCs/>
                <w:rFonts w:ascii="Arial" w:hAnsi="Arial"/>
                <w:b/>
                <w:sz w:val="15"/>
              </w:rPr>
              <w:t xml:space="preserve">100%</w:t>
            </w:r>
          </w:p>
        </w:tc>
        <w:tc>
          <w:tcPr>
            <w:tcW w:type="dxa" w:w="2841"/>
            <w:shd w:val="clear" w:color="auto" w:fill="DCE4F2"/>
          </w:tcPr>
          <w:p>
            <w:pPr>
              <w:pStyle w:val="Compact"/>
              <w:spacing w:after="0" w:before="0" w:line="240" w:lineRule="auto"/>
              <w:jc w:val="left"/>
            </w:pPr>
            <w:r>
              <w:rPr>
                <w:bCs/>
                <w:rFonts w:ascii="Arial" w:hAnsi="Arial"/>
                <w:b/>
                <w:sz w:val="15"/>
              </w:rPr>
              <w:t xml:space="preserve">EBITDA KRW3.59tn (23.2%); operating profit KRW892bn (5.8%)</w:t>
            </w:r>
          </w:p>
        </w:tc>
      </w:tr>
    </w:tbl>
    <w:p>
      <w:pPr>
        <w:pStyle w:val="BodyText"/>
      </w:pPr>
      <w:r>
        <w:rPr>
          <w:iCs/>
          <w:i/>
        </w:rPr>
        <w:t xml:space="preserve">Source: company Q4-25 earnings call and DART product tables; handset figure derived as total minus service revenue [e]. Service lines are on the standalone management basis, so rows are indicative.</w:t>
      </w:r>
    </w:p>
    <w:p>
      <w:pPr>
        <w:pStyle w:val="BodyText"/>
      </w:pPr>
      <w:r>
        <w:rPr>
          <w:bCs/>
          <w:b/>
        </w:rPr>
        <w:t xml:space="preserve">In one sentence:</w:t>
      </w:r>
      <w:r>
        <w:t xml:space="preserve"> </w:t>
      </w:r>
      <w:r>
        <w:t xml:space="preserve">LG Uplus is a cash-generative, regulated, three-player utility. Its value hinges on keeping its ~20% handset share, holding marketing at ~20% of service revenue, and turning a fast-growing data-centre business into something the market will pay for.</w:t>
      </w:r>
    </w:p>
    <w:bookmarkEnd w:id="23"/>
    <w:bookmarkStart w:id="30" w:name="X9ac7dda3f4a0dd19cd69c932fcd0c0751a05c59"/>
    <w:p>
      <w:pPr>
        <w:pStyle w:val="Heading1"/>
      </w:pPr>
      <w:r>
        <w:t xml:space="preserve">Business model, products, customers, suppliers and competitors</w:t>
      </w:r>
    </w:p>
    <w:bookmarkStart w:id="24" w:name="business-model-in-simple-terms"/>
    <w:p>
      <w:pPr>
        <w:pStyle w:val="Heading2"/>
      </w:pPr>
      <w:r>
        <w:t xml:space="preserve">Business model in simple terms</w:t>
      </w:r>
    </w:p>
    <w:p>
      <w:pPr>
        <w:numPr>
          <w:ilvl w:val="0"/>
          <w:numId w:val="1004"/>
        </w:numPr>
        <w:pStyle w:val="Compact"/>
      </w:pPr>
      <w:r>
        <w:rPr>
          <w:bCs/>
          <w:b/>
        </w:rPr>
        <w:t xml:space="preserve">Recurring subscriptions (~79% of revenue).</w:t>
      </w:r>
      <w:r>
        <w:t xml:space="preserve"> </w:t>
      </w:r>
      <w:r>
        <w:t xml:space="preserve">These are monthly fees for mobile, broadband and IPTV, typically sold on 24-month contracts. Customers choose between a handset subsidy or a 25% tariff discount (the</w:t>
      </w:r>
      <w:r>
        <w:t xml:space="preserve"> </w:t>
      </w:r>
      <w:r>
        <w:t xml:space="preserve">“</w:t>
      </w:r>
      <w:r>
        <w:t xml:space="preserve">selective agreement</w:t>
      </w:r>
      <w:r>
        <w:t xml:space="preserve">”</w:t>
      </w:r>
      <w:r>
        <w:t xml:space="preserve"> </w:t>
      </w:r>
      <w:r>
        <w:t xml:space="preserve">discount) [u: industry practice]. Bundles (mobile + broadband + IPTV) raise switching costs.</w:t>
      </w:r>
    </w:p>
    <w:p>
      <w:pPr>
        <w:numPr>
          <w:ilvl w:val="0"/>
          <w:numId w:val="1004"/>
        </w:numPr>
        <w:pStyle w:val="Compact"/>
      </w:pPr>
      <w:r>
        <w:rPr>
          <w:bCs/>
          <w:b/>
        </w:rPr>
        <w:t xml:space="preserve">Handset resale (~21% of revenue).</w:t>
      </w:r>
      <w:r>
        <w:t xml:space="preserve"> </w:t>
      </w:r>
      <w:r>
        <w:t xml:space="preserve">Phones are sold for cash or on 24/36-month instalments. LG Uplus regularly sells the instalment receivables to securitisation vehicles (</w:t>
      </w:r>
      <w:r>
        <w:t xml:space="preserve">“</w:t>
      </w:r>
      <w:r>
        <w:t xml:space="preserve">U+5G No. xx</w:t>
      </w:r>
      <w:r>
        <w:t xml:space="preserve">”</w:t>
      </w:r>
      <w:r>
        <w:t xml:space="preserve">). The latest was No. 88 in Aug-2026 for KRW239.9bn, and the programme runs at about KRW1.5tn a year [e].</w:t>
      </w:r>
    </w:p>
    <w:p>
      <w:pPr>
        <w:numPr>
          <w:ilvl w:val="0"/>
          <w:numId w:val="1004"/>
        </w:numPr>
        <w:pStyle w:val="Compact"/>
      </w:pPr>
      <w:r>
        <w:rPr>
          <w:bCs/>
          <w:b/>
        </w:rPr>
        <w:t xml:space="preserve">Enterprise and wholesale.</w:t>
      </w:r>
      <w:r>
        <w:t xml:space="preserve"> </w:t>
      </w:r>
      <w:r>
        <w:t xml:space="preserve">This covers leased lines, solutions, AI contact-centre (AICC) software and colocation. AIDC revenue has two parts: space rental, where unit prices are rising, and electricity passed through on usage. LG Uplus also hosts ~9.0m budget-operator (MVNO) lines on its network and earns interconnection fees from SK Telecom and KT.</w:t>
      </w:r>
    </w:p>
    <w:bookmarkEnd w:id="24"/>
    <w:bookmarkStart w:id="25" w:name="key-products-and-services"/>
    <w:p>
      <w:pPr>
        <w:pStyle w:val="Heading2"/>
      </w:pPr>
      <w:r>
        <w:t xml:space="preserve">Key products and services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2118"/>
        <w:gridCol w:w="4283"/>
        <w:gridCol w:w="3576"/>
      </w:tblGrid>
      <w:tr>
        <w:trPr>
          <w:tblHeader w:val="true"/>
          <w:tblHeader w:val="true"/>
          <w:cantSplit/>
        </w:trPr>
        <w:tc>
          <w:tcPr>
            <w:tcW w:type="dxa" w:w="2118"/>
            <w:shd w:val="clear" w:color="auto" w:fill="13213F"/>
          </w:tcPr>
          <w:p>
            <w:pPr>
              <w:pStyle w:val="Compact"/>
              <w:spacing w:after="0" w:before="0" w:line="240" w:lineRule="auto"/>
              <w:jc w:val="left"/>
            </w:pPr>
            <w:r>
              <w:rPr>
                <w:rFonts w:ascii="Arial" w:hAnsi="Arial"/>
                <w:b/>
                <w:color w:val="FFFFFF"/>
                <w:sz w:val="15"/>
              </w:rPr>
              <w:t xml:space="preserve">Product / service</w:t>
            </w:r>
          </w:p>
        </w:tc>
        <w:tc>
          <w:tcPr>
            <w:tcW w:type="dxa" w:w="4284"/>
            <w:shd w:val="clear" w:color="auto" w:fill="13213F"/>
          </w:tcPr>
          <w:p>
            <w:pPr>
              <w:pStyle w:val="Compact"/>
              <w:spacing w:after="0" w:before="0" w:line="240" w:lineRule="auto"/>
              <w:jc w:val="left"/>
            </w:pPr>
            <w:r>
              <w:rPr>
                <w:rFonts w:ascii="Arial" w:hAnsi="Arial"/>
                <w:b/>
                <w:color w:val="FFFFFF"/>
                <w:sz w:val="15"/>
              </w:rPr>
              <w:t xml:space="preserve">Description</w:t>
            </w:r>
          </w:p>
        </w:tc>
        <w:tc>
          <w:tcPr>
            <w:tcW w:type="dxa" w:w="3576"/>
            <w:shd w:val="clear" w:color="auto" w:fill="13213F"/>
          </w:tcPr>
          <w:p>
            <w:pPr>
              <w:pStyle w:val="Compact"/>
              <w:spacing w:after="0" w:before="0" w:line="240" w:lineRule="auto"/>
              <w:jc w:val="left"/>
            </w:pPr>
            <w:r>
              <w:rPr>
                <w:rFonts w:ascii="Arial" w:hAnsi="Arial"/>
                <w:b/>
                <w:color w:val="FFFFFF"/>
                <w:sz w:val="15"/>
              </w:rPr>
              <w:t xml:space="preserve">Scale (latest)</w:t>
            </w:r>
          </w:p>
        </w:tc>
      </w:tr>
      <w:tr>
        <w:trPr>
          <w:cantSplit/>
        </w:trPr>
        <w:tc>
          <w:tcPr>
            <w:tcW w:type="dxa" w:w="2118"/>
          </w:tcPr>
          <w:p>
            <w:pPr>
              <w:pStyle w:val="Compact"/>
              <w:spacing w:after="0" w:before="0" w:line="240" w:lineRule="auto"/>
              <w:jc w:val="left"/>
            </w:pPr>
            <w:r>
              <w:rPr>
                <w:rFonts w:ascii="Arial" w:hAnsi="Arial"/>
                <w:sz w:val="15"/>
              </w:rPr>
              <w:t xml:space="preserve">Mobile (MNO)</w:t>
            </w:r>
          </w:p>
        </w:tc>
        <w:tc>
          <w:tcPr>
            <w:tcW w:type="dxa" w:w="4284"/>
          </w:tcPr>
          <w:p>
            <w:pPr>
              <w:pStyle w:val="Compact"/>
              <w:spacing w:after="0" w:before="0" w:line="240" w:lineRule="auto"/>
              <w:jc w:val="left"/>
            </w:pPr>
            <w:r>
              <w:rPr>
                <w:rFonts w:ascii="Arial" w:hAnsi="Arial"/>
                <w:sz w:val="15"/>
              </w:rPr>
              <w:t xml:space="preserve">5G/LTE plans under U+,</w:t>
            </w:r>
            <w:r>
              <w:rPr>
                <w:rFonts w:ascii="Arial" w:hAnsi="Arial"/>
                <w:sz w:val="15"/>
              </w:rPr>
              <w:t xml:space="preserve"> </w:t>
            </w:r>
            <w:r>
              <w:rPr>
                <w:rFonts w:ascii="Arial" w:hAnsi="Arial"/>
                <w:sz w:val="15"/>
              </w:rPr>
              <w:t xml:space="preserve">“</w:t>
            </w:r>
            <w:r>
              <w:rPr>
                <w:rFonts w:ascii="Arial" w:hAnsi="Arial"/>
                <w:sz w:val="15"/>
              </w:rPr>
              <w:t xml:space="preserve">Simply 2.0</w:t>
            </w:r>
            <w:r>
              <w:rPr>
                <w:rFonts w:ascii="Arial" w:hAnsi="Arial"/>
                <w:sz w:val="15"/>
              </w:rPr>
              <w:t xml:space="preserve">”</w:t>
            </w:r>
            <w:r>
              <w:rPr>
                <w:rFonts w:ascii="Arial" w:hAnsi="Arial"/>
                <w:sz w:val="15"/>
              </w:rPr>
              <w:t xml:space="preserve"> </w:t>
            </w:r>
            <w:r>
              <w:rPr>
                <w:rFonts w:ascii="Arial" w:hAnsi="Arial"/>
                <w:sz w:val="15"/>
              </w:rPr>
              <w:t xml:space="preserve">tariff simplification (53 plans cut to 17–18)</w:t>
            </w:r>
          </w:p>
        </w:tc>
        <w:tc>
          <w:tcPr>
            <w:tcW w:type="dxa" w:w="3576"/>
          </w:tcPr>
          <w:p>
            <w:pPr>
              <w:pStyle w:val="Compact"/>
              <w:spacing w:after="0" w:before="0" w:line="240" w:lineRule="auto"/>
              <w:jc w:val="left"/>
            </w:pPr>
            <w:r>
              <w:rPr>
                <w:rFonts w:ascii="Arial" w:hAnsi="Arial"/>
                <w:sz w:val="15"/>
              </w:rPr>
              <w:t xml:space="preserve">22.4m MNO lines, of which ~11m handsets [e]; 84.9% 5G penetration; 31.5m total lines including MVNO (2Q26)</w:t>
            </w:r>
          </w:p>
        </w:tc>
      </w:tr>
      <w:tr>
        <w:trPr>
          <w:cantSplit/>
        </w:trPr>
        <w:tc>
          <w:tcPr>
            <w:tcW w:type="dxa" w:w="2118"/>
            <w:shd w:val="clear" w:color="auto" w:fill="F1F2F5"/>
          </w:tcPr>
          <w:p>
            <w:pPr>
              <w:pStyle w:val="Compact"/>
              <w:spacing w:after="0" w:before="0" w:line="240" w:lineRule="auto"/>
              <w:jc w:val="left"/>
            </w:pPr>
            <w:r>
              <w:rPr>
                <w:rFonts w:ascii="Arial" w:hAnsi="Arial"/>
                <w:sz w:val="15"/>
              </w:rPr>
              <w:t xml:space="preserve">MVNO hosting</w:t>
            </w:r>
          </w:p>
        </w:tc>
        <w:tc>
          <w:tcPr>
            <w:tcW w:type="dxa" w:w="4284"/>
            <w:shd w:val="clear" w:color="auto" w:fill="F1F2F5"/>
          </w:tcPr>
          <w:p>
            <w:pPr>
              <w:pStyle w:val="Compact"/>
              <w:spacing w:after="0" w:before="0" w:line="240" w:lineRule="auto"/>
              <w:jc w:val="left"/>
            </w:pPr>
            <w:r>
              <w:rPr>
                <w:rFonts w:ascii="Arial" w:hAnsi="Arial"/>
                <w:sz w:val="15"/>
              </w:rPr>
              <w:t xml:space="preserve">Wholesale access for U+ Mobile (Media Log), Hello Mobile (LGHV), KB Liiv M, Toss Mobile and others</w:t>
            </w:r>
          </w:p>
        </w:tc>
        <w:tc>
          <w:tcPr>
            <w:tcW w:type="dxa" w:w="3576"/>
            <w:shd w:val="clear" w:color="auto" w:fill="F1F2F5"/>
          </w:tcPr>
          <w:p>
            <w:pPr>
              <w:pStyle w:val="Compact"/>
              <w:spacing w:after="0" w:before="0" w:line="240" w:lineRule="auto"/>
              <w:jc w:val="left"/>
            </w:pPr>
            <w:r>
              <w:rPr>
                <w:rFonts w:ascii="Arial" w:hAnsi="Arial"/>
                <w:sz w:val="15"/>
              </w:rPr>
              <w:t xml:space="preserve">9.0m hosted lines</w:t>
            </w:r>
          </w:p>
        </w:tc>
      </w:tr>
      <w:tr>
        <w:trPr>
          <w:cantSplit/>
        </w:trPr>
        <w:tc>
          <w:tcPr>
            <w:tcW w:type="dxa" w:w="2118"/>
          </w:tcPr>
          <w:p>
            <w:pPr>
              <w:pStyle w:val="Compact"/>
              <w:spacing w:after="0" w:before="0" w:line="240" w:lineRule="auto"/>
              <w:jc w:val="left"/>
            </w:pPr>
            <w:r>
              <w:rPr>
                <w:rFonts w:ascii="Arial" w:hAnsi="Arial"/>
                <w:sz w:val="15"/>
              </w:rPr>
              <w:t xml:space="preserve">Smart Home</w:t>
            </w:r>
          </w:p>
        </w:tc>
        <w:tc>
          <w:tcPr>
            <w:tcW w:type="dxa" w:w="4284"/>
          </w:tcPr>
          <w:p>
            <w:pPr>
              <w:pStyle w:val="Compact"/>
              <w:spacing w:after="0" w:before="0" w:line="240" w:lineRule="auto"/>
              <w:jc w:val="left"/>
            </w:pPr>
            <w:r>
              <w:rPr>
                <w:rFonts w:ascii="Arial" w:hAnsi="Arial"/>
                <w:sz w:val="15"/>
              </w:rPr>
              <w:t xml:space="preserve">U+tv IPTV (Netflix, Disney+ and TVING integrations); gigabit broadband</w:t>
            </w:r>
          </w:p>
        </w:tc>
        <w:tc>
          <w:tcPr>
            <w:tcW w:type="dxa" w:w="3576"/>
          </w:tcPr>
          <w:p>
            <w:pPr>
              <w:pStyle w:val="Compact"/>
              <w:spacing w:after="0" w:before="0" w:line="240" w:lineRule="auto"/>
              <w:jc w:val="left"/>
            </w:pPr>
            <w:r>
              <w:rPr>
                <w:rFonts w:ascii="Arial" w:hAnsi="Arial"/>
                <w:sz w:val="15"/>
              </w:rPr>
              <w:t xml:space="preserve">IPTV 5.76m; broadband 5.64m subscribers (1Q26)</w:t>
            </w:r>
          </w:p>
        </w:tc>
      </w:tr>
      <w:tr>
        <w:trPr>
          <w:cantSplit/>
        </w:trPr>
        <w:tc>
          <w:tcPr>
            <w:tcW w:type="dxa" w:w="2118"/>
            <w:shd w:val="clear" w:color="auto" w:fill="F1F2F5"/>
          </w:tcPr>
          <w:p>
            <w:pPr>
              <w:pStyle w:val="Compact"/>
              <w:spacing w:after="0" w:before="0" w:line="240" w:lineRule="auto"/>
              <w:jc w:val="left"/>
            </w:pPr>
            <w:r>
              <w:rPr>
                <w:rFonts w:ascii="Arial" w:hAnsi="Arial"/>
                <w:sz w:val="15"/>
              </w:rPr>
              <w:t xml:space="preserve">Enterprise infrastructure</w:t>
            </w:r>
          </w:p>
        </w:tc>
        <w:tc>
          <w:tcPr>
            <w:tcW w:type="dxa" w:w="4284"/>
            <w:shd w:val="clear" w:color="auto" w:fill="F1F2F5"/>
          </w:tcPr>
          <w:p>
            <w:pPr>
              <w:pStyle w:val="Compact"/>
              <w:spacing w:after="0" w:before="0" w:line="240" w:lineRule="auto"/>
              <w:jc w:val="left"/>
            </w:pPr>
            <w:r>
              <w:rPr>
                <w:rFonts w:ascii="Arial" w:hAnsi="Arial"/>
                <w:sz w:val="15"/>
              </w:rPr>
              <w:t xml:space="preserve">Leased lines, solutions, AICC, IDC/AIDC (Pyeongchon, Gasan DBO, Paju)</w:t>
            </w:r>
          </w:p>
        </w:tc>
        <w:tc>
          <w:tcPr>
            <w:tcW w:type="dxa" w:w="3576"/>
            <w:shd w:val="clear" w:color="auto" w:fill="F1F2F5"/>
          </w:tcPr>
          <w:p>
            <w:pPr>
              <w:pStyle w:val="Compact"/>
              <w:spacing w:after="0" w:before="0" w:line="240" w:lineRule="auto"/>
              <w:jc w:val="left"/>
            </w:pPr>
            <w:r>
              <w:rPr>
                <w:rFonts w:ascii="Arial" w:hAnsi="Arial"/>
                <w:sz w:val="15"/>
              </w:rPr>
              <w:t xml:space="preserve">KRW464bn revenue in 2Q26 (+8.6%), of which AIDC KRW124bn (+28.9%)</w:t>
            </w:r>
          </w:p>
        </w:tc>
      </w:tr>
      <w:tr>
        <w:trPr>
          <w:cantSplit/>
        </w:trPr>
        <w:tc>
          <w:tcPr>
            <w:tcW w:type="dxa" w:w="2118"/>
          </w:tcPr>
          <w:p>
            <w:pPr>
              <w:pStyle w:val="Compact"/>
              <w:spacing w:after="0" w:before="0" w:line="240" w:lineRule="auto"/>
              <w:jc w:val="left"/>
            </w:pPr>
            <w:r>
              <w:rPr>
                <w:rFonts w:ascii="Arial" w:hAnsi="Arial"/>
                <w:sz w:val="15"/>
              </w:rPr>
              <w:t xml:space="preserve">AI services</w:t>
            </w:r>
          </w:p>
        </w:tc>
        <w:tc>
          <w:tcPr>
            <w:tcW w:type="dxa" w:w="4284"/>
          </w:tcPr>
          <w:p>
            <w:pPr>
              <w:pStyle w:val="Compact"/>
              <w:spacing w:after="0" w:before="0" w:line="240" w:lineRule="auto"/>
              <w:jc w:val="left"/>
            </w:pPr>
            <w:r>
              <w:rPr>
                <w:rFonts w:ascii="Arial" w:hAnsi="Arial"/>
                <w:sz w:val="15"/>
              </w:rPr>
              <w:t xml:space="preserve">ixi-O on-device AI call agent (voice-phishing detection, call summaries; Google Gemini); ixi-GEN sLLM on LG’s Exaone</w:t>
            </w:r>
          </w:p>
        </w:tc>
        <w:tc>
          <w:tcPr>
            <w:tcW w:type="dxa" w:w="3576"/>
          </w:tcPr>
          <w:p>
            <w:pPr>
              <w:pStyle w:val="Compact"/>
              <w:spacing w:after="0" w:before="0" w:line="240" w:lineRule="auto"/>
              <w:jc w:val="left"/>
            </w:pPr>
            <w:r>
              <w:rPr>
                <w:rFonts w:ascii="Arial" w:hAnsi="Arial"/>
                <w:sz w:val="15"/>
              </w:rPr>
              <w:t xml:space="preserve">ixi-O &gt;1m users (FY25); AICC revenue +30% in FY25</w:t>
            </w:r>
          </w:p>
        </w:tc>
      </w:tr>
      <w:tr>
        <w:trPr>
          <w:cantSplit/>
        </w:trPr>
        <w:tc>
          <w:tcPr>
            <w:tcW w:type="dxa" w:w="2118"/>
            <w:shd w:val="clear" w:color="auto" w:fill="F1F2F5"/>
          </w:tcPr>
          <w:p>
            <w:pPr>
              <w:pStyle w:val="Compact"/>
              <w:spacing w:after="0" w:before="0" w:line="240" w:lineRule="auto"/>
              <w:jc w:val="left"/>
            </w:pPr>
            <w:r>
              <w:rPr>
                <w:rFonts w:ascii="Arial" w:hAnsi="Arial"/>
                <w:sz w:val="15"/>
              </w:rPr>
              <w:t xml:space="preserve">LG HelloVision (58.6%)</w:t>
            </w:r>
          </w:p>
        </w:tc>
        <w:tc>
          <w:tcPr>
            <w:tcW w:type="dxa" w:w="4284"/>
            <w:shd w:val="clear" w:color="auto" w:fill="F1F2F5"/>
          </w:tcPr>
          <w:p>
            <w:pPr>
              <w:pStyle w:val="Compact"/>
              <w:spacing w:after="0" w:before="0" w:line="240" w:lineRule="auto"/>
              <w:jc w:val="left"/>
            </w:pPr>
            <w:r>
              <w:rPr>
                <w:rFonts w:ascii="Arial" w:hAnsi="Arial"/>
                <w:sz w:val="15"/>
              </w:rPr>
              <w:t xml:space="preserve">Cable TV, broadband, Hello Mobile MVNO, rentals</w:t>
            </w:r>
          </w:p>
        </w:tc>
        <w:tc>
          <w:tcPr>
            <w:tcW w:type="dxa" w:w="3576"/>
            <w:shd w:val="clear" w:color="auto" w:fill="F1F2F5"/>
          </w:tcPr>
          <w:p>
            <w:pPr>
              <w:pStyle w:val="Compact"/>
              <w:spacing w:after="0" w:before="0" w:line="240" w:lineRule="auto"/>
              <w:jc w:val="left"/>
            </w:pPr>
            <w:r>
              <w:rPr>
                <w:rFonts w:ascii="Arial" w:hAnsi="Arial"/>
                <w:sz w:val="15"/>
              </w:rPr>
              <w:t xml:space="preserve">FY25 revenue KRW1.27tn; operating profit KRW18.7bn</w:t>
            </w:r>
          </w:p>
        </w:tc>
      </w:tr>
    </w:tbl>
    <w:bookmarkEnd w:id="25"/>
    <w:bookmarkStart w:id="26" w:name="customers-contracts-and-payment-terms"/>
    <w:p>
      <w:pPr>
        <w:pStyle w:val="Heading2"/>
      </w:pPr>
      <w:r>
        <w:t xml:space="preserve">Customers, contracts and payment terms</w:t>
      </w:r>
    </w:p>
    <w:p>
      <w:pPr>
        <w:numPr>
          <w:ilvl w:val="0"/>
          <w:numId w:val="1005"/>
        </w:numPr>
        <w:pStyle w:val="Compact"/>
      </w:pPr>
      <w:r>
        <w:rPr>
          <w:bCs/>
          <w:b/>
        </w:rPr>
        <w:t xml:space="preserve">Consumers</w:t>
      </w:r>
      <w:r>
        <w:t xml:space="preserve"> </w:t>
      </w:r>
      <w:r>
        <w:t xml:space="preserve">(~11m handset subscribers and ~5.6m broadband households) pay monthly in arrears by auto-debit or card. Contracts are usually 24 months. Early-termination fees apply, and the government can order them waived after a security failure, as it did for KT in Dec-2025/Jan-2026.</w:t>
      </w:r>
    </w:p>
    <w:p>
      <w:pPr>
        <w:numPr>
          <w:ilvl w:val="0"/>
          <w:numId w:val="1005"/>
        </w:numPr>
        <w:pStyle w:val="Compact"/>
      </w:pPr>
      <w:r>
        <w:rPr>
          <w:bCs/>
          <w:b/>
        </w:rPr>
        <w:t xml:space="preserve">Dealer commissions</w:t>
      </w:r>
      <w:r>
        <w:t xml:space="preserve"> </w:t>
      </w:r>
      <w:r>
        <w:t xml:space="preserve">are capitalised as contract-acquisition costs and amortised over the expected contract life, with claw-back on early churn. This is why marketing expense lags subscriber wars by several quarters.</w:t>
      </w:r>
    </w:p>
    <w:p>
      <w:pPr>
        <w:numPr>
          <w:ilvl w:val="0"/>
          <w:numId w:val="1005"/>
        </w:numPr>
        <w:pStyle w:val="Compact"/>
      </w:pPr>
      <w:r>
        <w:rPr>
          <w:bCs/>
          <w:b/>
        </w:rPr>
        <w:t xml:space="preserve">Enterprises and government.</w:t>
      </w:r>
      <w:r>
        <w:t xml:space="preserve"> </w:t>
      </w:r>
      <w:r>
        <w:t xml:space="preserve">Named customers include KB Financial, Shinhan Bank and Woori Card (AICC/AI voice bots), Hyundai/Kia/Genesis and Toyota/Lexus (connected car), KG Mobility, public-sector leased-line users and the K-Square Gasan data centre (design-build-operate (DBO) contract). Contracts carry volume/term discounts and service-level guarantees. Colocation contract terms are not disclosed. Paju building 1 is pre-let to tenants whose names have not been disclosed [u].</w:t>
      </w:r>
    </w:p>
    <w:p>
      <w:pPr>
        <w:numPr>
          <w:ilvl w:val="0"/>
          <w:numId w:val="1005"/>
        </w:numPr>
        <w:pStyle w:val="Compact"/>
      </w:pPr>
      <w:r>
        <w:rPr>
          <w:bCs/>
          <w:b/>
        </w:rPr>
        <w:t xml:space="preserve">Concentration</w:t>
      </w:r>
      <w:r>
        <w:t xml:space="preserve"> </w:t>
      </w:r>
      <w:r>
        <w:t xml:space="preserve">is low by customer and absolute by country: ~100% of revenue is domestic. Revenue is, however, exposed to a single regulator (the Ministry of Science and ICT, MSIT) and to the pricing behaviour of two rivals.</w:t>
      </w:r>
    </w:p>
    <w:bookmarkEnd w:id="26"/>
    <w:bookmarkStart w:id="27" w:name="suppliers-and-competitors"/>
    <w:p>
      <w:pPr>
        <w:pStyle w:val="Heading2"/>
      </w:pPr>
      <w:r>
        <w:t xml:space="preserve">Suppliers and competitors</w:t>
      </w:r>
    </w:p>
    <w:p>
      <w:pPr>
        <w:numPr>
          <w:ilvl w:val="0"/>
          <w:numId w:val="1006"/>
        </w:numPr>
        <w:pStyle w:val="Compact"/>
      </w:pPr>
      <w:r>
        <w:rPr>
          <w:bCs/>
          <w:b/>
        </w:rPr>
        <w:t xml:space="preserve">Suppliers.</w:t>
      </w:r>
    </w:p>
    <w:p>
      <w:pPr>
        <w:numPr>
          <w:ilvl w:val="1"/>
          <w:numId w:val="1007"/>
        </w:numPr>
        <w:pStyle w:val="Compact"/>
      </w:pPr>
      <w:r>
        <w:t xml:space="preserve">Network equipment: Huawei (5G radio in Seoul, northern Gyeonggi and parts of Gangwon), Samsung Electronics Networks, Nokia and Ericsson-LG.</w:t>
      </w:r>
    </w:p>
    <w:p>
      <w:pPr>
        <w:numPr>
          <w:ilvl w:val="1"/>
          <w:numId w:val="1007"/>
        </w:numPr>
        <w:pStyle w:val="Compact"/>
      </w:pPr>
      <w:r>
        <w:t xml:space="preserve">Handsets: Samsung Electronics and Apple.</w:t>
      </w:r>
    </w:p>
    <w:p>
      <w:pPr>
        <w:numPr>
          <w:ilvl w:val="1"/>
          <w:numId w:val="1007"/>
        </w:numPr>
        <w:pStyle w:val="Compact"/>
      </w:pPr>
      <w:r>
        <w:t xml:space="preserve">Content: Netflix, Disney+, TVING/CJ ENM and the terrestrial broadcasters.</w:t>
      </w:r>
    </w:p>
    <w:p>
      <w:pPr>
        <w:numPr>
          <w:ilvl w:val="1"/>
          <w:numId w:val="1007"/>
        </w:numPr>
        <w:pStyle w:val="Compact"/>
      </w:pPr>
      <w:r>
        <w:t xml:space="preserve">IT services: LG CNS, a related party, took ~KRW501bn of LG Uplus spend in 2024 [u], about 3.4% of revenue.</w:t>
      </w:r>
    </w:p>
    <w:p>
      <w:pPr>
        <w:numPr>
          <w:ilvl w:val="1"/>
          <w:numId w:val="1007"/>
        </w:numPr>
        <w:pStyle w:val="Compact"/>
      </w:pPr>
      <w:r>
        <w:t xml:space="preserve">Facilities and advertising: D&amp;O and HS Ad.</w:t>
      </w:r>
    </w:p>
    <w:p>
      <w:pPr>
        <w:numPr>
          <w:ilvl w:val="1"/>
          <w:numId w:val="1007"/>
        </w:numPr>
        <w:pStyle w:val="Compact"/>
      </w:pPr>
      <w:r>
        <w:t xml:space="preserve">Power: KEPCO.</w:t>
      </w:r>
    </w:p>
    <w:p>
      <w:pPr>
        <w:numPr>
          <w:ilvl w:val="1"/>
          <w:numId w:val="1007"/>
        </w:numPr>
        <w:pStyle w:val="Compact"/>
      </w:pPr>
      <w:r>
        <w:t xml:space="preserve">Spectrum: licensed from MSIT.</w:t>
      </w:r>
    </w:p>
    <w:p>
      <w:pPr>
        <w:numPr>
          <w:ilvl w:val="0"/>
          <w:numId w:val="1006"/>
        </w:numPr>
        <w:pStyle w:val="Compact"/>
      </w:pPr>
      <w:r>
        <w:rPr>
          <w:bCs/>
          <w:b/>
        </w:rPr>
        <w:t xml:space="preserve">Competitors.</w:t>
      </w:r>
    </w:p>
    <w:p>
      <w:pPr>
        <w:numPr>
          <w:ilvl w:val="1"/>
          <w:numId w:val="1008"/>
        </w:numPr>
        <w:pStyle w:val="Compact"/>
      </w:pPr>
      <w:r>
        <w:t xml:space="preserve">SK Telecom (#1, with SK Broadband) and KT (#2, with KT Skylife and KT Cloud).</w:t>
      </w:r>
    </w:p>
    <w:p>
      <w:pPr>
        <w:numPr>
          <w:ilvl w:val="1"/>
          <w:numId w:val="1008"/>
        </w:numPr>
        <w:pStyle w:val="Compact"/>
      </w:pPr>
      <w:r>
        <w:t xml:space="preserve">Bank and fintech MVNOs (KB Liiv M, Toss Mobile, Woori WON Mobile) operating on all three networks.</w:t>
      </w:r>
    </w:p>
    <w:p>
      <w:pPr>
        <w:numPr>
          <w:ilvl w:val="1"/>
          <w:numId w:val="1008"/>
        </w:numPr>
        <w:pStyle w:val="Compact"/>
      </w:pPr>
      <w:r>
        <w:t xml:space="preserve">Cable operators (D’Live, CMB).</w:t>
      </w:r>
    </w:p>
    <w:p>
      <w:pPr>
        <w:numPr>
          <w:ilvl w:val="1"/>
          <w:numId w:val="1008"/>
        </w:numPr>
        <w:pStyle w:val="Compact"/>
      </w:pPr>
      <w:r>
        <w:t xml:space="preserve">In data centres: KT Cloud, SK Broadband/SK Horizon, Samsung SDS, Naver Cloud, LG CNS, Equinix and Digital Realty.</w:t>
      </w:r>
    </w:p>
    <w:bookmarkEnd w:id="27"/>
    <w:bookmarkStart w:id="28" w:name="key-markets-and-geographies"/>
    <w:p>
      <w:pPr>
        <w:pStyle w:val="Heading2"/>
      </w:pPr>
      <w:r>
        <w:t xml:space="preserve">Key markets and geographies</w:t>
      </w:r>
    </w:p>
    <w:p>
      <w:pPr>
        <w:pStyle w:val="FirstParagraph"/>
      </w:pPr>
      <w:r>
        <w:t xml:space="preserve">Korea accounts for effectively 100% of revenue and non-current assets. Overseas revenue is immaterial (e.g. DACOM America, KRW0.9bn in 1H26). The ixi-O AI agent is being exported as software-as-a-service (SaaS), including to Maxis in Malaysia. The mobile market is a mature three-player oligopoly. On MSIT total-line data (including IoT, excluding MVNO), SK Telecom holds ~42.5%, LG Uplus ~29.8% and KT ~27.7% (Mar-2026). On handsets only, LG Uplus’s share is about 21%.</w:t>
      </w:r>
    </w:p>
    <w:bookmarkEnd w:id="28"/>
    <w:bookmarkStart w:id="29" w:name="key-business-drivers"/>
    <w:p>
      <w:pPr>
        <w:pStyle w:val="Heading2"/>
      </w:pPr>
      <w:r>
        <w:t xml:space="preserve">Key business drivers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1541"/>
        <w:gridCol w:w="3911"/>
        <w:gridCol w:w="4524"/>
      </w:tblGrid>
      <w:tr>
        <w:trPr>
          <w:tblHeader w:val="true"/>
          <w:tblHeader w:val="true"/>
          <w:cantSplit/>
        </w:trPr>
        <w:tc>
          <w:tcPr>
            <w:tcW w:type="dxa" w:w="1542"/>
            <w:shd w:val="clear" w:color="auto" w:fill="13213F"/>
          </w:tcPr>
          <w:p>
            <w:pPr>
              <w:pStyle w:val="Compact"/>
              <w:spacing w:after="0" w:before="0" w:line="240" w:lineRule="auto"/>
              <w:jc w:val="left"/>
            </w:pPr>
            <w:r>
              <w:rPr>
                <w:rFonts w:ascii="Arial" w:hAnsi="Arial"/>
                <w:b/>
                <w:color w:val="FFFFFF"/>
                <w:sz w:val="15"/>
              </w:rPr>
              <w:t xml:space="preserve">Driver</w:t>
            </w:r>
          </w:p>
        </w:tc>
        <w:tc>
          <w:tcPr>
            <w:tcW w:type="dxa" w:w="3912"/>
            <w:shd w:val="clear" w:color="auto" w:fill="13213F"/>
          </w:tcPr>
          <w:p>
            <w:pPr>
              <w:pStyle w:val="Compact"/>
              <w:spacing w:after="0" w:before="0" w:line="240" w:lineRule="auto"/>
              <w:jc w:val="left"/>
            </w:pPr>
            <w:r>
              <w:rPr>
                <w:rFonts w:ascii="Arial" w:hAnsi="Arial"/>
                <w:b/>
                <w:color w:val="FFFFFF"/>
                <w:sz w:val="15"/>
              </w:rPr>
              <w:t xml:space="preserve">Mechanism</w:t>
            </w:r>
          </w:p>
        </w:tc>
        <w:tc>
          <w:tcPr>
            <w:tcW w:type="dxa" w:w="4525"/>
            <w:shd w:val="clear" w:color="auto" w:fill="13213F"/>
          </w:tcPr>
          <w:p>
            <w:pPr>
              <w:pStyle w:val="Compact"/>
              <w:spacing w:after="0" w:before="0" w:line="240" w:lineRule="auto"/>
              <w:jc w:val="left"/>
            </w:pPr>
            <w:r>
              <w:rPr>
                <w:rFonts w:ascii="Arial" w:hAnsi="Arial"/>
                <w:b/>
                <w:color w:val="FFFFFF"/>
                <w:sz w:val="15"/>
              </w:rPr>
              <w:t xml:space="preserve">Current direction</w:t>
            </w:r>
          </w:p>
        </w:tc>
      </w:tr>
      <w:tr>
        <w:trPr>
          <w:cantSplit/>
        </w:trPr>
        <w:tc>
          <w:tcPr>
            <w:tcW w:type="dxa" w:w="1542"/>
          </w:tcPr>
          <w:p>
            <w:pPr>
              <w:pStyle w:val="Compact"/>
              <w:spacing w:after="0" w:before="0" w:line="240" w:lineRule="auto"/>
              <w:jc w:val="left"/>
            </w:pPr>
            <w:r>
              <w:rPr>
                <w:rFonts w:ascii="Arial" w:hAnsi="Arial"/>
                <w:sz w:val="15"/>
              </w:rPr>
              <w:t xml:space="preserve">Volume (lines)</w:t>
            </w:r>
          </w:p>
        </w:tc>
        <w:tc>
          <w:tcPr>
            <w:tcW w:type="dxa" w:w="3912"/>
          </w:tcPr>
          <w:p>
            <w:pPr>
              <w:pStyle w:val="Compact"/>
              <w:spacing w:after="0" w:before="0" w:line="240" w:lineRule="auto"/>
              <w:jc w:val="left"/>
            </w:pPr>
            <w:r>
              <w:rPr>
                <w:rFonts w:ascii="Arial" w:hAnsi="Arial"/>
                <w:sz w:val="15"/>
              </w:rPr>
              <w:t xml:space="preserve">Net adds from number portability, IoT and MVNO hosting</w:t>
            </w:r>
          </w:p>
        </w:tc>
        <w:tc>
          <w:tcPr>
            <w:tcW w:type="dxa" w:w="4525"/>
          </w:tcPr>
          <w:p>
            <w:pPr>
              <w:pStyle w:val="Compact"/>
              <w:spacing w:after="0" w:before="0" w:line="240" w:lineRule="auto"/>
              <w:jc w:val="left"/>
            </w:pPr>
            <w:r>
              <w:rPr>
                <w:rFonts w:ascii="Arial" w:hAnsi="Arial"/>
                <w:sz w:val="15"/>
              </w:rPr>
              <w:t xml:space="preserve">Positive. MNO lines +7.2% YoY (2Q26), helped by rivals’ security breaches (SKT Apr-25, KT 2025–26)</w:t>
            </w:r>
          </w:p>
        </w:tc>
      </w:tr>
      <w:tr>
        <w:trPr>
          <w:cantSplit/>
        </w:trPr>
        <w:tc>
          <w:tcPr>
            <w:tcW w:type="dxa" w:w="1542"/>
            <w:shd w:val="clear" w:color="auto" w:fill="F1F2F5"/>
          </w:tcPr>
          <w:p>
            <w:pPr>
              <w:pStyle w:val="Compact"/>
              <w:spacing w:after="0" w:before="0" w:line="240" w:lineRule="auto"/>
              <w:jc w:val="left"/>
            </w:pPr>
            <w:r>
              <w:rPr>
                <w:rFonts w:ascii="Arial" w:hAnsi="Arial"/>
                <w:sz w:val="15"/>
              </w:rPr>
              <w:t xml:space="preserve">Price / ARPU</w:t>
            </w:r>
          </w:p>
        </w:tc>
        <w:tc>
          <w:tcPr>
            <w:tcW w:type="dxa" w:w="3912"/>
            <w:shd w:val="clear" w:color="auto" w:fill="F1F2F5"/>
          </w:tcPr>
          <w:p>
            <w:pPr>
              <w:pStyle w:val="Compact"/>
              <w:spacing w:after="0" w:before="0" w:line="240" w:lineRule="auto"/>
              <w:jc w:val="left"/>
            </w:pPr>
            <w:r>
              <w:rPr>
                <w:rFonts w:ascii="Arial" w:hAnsi="Arial"/>
                <w:sz w:val="15"/>
              </w:rPr>
              <w:t xml:space="preserve">Tariff mix, 5G upgrades and the selective 25% discount</w:t>
            </w:r>
          </w:p>
        </w:tc>
        <w:tc>
          <w:tcPr>
            <w:tcW w:type="dxa" w:w="4525"/>
            <w:shd w:val="clear" w:color="auto" w:fill="F1F2F5"/>
          </w:tcPr>
          <w:p>
            <w:pPr>
              <w:pStyle w:val="Compact"/>
              <w:spacing w:after="0" w:before="0" w:line="240" w:lineRule="auto"/>
              <w:jc w:val="left"/>
            </w:pPr>
            <w:r>
              <w:rPr>
                <w:rFonts w:ascii="Arial" w:hAnsi="Arial"/>
                <w:sz w:val="15"/>
              </w:rPr>
              <w:t xml:space="preserve">Flat to slightly down. 5G penetration is near saturation (~85%) and the government favours</w:t>
            </w:r>
            <w:r>
              <w:rPr>
                <w:rFonts w:ascii="Arial" w:hAnsi="Arial"/>
                <w:sz w:val="15"/>
              </w:rPr>
              <w:t xml:space="preserve"> </w:t>
            </w:r>
            <w:r>
              <w:rPr>
                <w:rFonts w:ascii="Arial" w:hAnsi="Arial"/>
                <w:sz w:val="15"/>
              </w:rPr>
              <w:t xml:space="preserve">“</w:t>
            </w:r>
            <w:r>
              <w:rPr>
                <w:rFonts w:ascii="Arial" w:hAnsi="Arial"/>
                <w:sz w:val="15"/>
              </w:rPr>
              <w:t xml:space="preserve">mid-tier</w:t>
            </w:r>
            <w:r>
              <w:rPr>
                <w:rFonts w:ascii="Arial" w:hAnsi="Arial"/>
                <w:sz w:val="15"/>
              </w:rPr>
              <w:t xml:space="preserve">”</w:t>
            </w:r>
            <w:r>
              <w:rPr>
                <w:rFonts w:ascii="Arial" w:hAnsi="Arial"/>
                <w:sz w:val="15"/>
              </w:rPr>
              <w:t xml:space="preserve"> </w:t>
            </w:r>
            <w:r>
              <w:rPr>
                <w:rFonts w:ascii="Arial" w:hAnsi="Arial"/>
                <w:sz w:val="15"/>
              </w:rPr>
              <w:t xml:space="preserve">and lower-cost plans</w:t>
            </w:r>
          </w:p>
        </w:tc>
      </w:tr>
      <w:tr>
        <w:trPr>
          <w:cantSplit/>
        </w:trPr>
        <w:tc>
          <w:tcPr>
            <w:tcW w:type="dxa" w:w="1542"/>
          </w:tcPr>
          <w:p>
            <w:pPr>
              <w:pStyle w:val="Compact"/>
              <w:spacing w:after="0" w:before="0" w:line="240" w:lineRule="auto"/>
              <w:jc w:val="left"/>
            </w:pPr>
            <w:r>
              <w:rPr>
                <w:rFonts w:ascii="Arial" w:hAnsi="Arial"/>
                <w:sz w:val="15"/>
              </w:rPr>
              <w:t xml:space="preserve">Mix</w:t>
            </w:r>
          </w:p>
        </w:tc>
        <w:tc>
          <w:tcPr>
            <w:tcW w:type="dxa" w:w="3912"/>
          </w:tcPr>
          <w:p>
            <w:pPr>
              <w:pStyle w:val="Compact"/>
              <w:spacing w:after="0" w:before="0" w:line="240" w:lineRule="auto"/>
              <w:jc w:val="left"/>
            </w:pPr>
            <w:r>
              <w:rPr>
                <w:rFonts w:ascii="Arial" w:hAnsi="Arial"/>
                <w:sz w:val="15"/>
              </w:rPr>
              <w:t xml:space="preserve">Gigabit broadband, premium IPTV, AIDC and AICC</w:t>
            </w:r>
          </w:p>
        </w:tc>
        <w:tc>
          <w:tcPr>
            <w:tcW w:type="dxa" w:w="4525"/>
          </w:tcPr>
          <w:p>
            <w:pPr>
              <w:pStyle w:val="Compact"/>
              <w:spacing w:after="0" w:before="0" w:line="240" w:lineRule="auto"/>
              <w:jc w:val="left"/>
            </w:pPr>
            <w:r>
              <w:rPr>
                <w:rFonts w:ascii="Arial" w:hAnsi="Arial"/>
                <w:sz w:val="15"/>
              </w:rPr>
              <w:t xml:space="preserve">Positive. Giga-tier is 33% of broadband; AIDC +29%</w:t>
            </w:r>
          </w:p>
        </w:tc>
      </w:tr>
      <w:tr>
        <w:trPr>
          <w:cantSplit/>
        </w:trPr>
        <w:tc>
          <w:tcPr>
            <w:tcW w:type="dxa" w:w="1542"/>
            <w:shd w:val="clear" w:color="auto" w:fill="F1F2F5"/>
          </w:tcPr>
          <w:p>
            <w:pPr>
              <w:pStyle w:val="Compact"/>
              <w:spacing w:after="0" w:before="0" w:line="240" w:lineRule="auto"/>
              <w:jc w:val="left"/>
            </w:pPr>
            <w:r>
              <w:rPr>
                <w:rFonts w:ascii="Arial" w:hAnsi="Arial"/>
                <w:sz w:val="15"/>
              </w:rPr>
              <w:t xml:space="preserve">Marketing intensity</w:t>
            </w:r>
          </w:p>
        </w:tc>
        <w:tc>
          <w:tcPr>
            <w:tcW w:type="dxa" w:w="3912"/>
            <w:shd w:val="clear" w:color="auto" w:fill="F1F2F5"/>
          </w:tcPr>
          <w:p>
            <w:pPr>
              <w:pStyle w:val="Compact"/>
              <w:spacing w:after="0" w:before="0" w:line="240" w:lineRule="auto"/>
              <w:jc w:val="left"/>
            </w:pPr>
            <w:r>
              <w:rPr>
                <w:rFonts w:ascii="Arial" w:hAnsi="Arial"/>
                <w:sz w:val="15"/>
              </w:rPr>
              <w:t xml:space="preserve">Subsidies and commissions (capitalised and amortised)</w:t>
            </w:r>
          </w:p>
        </w:tc>
        <w:tc>
          <w:tcPr>
            <w:tcW w:type="dxa" w:w="4525"/>
            <w:shd w:val="clear" w:color="auto" w:fill="F1F2F5"/>
          </w:tcPr>
          <w:p>
            <w:pPr>
              <w:pStyle w:val="Compact"/>
              <w:spacing w:after="0" w:before="0" w:line="240" w:lineRule="auto"/>
              <w:jc w:val="left"/>
            </w:pPr>
            <w:r>
              <w:rPr>
                <w:rFonts w:ascii="Arial" w:hAnsi="Arial"/>
                <w:sz w:val="15"/>
              </w:rPr>
              <w:t xml:space="preserve">~20% of service revenue. The risk is a subsidy war after the July-2025 abolition of the subsidy-cap act (Dansuobeop)</w:t>
            </w:r>
          </w:p>
        </w:tc>
      </w:tr>
      <w:tr>
        <w:trPr>
          <w:cantSplit/>
        </w:trPr>
        <w:tc>
          <w:tcPr>
            <w:tcW w:type="dxa" w:w="1542"/>
          </w:tcPr>
          <w:p>
            <w:pPr>
              <w:pStyle w:val="Compact"/>
              <w:spacing w:after="0" w:before="0" w:line="240" w:lineRule="auto"/>
              <w:jc w:val="left"/>
            </w:pPr>
            <w:r>
              <w:rPr>
                <w:rFonts w:ascii="Arial" w:hAnsi="Arial"/>
                <w:sz w:val="15"/>
              </w:rPr>
              <w:t xml:space="preserve">Capex cycle</w:t>
            </w:r>
          </w:p>
        </w:tc>
        <w:tc>
          <w:tcPr>
            <w:tcW w:type="dxa" w:w="3912"/>
          </w:tcPr>
          <w:p>
            <w:pPr>
              <w:pStyle w:val="Compact"/>
              <w:spacing w:after="0" w:before="0" w:line="240" w:lineRule="auto"/>
              <w:jc w:val="left"/>
            </w:pPr>
            <w:r>
              <w:rPr>
                <w:rFonts w:ascii="Arial" w:hAnsi="Arial"/>
                <w:sz w:val="15"/>
              </w:rPr>
              <w:t xml:space="preserve">5G build (2019–23) → normalised (2024–25) → AIDC (2026–28)</w:t>
            </w:r>
          </w:p>
        </w:tc>
        <w:tc>
          <w:tcPr>
            <w:tcW w:type="dxa" w:w="4525"/>
          </w:tcPr>
          <w:p>
            <w:pPr>
              <w:pStyle w:val="Compact"/>
              <w:spacing w:after="0" w:before="0" w:line="240" w:lineRule="auto"/>
              <w:jc w:val="left"/>
            </w:pPr>
            <w:r>
              <w:rPr>
                <w:rFonts w:ascii="Arial" w:hAnsi="Arial"/>
                <w:sz w:val="15"/>
              </w:rPr>
              <w:t xml:space="preserve">Network capex is down; AIDC capex is up to ~KRW2tn in total over 2025–28</w:t>
            </w:r>
          </w:p>
        </w:tc>
      </w:tr>
      <w:tr>
        <w:trPr>
          <w:cantSplit/>
        </w:trPr>
        <w:tc>
          <w:tcPr>
            <w:tcW w:type="dxa" w:w="1542"/>
            <w:shd w:val="clear" w:color="auto" w:fill="F1F2F5"/>
          </w:tcPr>
          <w:p>
            <w:pPr>
              <w:pStyle w:val="Compact"/>
              <w:spacing w:after="0" w:before="0" w:line="240" w:lineRule="auto"/>
              <w:jc w:val="left"/>
            </w:pPr>
            <w:r>
              <w:rPr>
                <w:rFonts w:ascii="Arial" w:hAnsi="Arial"/>
                <w:sz w:val="15"/>
              </w:rPr>
              <w:t xml:space="preserve">D&amp;A</w:t>
            </w:r>
          </w:p>
        </w:tc>
        <w:tc>
          <w:tcPr>
            <w:tcW w:type="dxa" w:w="3912"/>
            <w:shd w:val="clear" w:color="auto" w:fill="F1F2F5"/>
          </w:tcPr>
          <w:p>
            <w:pPr>
              <w:pStyle w:val="Compact"/>
              <w:spacing w:after="0" w:before="0" w:line="240" w:lineRule="auto"/>
              <w:jc w:val="left"/>
            </w:pPr>
            <w:r>
              <w:rPr>
                <w:rFonts w:ascii="Arial" w:hAnsi="Arial"/>
                <w:sz w:val="15"/>
              </w:rPr>
              <w:t xml:space="preserve">Lagged capex and spectrum amortisation</w:t>
            </w:r>
          </w:p>
        </w:tc>
        <w:tc>
          <w:tcPr>
            <w:tcW w:type="dxa" w:w="4525"/>
            <w:shd w:val="clear" w:color="auto" w:fill="F1F2F5"/>
          </w:tcPr>
          <w:p>
            <w:pPr>
              <w:pStyle w:val="Compact"/>
              <w:spacing w:after="0" w:before="0" w:line="240" w:lineRule="auto"/>
              <w:jc w:val="left"/>
            </w:pPr>
            <w:r>
              <w:rPr>
                <w:rFonts w:ascii="Arial" w:hAnsi="Arial"/>
                <w:sz w:val="15"/>
              </w:rPr>
              <w:t xml:space="preserve">Has peaked as a share of revenue; flat in absolute terms to FY28E in our model</w:t>
            </w:r>
          </w:p>
        </w:tc>
      </w:tr>
      <w:tr>
        <w:trPr>
          <w:cantSplit/>
        </w:trPr>
        <w:tc>
          <w:tcPr>
            <w:tcW w:type="dxa" w:w="1542"/>
          </w:tcPr>
          <w:p>
            <w:pPr>
              <w:pStyle w:val="Compact"/>
              <w:spacing w:after="0" w:before="0" w:line="240" w:lineRule="auto"/>
              <w:jc w:val="left"/>
            </w:pPr>
            <w:r>
              <w:rPr>
                <w:rFonts w:ascii="Arial" w:hAnsi="Arial"/>
                <w:sz w:val="15"/>
              </w:rPr>
              <w:t xml:space="preserve">Regulation</w:t>
            </w:r>
          </w:p>
        </w:tc>
        <w:tc>
          <w:tcPr>
            <w:tcW w:type="dxa" w:w="3912"/>
          </w:tcPr>
          <w:p>
            <w:pPr>
              <w:pStyle w:val="Compact"/>
              <w:spacing w:after="0" w:before="0" w:line="240" w:lineRule="auto"/>
              <w:jc w:val="left"/>
            </w:pPr>
            <w:r>
              <w:rPr>
                <w:rFonts w:ascii="Arial" w:hAnsi="Arial"/>
                <w:sz w:val="15"/>
              </w:rPr>
              <w:t xml:space="preserve">Spectrum fees, tariff pressure, subsidy rules, privacy fines and foreign-ownership cap</w:t>
            </w:r>
          </w:p>
        </w:tc>
        <w:tc>
          <w:tcPr>
            <w:tcW w:type="dxa" w:w="4525"/>
          </w:tcPr>
          <w:p>
            <w:pPr>
              <w:pStyle w:val="Compact"/>
              <w:spacing w:after="0" w:before="0" w:line="240" w:lineRule="auto"/>
              <w:jc w:val="left"/>
            </w:pPr>
            <w:r>
              <w:rPr>
                <w:rFonts w:ascii="Arial" w:hAnsi="Arial"/>
                <w:sz w:val="15"/>
              </w:rPr>
              <w:t xml:space="preserve">Mixed. 2026 3G/LTE re-allocation (~KRW2.9–3.1tn for the industry [u]); the PIPC case is open</w:t>
            </w:r>
          </w:p>
        </w:tc>
      </w:tr>
      <w:tr>
        <w:trPr>
          <w:cantSplit/>
        </w:trPr>
        <w:tc>
          <w:tcPr>
            <w:tcW w:type="dxa" w:w="1542"/>
            <w:shd w:val="clear" w:color="auto" w:fill="F1F2F5"/>
          </w:tcPr>
          <w:p>
            <w:pPr>
              <w:pStyle w:val="Compact"/>
              <w:spacing w:after="0" w:before="0" w:line="240" w:lineRule="auto"/>
              <w:jc w:val="left"/>
            </w:pPr>
            <w:r>
              <w:rPr>
                <w:rFonts w:ascii="Arial" w:hAnsi="Arial"/>
                <w:sz w:val="15"/>
              </w:rPr>
              <w:t xml:space="preserve">Interest rates</w:t>
            </w:r>
          </w:p>
        </w:tc>
        <w:tc>
          <w:tcPr>
            <w:tcW w:type="dxa" w:w="3912"/>
            <w:shd w:val="clear" w:color="auto" w:fill="F1F2F5"/>
          </w:tcPr>
          <w:p>
            <w:pPr>
              <w:pStyle w:val="Compact"/>
              <w:spacing w:after="0" w:before="0" w:line="240" w:lineRule="auto"/>
              <w:jc w:val="left"/>
            </w:pPr>
            <w:r>
              <w:rPr>
                <w:rFonts w:ascii="Arial" w:hAnsi="Arial"/>
                <w:sz w:val="15"/>
              </w:rPr>
              <w:t xml:space="preserve">~KRW5.8tn gross debt; average cost ~3.6–3.7%</w:t>
            </w:r>
          </w:p>
        </w:tc>
        <w:tc>
          <w:tcPr>
            <w:tcW w:type="dxa" w:w="4525"/>
            <w:shd w:val="clear" w:color="auto" w:fill="F1F2F5"/>
          </w:tcPr>
          <w:p>
            <w:pPr>
              <w:pStyle w:val="Compact"/>
              <w:spacing w:after="0" w:before="0" w:line="240" w:lineRule="auto"/>
              <w:jc w:val="left"/>
            </w:pPr>
            <w:r>
              <w:rPr>
                <w:rFonts w:ascii="Arial" w:hAnsi="Arial"/>
                <w:sz w:val="15"/>
              </w:rPr>
              <w:t xml:space="preserve">Bank of Korea hiked in Jul and Aug-2026 (to ~3.0% [u]). Refinancing costs are drifting up modestly</w:t>
            </w:r>
          </w:p>
        </w:tc>
      </w:tr>
      <w:tr>
        <w:trPr>
          <w:cantSplit/>
        </w:trPr>
        <w:tc>
          <w:tcPr>
            <w:tcW w:type="dxa" w:w="1542"/>
          </w:tcPr>
          <w:p>
            <w:pPr>
              <w:pStyle w:val="Compact"/>
              <w:spacing w:after="0" w:before="0" w:line="240" w:lineRule="auto"/>
              <w:jc w:val="left"/>
            </w:pPr>
            <w:r>
              <w:rPr>
                <w:rFonts w:ascii="Arial" w:hAnsi="Arial"/>
                <w:sz w:val="15"/>
              </w:rPr>
              <w:t xml:space="preserve">Labour</w:t>
            </w:r>
          </w:p>
        </w:tc>
        <w:tc>
          <w:tcPr>
            <w:tcW w:type="dxa" w:w="3912"/>
          </w:tcPr>
          <w:p>
            <w:pPr>
              <w:pStyle w:val="Compact"/>
              <w:spacing w:after="0" w:before="0" w:line="240" w:lineRule="auto"/>
              <w:jc w:val="left"/>
            </w:pPr>
            <w:r>
              <w:rPr>
                <w:rFonts w:ascii="Arial" w:hAnsi="Arial"/>
                <w:sz w:val="15"/>
              </w:rPr>
              <w:t xml:space="preserve">~9,800 standalone staff; ordinary-wage ruling (4Q24)</w:t>
            </w:r>
          </w:p>
        </w:tc>
        <w:tc>
          <w:tcPr>
            <w:tcW w:type="dxa" w:w="4525"/>
          </w:tcPr>
          <w:p>
            <w:pPr>
              <w:pStyle w:val="Compact"/>
              <w:spacing w:after="0" w:before="0" w:line="240" w:lineRule="auto"/>
              <w:jc w:val="left"/>
            </w:pPr>
            <w:r>
              <w:rPr>
                <w:rFonts w:ascii="Arial" w:hAnsi="Arial"/>
                <w:sz w:val="15"/>
              </w:rPr>
              <w:t xml:space="preserve">Early-retirement savings in 2026; wage inflation of ~3–4% a year</w:t>
            </w:r>
          </w:p>
        </w:tc>
      </w:tr>
    </w:tbl>
    <w:bookmarkEnd w:id="29"/>
    <w:bookmarkEnd w:id="30"/>
    <w:bookmarkStart w:id="34" w:name="supply-chain-map"/>
    <w:p>
      <w:pPr>
        <w:pStyle w:val="Heading1"/>
      </w:pPr>
      <w:r>
        <w:t xml:space="preserve">Supply chain map</w:t>
      </w:r>
    </w:p>
    <w:p>
      <w:pPr>
        <w:pStyle w:val="CaptionedFigure"/>
      </w:pPr>
      <w:r>
        <w:drawing>
          <wp:inline>
            <wp:extent cx="6261100" cy="3454605"/>
            <wp:effectExtent b="0" l="0" r="0" t="0"/>
            <wp:docPr descr="LG Uplus supply chain: from upstream inputs to end customers" title="" id="32" name="Picture"/>
            <a:graphic>
              <a:graphicData uri="http://schemas.openxmlformats.org/drawingml/2006/picture">
                <pic:pic>
                  <pic:nvPicPr>
                    <pic:cNvPr descr="../charts/supply_chain.png" id="33" name="Picture"/>
                    <pic:cNvPicPr>
                      <a:picLocks noChangeArrowheads="1" noChangeAspect="1"/>
                    </pic:cNvPicPr>
                  </pic:nvPicPr>
                  <pic:blipFill>
                    <a:blip r:embed="rId31"/>
                    <a:stretch>
                      <a:fillRect/>
                    </a:stretch>
                  </pic:blipFill>
                  <pic:spPr bwMode="auto">
                    <a:xfrm>
                      <a:off x="0" y="0"/>
                      <a:ext cx="6261100" cy="3454605"/>
                    </a:xfrm>
                    <a:prstGeom prst="rect">
                      <a:avLst/>
                    </a:prstGeom>
                    <a:noFill/>
                    <a:ln w="9525">
                      <a:noFill/>
                      <a:headEnd/>
                      <a:tailEnd/>
                    </a:ln>
                  </pic:spPr>
                </pic:pic>
              </a:graphicData>
            </a:graphic>
          </wp:inline>
        </w:drawing>
      </w:r>
    </w:p>
    <w:p>
      <w:pPr>
        <w:pStyle w:val="ImageCaption"/>
      </w:pPr>
      <w:r>
        <w:t xml:space="preserve">LG Uplus supply chain: from upstream inputs to end customers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1815"/>
        <w:gridCol w:w="4377"/>
        <w:gridCol w:w="3784"/>
      </w:tblGrid>
      <w:tr>
        <w:trPr>
          <w:tblHeader w:val="true"/>
          <w:tblHeader w:val="true"/>
          <w:cantSplit/>
        </w:trPr>
        <w:tc>
          <w:tcPr>
            <w:tcW w:type="dxa" w:w="1815"/>
            <w:shd w:val="clear" w:color="auto" w:fill="13213F"/>
          </w:tcPr>
          <w:p>
            <w:pPr>
              <w:pStyle w:val="Compact"/>
              <w:spacing w:after="0" w:before="0" w:line="240" w:lineRule="auto"/>
              <w:jc w:val="left"/>
            </w:pPr>
            <w:r>
              <w:rPr>
                <w:rFonts w:ascii="Arial" w:hAnsi="Arial"/>
                <w:b/>
                <w:color w:val="FFFFFF"/>
                <w:sz w:val="15"/>
              </w:rPr>
              <w:t xml:space="preserve">Stage</w:t>
            </w:r>
          </w:p>
        </w:tc>
        <w:tc>
          <w:tcPr>
            <w:tcW w:type="dxa" w:w="4378"/>
            <w:shd w:val="clear" w:color="auto" w:fill="13213F"/>
          </w:tcPr>
          <w:p>
            <w:pPr>
              <w:pStyle w:val="Compact"/>
              <w:spacing w:after="0" w:before="0" w:line="240" w:lineRule="auto"/>
              <w:jc w:val="left"/>
            </w:pPr>
            <w:r>
              <w:rPr>
                <w:rFonts w:ascii="Arial" w:hAnsi="Arial"/>
                <w:b/>
                <w:color w:val="FFFFFF"/>
                <w:sz w:val="15"/>
              </w:rPr>
              <w:t xml:space="preserve">Stakeholders (named)</w:t>
            </w:r>
          </w:p>
        </w:tc>
        <w:tc>
          <w:tcPr>
            <w:tcW w:type="dxa" w:w="3785"/>
            <w:shd w:val="clear" w:color="auto" w:fill="13213F"/>
          </w:tcPr>
          <w:p>
            <w:pPr>
              <w:pStyle w:val="Compact"/>
              <w:spacing w:after="0" w:before="0" w:line="240" w:lineRule="auto"/>
              <w:jc w:val="left"/>
            </w:pPr>
            <w:r>
              <w:rPr>
                <w:rFonts w:ascii="Arial" w:hAnsi="Arial"/>
                <w:b/>
                <w:color w:val="FFFFFF"/>
                <w:sz w:val="15"/>
              </w:rPr>
              <w:t xml:space="preserve">LG Uplus’s position and leverage</w:t>
            </w:r>
          </w:p>
        </w:tc>
      </w:tr>
      <w:tr>
        <w:trPr>
          <w:cantSplit/>
        </w:trPr>
        <w:tc>
          <w:tcPr>
            <w:tcW w:type="dxa" w:w="1815"/>
          </w:tcPr>
          <w:p>
            <w:pPr>
              <w:pStyle w:val="Compact"/>
              <w:spacing w:after="0" w:before="0" w:line="240" w:lineRule="auto"/>
              <w:jc w:val="left"/>
            </w:pPr>
            <w:r>
              <w:rPr>
                <w:rFonts w:ascii="Arial" w:hAnsi="Arial"/>
                <w:sz w:val="15"/>
              </w:rPr>
              <w:t xml:space="preserve">Spectrum &amp; licences</w:t>
            </w:r>
          </w:p>
        </w:tc>
        <w:tc>
          <w:tcPr>
            <w:tcW w:type="dxa" w:w="4378"/>
          </w:tcPr>
          <w:p>
            <w:pPr>
              <w:pStyle w:val="Compact"/>
              <w:spacing w:after="0" w:before="0" w:line="240" w:lineRule="auto"/>
              <w:jc w:val="left"/>
            </w:pPr>
            <w:r>
              <w:rPr>
                <w:rFonts w:ascii="Arial" w:hAnsi="Arial"/>
                <w:sz w:val="15"/>
              </w:rPr>
              <w:t xml:space="preserve">MSIT (800MHz, 2.1/2.6GHz LTE, 3.5GHz 5G; 2026 re-allocation of 370MHz across the industry, of which LG Uplus 100MHz)</w:t>
            </w:r>
          </w:p>
        </w:tc>
        <w:tc>
          <w:tcPr>
            <w:tcW w:type="dxa" w:w="3785"/>
          </w:tcPr>
          <w:p>
            <w:pPr>
              <w:pStyle w:val="Compact"/>
              <w:spacing w:after="0" w:before="0" w:line="240" w:lineRule="auto"/>
              <w:jc w:val="left"/>
            </w:pPr>
            <w:r>
              <w:rPr>
                <w:rFonts w:ascii="Arial" w:hAnsi="Arial"/>
                <w:sz w:val="15"/>
              </w:rPr>
              <w:t xml:space="preserve">Price-taker. Fees are paid in instalments and bank-guaranteed (KB, Woori)</w:t>
            </w:r>
          </w:p>
        </w:tc>
      </w:tr>
      <w:tr>
        <w:trPr>
          <w:cantSplit/>
        </w:trPr>
        <w:tc>
          <w:tcPr>
            <w:tcW w:type="dxa" w:w="1815"/>
            <w:shd w:val="clear" w:color="auto" w:fill="F1F2F5"/>
          </w:tcPr>
          <w:p>
            <w:pPr>
              <w:pStyle w:val="Compact"/>
              <w:spacing w:after="0" w:before="0" w:line="240" w:lineRule="auto"/>
              <w:jc w:val="left"/>
            </w:pPr>
            <w:r>
              <w:rPr>
                <w:rFonts w:ascii="Arial" w:hAnsi="Arial"/>
                <w:sz w:val="15"/>
              </w:rPr>
              <w:t xml:space="preserve">Network equipment</w:t>
            </w:r>
          </w:p>
        </w:tc>
        <w:tc>
          <w:tcPr>
            <w:tcW w:type="dxa" w:w="4378"/>
            <w:shd w:val="clear" w:color="auto" w:fill="F1F2F5"/>
          </w:tcPr>
          <w:p>
            <w:pPr>
              <w:pStyle w:val="Compact"/>
              <w:spacing w:after="0" w:before="0" w:line="240" w:lineRule="auto"/>
              <w:jc w:val="left"/>
            </w:pPr>
            <w:r>
              <w:rPr>
                <w:rFonts w:ascii="Arial" w:hAnsi="Arial"/>
                <w:sz w:val="15"/>
              </w:rPr>
              <w:t xml:space="preserve">Huawei, Samsung Electronics Networks, Nokia, Ericsson-LG, KMW, Ubiquoss, DZS, Juniper</w:t>
            </w:r>
          </w:p>
        </w:tc>
        <w:tc>
          <w:tcPr>
            <w:tcW w:type="dxa" w:w="3785"/>
            <w:shd w:val="clear" w:color="auto" w:fill="F1F2F5"/>
          </w:tcPr>
          <w:p>
            <w:pPr>
              <w:pStyle w:val="Compact"/>
              <w:spacing w:after="0" w:before="0" w:line="240" w:lineRule="auto"/>
              <w:jc w:val="left"/>
            </w:pPr>
            <w:r>
              <w:rPr>
                <w:rFonts w:ascii="Arial" w:hAnsi="Arial"/>
                <w:sz w:val="15"/>
              </w:rPr>
              <w:t xml:space="preserve">Moderate leverage. Multi-vendor; the Huawei dependence is a geopolitical overhang</w:t>
            </w:r>
          </w:p>
        </w:tc>
      </w:tr>
      <w:tr>
        <w:trPr>
          <w:cantSplit/>
        </w:trPr>
        <w:tc>
          <w:tcPr>
            <w:tcW w:type="dxa" w:w="1815"/>
          </w:tcPr>
          <w:p>
            <w:pPr>
              <w:pStyle w:val="Compact"/>
              <w:spacing w:after="0" w:before="0" w:line="240" w:lineRule="auto"/>
              <w:jc w:val="left"/>
            </w:pPr>
            <w:r>
              <w:rPr>
                <w:rFonts w:ascii="Arial" w:hAnsi="Arial"/>
                <w:sz w:val="15"/>
              </w:rPr>
              <w:t xml:space="preserve">Handsets &amp; chips</w:t>
            </w:r>
          </w:p>
        </w:tc>
        <w:tc>
          <w:tcPr>
            <w:tcW w:type="dxa" w:w="4378"/>
          </w:tcPr>
          <w:p>
            <w:pPr>
              <w:pStyle w:val="Compact"/>
              <w:spacing w:after="0" w:before="0" w:line="240" w:lineRule="auto"/>
              <w:jc w:val="left"/>
            </w:pPr>
            <w:r>
              <w:rPr>
                <w:rFonts w:ascii="Arial" w:hAnsi="Arial"/>
                <w:sz w:val="15"/>
              </w:rPr>
              <w:t xml:space="preserve">Samsung Electronics, Apple (Qualcomm via the handset makers)</w:t>
            </w:r>
          </w:p>
        </w:tc>
        <w:tc>
          <w:tcPr>
            <w:tcW w:type="dxa" w:w="3785"/>
          </w:tcPr>
          <w:p>
            <w:pPr>
              <w:pStyle w:val="Compact"/>
              <w:spacing w:after="0" w:before="0" w:line="240" w:lineRule="auto"/>
              <w:jc w:val="left"/>
            </w:pPr>
            <w:r>
              <w:rPr>
                <w:rFonts w:ascii="Arial" w:hAnsi="Arial"/>
                <w:sz w:val="15"/>
              </w:rPr>
              <w:t xml:space="preserve">Weak leverage. Handsets are near pass-through</w:t>
            </w:r>
          </w:p>
        </w:tc>
      </w:tr>
      <w:tr>
        <w:trPr>
          <w:cantSplit/>
        </w:trPr>
        <w:tc>
          <w:tcPr>
            <w:tcW w:type="dxa" w:w="1815"/>
            <w:shd w:val="clear" w:color="auto" w:fill="F1F2F5"/>
          </w:tcPr>
          <w:p>
            <w:pPr>
              <w:pStyle w:val="Compact"/>
              <w:spacing w:after="0" w:before="0" w:line="240" w:lineRule="auto"/>
              <w:jc w:val="left"/>
            </w:pPr>
            <w:r>
              <w:rPr>
                <w:rFonts w:ascii="Arial" w:hAnsi="Arial"/>
                <w:sz w:val="15"/>
              </w:rPr>
              <w:t xml:space="preserve">Content &amp; platforms</w:t>
            </w:r>
          </w:p>
        </w:tc>
        <w:tc>
          <w:tcPr>
            <w:tcW w:type="dxa" w:w="4378"/>
            <w:shd w:val="clear" w:color="auto" w:fill="F1F2F5"/>
          </w:tcPr>
          <w:p>
            <w:pPr>
              <w:pStyle w:val="Compact"/>
              <w:spacing w:after="0" w:before="0" w:line="240" w:lineRule="auto"/>
              <w:jc w:val="left"/>
            </w:pPr>
            <w:r>
              <w:rPr>
                <w:rFonts w:ascii="Arial" w:hAnsi="Arial"/>
                <w:sz w:val="15"/>
              </w:rPr>
              <w:t xml:space="preserve">Netflix, Disney+, TVING/CJ ENM, KBS/MBC/SBS, Google, OpenAI, LG AI Research (Exaone)</w:t>
            </w:r>
          </w:p>
        </w:tc>
        <w:tc>
          <w:tcPr>
            <w:tcW w:type="dxa" w:w="3785"/>
            <w:shd w:val="clear" w:color="auto" w:fill="F1F2F5"/>
          </w:tcPr>
          <w:p>
            <w:pPr>
              <w:pStyle w:val="Compact"/>
              <w:spacing w:after="0" w:before="0" w:line="240" w:lineRule="auto"/>
              <w:jc w:val="left"/>
            </w:pPr>
            <w:r>
              <w:rPr>
                <w:rFonts w:ascii="Arial" w:hAnsi="Arial"/>
                <w:sz w:val="15"/>
              </w:rPr>
              <w:t xml:space="preserve">Moderate. Exclusivity value has faded</w:t>
            </w:r>
          </w:p>
        </w:tc>
      </w:tr>
      <w:tr>
        <w:trPr>
          <w:cantSplit/>
        </w:trPr>
        <w:tc>
          <w:tcPr>
            <w:tcW w:type="dxa" w:w="1815"/>
          </w:tcPr>
          <w:p>
            <w:pPr>
              <w:pStyle w:val="Compact"/>
              <w:spacing w:after="0" w:before="0" w:line="240" w:lineRule="auto"/>
              <w:jc w:val="left"/>
            </w:pPr>
            <w:r>
              <w:rPr>
                <w:rFonts w:ascii="Arial" w:hAnsi="Arial"/>
                <w:sz w:val="15"/>
              </w:rPr>
              <w:t xml:space="preserve">IT, facilities, brand</w:t>
            </w:r>
          </w:p>
        </w:tc>
        <w:tc>
          <w:tcPr>
            <w:tcW w:type="dxa" w:w="4378"/>
          </w:tcPr>
          <w:p>
            <w:pPr>
              <w:pStyle w:val="Compact"/>
              <w:spacing w:after="0" w:before="0" w:line="240" w:lineRule="auto"/>
              <w:jc w:val="left"/>
            </w:pPr>
            <w:r>
              <w:rPr>
                <w:rFonts w:ascii="Arial" w:hAnsi="Arial"/>
                <w:sz w:val="15"/>
              </w:rPr>
              <w:t xml:space="preserve">LG CNS, D&amp;O, HS Ad, LG Corp (brand fee up to 0.2% of sales less advertising; ~KRW25–28bn a year [e]), Amdocs, Vantiva</w:t>
            </w:r>
          </w:p>
        </w:tc>
        <w:tc>
          <w:tcPr>
            <w:tcW w:type="dxa" w:w="3785"/>
          </w:tcPr>
          <w:p>
            <w:pPr>
              <w:pStyle w:val="Compact"/>
              <w:spacing w:after="0" w:before="0" w:line="240" w:lineRule="auto"/>
              <w:jc w:val="left"/>
            </w:pPr>
            <w:r>
              <w:rPr>
                <w:rFonts w:ascii="Arial" w:hAnsi="Arial"/>
                <w:sz w:val="15"/>
              </w:rPr>
              <w:t xml:space="preserve">Related-party heavy; reviewed by the internal-transactions committee</w:t>
            </w:r>
          </w:p>
        </w:tc>
      </w:tr>
      <w:tr>
        <w:trPr>
          <w:cantSplit/>
        </w:trPr>
        <w:tc>
          <w:tcPr>
            <w:tcW w:type="dxa" w:w="1815"/>
            <w:shd w:val="clear" w:color="auto" w:fill="F1F2F5"/>
          </w:tcPr>
          <w:p>
            <w:pPr>
              <w:pStyle w:val="Compact"/>
              <w:spacing w:after="0" w:before="0" w:line="240" w:lineRule="auto"/>
              <w:jc w:val="left"/>
            </w:pPr>
            <w:r>
              <w:rPr>
                <w:rFonts w:ascii="Arial" w:hAnsi="Arial"/>
                <w:sz w:val="15"/>
              </w:rPr>
              <w:t xml:space="preserve">Power, land, construction</w:t>
            </w:r>
          </w:p>
        </w:tc>
        <w:tc>
          <w:tcPr>
            <w:tcW w:type="dxa" w:w="4378"/>
            <w:shd w:val="clear" w:color="auto" w:fill="F1F2F5"/>
          </w:tcPr>
          <w:p>
            <w:pPr>
              <w:pStyle w:val="Compact"/>
              <w:spacing w:after="0" w:before="0" w:line="240" w:lineRule="auto"/>
              <w:jc w:val="left"/>
            </w:pPr>
            <w:r>
              <w:rPr>
                <w:rFonts w:ascii="Arial" w:hAnsi="Arial"/>
                <w:sz w:val="15"/>
              </w:rPr>
              <w:t xml:space="preserve">KEPCO; LG Display (sold the Paju site for KRW105.3bn); EPC contractors</w:t>
            </w:r>
          </w:p>
        </w:tc>
        <w:tc>
          <w:tcPr>
            <w:tcW w:type="dxa" w:w="3785"/>
            <w:shd w:val="clear" w:color="auto" w:fill="F1F2F5"/>
          </w:tcPr>
          <w:p>
            <w:pPr>
              <w:pStyle w:val="Compact"/>
              <w:spacing w:after="0" w:before="0" w:line="240" w:lineRule="auto"/>
              <w:jc w:val="left"/>
            </w:pPr>
            <w:r>
              <w:rPr>
                <w:rFonts w:ascii="Arial" w:hAnsi="Arial"/>
                <w:sz w:val="15"/>
              </w:rPr>
              <w:t xml:space="preserve">AIDC power cost is passed through to tenants</w:t>
            </w:r>
          </w:p>
        </w:tc>
      </w:tr>
      <w:tr>
        <w:trPr>
          <w:cantSplit/>
        </w:trPr>
        <w:tc>
          <w:tcPr>
            <w:tcW w:type="dxa" w:w="1815"/>
          </w:tcPr>
          <w:p>
            <w:pPr>
              <w:pStyle w:val="Compact"/>
              <w:spacing w:after="0" w:before="0" w:line="240" w:lineRule="auto"/>
              <w:jc w:val="left"/>
            </w:pPr>
            <w:r>
              <w:rPr>
                <w:rFonts w:ascii="Arial" w:hAnsi="Arial"/>
                <w:sz w:val="15"/>
              </w:rPr>
              <w:t xml:space="preserve">Capital</w:t>
            </w:r>
          </w:p>
        </w:tc>
        <w:tc>
          <w:tcPr>
            <w:tcW w:type="dxa" w:w="4378"/>
          </w:tcPr>
          <w:p>
            <w:pPr>
              <w:pStyle w:val="Compact"/>
              <w:spacing w:after="0" w:before="0" w:line="240" w:lineRule="auto"/>
              <w:jc w:val="left"/>
            </w:pPr>
            <w:r>
              <w:rPr>
                <w:rFonts w:ascii="Arial" w:hAnsi="Arial"/>
                <w:sz w:val="15"/>
              </w:rPr>
              <w:t xml:space="preserve">LG Corp, NPS, foreign institutions; bond investors (AA+); ABS investors (handset receivables)</w:t>
            </w:r>
          </w:p>
        </w:tc>
        <w:tc>
          <w:tcPr>
            <w:tcW w:type="dxa" w:w="3785"/>
          </w:tcPr>
          <w:p>
            <w:pPr>
              <w:pStyle w:val="Compact"/>
              <w:spacing w:after="0" w:before="0" w:line="240" w:lineRule="auto"/>
              <w:jc w:val="left"/>
            </w:pPr>
            <w:r>
              <w:rPr>
                <w:rFonts w:ascii="Arial" w:hAnsi="Arial"/>
                <w:sz w:val="15"/>
              </w:rPr>
              <w:t xml:space="preserve">Investment grade; ample access</w:t>
            </w:r>
          </w:p>
        </w:tc>
      </w:tr>
      <w:tr>
        <w:trPr>
          <w:cantSplit/>
        </w:trPr>
        <w:tc>
          <w:tcPr>
            <w:tcW w:type="dxa" w:w="1815"/>
            <w:shd w:val="clear" w:color="auto" w:fill="F1F2F5"/>
          </w:tcPr>
          <w:p>
            <w:pPr>
              <w:pStyle w:val="Compact"/>
              <w:spacing w:after="0" w:before="0" w:line="240" w:lineRule="auto"/>
              <w:jc w:val="left"/>
            </w:pPr>
            <w:r>
              <w:rPr>
                <w:bCs/>
                <w:rFonts w:ascii="Arial" w:hAnsi="Arial"/>
                <w:b/>
                <w:sz w:val="15"/>
              </w:rPr>
              <w:t xml:space="preserve">LG Uplus (operator)</w:t>
            </w:r>
          </w:p>
        </w:tc>
        <w:tc>
          <w:tcPr>
            <w:tcW w:type="dxa" w:w="4378"/>
            <w:shd w:val="clear" w:color="auto" w:fill="F1F2F5"/>
          </w:tcPr>
          <w:p>
            <w:pPr>
              <w:pStyle w:val="Compact"/>
              <w:spacing w:after="0" w:before="0" w:line="240" w:lineRule="auto"/>
              <w:jc w:val="left"/>
            </w:pPr>
            <w:r>
              <w:rPr>
                <w:rFonts w:ascii="Arial" w:hAnsi="Arial"/>
                <w:sz w:val="15"/>
              </w:rPr>
              <w:t xml:space="preserve">Mobile, Smart Home, Enterprise/AIDC; subsidiaries LG HelloVision, Media Log, VoltUp, call-centre and installation subsidiaries (AIN Teleservice, CS Leader, CS One Partner, U+ Home Service)</w:t>
            </w:r>
          </w:p>
        </w:tc>
        <w:tc>
          <w:tcPr>
            <w:tcW w:type="dxa" w:w="3785"/>
            <w:shd w:val="clear" w:color="auto" w:fill="F1F2F5"/>
          </w:tcPr>
          <w:p>
            <w:pPr>
              <w:pStyle w:val="Compact"/>
              <w:spacing w:after="0" w:before="0" w:line="240" w:lineRule="auto"/>
              <w:jc w:val="left"/>
            </w:pPr>
            <w:r>
              <w:rPr>
                <w:rFonts w:ascii="Arial" w:hAnsi="Arial"/>
                <w:sz w:val="15"/>
              </w:rPr>
              <w:t xml:space="preserve">Owns the network, customer relationship and billing</w:t>
            </w:r>
          </w:p>
        </w:tc>
      </w:tr>
      <w:tr>
        <w:trPr>
          <w:cantSplit/>
        </w:trPr>
        <w:tc>
          <w:tcPr>
            <w:tcW w:type="dxa" w:w="1815"/>
          </w:tcPr>
          <w:p>
            <w:pPr>
              <w:pStyle w:val="Compact"/>
              <w:spacing w:after="0" w:before="0" w:line="240" w:lineRule="auto"/>
              <w:jc w:val="left"/>
            </w:pPr>
            <w:r>
              <w:rPr>
                <w:rFonts w:ascii="Arial" w:hAnsi="Arial"/>
                <w:sz w:val="15"/>
              </w:rPr>
              <w:t xml:space="preserve">Channels &amp; wholesale</w:t>
            </w:r>
          </w:p>
        </w:tc>
        <w:tc>
          <w:tcPr>
            <w:tcW w:type="dxa" w:w="4378"/>
          </w:tcPr>
          <w:p>
            <w:pPr>
              <w:pStyle w:val="Compact"/>
              <w:spacing w:after="0" w:before="0" w:line="240" w:lineRule="auto"/>
              <w:jc w:val="left"/>
            </w:pPr>
            <w:r>
              <w:rPr>
                <w:rFonts w:ascii="Arial" w:hAnsi="Arial"/>
                <w:sz w:val="15"/>
              </w:rPr>
              <w:t xml:space="preserve">U+ Square stores, U+Shop online, exclusive agencies and sub-dealers; MVNOs (U+ Mobile, Hello Mobile, KB Liiv M, Toss Mobile); interconnection with SK Telecom and KT</w:t>
            </w:r>
          </w:p>
        </w:tc>
        <w:tc>
          <w:tcPr>
            <w:tcW w:type="dxa" w:w="3785"/>
          </w:tcPr>
          <w:p>
            <w:pPr>
              <w:pStyle w:val="Compact"/>
              <w:spacing w:after="0" w:before="0" w:line="240" w:lineRule="auto"/>
              <w:jc w:val="left"/>
            </w:pPr>
            <w:r>
              <w:rPr>
                <w:rFonts w:ascii="Arial" w:hAnsi="Arial"/>
                <w:sz w:val="15"/>
              </w:rPr>
              <w:t xml:space="preserve">Controls own retail; dealers are commission-driven</w:t>
            </w:r>
          </w:p>
        </w:tc>
      </w:tr>
      <w:tr>
        <w:trPr>
          <w:cantSplit/>
        </w:trPr>
        <w:tc>
          <w:tcPr>
            <w:tcW w:type="dxa" w:w="1815"/>
            <w:shd w:val="clear" w:color="auto" w:fill="F1F2F5"/>
          </w:tcPr>
          <w:p>
            <w:pPr>
              <w:pStyle w:val="Compact"/>
              <w:spacing w:after="0" w:before="0" w:line="240" w:lineRule="auto"/>
              <w:jc w:val="left"/>
            </w:pPr>
            <w:r>
              <w:rPr>
                <w:rFonts w:ascii="Arial" w:hAnsi="Arial"/>
                <w:sz w:val="15"/>
              </w:rPr>
              <w:t xml:space="preserve">End customers</w:t>
            </w:r>
          </w:p>
        </w:tc>
        <w:tc>
          <w:tcPr>
            <w:tcW w:type="dxa" w:w="4378"/>
            <w:shd w:val="clear" w:color="auto" w:fill="F1F2F5"/>
          </w:tcPr>
          <w:p>
            <w:pPr>
              <w:pStyle w:val="Compact"/>
              <w:spacing w:after="0" w:before="0" w:line="240" w:lineRule="auto"/>
              <w:jc w:val="left"/>
            </w:pPr>
            <w:r>
              <w:rPr>
                <w:rFonts w:ascii="Arial" w:hAnsi="Arial"/>
                <w:sz w:val="15"/>
              </w:rPr>
              <w:t xml:space="preserve">Consumers, enterprises (KB, Shinhan, Woori Card, Hyundai/Kia, Toyota), hyperscale/AI colocation tenants, government, IoT</w:t>
            </w:r>
          </w:p>
        </w:tc>
        <w:tc>
          <w:tcPr>
            <w:tcW w:type="dxa" w:w="3785"/>
            <w:shd w:val="clear" w:color="auto" w:fill="F1F2F5"/>
          </w:tcPr>
          <w:p>
            <w:pPr>
              <w:pStyle w:val="Compact"/>
              <w:spacing w:after="0" w:before="0" w:line="240" w:lineRule="auto"/>
              <w:jc w:val="left"/>
            </w:pPr>
            <w:r>
              <w:rPr>
                <w:rFonts w:ascii="Arial" w:hAnsi="Arial"/>
                <w:sz w:val="15"/>
              </w:rPr>
              <w:t xml:space="preserve">Fragmented. No customer is material</w:t>
            </w:r>
          </w:p>
        </w:tc>
      </w:tr>
      <w:tr>
        <w:trPr>
          <w:cantSplit/>
        </w:trPr>
        <w:tc>
          <w:tcPr>
            <w:tcW w:type="dxa" w:w="1815"/>
          </w:tcPr>
          <w:p>
            <w:pPr>
              <w:pStyle w:val="Compact"/>
              <w:spacing w:after="0" w:before="0" w:line="240" w:lineRule="auto"/>
              <w:jc w:val="left"/>
            </w:pPr>
            <w:r>
              <w:rPr>
                <w:rFonts w:ascii="Arial" w:hAnsi="Arial"/>
                <w:sz w:val="15"/>
              </w:rPr>
              <w:t xml:space="preserve">Regulators</w:t>
            </w:r>
          </w:p>
        </w:tc>
        <w:tc>
          <w:tcPr>
            <w:tcW w:type="dxa" w:w="4378"/>
          </w:tcPr>
          <w:p>
            <w:pPr>
              <w:pStyle w:val="Compact"/>
              <w:spacing w:after="0" w:before="0" w:line="240" w:lineRule="auto"/>
              <w:jc w:val="left"/>
            </w:pPr>
            <w:r>
              <w:rPr>
                <w:rFonts w:ascii="Arial" w:hAnsi="Arial"/>
                <w:sz w:val="15"/>
              </w:rPr>
              <w:t xml:space="preserve">MSIT, KCC, Korea Fair Trade Commission (KFTC), Personal Information Protection Commission (PIPC)</w:t>
            </w:r>
          </w:p>
        </w:tc>
        <w:tc>
          <w:tcPr>
            <w:tcW w:type="dxa" w:w="3785"/>
          </w:tcPr>
          <w:p>
            <w:pPr>
              <w:pStyle w:val="Compact"/>
              <w:spacing w:after="0" w:before="0" w:line="240" w:lineRule="auto"/>
              <w:jc w:val="left"/>
            </w:pPr>
            <w:r>
              <w:rPr>
                <w:rFonts w:ascii="Arial" w:hAnsi="Arial"/>
                <w:sz w:val="15"/>
              </w:rPr>
              <w:t xml:space="preserve">High regulatory dependence</w:t>
            </w:r>
          </w:p>
        </w:tc>
      </w:tr>
    </w:tbl>
    <w:bookmarkEnd w:id="34"/>
    <w:bookmarkStart w:id="35" w:name="X8380dafc01e0f9aa568d67b6f125a80e7b51943"/>
    <w:p>
      <w:pPr>
        <w:pStyle w:val="Heading1"/>
      </w:pPr>
      <w:r>
        <w:t xml:space="preserve">Macro and micro factors: tailwinds and headwinds</w:t>
      </w:r>
    </w:p>
    <w:p>
      <w:pPr>
        <w:pStyle w:val="FirstParagraph"/>
      </w:pPr>
      <w:r>
        <w:rPr>
          <w:bCs/>
          <w:b/>
        </w:rPr>
        <w:t xml:space="preserve">Macro.</w:t>
      </w:r>
    </w:p>
    <w:p>
      <w:pPr>
        <w:numPr>
          <w:ilvl w:val="0"/>
          <w:numId w:val="1009"/>
        </w:numPr>
        <w:pStyle w:val="Compact"/>
      </w:pPr>
      <w:r>
        <w:rPr>
          <w:iCs/>
          <w:i/>
        </w:rPr>
        <w:t xml:space="preserve">Rates.</w:t>
      </w:r>
      <w:r>
        <w:t xml:space="preserve"> </w:t>
      </w:r>
      <w:r>
        <w:t xml:space="preserve">The Bank of Korea raised rates in July and August 2026 after inflation reached 3.2% [u]. The next decision is on 22-Oct-2026.</w:t>
      </w:r>
    </w:p>
    <w:p>
      <w:pPr>
        <w:numPr>
          <w:ilvl w:val="0"/>
          <w:numId w:val="1009"/>
        </w:numPr>
        <w:pStyle w:val="Compact"/>
      </w:pPr>
      <w:r>
        <w:rPr>
          <w:iCs/>
          <w:i/>
        </w:rPr>
        <w:t xml:space="preserve">Equity market.</w:t>
      </w:r>
      <w:r>
        <w:t xml:space="preserve"> </w:t>
      </w:r>
      <w:r>
        <w:t xml:space="preserve">After a speculative rally, the KOSPI fell ~22% in early October 2026 (KODEX 200 proxy). LG Uplus has behaved as a negatively correlated defensive.</w:t>
      </w:r>
    </w:p>
    <w:p>
      <w:pPr>
        <w:numPr>
          <w:ilvl w:val="0"/>
          <w:numId w:val="1009"/>
        </w:numPr>
        <w:pStyle w:val="Compact"/>
      </w:pPr>
      <w:r>
        <w:rPr>
          <w:iCs/>
          <w:i/>
        </w:rPr>
        <w:t xml:space="preserve">Policy.</w:t>
      </w:r>
      <w:r>
        <w:t xml:space="preserve"> </w:t>
      </w:r>
      <w:r>
        <w:t xml:space="preserve">The government favours lower household telecom bills, but it has also pushed</w:t>
      </w:r>
      <w:r>
        <w:t xml:space="preserve"> </w:t>
      </w:r>
      <w:r>
        <w:t xml:space="preserve">“</w:t>
      </w:r>
      <w:r>
        <w:t xml:space="preserve">value-up</w:t>
      </w:r>
      <w:r>
        <w:t xml:space="preserve">”</w:t>
      </w:r>
      <w:r>
        <w:t xml:space="preserve"> </w:t>
      </w:r>
      <w:r>
        <w:t xml:space="preserve">reforms: Commercial Act amendments that extend directors’ duty to shareholders, mandatory cumulative voting [u] and separate taxation of dividends for high-payout companies from 2026.</w:t>
      </w:r>
    </w:p>
    <w:p>
      <w:pPr>
        <w:numPr>
          <w:ilvl w:val="0"/>
          <w:numId w:val="1009"/>
        </w:numPr>
        <w:pStyle w:val="Compact"/>
      </w:pPr>
      <w:r>
        <w:rPr>
          <w:iCs/>
          <w:i/>
        </w:rPr>
        <w:t xml:space="preserve">Capital flows.</w:t>
      </w:r>
      <w:r>
        <w:t xml:space="preserve"> </w:t>
      </w:r>
      <w:r>
        <w:t xml:space="preserve">Korea remains an MSCI Emerging Market (reviewed Jun-2026). Telecom foreign-ownership caps limit passive weights.</w:t>
      </w:r>
    </w:p>
    <w:p>
      <w:pPr>
        <w:pStyle w:val="FirstParagraph"/>
      </w:pPr>
      <w:r>
        <w:rPr>
          <w:bCs/>
          <w:b/>
        </w:rPr>
        <w:t xml:space="preserve">Micro.</w:t>
      </w:r>
    </w:p>
    <w:p>
      <w:pPr>
        <w:numPr>
          <w:ilvl w:val="0"/>
          <w:numId w:val="1010"/>
        </w:numPr>
        <w:pStyle w:val="Compact"/>
      </w:pPr>
      <w:r>
        <w:rPr>
          <w:iCs/>
          <w:i/>
        </w:rPr>
        <w:t xml:space="preserve">Competition.</w:t>
      </w:r>
      <w:r>
        <w:t xml:space="preserve"> </w:t>
      </w:r>
      <w:r>
        <w:t xml:space="preserve">Rivals have suffered repeated security breaches: SKT’s USIM hack (Apr-2025, PIPC fine KRW134.8bn) and KT’s femtocell breach (PIPC fine KRW54.0bn, Jul-2026). After KT waived termination fees, it lost &gt;238k subscribers [u].</w:t>
      </w:r>
    </w:p>
    <w:p>
      <w:pPr>
        <w:numPr>
          <w:ilvl w:val="0"/>
          <w:numId w:val="1010"/>
        </w:numPr>
        <w:pStyle w:val="Compact"/>
      </w:pPr>
      <w:r>
        <w:rPr>
          <w:iCs/>
          <w:i/>
        </w:rPr>
        <w:t xml:space="preserve">Cost and investment.</w:t>
      </w:r>
      <w:r>
        <w:t xml:space="preserve"> </w:t>
      </w:r>
      <w:r>
        <w:t xml:space="preserve">The 5G cycle is over and AI data-centre demand is strong. LG Uplus has also cut ~600 staff and simplified tariffs.</w:t>
      </w:r>
    </w:p>
    <w:p>
      <w:pPr>
        <w:numPr>
          <w:ilvl w:val="0"/>
          <w:numId w:val="1010"/>
        </w:numPr>
        <w:pStyle w:val="Compact"/>
      </w:pPr>
      <w:r>
        <w:rPr>
          <w:iCs/>
          <w:i/>
        </w:rPr>
        <w:t xml:space="preserve">Own security exposure.</w:t>
      </w:r>
      <w:r>
        <w:t xml:space="preserve"> </w:t>
      </w:r>
      <w:r>
        <w:t xml:space="preserve">LG Uplus has its own open hacking case (the APPM server, reported by Phrack in Aug-2025).</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4349"/>
        <w:gridCol w:w="5628"/>
      </w:tblGrid>
      <w:tr>
        <w:trPr>
          <w:tblHeader w:val="true"/>
          <w:tblHeader w:val="true"/>
          <w:cantSplit/>
        </w:trPr>
        <w:tc>
          <w:tcPr>
            <w:tcW w:type="dxa" w:w="4350"/>
            <w:shd w:val="clear" w:color="auto" w:fill="13213F"/>
          </w:tcPr>
          <w:p>
            <w:pPr>
              <w:pStyle w:val="Compact"/>
              <w:spacing w:after="0" w:before="0" w:line="240" w:lineRule="auto"/>
              <w:jc w:val="left"/>
            </w:pPr>
            <w:r>
              <w:rPr>
                <w:rFonts w:ascii="Arial" w:hAnsi="Arial"/>
                <w:b/>
                <w:color w:val="FFFFFF"/>
                <w:sz w:val="15"/>
              </w:rPr>
              <w:t xml:space="preserve">Tailwinds</w:t>
            </w:r>
          </w:p>
        </w:tc>
        <w:tc>
          <w:tcPr>
            <w:tcW w:type="dxa" w:w="5628"/>
            <w:shd w:val="clear" w:color="auto" w:fill="13213F"/>
          </w:tcPr>
          <w:p>
            <w:pPr>
              <w:pStyle w:val="Compact"/>
              <w:spacing w:after="0" w:before="0" w:line="240" w:lineRule="auto"/>
              <w:jc w:val="left"/>
            </w:pPr>
            <w:r>
              <w:rPr>
                <w:rFonts w:ascii="Arial" w:hAnsi="Arial"/>
                <w:b/>
                <w:color w:val="FFFFFF"/>
                <w:sz w:val="15"/>
              </w:rPr>
              <w:t xml:space="preserve">Headwinds</w:t>
            </w:r>
          </w:p>
        </w:tc>
      </w:tr>
      <w:tr>
        <w:trPr>
          <w:cantSplit/>
        </w:trPr>
        <w:tc>
          <w:tcPr>
            <w:tcW w:type="dxa" w:w="4350"/>
          </w:tcPr>
          <w:p>
            <w:pPr>
              <w:pStyle w:val="Compact"/>
              <w:spacing w:after="0" w:before="0" w:line="240" w:lineRule="auto"/>
              <w:jc w:val="left"/>
            </w:pPr>
            <w:r>
              <w:rPr>
                <w:rFonts w:ascii="Arial" w:hAnsi="Arial"/>
                <w:sz w:val="15"/>
              </w:rPr>
              <w:t xml:space="preserve">End of the 5G capex cycle; capex/sales 11–14% vs 17% in FY21–23</w:t>
            </w:r>
          </w:p>
        </w:tc>
        <w:tc>
          <w:tcPr>
            <w:tcW w:type="dxa" w:w="5628"/>
          </w:tcPr>
          <w:p>
            <w:pPr>
              <w:pStyle w:val="Compact"/>
              <w:spacing w:after="0" w:before="0" w:line="240" w:lineRule="auto"/>
              <w:jc w:val="left"/>
            </w:pPr>
            <w:r>
              <w:rPr>
                <w:rFonts w:ascii="Arial" w:hAnsi="Arial"/>
                <w:sz w:val="15"/>
              </w:rPr>
              <w:t xml:space="preserve">Government pressure on tariffs (mid-tier 5G,</w:t>
            </w:r>
            <w:r>
              <w:rPr>
                <w:rFonts w:ascii="Arial" w:hAnsi="Arial"/>
                <w:sz w:val="15"/>
              </w:rPr>
              <w:t xml:space="preserve"> </w:t>
            </w:r>
            <w:r>
              <w:rPr>
                <w:rFonts w:ascii="Arial" w:hAnsi="Arial"/>
                <w:sz w:val="15"/>
              </w:rPr>
              <w:t xml:space="preserve">“</w:t>
            </w:r>
            <w:r>
              <w:rPr>
                <w:rFonts w:ascii="Arial" w:hAnsi="Arial"/>
                <w:sz w:val="15"/>
              </w:rPr>
              <w:t xml:space="preserve">data safety-net</w:t>
            </w:r>
            <w:r>
              <w:rPr>
                <w:rFonts w:ascii="Arial" w:hAnsi="Arial"/>
                <w:sz w:val="15"/>
              </w:rPr>
              <w:t xml:space="preserve">”</w:t>
            </w:r>
            <w:r>
              <w:rPr>
                <w:rFonts w:ascii="Arial" w:hAnsi="Arial"/>
                <w:sz w:val="15"/>
              </w:rPr>
              <w:t xml:space="preserve"> </w:t>
            </w:r>
            <w:r>
              <w:rPr>
                <w:rFonts w:ascii="Arial" w:hAnsi="Arial"/>
                <w:sz w:val="15"/>
              </w:rPr>
              <w:t xml:space="preserve">plans)</w:t>
            </w:r>
          </w:p>
        </w:tc>
      </w:tr>
      <w:tr>
        <w:trPr>
          <w:cantSplit/>
        </w:trPr>
        <w:tc>
          <w:tcPr>
            <w:tcW w:type="dxa" w:w="4350"/>
            <w:shd w:val="clear" w:color="auto" w:fill="F1F2F5"/>
          </w:tcPr>
          <w:p>
            <w:pPr>
              <w:pStyle w:val="Compact"/>
              <w:spacing w:after="0" w:before="0" w:line="240" w:lineRule="auto"/>
              <w:jc w:val="left"/>
            </w:pPr>
            <w:r>
              <w:rPr>
                <w:rFonts w:ascii="Arial" w:hAnsi="Arial"/>
                <w:sz w:val="15"/>
              </w:rPr>
              <w:t xml:space="preserve">AI data-centre demand; Paju 200MW; SK Horizon valuation mark</w:t>
            </w:r>
          </w:p>
        </w:tc>
        <w:tc>
          <w:tcPr>
            <w:tcW w:type="dxa" w:w="5628"/>
            <w:shd w:val="clear" w:color="auto" w:fill="F1F2F5"/>
          </w:tcPr>
          <w:p>
            <w:pPr>
              <w:pStyle w:val="Compact"/>
              <w:spacing w:after="0" w:before="0" w:line="240" w:lineRule="auto"/>
              <w:jc w:val="left"/>
            </w:pPr>
            <w:r>
              <w:rPr>
                <w:rFonts w:ascii="Arial" w:hAnsi="Arial"/>
                <w:sz w:val="15"/>
              </w:rPr>
              <w:t xml:space="preserve">Post-Dansuobeop subsidy competition; marketing amortisation lag</w:t>
            </w:r>
          </w:p>
        </w:tc>
      </w:tr>
      <w:tr>
        <w:trPr>
          <w:cantSplit/>
        </w:trPr>
        <w:tc>
          <w:tcPr>
            <w:tcW w:type="dxa" w:w="4350"/>
          </w:tcPr>
          <w:p>
            <w:pPr>
              <w:pStyle w:val="Compact"/>
              <w:spacing w:after="0" w:before="0" w:line="240" w:lineRule="auto"/>
              <w:jc w:val="left"/>
            </w:pPr>
            <w:r>
              <w:rPr>
                <w:rFonts w:ascii="Arial" w:hAnsi="Arial"/>
                <w:sz w:val="15"/>
              </w:rPr>
              <w:t xml:space="preserve">Value-up regime: cancellations, dividend-tax reform, Commercial Act</w:t>
            </w:r>
          </w:p>
        </w:tc>
        <w:tc>
          <w:tcPr>
            <w:tcW w:type="dxa" w:w="5628"/>
          </w:tcPr>
          <w:p>
            <w:pPr>
              <w:pStyle w:val="Compact"/>
              <w:spacing w:after="0" w:before="0" w:line="240" w:lineRule="auto"/>
              <w:jc w:val="left"/>
            </w:pPr>
            <w:r>
              <w:rPr>
                <w:rFonts w:ascii="Arial" w:hAnsi="Arial"/>
                <w:sz w:val="15"/>
              </w:rPr>
              <w:t xml:space="preserve">PIPC fine and police probe; possible new evidence-destruction penalty (up to 3% of revenue proposed [u])</w:t>
            </w:r>
          </w:p>
        </w:tc>
      </w:tr>
      <w:tr>
        <w:trPr>
          <w:cantSplit/>
        </w:trPr>
        <w:tc>
          <w:tcPr>
            <w:tcW w:type="dxa" w:w="4350"/>
            <w:shd w:val="clear" w:color="auto" w:fill="F1F2F5"/>
          </w:tcPr>
          <w:p>
            <w:pPr>
              <w:pStyle w:val="Compact"/>
              <w:spacing w:after="0" w:before="0" w:line="240" w:lineRule="auto"/>
              <w:jc w:val="left"/>
            </w:pPr>
            <w:r>
              <w:rPr>
                <w:rFonts w:ascii="Arial" w:hAnsi="Arial"/>
                <w:sz w:val="15"/>
              </w:rPr>
              <w:t xml:space="preserve">Competitors’ breaches drive share gains (MNO lines +7% YoY)</w:t>
            </w:r>
          </w:p>
        </w:tc>
        <w:tc>
          <w:tcPr>
            <w:tcW w:type="dxa" w:w="5628"/>
            <w:shd w:val="clear" w:color="auto" w:fill="F1F2F5"/>
          </w:tcPr>
          <w:p>
            <w:pPr>
              <w:pStyle w:val="Compact"/>
              <w:spacing w:after="0" w:before="0" w:line="240" w:lineRule="auto"/>
              <w:jc w:val="left"/>
            </w:pPr>
            <w:r>
              <w:rPr>
                <w:rFonts w:ascii="Arial" w:hAnsi="Arial"/>
                <w:sz w:val="15"/>
              </w:rPr>
              <w:t xml:space="preserve">2026 3G/LTE spectrum re-allocation fees; 5G re-allocation in 2028</w:t>
            </w:r>
          </w:p>
        </w:tc>
      </w:tr>
      <w:tr>
        <w:trPr>
          <w:cantSplit/>
        </w:trPr>
        <w:tc>
          <w:tcPr>
            <w:tcW w:type="dxa" w:w="4350"/>
          </w:tcPr>
          <w:p>
            <w:pPr>
              <w:pStyle w:val="Compact"/>
              <w:spacing w:after="0" w:before="0" w:line="240" w:lineRule="auto"/>
              <w:jc w:val="left"/>
            </w:pPr>
            <w:r>
              <w:rPr>
                <w:rFonts w:ascii="Arial" w:hAnsi="Arial"/>
                <w:sz w:val="15"/>
              </w:rPr>
              <w:t xml:space="preserve">Labour reset (early retirement) and digital channels</w:t>
            </w:r>
          </w:p>
        </w:tc>
        <w:tc>
          <w:tcPr>
            <w:tcW w:type="dxa" w:w="5628"/>
          </w:tcPr>
          <w:p>
            <w:pPr>
              <w:pStyle w:val="Compact"/>
              <w:spacing w:after="0" w:before="0" w:line="240" w:lineRule="auto"/>
              <w:jc w:val="left"/>
            </w:pPr>
            <w:r>
              <w:rPr>
                <w:rFonts w:ascii="Arial" w:hAnsi="Arial"/>
                <w:sz w:val="15"/>
              </w:rPr>
              <w:t xml:space="preserve">Rising rates (BoK hikes) on ~KRW5.8tn of debt</w:t>
            </w:r>
          </w:p>
        </w:tc>
      </w:tr>
      <w:tr>
        <w:trPr>
          <w:cantSplit/>
        </w:trPr>
        <w:tc>
          <w:tcPr>
            <w:tcW w:type="dxa" w:w="4350"/>
            <w:shd w:val="clear" w:color="auto" w:fill="F1F2F5"/>
          </w:tcPr>
          <w:p>
            <w:pPr>
              <w:pStyle w:val="Compact"/>
              <w:spacing w:after="0" w:before="0" w:line="240" w:lineRule="auto"/>
              <w:jc w:val="left"/>
            </w:pPr>
            <w:r>
              <w:rPr>
                <w:rFonts w:ascii="Arial" w:hAnsi="Arial"/>
                <w:sz w:val="15"/>
              </w:rPr>
              <w:t xml:space="preserve">AA+ ratings (Feb–Mar 2026); falling leverage (D/E 114%)</w:t>
            </w:r>
          </w:p>
        </w:tc>
        <w:tc>
          <w:tcPr>
            <w:tcW w:type="dxa" w:w="5628"/>
            <w:shd w:val="clear" w:color="auto" w:fill="F1F2F5"/>
          </w:tcPr>
          <w:p>
            <w:pPr>
              <w:pStyle w:val="Compact"/>
              <w:spacing w:after="0" w:before="0" w:line="240" w:lineRule="auto"/>
              <w:jc w:val="left"/>
            </w:pPr>
            <w:r>
              <w:rPr>
                <w:rFonts w:ascii="Arial" w:hAnsi="Arial"/>
                <w:sz w:val="15"/>
              </w:rPr>
              <w:t xml:space="preserve">Foreign-ownership cap; MSCI/S&amp;P index deletions reduce passive demand</w:t>
            </w:r>
          </w:p>
        </w:tc>
      </w:tr>
      <w:tr>
        <w:trPr>
          <w:cantSplit/>
        </w:trPr>
        <w:tc>
          <w:tcPr>
            <w:tcW w:type="dxa" w:w="4350"/>
          </w:tcPr>
          <w:p>
            <w:pPr>
              <w:pStyle w:val="Compact"/>
              <w:spacing w:after="0" w:before="0" w:line="240" w:lineRule="auto"/>
              <w:jc w:val="left"/>
            </w:pPr>
            <w:r>
              <w:rPr>
                <w:rFonts w:ascii="Arial" w:hAnsi="Arial"/>
                <w:sz w:val="15"/>
              </w:rPr>
              <w:t xml:space="preserve">High-dividend status attracts domestic income investors</w:t>
            </w:r>
          </w:p>
        </w:tc>
        <w:tc>
          <w:tcPr>
            <w:tcW w:type="dxa" w:w="5628"/>
          </w:tcPr>
          <w:p>
            <w:pPr>
              <w:pStyle w:val="Compact"/>
              <w:spacing w:after="0" w:before="0" w:line="240" w:lineRule="auto"/>
              <w:jc w:val="left"/>
            </w:pPr>
            <w:r>
              <w:rPr>
                <w:rFonts w:ascii="Arial" w:hAnsi="Arial"/>
                <w:sz w:val="15"/>
              </w:rPr>
              <w:t xml:space="preserve">Bank and fintech MVNOs compress low-end pricing; LG HelloVision decline</w:t>
            </w:r>
          </w:p>
        </w:tc>
      </w:tr>
    </w:tbl>
    <w:bookmarkEnd w:id="35"/>
    <w:bookmarkStart w:id="38" w:name="X0061508f73e7b46e82850434df1b53fc61aaa67"/>
    <w:p>
      <w:pPr>
        <w:pStyle w:val="Heading1"/>
      </w:pPr>
      <w:r>
        <w:t xml:space="preserve">Strength of products and services, and economic moats</w:t>
      </w:r>
    </w:p>
    <w:bookmarkStart w:id="36" w:name="product-strength-vs-competitors"/>
    <w:p>
      <w:pPr>
        <w:pStyle w:val="Heading2"/>
      </w:pPr>
      <w:r>
        <w:t xml:space="preserve">Product strength vs competitors</w:t>
      </w:r>
    </w:p>
    <w:p>
      <w:pPr>
        <w:numPr>
          <w:ilvl w:val="0"/>
          <w:numId w:val="1011"/>
        </w:numPr>
        <w:pStyle w:val="Compact"/>
      </w:pPr>
      <w:r>
        <w:rPr>
          <w:bCs/>
          <w:b/>
        </w:rPr>
        <w:t xml:space="preserve">Network and perceived value.</w:t>
      </w:r>
      <w:r>
        <w:t xml:space="preserve"> </w:t>
      </w:r>
      <w:r>
        <w:t xml:space="preserve">LG Uplus has historically been the value challenger: cheaper tariffs, the first IPTV partner for Netflix (2018) and exclusive IPTV partner for Disney+ (2021), and aggressive MVNO hosting. Network quality is broadly at parity in major cities. However, LG Uplus built far fewer 5G base stations early on (~4.3k vs 18.6k at SKT and 12.1k at KT in Jan–Aug 2021 [u]), and its 3.5GHz holding was the narrowest until it won an extra 20MHz (3.40–3.42GHz) for ~KRW152bn [u].</w:t>
      </w:r>
    </w:p>
    <w:p>
      <w:pPr>
        <w:numPr>
          <w:ilvl w:val="0"/>
          <w:numId w:val="1011"/>
        </w:numPr>
        <w:pStyle w:val="Compact"/>
      </w:pPr>
      <w:r>
        <w:rPr>
          <w:bCs/>
          <w:b/>
        </w:rPr>
        <w:t xml:space="preserve">Branding.</w:t>
      </w:r>
      <w:r>
        <w:t xml:space="preserve"> </w:t>
      </w:r>
      <w:r>
        <w:t xml:space="preserve">The</w:t>
      </w:r>
      <w:r>
        <w:t xml:space="preserve"> </w:t>
      </w:r>
      <w:r>
        <w:t xml:space="preserve">“</w:t>
      </w:r>
      <w:r>
        <w:t xml:space="preserve">LG</w:t>
      </w:r>
      <w:r>
        <w:t xml:space="preserve">”</w:t>
      </w:r>
      <w:r>
        <w:t xml:space="preserve"> </w:t>
      </w:r>
      <w:r>
        <w:t xml:space="preserve">brand is strong in consumer electronics but carries less premium in telecom than SK Telecom’s</w:t>
      </w:r>
      <w:r>
        <w:t xml:space="preserve"> </w:t>
      </w:r>
      <w:r>
        <w:t xml:space="preserve">“</w:t>
      </w:r>
      <w:r>
        <w:t xml:space="preserve">T</w:t>
      </w:r>
      <w:r>
        <w:t xml:space="preserve">”</w:t>
      </w:r>
      <w:r>
        <w:t xml:space="preserve">. Both rivals’ brands were damaged in 2025–26: SKT’s USIM leak covered 23.2m subscribers, and KT’s femtocell breach led to a fee waiver. LG Uplus gained share from both, but its own reputation is exposed. It had a 2023 leak (~297k records; KRW6.8bn fine), DDoS outages, and the 2025 APPM case in which servers were reformatted before the investigation.</w:t>
      </w:r>
    </w:p>
    <w:p>
      <w:pPr>
        <w:numPr>
          <w:ilvl w:val="0"/>
          <w:numId w:val="1011"/>
        </w:numPr>
        <w:pStyle w:val="Compact"/>
      </w:pPr>
      <w:r>
        <w:rPr>
          <w:bCs/>
          <w:b/>
        </w:rPr>
        <w:t xml:space="preserve">Marketing.</w:t>
      </w:r>
      <w:r>
        <w:t xml:space="preserve"> </w:t>
      </w:r>
      <w:r>
        <w:t xml:space="preserve">Marketing runs at ~20% of service revenue (FY25 KRW2.31tn), down from 22.5% in FY21. LG Uplus pushes digital/online channels and the ixi-O AI call agent as a retention tool. Rivals spend more in absolute terms. LG Uplus’s churn (~1.0% a month in 4Q25 [u]) is now among the lowest in its history.</w:t>
      </w:r>
    </w:p>
    <w:p>
      <w:pPr>
        <w:numPr>
          <w:ilvl w:val="0"/>
          <w:numId w:val="1011"/>
        </w:numPr>
        <w:pStyle w:val="Compact"/>
      </w:pPr>
      <w:r>
        <w:rPr>
          <w:bCs/>
          <w:b/>
        </w:rPr>
        <w:t xml:space="preserve">Enterprise/AIDC.</w:t>
      </w:r>
      <w:r>
        <w:t xml:space="preserve"> </w:t>
      </w:r>
      <w:r>
        <w:t xml:space="preserve">Paju (200MW power, 128MW IT load, 200kW/rack liquid cooling) is the largest hyperscale campus under construction in the Seoul metro area. Building 1 is reportedly fully pre-let [u]. LG Uplus competes for colocation and DBO work against SK Broadband/SK Horizon, KT Cloud, Samsung SDS and LG CNS, its own sister company.</w:t>
      </w:r>
    </w:p>
    <w:bookmarkEnd w:id="36"/>
    <w:bookmarkStart w:id="37" w:name="moat-assessment"/>
    <w:p>
      <w:pPr>
        <w:pStyle w:val="Heading2"/>
      </w:pPr>
      <w:r>
        <w:t xml:space="preserve">Moat assessment</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2391"/>
        <w:gridCol w:w="1970"/>
        <w:gridCol w:w="5615"/>
      </w:tblGrid>
      <w:tr>
        <w:trPr>
          <w:tblHeader w:val="true"/>
          <w:tblHeader w:val="true"/>
          <w:cantSplit/>
        </w:trPr>
        <w:tc>
          <w:tcPr>
            <w:tcW w:type="dxa" w:w="2392"/>
            <w:shd w:val="clear" w:color="auto" w:fill="13213F"/>
          </w:tcPr>
          <w:p>
            <w:pPr>
              <w:pStyle w:val="Compact"/>
              <w:spacing w:after="0" w:before="0" w:line="240" w:lineRule="auto"/>
              <w:jc w:val="left"/>
            </w:pPr>
            <w:r>
              <w:rPr>
                <w:rFonts w:ascii="Arial" w:hAnsi="Arial"/>
                <w:b/>
                <w:color w:val="FFFFFF"/>
                <w:sz w:val="15"/>
              </w:rPr>
              <w:t xml:space="preserve">Category</w:t>
            </w:r>
          </w:p>
        </w:tc>
        <w:tc>
          <w:tcPr>
            <w:tcW w:type="dxa" w:w="1971"/>
            <w:shd w:val="clear" w:color="auto" w:fill="13213F"/>
          </w:tcPr>
          <w:p>
            <w:pPr>
              <w:pStyle w:val="Compact"/>
              <w:spacing w:after="0" w:before="0" w:line="240" w:lineRule="auto"/>
              <w:jc w:val="center"/>
            </w:pPr>
            <w:r>
              <w:rPr>
                <w:rFonts w:ascii="Arial" w:hAnsi="Arial"/>
                <w:b/>
                <w:color w:val="FFFFFF"/>
                <w:sz w:val="15"/>
              </w:rPr>
              <w:t xml:space="preserve">Rating</w:t>
            </w:r>
          </w:p>
        </w:tc>
        <w:tc>
          <w:tcPr>
            <w:tcW w:type="dxa" w:w="5616"/>
            <w:shd w:val="clear" w:color="auto" w:fill="13213F"/>
          </w:tcPr>
          <w:p>
            <w:pPr>
              <w:pStyle w:val="Compact"/>
              <w:spacing w:after="0" w:before="0" w:line="240" w:lineRule="auto"/>
              <w:jc w:val="left"/>
            </w:pPr>
            <w:r>
              <w:rPr>
                <w:rFonts w:ascii="Arial" w:hAnsi="Arial"/>
                <w:b/>
                <w:color w:val="FFFFFF"/>
                <w:sz w:val="15"/>
              </w:rPr>
              <w:t xml:space="preserve">Evidence</w:t>
            </w:r>
          </w:p>
        </w:tc>
      </w:tr>
      <w:tr>
        <w:trPr>
          <w:cantSplit/>
        </w:trPr>
        <w:tc>
          <w:tcPr>
            <w:tcW w:type="dxa" w:w="2392"/>
          </w:tcPr>
          <w:p>
            <w:pPr>
              <w:pStyle w:val="Compact"/>
              <w:spacing w:after="0" w:before="0" w:line="240" w:lineRule="auto"/>
              <w:jc w:val="left"/>
            </w:pPr>
            <w:r>
              <w:rPr>
                <w:rFonts w:ascii="Arial" w:hAnsi="Arial"/>
                <w:sz w:val="15"/>
              </w:rPr>
              <w:t xml:space="preserve">Brand</w:t>
            </w:r>
          </w:p>
        </w:tc>
        <w:tc>
          <w:tcPr>
            <w:tcW w:type="dxa" w:w="1971"/>
          </w:tcPr>
          <w:p>
            <w:pPr>
              <w:pStyle w:val="Compact"/>
              <w:spacing w:after="0" w:before="0" w:line="240" w:lineRule="auto"/>
              <w:jc w:val="center"/>
            </w:pPr>
            <w:r>
              <w:rPr>
                <w:rFonts w:ascii="Arial" w:hAnsi="Arial"/>
                <w:sz w:val="15"/>
              </w:rPr>
              <w:t xml:space="preserve">Moderate</w:t>
            </w:r>
          </w:p>
        </w:tc>
        <w:tc>
          <w:tcPr>
            <w:tcW w:type="dxa" w:w="5616"/>
          </w:tcPr>
          <w:p>
            <w:pPr>
              <w:pStyle w:val="Compact"/>
              <w:spacing w:after="0" w:before="0" w:line="240" w:lineRule="auto"/>
              <w:jc w:val="left"/>
            </w:pPr>
            <w:r>
              <w:rPr>
                <w:rFonts w:ascii="Arial" w:hAnsi="Arial"/>
                <w:sz w:val="15"/>
              </w:rPr>
              <w:t xml:space="preserve">“</w:t>
            </w:r>
            <w:r>
              <w:rPr>
                <w:rFonts w:ascii="Arial" w:hAnsi="Arial"/>
                <w:sz w:val="15"/>
              </w:rPr>
              <w:t xml:space="preserve">LG</w:t>
            </w:r>
            <w:r>
              <w:rPr>
                <w:rFonts w:ascii="Arial" w:hAnsi="Arial"/>
                <w:sz w:val="15"/>
              </w:rPr>
              <w:t xml:space="preserve">”</w:t>
            </w:r>
            <w:r>
              <w:rPr>
                <w:rFonts w:ascii="Arial" w:hAnsi="Arial"/>
                <w:sz w:val="15"/>
              </w:rPr>
              <w:t xml:space="preserve"> </w:t>
            </w:r>
            <w:r>
              <w:rPr>
                <w:rFonts w:ascii="Arial" w:hAnsi="Arial"/>
                <w:sz w:val="15"/>
              </w:rPr>
              <w:t xml:space="preserve">is trusted, but there is no telecom pricing premium. Value positioning; security incidents in 2023 and 2025 dent trust</w:t>
            </w:r>
          </w:p>
        </w:tc>
      </w:tr>
      <w:tr>
        <w:trPr>
          <w:cantSplit/>
        </w:trPr>
        <w:tc>
          <w:tcPr>
            <w:tcW w:type="dxa" w:w="2392"/>
            <w:shd w:val="clear" w:color="auto" w:fill="F1F2F5"/>
          </w:tcPr>
          <w:p>
            <w:pPr>
              <w:pStyle w:val="Compact"/>
              <w:spacing w:after="0" w:before="0" w:line="240" w:lineRule="auto"/>
              <w:jc w:val="left"/>
            </w:pPr>
            <w:r>
              <w:rPr>
                <w:rFonts w:ascii="Arial" w:hAnsi="Arial"/>
                <w:sz w:val="15"/>
              </w:rPr>
              <w:t xml:space="preserve">Hard assets</w:t>
            </w:r>
          </w:p>
        </w:tc>
        <w:tc>
          <w:tcPr>
            <w:tcW w:type="dxa" w:w="1971"/>
            <w:shd w:val="clear" w:color="auto" w:fill="F1F2F5"/>
          </w:tcPr>
          <w:p>
            <w:pPr>
              <w:pStyle w:val="Compact"/>
              <w:spacing w:after="0" w:before="0" w:line="240" w:lineRule="auto"/>
              <w:jc w:val="center"/>
            </w:pPr>
            <w:r>
              <w:rPr>
                <w:rFonts w:ascii="Arial" w:hAnsi="Arial"/>
                <w:sz w:val="15"/>
              </w:rPr>
              <w:t xml:space="preserve">Strong</w:t>
            </w:r>
          </w:p>
        </w:tc>
        <w:tc>
          <w:tcPr>
            <w:tcW w:type="dxa" w:w="5616"/>
            <w:shd w:val="clear" w:color="auto" w:fill="F1F2F5"/>
          </w:tcPr>
          <w:p>
            <w:pPr>
              <w:pStyle w:val="Compact"/>
              <w:spacing w:after="0" w:before="0" w:line="240" w:lineRule="auto"/>
              <w:jc w:val="left"/>
            </w:pPr>
            <w:r>
              <w:rPr>
                <w:rFonts w:ascii="Arial" w:hAnsi="Arial"/>
                <w:sz w:val="15"/>
              </w:rPr>
              <w:t xml:space="preserve">Nationwide 5G/LTE network, fibre, ~KRW10.4tn net PP&amp;E, spectrum licences, Paju 200MW site (land bought from LG Display)</w:t>
            </w:r>
          </w:p>
        </w:tc>
      </w:tr>
      <w:tr>
        <w:trPr>
          <w:cantSplit/>
        </w:trPr>
        <w:tc>
          <w:tcPr>
            <w:tcW w:type="dxa" w:w="2392"/>
          </w:tcPr>
          <w:p>
            <w:pPr>
              <w:pStyle w:val="Compact"/>
              <w:spacing w:after="0" w:before="0" w:line="240" w:lineRule="auto"/>
              <w:jc w:val="left"/>
            </w:pPr>
            <w:r>
              <w:rPr>
                <w:rFonts w:ascii="Arial" w:hAnsi="Arial"/>
                <w:sz w:val="15"/>
              </w:rPr>
              <w:t xml:space="preserve">Long-term contracts</w:t>
            </w:r>
          </w:p>
        </w:tc>
        <w:tc>
          <w:tcPr>
            <w:tcW w:type="dxa" w:w="1971"/>
          </w:tcPr>
          <w:p>
            <w:pPr>
              <w:pStyle w:val="Compact"/>
              <w:spacing w:after="0" w:before="0" w:line="240" w:lineRule="auto"/>
              <w:jc w:val="center"/>
            </w:pPr>
            <w:r>
              <w:rPr>
                <w:rFonts w:ascii="Arial" w:hAnsi="Arial"/>
                <w:sz w:val="15"/>
              </w:rPr>
              <w:t xml:space="preserve">Moderate</w:t>
            </w:r>
          </w:p>
        </w:tc>
        <w:tc>
          <w:tcPr>
            <w:tcW w:type="dxa" w:w="5616"/>
          </w:tcPr>
          <w:p>
            <w:pPr>
              <w:pStyle w:val="Compact"/>
              <w:spacing w:after="0" w:before="0" w:line="240" w:lineRule="auto"/>
              <w:jc w:val="left"/>
            </w:pPr>
            <w:r>
              <w:rPr>
                <w:rFonts w:ascii="Arial" w:hAnsi="Arial"/>
                <w:sz w:val="15"/>
              </w:rPr>
              <w:t xml:space="preserve">24-month consumer contracts with termination fees; enterprise multi-year SLAs; AIDC pre-lets (terms undisclosed). Contracts can be voided by regulators (KT waiver precedent)</w:t>
            </w:r>
          </w:p>
        </w:tc>
      </w:tr>
      <w:tr>
        <w:trPr>
          <w:cantSplit/>
        </w:trPr>
        <w:tc>
          <w:tcPr>
            <w:tcW w:type="dxa" w:w="2392"/>
            <w:shd w:val="clear" w:color="auto" w:fill="F1F2F5"/>
          </w:tcPr>
          <w:p>
            <w:pPr>
              <w:pStyle w:val="Compact"/>
              <w:spacing w:after="0" w:before="0" w:line="240" w:lineRule="auto"/>
              <w:jc w:val="left"/>
            </w:pPr>
            <w:r>
              <w:rPr>
                <w:rFonts w:ascii="Arial" w:hAnsi="Arial"/>
                <w:sz w:val="15"/>
              </w:rPr>
              <w:t xml:space="preserve">Network effect</w:t>
            </w:r>
          </w:p>
        </w:tc>
        <w:tc>
          <w:tcPr>
            <w:tcW w:type="dxa" w:w="1971"/>
            <w:shd w:val="clear" w:color="auto" w:fill="F1F2F5"/>
          </w:tcPr>
          <w:p>
            <w:pPr>
              <w:pStyle w:val="Compact"/>
              <w:spacing w:after="0" w:before="0" w:line="240" w:lineRule="auto"/>
              <w:jc w:val="center"/>
            </w:pPr>
            <w:r>
              <w:rPr>
                <w:rFonts w:ascii="Arial" w:hAnsi="Arial"/>
                <w:sz w:val="15"/>
              </w:rPr>
              <w:t xml:space="preserve">Weak</w:t>
            </w:r>
          </w:p>
        </w:tc>
        <w:tc>
          <w:tcPr>
            <w:tcW w:type="dxa" w:w="5616"/>
            <w:shd w:val="clear" w:color="auto" w:fill="F1F2F5"/>
          </w:tcPr>
          <w:p>
            <w:pPr>
              <w:pStyle w:val="Compact"/>
              <w:spacing w:after="0" w:before="0" w:line="240" w:lineRule="auto"/>
              <w:jc w:val="left"/>
            </w:pPr>
            <w:r>
              <w:rPr>
                <w:rFonts w:ascii="Arial" w:hAnsi="Arial"/>
                <w:sz w:val="15"/>
              </w:rPr>
              <w:t xml:space="preserve">No on-net pricing advantage; number portability since 2004; MVNO wholesale open to all</w:t>
            </w:r>
          </w:p>
        </w:tc>
      </w:tr>
      <w:tr>
        <w:trPr>
          <w:cantSplit/>
        </w:trPr>
        <w:tc>
          <w:tcPr>
            <w:tcW w:type="dxa" w:w="2392"/>
          </w:tcPr>
          <w:p>
            <w:pPr>
              <w:pStyle w:val="Compact"/>
              <w:spacing w:after="0" w:before="0" w:line="240" w:lineRule="auto"/>
              <w:jc w:val="left"/>
            </w:pPr>
            <w:r>
              <w:rPr>
                <w:rFonts w:ascii="Arial" w:hAnsi="Arial"/>
                <w:sz w:val="15"/>
              </w:rPr>
              <w:t xml:space="preserve">Regulatory &amp; switching costs</w:t>
            </w:r>
          </w:p>
        </w:tc>
        <w:tc>
          <w:tcPr>
            <w:tcW w:type="dxa" w:w="1971"/>
          </w:tcPr>
          <w:p>
            <w:pPr>
              <w:pStyle w:val="Compact"/>
              <w:spacing w:after="0" w:before="0" w:line="240" w:lineRule="auto"/>
              <w:jc w:val="center"/>
            </w:pPr>
            <w:r>
              <w:rPr>
                <w:rFonts w:ascii="Arial" w:hAnsi="Arial"/>
                <w:sz w:val="15"/>
              </w:rPr>
              <w:t xml:space="preserve">Moderate–Strong</w:t>
            </w:r>
          </w:p>
        </w:tc>
        <w:tc>
          <w:tcPr>
            <w:tcW w:type="dxa" w:w="5616"/>
          </w:tcPr>
          <w:p>
            <w:pPr>
              <w:pStyle w:val="Compact"/>
              <w:spacing w:after="0" w:before="0" w:line="240" w:lineRule="auto"/>
              <w:jc w:val="left"/>
            </w:pPr>
            <w:r>
              <w:rPr>
                <w:rFonts w:ascii="Arial" w:hAnsi="Arial"/>
                <w:sz w:val="15"/>
              </w:rPr>
              <w:t xml:space="preserve">Spectrum licensing limits entry: the 4th-carrier attempts failed and the 28GHz licences were revoked [u]. Switching costs come from bundles, handset instalments and family plans, but government-ordered fee waivers can collapse them</w:t>
            </w:r>
          </w:p>
        </w:tc>
      </w:tr>
      <w:tr>
        <w:trPr>
          <w:cantSplit/>
        </w:trPr>
        <w:tc>
          <w:tcPr>
            <w:tcW w:type="dxa" w:w="2392"/>
            <w:shd w:val="clear" w:color="auto" w:fill="F1F2F5"/>
          </w:tcPr>
          <w:p>
            <w:pPr>
              <w:pStyle w:val="Compact"/>
              <w:spacing w:after="0" w:before="0" w:line="240" w:lineRule="auto"/>
              <w:jc w:val="left"/>
            </w:pPr>
            <w:r>
              <w:rPr>
                <w:rFonts w:ascii="Arial" w:hAnsi="Arial"/>
                <w:sz w:val="15"/>
              </w:rPr>
              <w:t xml:space="preserve">Oligopolistic structure</w:t>
            </w:r>
          </w:p>
        </w:tc>
        <w:tc>
          <w:tcPr>
            <w:tcW w:type="dxa" w:w="1971"/>
            <w:shd w:val="clear" w:color="auto" w:fill="F1F2F5"/>
          </w:tcPr>
          <w:p>
            <w:pPr>
              <w:pStyle w:val="Compact"/>
              <w:spacing w:after="0" w:before="0" w:line="240" w:lineRule="auto"/>
              <w:jc w:val="center"/>
            </w:pPr>
            <w:r>
              <w:rPr>
                <w:rFonts w:ascii="Arial" w:hAnsi="Arial"/>
                <w:sz w:val="15"/>
              </w:rPr>
              <w:t xml:space="preserve">Strong</w:t>
            </w:r>
          </w:p>
        </w:tc>
        <w:tc>
          <w:tcPr>
            <w:tcW w:type="dxa" w:w="5616"/>
            <w:shd w:val="clear" w:color="auto" w:fill="F1F2F5"/>
          </w:tcPr>
          <w:p>
            <w:pPr>
              <w:pStyle w:val="Compact"/>
              <w:spacing w:after="0" w:before="0" w:line="240" w:lineRule="auto"/>
              <w:jc w:val="left"/>
            </w:pPr>
            <w:r>
              <w:rPr>
                <w:rFonts w:ascii="Arial" w:hAnsi="Arial"/>
                <w:sz w:val="15"/>
              </w:rPr>
              <w:t xml:space="preserve">Three facilities-based MNOs; a merger or new entry is near-impossible (antitrust, spectrum); the KFTC fined all three for subsidy collusion</w:t>
            </w:r>
          </w:p>
        </w:tc>
      </w:tr>
      <w:tr>
        <w:trPr>
          <w:cantSplit/>
        </w:trPr>
        <w:tc>
          <w:tcPr>
            <w:tcW w:type="dxa" w:w="2392"/>
          </w:tcPr>
          <w:p>
            <w:pPr>
              <w:pStyle w:val="Compact"/>
              <w:spacing w:after="0" w:before="0" w:line="240" w:lineRule="auto"/>
              <w:jc w:val="left"/>
            </w:pPr>
            <w:r>
              <w:rPr>
                <w:rFonts w:ascii="Arial" w:hAnsi="Arial"/>
                <w:sz w:val="15"/>
              </w:rPr>
              <w:t xml:space="preserve">Cash-flow predictability</w:t>
            </w:r>
          </w:p>
        </w:tc>
        <w:tc>
          <w:tcPr>
            <w:tcW w:type="dxa" w:w="1971"/>
          </w:tcPr>
          <w:p>
            <w:pPr>
              <w:pStyle w:val="Compact"/>
              <w:spacing w:after="0" w:before="0" w:line="240" w:lineRule="auto"/>
              <w:jc w:val="center"/>
            </w:pPr>
            <w:r>
              <w:rPr>
                <w:rFonts w:ascii="Arial" w:hAnsi="Arial"/>
                <w:sz w:val="15"/>
              </w:rPr>
              <w:t xml:space="preserve">Strong</w:t>
            </w:r>
          </w:p>
        </w:tc>
        <w:tc>
          <w:tcPr>
            <w:tcW w:type="dxa" w:w="5616"/>
          </w:tcPr>
          <w:p>
            <w:pPr>
              <w:pStyle w:val="Compact"/>
              <w:spacing w:after="0" w:before="0" w:line="240" w:lineRule="auto"/>
              <w:jc w:val="left"/>
            </w:pPr>
            <w:r>
              <w:rPr>
                <w:rFonts w:ascii="Arial" w:hAnsi="Arial"/>
                <w:sz w:val="15"/>
              </w:rPr>
              <w:t xml:space="preserve">~79% recurring service revenue; EBITDA KRW3.4–3.6tn every year since FY21 (24–25% margin); dividends never cut</w:t>
            </w:r>
          </w:p>
        </w:tc>
      </w:tr>
      <w:tr>
        <w:trPr>
          <w:cantSplit/>
        </w:trPr>
        <w:tc>
          <w:tcPr>
            <w:tcW w:type="dxa" w:w="2392"/>
            <w:shd w:val="clear" w:color="auto" w:fill="F1F2F5"/>
          </w:tcPr>
          <w:p>
            <w:pPr>
              <w:pStyle w:val="Compact"/>
              <w:spacing w:after="0" w:before="0" w:line="240" w:lineRule="auto"/>
              <w:jc w:val="left"/>
            </w:pPr>
            <w:r>
              <w:rPr>
                <w:rFonts w:ascii="Arial" w:hAnsi="Arial"/>
                <w:sz w:val="15"/>
              </w:rPr>
              <w:t xml:space="preserve">Scalability</w:t>
            </w:r>
          </w:p>
        </w:tc>
        <w:tc>
          <w:tcPr>
            <w:tcW w:type="dxa" w:w="1971"/>
            <w:shd w:val="clear" w:color="auto" w:fill="F1F2F5"/>
          </w:tcPr>
          <w:p>
            <w:pPr>
              <w:pStyle w:val="Compact"/>
              <w:spacing w:after="0" w:before="0" w:line="240" w:lineRule="auto"/>
              <w:jc w:val="center"/>
            </w:pPr>
            <w:r>
              <w:rPr>
                <w:rFonts w:ascii="Arial" w:hAnsi="Arial"/>
                <w:sz w:val="15"/>
              </w:rPr>
              <w:t xml:space="preserve">Moderate</w:t>
            </w:r>
          </w:p>
        </w:tc>
        <w:tc>
          <w:tcPr>
            <w:tcW w:type="dxa" w:w="5616"/>
            <w:shd w:val="clear" w:color="auto" w:fill="F1F2F5"/>
          </w:tcPr>
          <w:p>
            <w:pPr>
              <w:pStyle w:val="Compact"/>
              <w:spacing w:after="0" w:before="0" w:line="240" w:lineRule="auto"/>
              <w:jc w:val="left"/>
            </w:pPr>
            <w:r>
              <w:rPr>
                <w:rFonts w:ascii="Arial" w:hAnsi="Arial"/>
                <w:sz w:val="15"/>
              </w:rPr>
              <w:t xml:space="preserve">High fixed-cost operating leverage, but growth is capped by population and pricing; AIDC is scalable but capital-intensive</w:t>
            </w:r>
          </w:p>
        </w:tc>
      </w:tr>
      <w:tr>
        <w:trPr>
          <w:cantSplit/>
        </w:trPr>
        <w:tc>
          <w:tcPr>
            <w:tcW w:type="dxa" w:w="2392"/>
          </w:tcPr>
          <w:p>
            <w:pPr>
              <w:pStyle w:val="Compact"/>
              <w:spacing w:after="0" w:before="0" w:line="240" w:lineRule="auto"/>
              <w:jc w:val="left"/>
            </w:pPr>
            <w:r>
              <w:rPr>
                <w:rFonts w:ascii="Arial" w:hAnsi="Arial"/>
                <w:sz w:val="15"/>
              </w:rPr>
              <w:t xml:space="preserve">Risk / history of government interference</w:t>
            </w:r>
          </w:p>
        </w:tc>
        <w:tc>
          <w:tcPr>
            <w:tcW w:type="dxa" w:w="1971"/>
          </w:tcPr>
          <w:p>
            <w:pPr>
              <w:pStyle w:val="Compact"/>
              <w:spacing w:after="0" w:before="0" w:line="240" w:lineRule="auto"/>
              <w:jc w:val="center"/>
            </w:pPr>
            <w:r>
              <w:rPr>
                <w:rFonts w:ascii="Arial" w:hAnsi="Arial"/>
                <w:sz w:val="15"/>
              </w:rPr>
              <w:t xml:space="preserve">High risk (negative)</w:t>
            </w:r>
          </w:p>
        </w:tc>
        <w:tc>
          <w:tcPr>
            <w:tcW w:type="dxa" w:w="5616"/>
          </w:tcPr>
          <w:p>
            <w:pPr>
              <w:pStyle w:val="Compact"/>
              <w:spacing w:after="0" w:before="0" w:line="240" w:lineRule="auto"/>
              <w:jc w:val="left"/>
            </w:pPr>
            <w:r>
              <w:rPr>
                <w:rFonts w:ascii="Arial" w:hAnsi="Arial"/>
                <w:sz w:val="15"/>
              </w:rPr>
              <w:t xml:space="preserve">Tariff interventions (25% discount in 2017; mid-tier 5G 2022;</w:t>
            </w:r>
            <w:r>
              <w:rPr>
                <w:rFonts w:ascii="Arial" w:hAnsi="Arial"/>
                <w:sz w:val="15"/>
              </w:rPr>
              <w:t xml:space="preserve"> </w:t>
            </w:r>
            <w:r>
              <w:rPr>
                <w:rFonts w:ascii="Arial" w:hAnsi="Arial"/>
                <w:sz w:val="15"/>
              </w:rPr>
              <w:t xml:space="preserve">“</w:t>
            </w:r>
            <w:r>
              <w:rPr>
                <w:rFonts w:ascii="Arial" w:hAnsi="Arial"/>
                <w:sz w:val="15"/>
              </w:rPr>
              <w:t xml:space="preserve">data safety-net</w:t>
            </w:r>
            <w:r>
              <w:rPr>
                <w:rFonts w:ascii="Arial" w:hAnsi="Arial"/>
                <w:sz w:val="15"/>
              </w:rPr>
              <w:t xml:space="preserve">”</w:t>
            </w:r>
            <w:r>
              <w:rPr>
                <w:rFonts w:ascii="Arial" w:hAnsi="Arial"/>
                <w:sz w:val="15"/>
              </w:rPr>
              <w:t xml:space="preserve"> </w:t>
            </w:r>
            <w:r>
              <w:rPr>
                <w:rFonts w:ascii="Arial" w:hAnsi="Arial"/>
                <w:sz w:val="15"/>
              </w:rPr>
              <w:t xml:space="preserve">2025–26), subsidy rules, spectrum fees, foreign-ownership cap, privacy fines, fee waivers</w:t>
            </w:r>
          </w:p>
        </w:tc>
      </w:tr>
      <w:tr>
        <w:trPr>
          <w:cantSplit/>
        </w:trPr>
        <w:tc>
          <w:tcPr>
            <w:tcW w:type="dxa" w:w="2392"/>
            <w:shd w:val="clear" w:color="auto" w:fill="F1F2F5"/>
          </w:tcPr>
          <w:p>
            <w:pPr>
              <w:pStyle w:val="Compact"/>
              <w:spacing w:after="0" w:before="0" w:line="240" w:lineRule="auto"/>
              <w:jc w:val="left"/>
            </w:pPr>
            <w:r>
              <w:rPr>
                <w:rFonts w:ascii="Arial" w:hAnsi="Arial"/>
                <w:sz w:val="15"/>
              </w:rPr>
              <w:t xml:space="preserve">Bargaining power over stakeholders</w:t>
            </w:r>
          </w:p>
        </w:tc>
        <w:tc>
          <w:tcPr>
            <w:tcW w:type="dxa" w:w="1971"/>
            <w:shd w:val="clear" w:color="auto" w:fill="F1F2F5"/>
          </w:tcPr>
          <w:p>
            <w:pPr>
              <w:pStyle w:val="Compact"/>
              <w:spacing w:after="0" w:before="0" w:line="240" w:lineRule="auto"/>
              <w:jc w:val="center"/>
            </w:pPr>
            <w:r>
              <w:rPr>
                <w:rFonts w:ascii="Arial" w:hAnsi="Arial"/>
                <w:sz w:val="15"/>
              </w:rPr>
              <w:t xml:space="preserve">Moderate</w:t>
            </w:r>
          </w:p>
        </w:tc>
        <w:tc>
          <w:tcPr>
            <w:tcW w:type="dxa" w:w="5616"/>
            <w:shd w:val="clear" w:color="auto" w:fill="F1F2F5"/>
          </w:tcPr>
          <w:p>
            <w:pPr>
              <w:pStyle w:val="Compact"/>
              <w:spacing w:after="0" w:before="0" w:line="240" w:lineRule="auto"/>
              <w:jc w:val="left"/>
            </w:pPr>
            <w:r>
              <w:rPr>
                <w:rFonts w:ascii="Arial" w:hAnsi="Arial"/>
                <w:sz w:val="15"/>
              </w:rPr>
              <w:t xml:space="preserve">Strong over dealers and MVNOs; weak over Apple and Samsung, regulators and content owners; limited over unions (ordinary-wage ruling)</w:t>
            </w:r>
          </w:p>
        </w:tc>
      </w:tr>
    </w:tbl>
    <w:p>
      <w:pPr>
        <w:pStyle w:val="BodyText"/>
      </w:pPr>
      <w:r>
        <w:rPr>
          <w:bCs/>
          <w:b/>
        </w:rPr>
        <w:t xml:space="preserve">Net assessment.</w:t>
      </w:r>
      <w:r>
        <w:t xml:space="preserve"> </w:t>
      </w:r>
      <w:r>
        <w:t xml:space="preserve">The moat is real but regulatory in nature. It is a licence-protected three-player structure with sticky households, and it produces stable, utility-like cash flows. Returns are capped (ROIC ~4–6%) because the state treats telecom as a public good. The company’s best opportunity to earn above its cost of capital is outside the regulated core, in AIDC.</w:t>
      </w:r>
    </w:p>
    <w:bookmarkEnd w:id="37"/>
    <w:bookmarkEnd w:id="38"/>
    <w:bookmarkStart w:id="59" w:name="X49f9bc243b8ee42c669269cb90cef1be720cd54"/>
    <w:p>
      <w:pPr>
        <w:pStyle w:val="Heading1"/>
      </w:pPr>
      <w:r>
        <w:t xml:space="preserve">Historical financial performance (FY2021–FY2025, 1H26)</w:t>
      </w:r>
    </w:p>
    <w:bookmarkStart w:id="42" w:name="consolidated-income-statement-summary"/>
    <w:p>
      <w:pPr>
        <w:pStyle w:val="Heading2"/>
      </w:pPr>
      <w:r>
        <w:t xml:space="preserve">Consolidated income statement summary</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2182"/>
        <w:gridCol w:w="887"/>
        <w:gridCol w:w="891"/>
        <w:gridCol w:w="889"/>
        <w:gridCol w:w="1809"/>
        <w:gridCol w:w="1097"/>
        <w:gridCol w:w="1325"/>
        <w:gridCol w:w="894"/>
      </w:tblGrid>
      <w:tr>
        <w:trPr>
          <w:tblHeader w:val="true"/>
          <w:tblHeader w:val="true"/>
          <w:cantSplit/>
        </w:trPr>
        <w:tc>
          <w:tcPr>
            <w:tcW w:type="dxa" w:w="2182"/>
            <w:shd w:val="clear" w:color="auto" w:fill="13213F"/>
          </w:tcPr>
          <w:p>
            <w:pPr>
              <w:pStyle w:val="Compact"/>
              <w:spacing w:after="0" w:before="0" w:line="240" w:lineRule="auto"/>
              <w:jc w:val="left"/>
            </w:pPr>
            <w:r>
              <w:rPr>
                <w:rFonts w:ascii="Arial" w:hAnsi="Arial"/>
                <w:b/>
                <w:color w:val="FFFFFF"/>
                <w:sz w:val="15"/>
              </w:rPr>
              <w:t xml:space="preserve">KRW bn</w:t>
            </w:r>
          </w:p>
        </w:tc>
        <w:tc>
          <w:tcPr>
            <w:tcW w:type="dxa" w:w="888"/>
            <w:shd w:val="clear" w:color="auto" w:fill="13213F"/>
          </w:tcPr>
          <w:p>
            <w:pPr>
              <w:pStyle w:val="Compact"/>
              <w:spacing w:after="0" w:before="0" w:line="240" w:lineRule="auto"/>
              <w:jc w:val="right"/>
            </w:pPr>
            <w:r>
              <w:rPr>
                <w:rFonts w:ascii="Arial" w:hAnsi="Arial"/>
                <w:b/>
                <w:color w:val="FFFFFF"/>
                <w:sz w:val="15"/>
              </w:rPr>
              <w:t xml:space="preserve">FY2021</w:t>
            </w:r>
          </w:p>
        </w:tc>
        <w:tc>
          <w:tcPr>
            <w:tcW w:type="dxa" w:w="892"/>
            <w:shd w:val="clear" w:color="auto" w:fill="13213F"/>
          </w:tcPr>
          <w:p>
            <w:pPr>
              <w:pStyle w:val="Compact"/>
              <w:spacing w:after="0" w:before="0" w:line="240" w:lineRule="auto"/>
              <w:jc w:val="right"/>
            </w:pPr>
            <w:r>
              <w:rPr>
                <w:rFonts w:ascii="Arial" w:hAnsi="Arial"/>
                <w:b/>
                <w:color w:val="FFFFFF"/>
                <w:sz w:val="15"/>
              </w:rPr>
              <w:t xml:space="preserve">FY2022</w:t>
            </w:r>
          </w:p>
        </w:tc>
        <w:tc>
          <w:tcPr>
            <w:tcW w:type="dxa" w:w="889"/>
            <w:shd w:val="clear" w:color="auto" w:fill="13213F"/>
          </w:tcPr>
          <w:p>
            <w:pPr>
              <w:pStyle w:val="Compact"/>
              <w:spacing w:after="0" w:before="0" w:line="240" w:lineRule="auto"/>
              <w:jc w:val="right"/>
            </w:pPr>
            <w:r>
              <w:rPr>
                <w:rFonts w:ascii="Arial" w:hAnsi="Arial"/>
                <w:b/>
                <w:color w:val="FFFFFF"/>
                <w:sz w:val="15"/>
              </w:rPr>
              <w:t xml:space="preserve">FY2023</w:t>
            </w:r>
          </w:p>
        </w:tc>
        <w:tc>
          <w:tcPr>
            <w:tcW w:type="dxa" w:w="1809"/>
            <w:shd w:val="clear" w:color="auto" w:fill="13213F"/>
          </w:tcPr>
          <w:p>
            <w:pPr>
              <w:pStyle w:val="Compact"/>
              <w:spacing w:after="0" w:before="0" w:line="240" w:lineRule="auto"/>
              <w:jc w:val="right"/>
            </w:pPr>
            <w:r>
              <w:rPr>
                <w:rFonts w:ascii="Arial" w:hAnsi="Arial"/>
                <w:b/>
                <w:color w:val="FFFFFF"/>
                <w:sz w:val="15"/>
              </w:rPr>
              <w:t xml:space="preserve">FY2024</w:t>
            </w:r>
          </w:p>
        </w:tc>
        <w:tc>
          <w:tcPr>
            <w:tcW w:type="dxa" w:w="1098"/>
            <w:shd w:val="clear" w:color="auto" w:fill="13213F"/>
          </w:tcPr>
          <w:p>
            <w:pPr>
              <w:pStyle w:val="Compact"/>
              <w:spacing w:after="0" w:before="0" w:line="240" w:lineRule="auto"/>
              <w:jc w:val="right"/>
            </w:pPr>
            <w:r>
              <w:rPr>
                <w:rFonts w:ascii="Arial" w:hAnsi="Arial"/>
                <w:b/>
                <w:color w:val="FFFFFF"/>
                <w:sz w:val="15"/>
              </w:rPr>
              <w:t xml:space="preserve">FY2025</w:t>
            </w:r>
          </w:p>
        </w:tc>
        <w:tc>
          <w:tcPr>
            <w:tcW w:type="dxa" w:w="1325"/>
            <w:shd w:val="clear" w:color="auto" w:fill="13213F"/>
          </w:tcPr>
          <w:p>
            <w:pPr>
              <w:pStyle w:val="Compact"/>
              <w:spacing w:after="0" w:before="0" w:line="240" w:lineRule="auto"/>
              <w:jc w:val="right"/>
            </w:pPr>
            <w:r>
              <w:rPr>
                <w:rFonts w:ascii="Arial" w:hAnsi="Arial"/>
                <w:b/>
                <w:color w:val="FFFFFF"/>
                <w:sz w:val="15"/>
              </w:rPr>
              <w:t xml:space="preserve">1H26</w:t>
            </w:r>
          </w:p>
        </w:tc>
        <w:tc>
          <w:tcPr>
            <w:tcW w:type="dxa" w:w="895"/>
            <w:shd w:val="clear" w:color="auto" w:fill="13213F"/>
          </w:tcPr>
          <w:p>
            <w:pPr>
              <w:pStyle w:val="Compact"/>
              <w:spacing w:after="0" w:before="0" w:line="240" w:lineRule="auto"/>
              <w:jc w:val="right"/>
            </w:pPr>
            <w:r>
              <w:rPr>
                <w:rFonts w:ascii="Arial" w:hAnsi="Arial"/>
                <w:b/>
                <w:color w:val="FFFFFF"/>
                <w:sz w:val="15"/>
              </w:rPr>
              <w:t xml:space="preserve">LTM 2Q26</w:t>
            </w:r>
          </w:p>
        </w:tc>
      </w:tr>
      <w:tr>
        <w:trPr>
          <w:cantSplit/>
        </w:trPr>
        <w:tc>
          <w:tcPr>
            <w:tcW w:type="dxa" w:w="2182"/>
          </w:tcPr>
          <w:p>
            <w:pPr>
              <w:pStyle w:val="Compact"/>
              <w:spacing w:after="0" w:before="0" w:line="240" w:lineRule="auto"/>
              <w:jc w:val="left"/>
            </w:pPr>
            <w:r>
              <w:rPr>
                <w:rFonts w:ascii="Arial" w:hAnsi="Arial"/>
                <w:sz w:val="15"/>
              </w:rPr>
              <w:t xml:space="preserve">Revenue</w:t>
            </w:r>
          </w:p>
        </w:tc>
        <w:tc>
          <w:tcPr>
            <w:tcW w:type="dxa" w:w="888"/>
          </w:tcPr>
          <w:p>
            <w:pPr>
              <w:pStyle w:val="Compact"/>
              <w:spacing w:after="0" w:before="0" w:line="240" w:lineRule="auto"/>
              <w:jc w:val="right"/>
            </w:pPr>
            <w:r>
              <w:rPr>
                <w:rFonts w:ascii="Arial" w:hAnsi="Arial"/>
                <w:sz w:val="15"/>
              </w:rPr>
              <w:t xml:space="preserve">13,851</w:t>
            </w:r>
          </w:p>
        </w:tc>
        <w:tc>
          <w:tcPr>
            <w:tcW w:type="dxa" w:w="892"/>
          </w:tcPr>
          <w:p>
            <w:pPr>
              <w:pStyle w:val="Compact"/>
              <w:spacing w:after="0" w:before="0" w:line="240" w:lineRule="auto"/>
              <w:jc w:val="right"/>
            </w:pPr>
            <w:r>
              <w:rPr>
                <w:rFonts w:ascii="Arial" w:hAnsi="Arial"/>
                <w:sz w:val="15"/>
              </w:rPr>
              <w:t xml:space="preserve">13,906</w:t>
            </w:r>
          </w:p>
        </w:tc>
        <w:tc>
          <w:tcPr>
            <w:tcW w:type="dxa" w:w="889"/>
          </w:tcPr>
          <w:p>
            <w:pPr>
              <w:pStyle w:val="Compact"/>
              <w:spacing w:after="0" w:before="0" w:line="240" w:lineRule="auto"/>
              <w:jc w:val="right"/>
            </w:pPr>
            <w:r>
              <w:rPr>
                <w:rFonts w:ascii="Arial" w:hAnsi="Arial"/>
                <w:sz w:val="15"/>
              </w:rPr>
              <w:t xml:space="preserve">14,373</w:t>
            </w:r>
          </w:p>
        </w:tc>
        <w:tc>
          <w:tcPr>
            <w:tcW w:type="dxa" w:w="1809"/>
          </w:tcPr>
          <w:p>
            <w:pPr>
              <w:pStyle w:val="Compact"/>
              <w:spacing w:after="0" w:before="0" w:line="240" w:lineRule="auto"/>
              <w:jc w:val="right"/>
            </w:pPr>
            <w:r>
              <w:rPr>
                <w:rFonts w:ascii="Arial" w:hAnsi="Arial"/>
                <w:sz w:val="15"/>
              </w:rPr>
              <w:t xml:space="preserve">14,625</w:t>
            </w:r>
          </w:p>
        </w:tc>
        <w:tc>
          <w:tcPr>
            <w:tcW w:type="dxa" w:w="1098"/>
          </w:tcPr>
          <w:p>
            <w:pPr>
              <w:pStyle w:val="Compact"/>
              <w:spacing w:after="0" w:before="0" w:line="240" w:lineRule="auto"/>
              <w:jc w:val="right"/>
            </w:pPr>
            <w:r>
              <w:rPr>
                <w:rFonts w:ascii="Arial" w:hAnsi="Arial"/>
                <w:sz w:val="15"/>
              </w:rPr>
              <w:t xml:space="preserve">15,452</w:t>
            </w:r>
          </w:p>
        </w:tc>
        <w:tc>
          <w:tcPr>
            <w:tcW w:type="dxa" w:w="1325"/>
          </w:tcPr>
          <w:p>
            <w:pPr>
              <w:pStyle w:val="Compact"/>
              <w:spacing w:after="0" w:before="0" w:line="240" w:lineRule="auto"/>
              <w:jc w:val="right"/>
            </w:pPr>
            <w:r>
              <w:rPr>
                <w:rFonts w:ascii="Arial" w:hAnsi="Arial"/>
                <w:sz w:val="15"/>
              </w:rPr>
              <w:t xml:space="preserve">7,499</w:t>
            </w:r>
          </w:p>
        </w:tc>
        <w:tc>
          <w:tcPr>
            <w:tcW w:type="dxa" w:w="895"/>
          </w:tcPr>
          <w:p>
            <w:pPr>
              <w:pStyle w:val="Compact"/>
              <w:spacing w:after="0" w:before="0" w:line="240" w:lineRule="auto"/>
              <w:jc w:val="right"/>
            </w:pPr>
            <w:r>
              <w:rPr>
                <w:rFonts w:ascii="Arial" w:hAnsi="Arial"/>
                <w:sz w:val="15"/>
              </w:rPr>
              <w:t xml:space="preserve">15,358</w:t>
            </w:r>
          </w:p>
        </w:tc>
      </w:tr>
      <w:tr>
        <w:trPr>
          <w:cantSplit/>
        </w:trPr>
        <w:tc>
          <w:tcPr>
            <w:tcW w:type="dxa" w:w="2182"/>
            <w:shd w:val="clear" w:color="auto" w:fill="F1F2F5"/>
          </w:tcPr>
          <w:p>
            <w:pPr>
              <w:pStyle w:val="Compact"/>
              <w:spacing w:after="0" w:before="0" w:line="240" w:lineRule="auto"/>
              <w:jc w:val="left"/>
            </w:pPr>
            <w:r>
              <w:rPr>
                <w:rFonts w:ascii="Arial" w:hAnsi="Arial"/>
                <w:sz w:val="15"/>
              </w:rPr>
              <w:t xml:space="preserve">YoY growth</w:t>
            </w:r>
          </w:p>
        </w:tc>
        <w:tc>
          <w:tcPr>
            <w:tcW w:type="dxa" w:w="888"/>
            <w:shd w:val="clear" w:color="auto" w:fill="F1F2F5"/>
          </w:tcPr>
          <w:p>
            <w:pPr>
              <w:pStyle w:val="Compact"/>
              <w:spacing w:after="0" w:before="0" w:line="240" w:lineRule="auto"/>
              <w:jc w:val="right"/>
            </w:pPr>
            <w:r>
              <w:rPr>
                <w:rFonts w:ascii="Arial" w:hAnsi="Arial"/>
                <w:sz w:val="15"/>
              </w:rPr>
              <w:t xml:space="preserve">3.2%</w:t>
            </w:r>
          </w:p>
        </w:tc>
        <w:tc>
          <w:tcPr>
            <w:tcW w:type="dxa" w:w="892"/>
            <w:shd w:val="clear" w:color="auto" w:fill="F1F2F5"/>
          </w:tcPr>
          <w:p>
            <w:pPr>
              <w:pStyle w:val="Compact"/>
              <w:spacing w:after="0" w:before="0" w:line="240" w:lineRule="auto"/>
              <w:jc w:val="right"/>
            </w:pPr>
            <w:r>
              <w:rPr>
                <w:rFonts w:ascii="Arial" w:hAnsi="Arial"/>
                <w:sz w:val="15"/>
              </w:rPr>
              <w:t xml:space="preserve">0.4%</w:t>
            </w:r>
          </w:p>
        </w:tc>
        <w:tc>
          <w:tcPr>
            <w:tcW w:type="dxa" w:w="889"/>
            <w:shd w:val="clear" w:color="auto" w:fill="F1F2F5"/>
          </w:tcPr>
          <w:p>
            <w:pPr>
              <w:pStyle w:val="Compact"/>
              <w:spacing w:after="0" w:before="0" w:line="240" w:lineRule="auto"/>
              <w:jc w:val="right"/>
            </w:pPr>
            <w:r>
              <w:rPr>
                <w:rFonts w:ascii="Arial" w:hAnsi="Arial"/>
                <w:sz w:val="15"/>
              </w:rPr>
              <w:t xml:space="preserve">3.4%</w:t>
            </w:r>
          </w:p>
        </w:tc>
        <w:tc>
          <w:tcPr>
            <w:tcW w:type="dxa" w:w="1809"/>
            <w:shd w:val="clear" w:color="auto" w:fill="F1F2F5"/>
          </w:tcPr>
          <w:p>
            <w:pPr>
              <w:pStyle w:val="Compact"/>
              <w:spacing w:after="0" w:before="0" w:line="240" w:lineRule="auto"/>
              <w:jc w:val="right"/>
            </w:pPr>
            <w:r>
              <w:rPr>
                <w:rFonts w:ascii="Arial" w:hAnsi="Arial"/>
                <w:sz w:val="15"/>
              </w:rPr>
              <w:t xml:space="preserve">1.8%</w:t>
            </w:r>
          </w:p>
        </w:tc>
        <w:tc>
          <w:tcPr>
            <w:tcW w:type="dxa" w:w="1098"/>
            <w:shd w:val="clear" w:color="auto" w:fill="F1F2F5"/>
          </w:tcPr>
          <w:p>
            <w:pPr>
              <w:pStyle w:val="Compact"/>
              <w:spacing w:after="0" w:before="0" w:line="240" w:lineRule="auto"/>
              <w:jc w:val="right"/>
            </w:pPr>
            <w:r>
              <w:rPr>
                <w:rFonts w:ascii="Arial" w:hAnsi="Arial"/>
                <w:sz w:val="15"/>
              </w:rPr>
              <w:t xml:space="preserve">5.7%</w:t>
            </w:r>
          </w:p>
        </w:tc>
        <w:tc>
          <w:tcPr>
            <w:tcW w:type="dxa" w:w="1325"/>
            <w:shd w:val="clear" w:color="auto" w:fill="F1F2F5"/>
          </w:tcPr>
          <w:p>
            <w:pPr>
              <w:pStyle w:val="Compact"/>
              <w:spacing w:after="0" w:before="0" w:line="240" w:lineRule="auto"/>
              <w:jc w:val="right"/>
            </w:pPr>
            <w:r>
              <w:rPr>
                <w:rFonts w:ascii="Arial" w:hAnsi="Arial"/>
                <w:sz w:val="15"/>
              </w:rPr>
              <w:t xml:space="preserve">-1.2%</w:t>
            </w:r>
          </w:p>
        </w:tc>
        <w:tc>
          <w:tcPr>
            <w:tcW w:type="dxa" w:w="895"/>
            <w:shd w:val="clear" w:color="auto" w:fill="F1F2F5"/>
          </w:tcPr>
          <w:p>
            <w:pPr>
              <w:pStyle w:val="Compact"/>
              <w:spacing w:after="0" w:before="0" w:line="240" w:lineRule="auto"/>
              <w:jc w:val="right"/>
            </w:pPr>
            <w:r>
              <w:rPr>
                <w:rFonts w:ascii="Arial" w:hAnsi="Arial"/>
                <w:sz w:val="15"/>
              </w:rPr>
              <w:t xml:space="preserve">–</w:t>
            </w:r>
          </w:p>
        </w:tc>
      </w:tr>
      <w:tr>
        <w:trPr>
          <w:cantSplit/>
        </w:trPr>
        <w:tc>
          <w:tcPr>
            <w:tcW w:type="dxa" w:w="2182"/>
          </w:tcPr>
          <w:p>
            <w:pPr>
              <w:pStyle w:val="Compact"/>
              <w:spacing w:after="0" w:before="0" w:line="240" w:lineRule="auto"/>
              <w:jc w:val="left"/>
            </w:pPr>
            <w:r>
              <w:rPr>
                <w:rFonts w:ascii="Arial" w:hAnsi="Arial"/>
                <w:sz w:val="15"/>
              </w:rPr>
              <w:t xml:space="preserve">Service revenue (consolidated)</w:t>
            </w:r>
          </w:p>
        </w:tc>
        <w:tc>
          <w:tcPr>
            <w:tcW w:type="dxa" w:w="888"/>
          </w:tcPr>
          <w:p>
            <w:pPr>
              <w:pStyle w:val="Compact"/>
              <w:spacing w:after="0" w:before="0" w:line="240" w:lineRule="auto"/>
              <w:jc w:val="right"/>
            </w:pPr>
            <w:r>
              <w:rPr>
                <w:rFonts w:ascii="Arial" w:hAnsi="Arial"/>
                <w:sz w:val="15"/>
              </w:rPr>
              <w:t xml:space="preserve">11,068</w:t>
            </w:r>
          </w:p>
        </w:tc>
        <w:tc>
          <w:tcPr>
            <w:tcW w:type="dxa" w:w="892"/>
          </w:tcPr>
          <w:p>
            <w:pPr>
              <w:pStyle w:val="Compact"/>
              <w:spacing w:after="0" w:before="0" w:line="240" w:lineRule="auto"/>
              <w:jc w:val="right"/>
            </w:pPr>
            <w:r>
              <w:rPr>
                <w:rFonts w:ascii="Arial" w:hAnsi="Arial"/>
                <w:sz w:val="15"/>
              </w:rPr>
              <w:t xml:space="preserve">11,411</w:t>
            </w:r>
          </w:p>
        </w:tc>
        <w:tc>
          <w:tcPr>
            <w:tcW w:type="dxa" w:w="889"/>
          </w:tcPr>
          <w:p>
            <w:pPr>
              <w:pStyle w:val="Compact"/>
              <w:spacing w:after="0" w:before="0" w:line="240" w:lineRule="auto"/>
              <w:jc w:val="right"/>
            </w:pPr>
            <w:r>
              <w:rPr>
                <w:rFonts w:ascii="Arial" w:hAnsi="Arial"/>
                <w:sz w:val="15"/>
              </w:rPr>
              <w:t xml:space="preserve">11,636</w:t>
            </w:r>
          </w:p>
        </w:tc>
        <w:tc>
          <w:tcPr>
            <w:tcW w:type="dxa" w:w="1809"/>
          </w:tcPr>
          <w:p>
            <w:pPr>
              <w:pStyle w:val="Compact"/>
              <w:spacing w:after="0" w:before="0" w:line="240" w:lineRule="auto"/>
              <w:jc w:val="right"/>
            </w:pPr>
            <w:r>
              <w:rPr>
                <w:rFonts w:ascii="Arial" w:hAnsi="Arial"/>
                <w:sz w:val="15"/>
              </w:rPr>
              <w:t xml:space="preserve">11,843</w:t>
            </w:r>
          </w:p>
        </w:tc>
        <w:tc>
          <w:tcPr>
            <w:tcW w:type="dxa" w:w="1098"/>
          </w:tcPr>
          <w:p>
            <w:pPr>
              <w:pStyle w:val="Compact"/>
              <w:spacing w:after="0" w:before="0" w:line="240" w:lineRule="auto"/>
              <w:jc w:val="right"/>
            </w:pPr>
            <w:r>
              <w:rPr>
                <w:rFonts w:ascii="Arial" w:hAnsi="Arial"/>
                <w:sz w:val="15"/>
              </w:rPr>
              <w:t xml:space="preserve">~12,258 [e]</w:t>
            </w:r>
          </w:p>
        </w:tc>
        <w:tc>
          <w:tcPr>
            <w:tcW w:type="dxa" w:w="1325"/>
          </w:tcPr>
          <w:p>
            <w:pPr>
              <w:pStyle w:val="Compact"/>
              <w:spacing w:after="0" w:before="0" w:line="240" w:lineRule="auto"/>
              <w:jc w:val="right"/>
            </w:pPr>
            <w:r>
              <w:rPr>
                <w:rFonts w:ascii="Arial" w:hAnsi="Arial"/>
                <w:sz w:val="15"/>
              </w:rPr>
              <w:t xml:space="preserve">~6,112 [e]</w:t>
            </w:r>
          </w:p>
        </w:tc>
        <w:tc>
          <w:tcPr>
            <w:tcW w:type="dxa" w:w="895"/>
          </w:tcPr>
          <w:p>
            <w:pPr>
              <w:pStyle w:val="Compact"/>
              <w:spacing w:after="0" w:before="0" w:line="240" w:lineRule="auto"/>
              <w:jc w:val="right"/>
            </w:pPr>
            <w:r>
              <w:rPr>
                <w:rFonts w:ascii="Arial" w:hAnsi="Arial"/>
                <w:sz w:val="15"/>
              </w:rPr>
              <w:t xml:space="preserve">–</w:t>
            </w:r>
          </w:p>
        </w:tc>
      </w:tr>
      <w:tr>
        <w:trPr>
          <w:cantSplit/>
        </w:trPr>
        <w:tc>
          <w:tcPr>
            <w:tcW w:type="dxa" w:w="2182"/>
            <w:shd w:val="clear" w:color="auto" w:fill="F1F2F5"/>
          </w:tcPr>
          <w:p>
            <w:pPr>
              <w:pStyle w:val="Compact"/>
              <w:spacing w:after="0" w:before="0" w:line="240" w:lineRule="auto"/>
              <w:jc w:val="left"/>
            </w:pPr>
            <w:r>
              <w:rPr>
                <w:rFonts w:ascii="Arial" w:hAnsi="Arial"/>
                <w:sz w:val="15"/>
              </w:rPr>
              <w:t xml:space="preserve">EBITDA (OP + D&amp;A)</w:t>
            </w:r>
          </w:p>
        </w:tc>
        <w:tc>
          <w:tcPr>
            <w:tcW w:type="dxa" w:w="888"/>
            <w:shd w:val="clear" w:color="auto" w:fill="F1F2F5"/>
          </w:tcPr>
          <w:p>
            <w:pPr>
              <w:pStyle w:val="Compact"/>
              <w:spacing w:after="0" w:before="0" w:line="240" w:lineRule="auto"/>
              <w:jc w:val="right"/>
            </w:pPr>
            <w:r>
              <w:rPr>
                <w:rFonts w:ascii="Arial" w:hAnsi="Arial"/>
                <w:sz w:val="15"/>
              </w:rPr>
              <w:t xml:space="preserve">3,420</w:t>
            </w:r>
          </w:p>
        </w:tc>
        <w:tc>
          <w:tcPr>
            <w:tcW w:type="dxa" w:w="892"/>
            <w:shd w:val="clear" w:color="auto" w:fill="F1F2F5"/>
          </w:tcPr>
          <w:p>
            <w:pPr>
              <w:pStyle w:val="Compact"/>
              <w:spacing w:after="0" w:before="0" w:line="240" w:lineRule="auto"/>
              <w:jc w:val="right"/>
            </w:pPr>
            <w:r>
              <w:rPr>
                <w:rFonts w:ascii="Arial" w:hAnsi="Arial"/>
                <w:sz w:val="15"/>
              </w:rPr>
              <w:t xml:space="preserve">3,532</w:t>
            </w:r>
          </w:p>
        </w:tc>
        <w:tc>
          <w:tcPr>
            <w:tcW w:type="dxa" w:w="889"/>
            <w:shd w:val="clear" w:color="auto" w:fill="F1F2F5"/>
          </w:tcPr>
          <w:p>
            <w:pPr>
              <w:pStyle w:val="Compact"/>
              <w:spacing w:after="0" w:before="0" w:line="240" w:lineRule="auto"/>
              <w:jc w:val="right"/>
            </w:pPr>
            <w:r>
              <w:rPr>
                <w:rFonts w:ascii="Arial" w:hAnsi="Arial"/>
                <w:sz w:val="15"/>
              </w:rPr>
              <w:t xml:space="preserve">3,569</w:t>
            </w:r>
          </w:p>
        </w:tc>
        <w:tc>
          <w:tcPr>
            <w:tcW w:type="dxa" w:w="1809"/>
            <w:shd w:val="clear" w:color="auto" w:fill="F1F2F5"/>
          </w:tcPr>
          <w:p>
            <w:pPr>
              <w:pStyle w:val="Compact"/>
              <w:spacing w:after="0" w:before="0" w:line="240" w:lineRule="auto"/>
              <w:jc w:val="right"/>
            </w:pPr>
            <w:r>
              <w:rPr>
                <w:rFonts w:ascii="Arial" w:hAnsi="Arial"/>
                <w:sz w:val="15"/>
              </w:rPr>
              <w:t xml:space="preserve">3,527</w:t>
            </w:r>
          </w:p>
        </w:tc>
        <w:tc>
          <w:tcPr>
            <w:tcW w:type="dxa" w:w="1098"/>
            <w:shd w:val="clear" w:color="auto" w:fill="F1F2F5"/>
          </w:tcPr>
          <w:p>
            <w:pPr>
              <w:pStyle w:val="Compact"/>
              <w:spacing w:after="0" w:before="0" w:line="240" w:lineRule="auto"/>
              <w:jc w:val="right"/>
            </w:pPr>
            <w:r>
              <w:rPr>
                <w:rFonts w:ascii="Arial" w:hAnsi="Arial"/>
                <w:sz w:val="15"/>
              </w:rPr>
              <w:t xml:space="preserve">3,589</w:t>
            </w:r>
          </w:p>
        </w:tc>
        <w:tc>
          <w:tcPr>
            <w:tcW w:type="dxa" w:w="1325"/>
            <w:shd w:val="clear" w:color="auto" w:fill="F1F2F5"/>
          </w:tcPr>
          <w:p>
            <w:pPr>
              <w:pStyle w:val="Compact"/>
              <w:spacing w:after="0" w:before="0" w:line="240" w:lineRule="auto"/>
              <w:jc w:val="right"/>
            </w:pPr>
            <w:r>
              <w:rPr>
                <w:rFonts w:ascii="Arial" w:hAnsi="Arial"/>
                <w:sz w:val="15"/>
              </w:rPr>
              <w:t xml:space="preserve">1,994</w:t>
            </w:r>
          </w:p>
        </w:tc>
        <w:tc>
          <w:tcPr>
            <w:tcW w:type="dxa" w:w="895"/>
            <w:shd w:val="clear" w:color="auto" w:fill="F1F2F5"/>
          </w:tcPr>
          <w:p>
            <w:pPr>
              <w:pStyle w:val="Compact"/>
              <w:spacing w:after="0" w:before="0" w:line="240" w:lineRule="auto"/>
              <w:jc w:val="right"/>
            </w:pPr>
            <w:r>
              <w:rPr>
                <w:rFonts w:ascii="Arial" w:hAnsi="Arial"/>
                <w:sz w:val="15"/>
              </w:rPr>
              <w:t xml:space="preserve">3,684</w:t>
            </w:r>
          </w:p>
        </w:tc>
      </w:tr>
      <w:tr>
        <w:trPr>
          <w:cantSplit/>
        </w:trPr>
        <w:tc>
          <w:tcPr>
            <w:tcW w:type="dxa" w:w="2182"/>
          </w:tcPr>
          <w:p>
            <w:pPr>
              <w:pStyle w:val="Compact"/>
              <w:spacing w:after="0" w:before="0" w:line="240" w:lineRule="auto"/>
              <w:jc w:val="left"/>
            </w:pPr>
            <w:r>
              <w:rPr>
                <w:rFonts w:ascii="Arial" w:hAnsi="Arial"/>
                <w:sz w:val="15"/>
              </w:rPr>
              <w:t xml:space="preserve">EBITDA margin</w:t>
            </w:r>
          </w:p>
        </w:tc>
        <w:tc>
          <w:tcPr>
            <w:tcW w:type="dxa" w:w="888"/>
          </w:tcPr>
          <w:p>
            <w:pPr>
              <w:pStyle w:val="Compact"/>
              <w:spacing w:after="0" w:before="0" w:line="240" w:lineRule="auto"/>
              <w:jc w:val="right"/>
            </w:pPr>
            <w:r>
              <w:rPr>
                <w:rFonts w:ascii="Arial" w:hAnsi="Arial"/>
                <w:sz w:val="15"/>
              </w:rPr>
              <w:t xml:space="preserve">24.7%</w:t>
            </w:r>
          </w:p>
        </w:tc>
        <w:tc>
          <w:tcPr>
            <w:tcW w:type="dxa" w:w="892"/>
          </w:tcPr>
          <w:p>
            <w:pPr>
              <w:pStyle w:val="Compact"/>
              <w:spacing w:after="0" w:before="0" w:line="240" w:lineRule="auto"/>
              <w:jc w:val="right"/>
            </w:pPr>
            <w:r>
              <w:rPr>
                <w:rFonts w:ascii="Arial" w:hAnsi="Arial"/>
                <w:sz w:val="15"/>
              </w:rPr>
              <w:t xml:space="preserve">25.4%</w:t>
            </w:r>
          </w:p>
        </w:tc>
        <w:tc>
          <w:tcPr>
            <w:tcW w:type="dxa" w:w="889"/>
          </w:tcPr>
          <w:p>
            <w:pPr>
              <w:pStyle w:val="Compact"/>
              <w:spacing w:after="0" w:before="0" w:line="240" w:lineRule="auto"/>
              <w:jc w:val="right"/>
            </w:pPr>
            <w:r>
              <w:rPr>
                <w:rFonts w:ascii="Arial" w:hAnsi="Arial"/>
                <w:sz w:val="15"/>
              </w:rPr>
              <w:t xml:space="preserve">24.8%</w:t>
            </w:r>
          </w:p>
        </w:tc>
        <w:tc>
          <w:tcPr>
            <w:tcW w:type="dxa" w:w="1809"/>
          </w:tcPr>
          <w:p>
            <w:pPr>
              <w:pStyle w:val="Compact"/>
              <w:spacing w:after="0" w:before="0" w:line="240" w:lineRule="auto"/>
              <w:jc w:val="right"/>
            </w:pPr>
            <w:r>
              <w:rPr>
                <w:rFonts w:ascii="Arial" w:hAnsi="Arial"/>
                <w:sz w:val="15"/>
              </w:rPr>
              <w:t xml:space="preserve">24.1%</w:t>
            </w:r>
          </w:p>
        </w:tc>
        <w:tc>
          <w:tcPr>
            <w:tcW w:type="dxa" w:w="1098"/>
          </w:tcPr>
          <w:p>
            <w:pPr>
              <w:pStyle w:val="Compact"/>
              <w:spacing w:after="0" w:before="0" w:line="240" w:lineRule="auto"/>
              <w:jc w:val="right"/>
            </w:pPr>
            <w:r>
              <w:rPr>
                <w:rFonts w:ascii="Arial" w:hAnsi="Arial"/>
                <w:sz w:val="15"/>
              </w:rPr>
              <w:t xml:space="preserve">23.2%</w:t>
            </w:r>
          </w:p>
        </w:tc>
        <w:tc>
          <w:tcPr>
            <w:tcW w:type="dxa" w:w="1325"/>
          </w:tcPr>
          <w:p>
            <w:pPr>
              <w:pStyle w:val="Compact"/>
              <w:spacing w:after="0" w:before="0" w:line="240" w:lineRule="auto"/>
              <w:jc w:val="right"/>
            </w:pPr>
            <w:r>
              <w:rPr>
                <w:rFonts w:ascii="Arial" w:hAnsi="Arial"/>
                <w:sz w:val="15"/>
              </w:rPr>
              <w:t xml:space="preserve">26.6%</w:t>
            </w:r>
          </w:p>
        </w:tc>
        <w:tc>
          <w:tcPr>
            <w:tcW w:type="dxa" w:w="895"/>
          </w:tcPr>
          <w:p>
            <w:pPr>
              <w:pStyle w:val="Compact"/>
              <w:spacing w:after="0" w:before="0" w:line="240" w:lineRule="auto"/>
              <w:jc w:val="right"/>
            </w:pPr>
            <w:r>
              <w:rPr>
                <w:rFonts w:ascii="Arial" w:hAnsi="Arial"/>
                <w:sz w:val="15"/>
              </w:rPr>
              <w:t xml:space="preserve">24.0%</w:t>
            </w:r>
          </w:p>
        </w:tc>
      </w:tr>
      <w:tr>
        <w:trPr>
          <w:cantSplit/>
        </w:trPr>
        <w:tc>
          <w:tcPr>
            <w:tcW w:type="dxa" w:w="2182"/>
            <w:shd w:val="clear" w:color="auto" w:fill="F1F2F5"/>
          </w:tcPr>
          <w:p>
            <w:pPr>
              <w:pStyle w:val="Compact"/>
              <w:spacing w:after="0" w:before="0" w:line="240" w:lineRule="auto"/>
              <w:jc w:val="left"/>
            </w:pPr>
            <w:r>
              <w:rPr>
                <w:rFonts w:ascii="Arial" w:hAnsi="Arial"/>
                <w:sz w:val="15"/>
              </w:rPr>
              <w:t xml:space="preserve">D&amp;A</w:t>
            </w:r>
          </w:p>
        </w:tc>
        <w:tc>
          <w:tcPr>
            <w:tcW w:type="dxa" w:w="888"/>
            <w:shd w:val="clear" w:color="auto" w:fill="F1F2F5"/>
          </w:tcPr>
          <w:p>
            <w:pPr>
              <w:pStyle w:val="Compact"/>
              <w:spacing w:after="0" w:before="0" w:line="240" w:lineRule="auto"/>
              <w:jc w:val="right"/>
            </w:pPr>
            <w:r>
              <w:rPr>
                <w:rFonts w:ascii="Arial" w:hAnsi="Arial"/>
                <w:sz w:val="15"/>
              </w:rPr>
              <w:t xml:space="preserve">2,441</w:t>
            </w:r>
          </w:p>
        </w:tc>
        <w:tc>
          <w:tcPr>
            <w:tcW w:type="dxa" w:w="892"/>
            <w:shd w:val="clear" w:color="auto" w:fill="F1F2F5"/>
          </w:tcPr>
          <w:p>
            <w:pPr>
              <w:pStyle w:val="Compact"/>
              <w:spacing w:after="0" w:before="0" w:line="240" w:lineRule="auto"/>
              <w:jc w:val="right"/>
            </w:pPr>
            <w:r>
              <w:rPr>
                <w:rFonts w:ascii="Arial" w:hAnsi="Arial"/>
                <w:sz w:val="15"/>
              </w:rPr>
              <w:t xml:space="preserve">2,451</w:t>
            </w:r>
          </w:p>
        </w:tc>
        <w:tc>
          <w:tcPr>
            <w:tcW w:type="dxa" w:w="889"/>
            <w:shd w:val="clear" w:color="auto" w:fill="F1F2F5"/>
          </w:tcPr>
          <w:p>
            <w:pPr>
              <w:pStyle w:val="Compact"/>
              <w:spacing w:after="0" w:before="0" w:line="240" w:lineRule="auto"/>
              <w:jc w:val="right"/>
            </w:pPr>
            <w:r>
              <w:rPr>
                <w:rFonts w:ascii="Arial" w:hAnsi="Arial"/>
                <w:sz w:val="15"/>
              </w:rPr>
              <w:t xml:space="preserve">2,571</w:t>
            </w:r>
          </w:p>
        </w:tc>
        <w:tc>
          <w:tcPr>
            <w:tcW w:type="dxa" w:w="1809"/>
            <w:shd w:val="clear" w:color="auto" w:fill="F1F2F5"/>
          </w:tcPr>
          <w:p>
            <w:pPr>
              <w:pStyle w:val="Compact"/>
              <w:spacing w:after="0" w:before="0" w:line="240" w:lineRule="auto"/>
              <w:jc w:val="right"/>
            </w:pPr>
            <w:r>
              <w:rPr>
                <w:rFonts w:ascii="Arial" w:hAnsi="Arial"/>
                <w:sz w:val="15"/>
              </w:rPr>
              <w:t xml:space="preserve">2,664</w:t>
            </w:r>
          </w:p>
        </w:tc>
        <w:tc>
          <w:tcPr>
            <w:tcW w:type="dxa" w:w="1098"/>
            <w:shd w:val="clear" w:color="auto" w:fill="F1F2F5"/>
          </w:tcPr>
          <w:p>
            <w:pPr>
              <w:pStyle w:val="Compact"/>
              <w:spacing w:after="0" w:before="0" w:line="240" w:lineRule="auto"/>
              <w:jc w:val="right"/>
            </w:pPr>
            <w:r>
              <w:rPr>
                <w:rFonts w:ascii="Arial" w:hAnsi="Arial"/>
                <w:sz w:val="15"/>
              </w:rPr>
              <w:t xml:space="preserve">2,697</w:t>
            </w:r>
          </w:p>
        </w:tc>
        <w:tc>
          <w:tcPr>
            <w:tcW w:type="dxa" w:w="1325"/>
            <w:shd w:val="clear" w:color="auto" w:fill="F1F2F5"/>
          </w:tcPr>
          <w:p>
            <w:pPr>
              <w:pStyle w:val="Compact"/>
              <w:spacing w:after="0" w:before="0" w:line="240" w:lineRule="auto"/>
              <w:jc w:val="right"/>
            </w:pPr>
            <w:r>
              <w:rPr>
                <w:rFonts w:ascii="Arial" w:hAnsi="Arial"/>
                <w:sz w:val="15"/>
              </w:rPr>
              <w:t xml:space="preserve">1,377</w:t>
            </w:r>
          </w:p>
        </w:tc>
        <w:tc>
          <w:tcPr>
            <w:tcW w:type="dxa" w:w="895"/>
            <w:shd w:val="clear" w:color="auto" w:fill="F1F2F5"/>
          </w:tcPr>
          <w:p>
            <w:pPr>
              <w:pStyle w:val="Compact"/>
              <w:spacing w:after="0" w:before="0" w:line="240" w:lineRule="auto"/>
              <w:jc w:val="right"/>
            </w:pPr>
            <w:r>
              <w:rPr>
                <w:rFonts w:ascii="Arial" w:hAnsi="Arial"/>
                <w:sz w:val="15"/>
              </w:rPr>
              <w:t xml:space="preserve">2,735</w:t>
            </w:r>
          </w:p>
        </w:tc>
      </w:tr>
      <w:tr>
        <w:trPr>
          <w:cantSplit/>
        </w:trPr>
        <w:tc>
          <w:tcPr>
            <w:tcW w:type="dxa" w:w="2182"/>
          </w:tcPr>
          <w:p>
            <w:pPr>
              <w:pStyle w:val="Compact"/>
              <w:spacing w:after="0" w:before="0" w:line="240" w:lineRule="auto"/>
              <w:jc w:val="left"/>
            </w:pPr>
            <w:r>
              <w:rPr>
                <w:rFonts w:ascii="Arial" w:hAnsi="Arial"/>
                <w:sz w:val="15"/>
              </w:rPr>
              <w:t xml:space="preserve">Operating profit (EBIT)</w:t>
            </w:r>
          </w:p>
        </w:tc>
        <w:tc>
          <w:tcPr>
            <w:tcW w:type="dxa" w:w="888"/>
          </w:tcPr>
          <w:p>
            <w:pPr>
              <w:pStyle w:val="Compact"/>
              <w:spacing w:after="0" w:before="0" w:line="240" w:lineRule="auto"/>
              <w:jc w:val="right"/>
            </w:pPr>
            <w:r>
              <w:rPr>
                <w:rFonts w:ascii="Arial" w:hAnsi="Arial"/>
                <w:sz w:val="15"/>
              </w:rPr>
              <w:t xml:space="preserve">979</w:t>
            </w:r>
          </w:p>
        </w:tc>
        <w:tc>
          <w:tcPr>
            <w:tcW w:type="dxa" w:w="892"/>
          </w:tcPr>
          <w:p>
            <w:pPr>
              <w:pStyle w:val="Compact"/>
              <w:spacing w:after="0" w:before="0" w:line="240" w:lineRule="auto"/>
              <w:jc w:val="right"/>
            </w:pPr>
            <w:r>
              <w:rPr>
                <w:rFonts w:ascii="Arial" w:hAnsi="Arial"/>
                <w:sz w:val="15"/>
              </w:rPr>
              <w:t xml:space="preserve">1,081</w:t>
            </w:r>
          </w:p>
        </w:tc>
        <w:tc>
          <w:tcPr>
            <w:tcW w:type="dxa" w:w="889"/>
          </w:tcPr>
          <w:p>
            <w:pPr>
              <w:pStyle w:val="Compact"/>
              <w:spacing w:after="0" w:before="0" w:line="240" w:lineRule="auto"/>
              <w:jc w:val="right"/>
            </w:pPr>
            <w:r>
              <w:rPr>
                <w:rFonts w:ascii="Arial" w:hAnsi="Arial"/>
                <w:sz w:val="15"/>
              </w:rPr>
              <w:t xml:space="preserve">998</w:t>
            </w:r>
          </w:p>
        </w:tc>
        <w:tc>
          <w:tcPr>
            <w:tcW w:type="dxa" w:w="1809"/>
          </w:tcPr>
          <w:p>
            <w:pPr>
              <w:pStyle w:val="Compact"/>
              <w:spacing w:after="0" w:before="0" w:line="240" w:lineRule="auto"/>
              <w:jc w:val="right"/>
            </w:pPr>
            <w:r>
              <w:rPr>
                <w:rFonts w:ascii="Arial" w:hAnsi="Arial"/>
                <w:sz w:val="15"/>
              </w:rPr>
              <w:t xml:space="preserve">863</w:t>
            </w:r>
          </w:p>
        </w:tc>
        <w:tc>
          <w:tcPr>
            <w:tcW w:type="dxa" w:w="1098"/>
          </w:tcPr>
          <w:p>
            <w:pPr>
              <w:pStyle w:val="Compact"/>
              <w:spacing w:after="0" w:before="0" w:line="240" w:lineRule="auto"/>
              <w:jc w:val="right"/>
            </w:pPr>
            <w:r>
              <w:rPr>
                <w:rFonts w:ascii="Arial" w:hAnsi="Arial"/>
                <w:sz w:val="15"/>
              </w:rPr>
              <w:t xml:space="preserve">892</w:t>
            </w:r>
          </w:p>
        </w:tc>
        <w:tc>
          <w:tcPr>
            <w:tcW w:type="dxa" w:w="1325"/>
          </w:tcPr>
          <w:p>
            <w:pPr>
              <w:pStyle w:val="Compact"/>
              <w:spacing w:after="0" w:before="0" w:line="240" w:lineRule="auto"/>
              <w:jc w:val="right"/>
            </w:pPr>
            <w:r>
              <w:rPr>
                <w:rFonts w:ascii="Arial" w:hAnsi="Arial"/>
                <w:sz w:val="15"/>
              </w:rPr>
              <w:t xml:space="preserve">617</w:t>
            </w:r>
          </w:p>
        </w:tc>
        <w:tc>
          <w:tcPr>
            <w:tcW w:type="dxa" w:w="895"/>
          </w:tcPr>
          <w:p>
            <w:pPr>
              <w:pStyle w:val="Compact"/>
              <w:spacing w:after="0" w:before="0" w:line="240" w:lineRule="auto"/>
              <w:jc w:val="right"/>
            </w:pPr>
            <w:r>
              <w:rPr>
                <w:rFonts w:ascii="Arial" w:hAnsi="Arial"/>
                <w:sz w:val="15"/>
              </w:rPr>
              <w:t xml:space="preserve">949</w:t>
            </w:r>
          </w:p>
        </w:tc>
      </w:tr>
      <w:tr>
        <w:trPr>
          <w:cantSplit/>
        </w:trPr>
        <w:tc>
          <w:tcPr>
            <w:tcW w:type="dxa" w:w="2182"/>
            <w:shd w:val="clear" w:color="auto" w:fill="F1F2F5"/>
          </w:tcPr>
          <w:p>
            <w:pPr>
              <w:pStyle w:val="Compact"/>
              <w:spacing w:after="0" w:before="0" w:line="240" w:lineRule="auto"/>
              <w:jc w:val="left"/>
            </w:pPr>
            <w:r>
              <w:rPr>
                <w:rFonts w:ascii="Arial" w:hAnsi="Arial"/>
                <w:sz w:val="15"/>
              </w:rPr>
              <w:t xml:space="preserve">OP margin</w:t>
            </w:r>
          </w:p>
        </w:tc>
        <w:tc>
          <w:tcPr>
            <w:tcW w:type="dxa" w:w="888"/>
            <w:shd w:val="clear" w:color="auto" w:fill="F1F2F5"/>
          </w:tcPr>
          <w:p>
            <w:pPr>
              <w:pStyle w:val="Compact"/>
              <w:spacing w:after="0" w:before="0" w:line="240" w:lineRule="auto"/>
              <w:jc w:val="right"/>
            </w:pPr>
            <w:r>
              <w:rPr>
                <w:rFonts w:ascii="Arial" w:hAnsi="Arial"/>
                <w:sz w:val="15"/>
              </w:rPr>
              <w:t xml:space="preserve">7.1%</w:t>
            </w:r>
          </w:p>
        </w:tc>
        <w:tc>
          <w:tcPr>
            <w:tcW w:type="dxa" w:w="892"/>
            <w:shd w:val="clear" w:color="auto" w:fill="F1F2F5"/>
          </w:tcPr>
          <w:p>
            <w:pPr>
              <w:pStyle w:val="Compact"/>
              <w:spacing w:after="0" w:before="0" w:line="240" w:lineRule="auto"/>
              <w:jc w:val="right"/>
            </w:pPr>
            <w:r>
              <w:rPr>
                <w:rFonts w:ascii="Arial" w:hAnsi="Arial"/>
                <w:sz w:val="15"/>
              </w:rPr>
              <w:t xml:space="preserve">7.8%</w:t>
            </w:r>
          </w:p>
        </w:tc>
        <w:tc>
          <w:tcPr>
            <w:tcW w:type="dxa" w:w="889"/>
            <w:shd w:val="clear" w:color="auto" w:fill="F1F2F5"/>
          </w:tcPr>
          <w:p>
            <w:pPr>
              <w:pStyle w:val="Compact"/>
              <w:spacing w:after="0" w:before="0" w:line="240" w:lineRule="auto"/>
              <w:jc w:val="right"/>
            </w:pPr>
            <w:r>
              <w:rPr>
                <w:rFonts w:ascii="Arial" w:hAnsi="Arial"/>
                <w:sz w:val="15"/>
              </w:rPr>
              <w:t xml:space="preserve">6.9%</w:t>
            </w:r>
          </w:p>
        </w:tc>
        <w:tc>
          <w:tcPr>
            <w:tcW w:type="dxa" w:w="1809"/>
            <w:shd w:val="clear" w:color="auto" w:fill="F1F2F5"/>
          </w:tcPr>
          <w:p>
            <w:pPr>
              <w:pStyle w:val="Compact"/>
              <w:spacing w:after="0" w:before="0" w:line="240" w:lineRule="auto"/>
              <w:jc w:val="right"/>
            </w:pPr>
            <w:r>
              <w:rPr>
                <w:rFonts w:ascii="Arial" w:hAnsi="Arial"/>
                <w:sz w:val="15"/>
              </w:rPr>
              <w:t xml:space="preserve">5.9%</w:t>
            </w:r>
          </w:p>
        </w:tc>
        <w:tc>
          <w:tcPr>
            <w:tcW w:type="dxa" w:w="1098"/>
            <w:shd w:val="clear" w:color="auto" w:fill="F1F2F5"/>
          </w:tcPr>
          <w:p>
            <w:pPr>
              <w:pStyle w:val="Compact"/>
              <w:spacing w:after="0" w:before="0" w:line="240" w:lineRule="auto"/>
              <w:jc w:val="right"/>
            </w:pPr>
            <w:r>
              <w:rPr>
                <w:rFonts w:ascii="Arial" w:hAnsi="Arial"/>
                <w:sz w:val="15"/>
              </w:rPr>
              <w:t xml:space="preserve">5.8%</w:t>
            </w:r>
          </w:p>
        </w:tc>
        <w:tc>
          <w:tcPr>
            <w:tcW w:type="dxa" w:w="1325"/>
            <w:shd w:val="clear" w:color="auto" w:fill="F1F2F5"/>
          </w:tcPr>
          <w:p>
            <w:pPr>
              <w:pStyle w:val="Compact"/>
              <w:spacing w:after="0" w:before="0" w:line="240" w:lineRule="auto"/>
              <w:jc w:val="right"/>
            </w:pPr>
            <w:r>
              <w:rPr>
                <w:rFonts w:ascii="Arial" w:hAnsi="Arial"/>
                <w:sz w:val="15"/>
              </w:rPr>
              <w:t xml:space="preserve">8.2%</w:t>
            </w:r>
          </w:p>
        </w:tc>
        <w:tc>
          <w:tcPr>
            <w:tcW w:type="dxa" w:w="895"/>
            <w:shd w:val="clear" w:color="auto" w:fill="F1F2F5"/>
          </w:tcPr>
          <w:p>
            <w:pPr>
              <w:pStyle w:val="Compact"/>
              <w:spacing w:after="0" w:before="0" w:line="240" w:lineRule="auto"/>
              <w:jc w:val="right"/>
            </w:pPr>
            <w:r>
              <w:rPr>
                <w:rFonts w:ascii="Arial" w:hAnsi="Arial"/>
                <w:sz w:val="15"/>
              </w:rPr>
              <w:t xml:space="preserve">6.2%</w:t>
            </w:r>
          </w:p>
        </w:tc>
      </w:tr>
      <w:tr>
        <w:trPr>
          <w:cantSplit/>
        </w:trPr>
        <w:tc>
          <w:tcPr>
            <w:tcW w:type="dxa" w:w="2182"/>
          </w:tcPr>
          <w:p>
            <w:pPr>
              <w:pStyle w:val="Compact"/>
              <w:spacing w:after="0" w:before="0" w:line="240" w:lineRule="auto"/>
              <w:jc w:val="left"/>
            </w:pPr>
            <w:r>
              <w:rPr>
                <w:rFonts w:ascii="Arial" w:hAnsi="Arial"/>
                <w:sz w:val="15"/>
              </w:rPr>
              <w:t xml:space="preserve">One-off items in OP</w:t>
            </w:r>
          </w:p>
        </w:tc>
        <w:tc>
          <w:tcPr>
            <w:tcW w:type="dxa" w:w="888"/>
          </w:tcPr>
          <w:p>
            <w:pPr>
              <w:pStyle w:val="Compact"/>
              <w:spacing w:after="0" w:before="0" w:line="240" w:lineRule="auto"/>
              <w:jc w:val="right"/>
            </w:pPr>
            <w:r>
              <w:rPr>
                <w:rFonts w:ascii="Arial" w:hAnsi="Arial"/>
                <w:sz w:val="15"/>
              </w:rPr>
              <w:t xml:space="preserve">–</w:t>
            </w:r>
          </w:p>
        </w:tc>
        <w:tc>
          <w:tcPr>
            <w:tcW w:type="dxa" w:w="892"/>
          </w:tcPr>
          <w:p>
            <w:pPr>
              <w:pStyle w:val="Compact"/>
              <w:spacing w:after="0" w:before="0" w:line="240" w:lineRule="auto"/>
              <w:jc w:val="right"/>
            </w:pPr>
            <w:r>
              <w:rPr>
                <w:rFonts w:ascii="Arial" w:hAnsi="Arial"/>
                <w:sz w:val="15"/>
              </w:rPr>
              <w:t xml:space="preserve">–</w:t>
            </w:r>
          </w:p>
        </w:tc>
        <w:tc>
          <w:tcPr>
            <w:tcW w:type="dxa" w:w="889"/>
          </w:tcPr>
          <w:p>
            <w:pPr>
              <w:pStyle w:val="Compact"/>
              <w:spacing w:after="0" w:before="0" w:line="240" w:lineRule="auto"/>
              <w:jc w:val="right"/>
            </w:pPr>
            <w:r>
              <w:rPr>
                <w:rFonts w:ascii="Arial" w:hAnsi="Arial"/>
                <w:sz w:val="15"/>
              </w:rPr>
              <w:t xml:space="preserve">–</w:t>
            </w:r>
          </w:p>
        </w:tc>
        <w:tc>
          <w:tcPr>
            <w:tcW w:type="dxa" w:w="1809"/>
          </w:tcPr>
          <w:p>
            <w:pPr>
              <w:pStyle w:val="Compact"/>
              <w:spacing w:after="0" w:before="0" w:line="240" w:lineRule="auto"/>
              <w:jc w:val="right"/>
            </w:pPr>
            <w:r>
              <w:rPr>
                <w:rFonts w:ascii="Arial" w:hAnsi="Arial"/>
                <w:sz w:val="15"/>
              </w:rPr>
              <w:t xml:space="preserve">Ordinary-wage charge (4Q)</w:t>
            </w:r>
          </w:p>
        </w:tc>
        <w:tc>
          <w:tcPr>
            <w:tcW w:type="dxa" w:w="1098"/>
          </w:tcPr>
          <w:p>
            <w:pPr>
              <w:pStyle w:val="Compact"/>
              <w:spacing w:after="0" w:before="0" w:line="240" w:lineRule="auto"/>
              <w:jc w:val="right"/>
            </w:pPr>
            <w:r>
              <w:rPr>
                <w:rFonts w:ascii="Arial" w:hAnsi="Arial"/>
                <w:sz w:val="15"/>
              </w:rPr>
              <w:t xml:space="preserve">ERP -150 (3Q)</w:t>
            </w:r>
          </w:p>
        </w:tc>
        <w:tc>
          <w:tcPr>
            <w:tcW w:type="dxa" w:w="1325"/>
          </w:tcPr>
          <w:p>
            <w:pPr>
              <w:pStyle w:val="Compact"/>
              <w:spacing w:after="0" w:before="0" w:line="240" w:lineRule="auto"/>
              <w:jc w:val="right"/>
            </w:pPr>
            <w:r>
              <w:rPr>
                <w:rFonts w:ascii="Arial" w:hAnsi="Arial"/>
                <w:sz w:val="15"/>
              </w:rPr>
              <w:t xml:space="preserve">~+20–25 (2Q) [u]</w:t>
            </w:r>
          </w:p>
        </w:tc>
        <w:tc>
          <w:tcPr>
            <w:tcW w:type="dxa" w:w="895"/>
          </w:tcPr>
          <w:p>
            <w:pPr>
              <w:pStyle w:val="Compact"/>
              <w:spacing w:after="0" w:before="0" w:line="240" w:lineRule="auto"/>
              <w:jc w:val="right"/>
            </w:pPr>
            <w:r>
              <w:rPr>
                <w:rFonts w:ascii="Arial" w:hAnsi="Arial"/>
                <w:sz w:val="15"/>
              </w:rPr>
              <w:t xml:space="preserve">–</w:t>
            </w:r>
          </w:p>
        </w:tc>
      </w:tr>
      <w:tr>
        <w:trPr>
          <w:cantSplit/>
        </w:trPr>
        <w:tc>
          <w:tcPr>
            <w:tcW w:type="dxa" w:w="2182"/>
            <w:shd w:val="clear" w:color="auto" w:fill="F1F2F5"/>
          </w:tcPr>
          <w:p>
            <w:pPr>
              <w:pStyle w:val="Compact"/>
              <w:spacing w:after="0" w:before="0" w:line="240" w:lineRule="auto"/>
              <w:jc w:val="left"/>
            </w:pPr>
            <w:r>
              <w:rPr>
                <w:rFonts w:ascii="Arial" w:hAnsi="Arial"/>
                <w:sz w:val="15"/>
              </w:rPr>
              <w:t xml:space="preserve">Net interest expense</w:t>
            </w:r>
          </w:p>
        </w:tc>
        <w:tc>
          <w:tcPr>
            <w:tcW w:type="dxa" w:w="888"/>
            <w:shd w:val="clear" w:color="auto" w:fill="F1F2F5"/>
          </w:tcPr>
          <w:p>
            <w:pPr>
              <w:pStyle w:val="Compact"/>
              <w:spacing w:after="0" w:before="0" w:line="240" w:lineRule="auto"/>
              <w:jc w:val="right"/>
            </w:pPr>
            <w:r>
              <w:rPr>
                <w:rFonts w:ascii="Arial" w:hAnsi="Arial"/>
                <w:sz w:val="15"/>
              </w:rPr>
              <w:t xml:space="preserve">-98</w:t>
            </w:r>
          </w:p>
        </w:tc>
        <w:tc>
          <w:tcPr>
            <w:tcW w:type="dxa" w:w="892"/>
            <w:shd w:val="clear" w:color="auto" w:fill="F1F2F5"/>
          </w:tcPr>
          <w:p>
            <w:pPr>
              <w:pStyle w:val="Compact"/>
              <w:spacing w:after="0" w:before="0" w:line="240" w:lineRule="auto"/>
              <w:jc w:val="right"/>
            </w:pPr>
            <w:r>
              <w:rPr>
                <w:rFonts w:ascii="Arial" w:hAnsi="Arial"/>
                <w:sz w:val="15"/>
              </w:rPr>
              <w:t xml:space="preserve">-129</w:t>
            </w:r>
          </w:p>
        </w:tc>
        <w:tc>
          <w:tcPr>
            <w:tcW w:type="dxa" w:w="889"/>
            <w:shd w:val="clear" w:color="auto" w:fill="F1F2F5"/>
          </w:tcPr>
          <w:p>
            <w:pPr>
              <w:pStyle w:val="Compact"/>
              <w:spacing w:after="0" w:before="0" w:line="240" w:lineRule="auto"/>
              <w:jc w:val="right"/>
            </w:pPr>
            <w:r>
              <w:rPr>
                <w:rFonts w:ascii="Arial" w:hAnsi="Arial"/>
                <w:sz w:val="15"/>
              </w:rPr>
              <w:t xml:space="preserve">-185</w:t>
            </w:r>
          </w:p>
        </w:tc>
        <w:tc>
          <w:tcPr>
            <w:tcW w:type="dxa" w:w="1809"/>
            <w:shd w:val="clear" w:color="auto" w:fill="F1F2F5"/>
          </w:tcPr>
          <w:p>
            <w:pPr>
              <w:pStyle w:val="Compact"/>
              <w:spacing w:after="0" w:before="0" w:line="240" w:lineRule="auto"/>
              <w:jc w:val="right"/>
            </w:pPr>
            <w:r>
              <w:rPr>
                <w:rFonts w:ascii="Arial" w:hAnsi="Arial"/>
                <w:sz w:val="15"/>
              </w:rPr>
              <w:t xml:space="preserve">-201</w:t>
            </w:r>
          </w:p>
        </w:tc>
        <w:tc>
          <w:tcPr>
            <w:tcW w:type="dxa" w:w="1098"/>
            <w:shd w:val="clear" w:color="auto" w:fill="F1F2F5"/>
          </w:tcPr>
          <w:p>
            <w:pPr>
              <w:pStyle w:val="Compact"/>
              <w:spacing w:after="0" w:before="0" w:line="240" w:lineRule="auto"/>
              <w:jc w:val="right"/>
            </w:pPr>
            <w:r>
              <w:rPr>
                <w:rFonts w:ascii="Arial" w:hAnsi="Arial"/>
                <w:sz w:val="15"/>
              </w:rPr>
              <w:t xml:space="preserve">-203</w:t>
            </w:r>
          </w:p>
        </w:tc>
        <w:tc>
          <w:tcPr>
            <w:tcW w:type="dxa" w:w="1325"/>
            <w:shd w:val="clear" w:color="auto" w:fill="F1F2F5"/>
          </w:tcPr>
          <w:p>
            <w:pPr>
              <w:pStyle w:val="Compact"/>
              <w:spacing w:after="0" w:before="0" w:line="240" w:lineRule="auto"/>
              <w:jc w:val="right"/>
            </w:pPr>
            <w:r>
              <w:rPr>
                <w:rFonts w:ascii="Arial" w:hAnsi="Arial"/>
                <w:sz w:val="15"/>
              </w:rPr>
              <w:t xml:space="preserve">-94</w:t>
            </w:r>
          </w:p>
        </w:tc>
        <w:tc>
          <w:tcPr>
            <w:tcW w:type="dxa" w:w="895"/>
            <w:shd w:val="clear" w:color="auto" w:fill="F1F2F5"/>
          </w:tcPr>
          <w:p>
            <w:pPr>
              <w:pStyle w:val="Compact"/>
              <w:spacing w:after="0" w:before="0" w:line="240" w:lineRule="auto"/>
              <w:jc w:val="right"/>
            </w:pPr>
            <w:r>
              <w:rPr>
                <w:rFonts w:ascii="Arial" w:hAnsi="Arial"/>
                <w:sz w:val="15"/>
              </w:rPr>
              <w:t xml:space="preserve">–</w:t>
            </w:r>
          </w:p>
        </w:tc>
      </w:tr>
      <w:tr>
        <w:trPr>
          <w:cantSplit/>
        </w:trPr>
        <w:tc>
          <w:tcPr>
            <w:tcW w:type="dxa" w:w="2182"/>
          </w:tcPr>
          <w:p>
            <w:pPr>
              <w:pStyle w:val="Compact"/>
              <w:spacing w:after="0" w:before="0" w:line="240" w:lineRule="auto"/>
              <w:jc w:val="left"/>
            </w:pPr>
            <w:r>
              <w:rPr>
                <w:rFonts w:ascii="Arial" w:hAnsi="Arial"/>
                <w:sz w:val="15"/>
              </w:rPr>
              <w:t xml:space="preserve">Asset write-downs / impairments</w:t>
            </w:r>
          </w:p>
        </w:tc>
        <w:tc>
          <w:tcPr>
            <w:tcW w:type="dxa" w:w="888"/>
          </w:tcPr>
          <w:p>
            <w:pPr>
              <w:pStyle w:val="Compact"/>
              <w:spacing w:after="0" w:before="0" w:line="240" w:lineRule="auto"/>
              <w:jc w:val="right"/>
            </w:pPr>
            <w:r>
              <w:rPr>
                <w:rFonts w:ascii="Arial" w:hAnsi="Arial"/>
                <w:sz w:val="15"/>
              </w:rPr>
              <w:t xml:space="preserve">-27</w:t>
            </w:r>
          </w:p>
        </w:tc>
        <w:tc>
          <w:tcPr>
            <w:tcW w:type="dxa" w:w="892"/>
          </w:tcPr>
          <w:p>
            <w:pPr>
              <w:pStyle w:val="Compact"/>
              <w:spacing w:after="0" w:before="0" w:line="240" w:lineRule="auto"/>
              <w:jc w:val="right"/>
            </w:pPr>
            <w:r>
              <w:rPr>
                <w:rFonts w:ascii="Arial" w:hAnsi="Arial"/>
                <w:sz w:val="15"/>
              </w:rPr>
              <w:t xml:space="preserve">-74</w:t>
            </w:r>
          </w:p>
        </w:tc>
        <w:tc>
          <w:tcPr>
            <w:tcW w:type="dxa" w:w="889"/>
          </w:tcPr>
          <w:p>
            <w:pPr>
              <w:pStyle w:val="Compact"/>
              <w:spacing w:after="0" w:before="0" w:line="240" w:lineRule="auto"/>
              <w:jc w:val="right"/>
            </w:pPr>
            <w:r>
              <w:rPr>
                <w:rFonts w:ascii="Arial" w:hAnsi="Arial"/>
                <w:sz w:val="15"/>
              </w:rPr>
              <w:t xml:space="preserve">-25</w:t>
            </w:r>
          </w:p>
        </w:tc>
        <w:tc>
          <w:tcPr>
            <w:tcW w:type="dxa" w:w="1809"/>
          </w:tcPr>
          <w:p>
            <w:pPr>
              <w:pStyle w:val="Compact"/>
              <w:spacing w:after="0" w:before="0" w:line="240" w:lineRule="auto"/>
              <w:jc w:val="right"/>
            </w:pPr>
            <w:r>
              <w:rPr>
                <w:rFonts w:ascii="Arial" w:hAnsi="Arial"/>
                <w:sz w:val="15"/>
              </w:rPr>
              <w:t xml:space="preserve">-176</w:t>
            </w:r>
          </w:p>
        </w:tc>
        <w:tc>
          <w:tcPr>
            <w:tcW w:type="dxa" w:w="1098"/>
          </w:tcPr>
          <w:p>
            <w:pPr>
              <w:pStyle w:val="Compact"/>
              <w:spacing w:after="0" w:before="0" w:line="240" w:lineRule="auto"/>
              <w:jc w:val="right"/>
            </w:pPr>
            <w:r>
              <w:rPr>
                <w:rFonts w:ascii="Arial" w:hAnsi="Arial"/>
                <w:sz w:val="15"/>
              </w:rPr>
              <w:t xml:space="preserve">-25</w:t>
            </w:r>
          </w:p>
        </w:tc>
        <w:tc>
          <w:tcPr>
            <w:tcW w:type="dxa" w:w="1325"/>
          </w:tcPr>
          <w:p>
            <w:pPr>
              <w:pStyle w:val="Compact"/>
              <w:spacing w:after="0" w:before="0" w:line="240" w:lineRule="auto"/>
              <w:jc w:val="right"/>
            </w:pPr>
            <w:r>
              <w:rPr>
                <w:rFonts w:ascii="Arial" w:hAnsi="Arial"/>
                <w:sz w:val="15"/>
              </w:rPr>
              <w:t xml:space="preserve">0</w:t>
            </w:r>
          </w:p>
        </w:tc>
        <w:tc>
          <w:tcPr>
            <w:tcW w:type="dxa" w:w="895"/>
          </w:tcPr>
          <w:p>
            <w:pPr>
              <w:pStyle w:val="Compact"/>
              <w:spacing w:after="0" w:before="0" w:line="240" w:lineRule="auto"/>
              <w:jc w:val="right"/>
            </w:pPr>
            <w:r>
              <w:rPr>
                <w:rFonts w:ascii="Arial" w:hAnsi="Arial"/>
                <w:sz w:val="15"/>
              </w:rPr>
              <w:t xml:space="preserve">–</w:t>
            </w:r>
          </w:p>
        </w:tc>
      </w:tr>
      <w:tr>
        <w:trPr>
          <w:cantSplit/>
        </w:trPr>
        <w:tc>
          <w:tcPr>
            <w:tcW w:type="dxa" w:w="2182"/>
            <w:shd w:val="clear" w:color="auto" w:fill="F1F2F5"/>
          </w:tcPr>
          <w:p>
            <w:pPr>
              <w:pStyle w:val="Compact"/>
              <w:spacing w:after="0" w:before="0" w:line="240" w:lineRule="auto"/>
              <w:jc w:val="left"/>
            </w:pPr>
            <w:r>
              <w:rPr>
                <w:rFonts w:ascii="Arial" w:hAnsi="Arial"/>
                <w:sz w:val="15"/>
              </w:rPr>
              <w:t xml:space="preserve">Net income to parent</w:t>
            </w:r>
          </w:p>
        </w:tc>
        <w:tc>
          <w:tcPr>
            <w:tcW w:type="dxa" w:w="888"/>
            <w:shd w:val="clear" w:color="auto" w:fill="F1F2F5"/>
          </w:tcPr>
          <w:p>
            <w:pPr>
              <w:pStyle w:val="Compact"/>
              <w:spacing w:after="0" w:before="0" w:line="240" w:lineRule="auto"/>
              <w:jc w:val="right"/>
            </w:pPr>
            <w:r>
              <w:rPr>
                <w:rFonts w:ascii="Arial" w:hAnsi="Arial"/>
                <w:sz w:val="15"/>
              </w:rPr>
              <w:t xml:space="preserve">712</w:t>
            </w:r>
          </w:p>
        </w:tc>
        <w:tc>
          <w:tcPr>
            <w:tcW w:type="dxa" w:w="892"/>
            <w:shd w:val="clear" w:color="auto" w:fill="F1F2F5"/>
          </w:tcPr>
          <w:p>
            <w:pPr>
              <w:pStyle w:val="Compact"/>
              <w:spacing w:after="0" w:before="0" w:line="240" w:lineRule="auto"/>
              <w:jc w:val="right"/>
            </w:pPr>
            <w:r>
              <w:rPr>
                <w:rFonts w:ascii="Arial" w:hAnsi="Arial"/>
                <w:sz w:val="15"/>
              </w:rPr>
              <w:t xml:space="preserve">663</w:t>
            </w:r>
          </w:p>
        </w:tc>
        <w:tc>
          <w:tcPr>
            <w:tcW w:type="dxa" w:w="889"/>
            <w:shd w:val="clear" w:color="auto" w:fill="F1F2F5"/>
          </w:tcPr>
          <w:p>
            <w:pPr>
              <w:pStyle w:val="Compact"/>
              <w:spacing w:after="0" w:before="0" w:line="240" w:lineRule="auto"/>
              <w:jc w:val="right"/>
            </w:pPr>
            <w:r>
              <w:rPr>
                <w:rFonts w:ascii="Arial" w:hAnsi="Arial"/>
                <w:sz w:val="15"/>
              </w:rPr>
              <w:t xml:space="preserve">623</w:t>
            </w:r>
          </w:p>
        </w:tc>
        <w:tc>
          <w:tcPr>
            <w:tcW w:type="dxa" w:w="1809"/>
            <w:shd w:val="clear" w:color="auto" w:fill="F1F2F5"/>
          </w:tcPr>
          <w:p>
            <w:pPr>
              <w:pStyle w:val="Compact"/>
              <w:spacing w:after="0" w:before="0" w:line="240" w:lineRule="auto"/>
              <w:jc w:val="right"/>
            </w:pPr>
            <w:r>
              <w:rPr>
                <w:rFonts w:ascii="Arial" w:hAnsi="Arial"/>
                <w:sz w:val="15"/>
              </w:rPr>
              <w:t xml:space="preserve">374</w:t>
            </w:r>
          </w:p>
        </w:tc>
        <w:tc>
          <w:tcPr>
            <w:tcW w:type="dxa" w:w="1098"/>
            <w:shd w:val="clear" w:color="auto" w:fill="F1F2F5"/>
          </w:tcPr>
          <w:p>
            <w:pPr>
              <w:pStyle w:val="Compact"/>
              <w:spacing w:after="0" w:before="0" w:line="240" w:lineRule="auto"/>
              <w:jc w:val="right"/>
            </w:pPr>
            <w:r>
              <w:rPr>
                <w:rFonts w:ascii="Arial" w:hAnsi="Arial"/>
                <w:sz w:val="15"/>
              </w:rPr>
              <w:t xml:space="preserve">524</w:t>
            </w:r>
          </w:p>
        </w:tc>
        <w:tc>
          <w:tcPr>
            <w:tcW w:type="dxa" w:w="1325"/>
            <w:shd w:val="clear" w:color="auto" w:fill="F1F2F5"/>
          </w:tcPr>
          <w:p>
            <w:pPr>
              <w:pStyle w:val="Compact"/>
              <w:spacing w:after="0" w:before="0" w:line="240" w:lineRule="auto"/>
              <w:jc w:val="right"/>
            </w:pPr>
            <w:r>
              <w:rPr>
                <w:rFonts w:ascii="Arial" w:hAnsi="Arial"/>
                <w:sz w:val="15"/>
              </w:rPr>
              <w:t xml:space="preserve">397</w:t>
            </w:r>
          </w:p>
        </w:tc>
        <w:tc>
          <w:tcPr>
            <w:tcW w:type="dxa" w:w="895"/>
            <w:shd w:val="clear" w:color="auto" w:fill="F1F2F5"/>
          </w:tcPr>
          <w:p>
            <w:pPr>
              <w:pStyle w:val="Compact"/>
              <w:spacing w:after="0" w:before="0" w:line="240" w:lineRule="auto"/>
              <w:jc w:val="right"/>
            </w:pPr>
            <w:r>
              <w:rPr>
                <w:rFonts w:ascii="Arial" w:hAnsi="Arial"/>
                <w:sz w:val="15"/>
              </w:rPr>
              <w:t xml:space="preserve">535</w:t>
            </w:r>
          </w:p>
        </w:tc>
      </w:tr>
      <w:tr>
        <w:trPr>
          <w:cantSplit/>
        </w:trPr>
        <w:tc>
          <w:tcPr>
            <w:tcW w:type="dxa" w:w="2182"/>
          </w:tcPr>
          <w:p>
            <w:pPr>
              <w:pStyle w:val="Compact"/>
              <w:spacing w:after="0" w:before="0" w:line="240" w:lineRule="auto"/>
              <w:jc w:val="left"/>
            </w:pPr>
            <w:r>
              <w:rPr>
                <w:rFonts w:ascii="Arial" w:hAnsi="Arial"/>
                <w:sz w:val="15"/>
              </w:rPr>
              <w:t xml:space="preserve">Net margin</w:t>
            </w:r>
          </w:p>
        </w:tc>
        <w:tc>
          <w:tcPr>
            <w:tcW w:type="dxa" w:w="888"/>
          </w:tcPr>
          <w:p>
            <w:pPr>
              <w:pStyle w:val="Compact"/>
              <w:spacing w:after="0" w:before="0" w:line="240" w:lineRule="auto"/>
              <w:jc w:val="right"/>
            </w:pPr>
            <w:r>
              <w:rPr>
                <w:rFonts w:ascii="Arial" w:hAnsi="Arial"/>
                <w:sz w:val="15"/>
              </w:rPr>
              <w:t xml:space="preserve">5.1%</w:t>
            </w:r>
          </w:p>
        </w:tc>
        <w:tc>
          <w:tcPr>
            <w:tcW w:type="dxa" w:w="892"/>
          </w:tcPr>
          <w:p>
            <w:pPr>
              <w:pStyle w:val="Compact"/>
              <w:spacing w:after="0" w:before="0" w:line="240" w:lineRule="auto"/>
              <w:jc w:val="right"/>
            </w:pPr>
            <w:r>
              <w:rPr>
                <w:rFonts w:ascii="Arial" w:hAnsi="Arial"/>
                <w:sz w:val="15"/>
              </w:rPr>
              <w:t xml:space="preserve">4.8%</w:t>
            </w:r>
          </w:p>
        </w:tc>
        <w:tc>
          <w:tcPr>
            <w:tcW w:type="dxa" w:w="889"/>
          </w:tcPr>
          <w:p>
            <w:pPr>
              <w:pStyle w:val="Compact"/>
              <w:spacing w:after="0" w:before="0" w:line="240" w:lineRule="auto"/>
              <w:jc w:val="right"/>
            </w:pPr>
            <w:r>
              <w:rPr>
                <w:rFonts w:ascii="Arial" w:hAnsi="Arial"/>
                <w:sz w:val="15"/>
              </w:rPr>
              <w:t xml:space="preserve">4.3%</w:t>
            </w:r>
          </w:p>
        </w:tc>
        <w:tc>
          <w:tcPr>
            <w:tcW w:type="dxa" w:w="1809"/>
          </w:tcPr>
          <w:p>
            <w:pPr>
              <w:pStyle w:val="Compact"/>
              <w:spacing w:after="0" w:before="0" w:line="240" w:lineRule="auto"/>
              <w:jc w:val="right"/>
            </w:pPr>
            <w:r>
              <w:rPr>
                <w:rFonts w:ascii="Arial" w:hAnsi="Arial"/>
                <w:sz w:val="15"/>
              </w:rPr>
              <w:t xml:space="preserve">2.6%</w:t>
            </w:r>
          </w:p>
        </w:tc>
        <w:tc>
          <w:tcPr>
            <w:tcW w:type="dxa" w:w="1098"/>
          </w:tcPr>
          <w:p>
            <w:pPr>
              <w:pStyle w:val="Compact"/>
              <w:spacing w:after="0" w:before="0" w:line="240" w:lineRule="auto"/>
              <w:jc w:val="right"/>
            </w:pPr>
            <w:r>
              <w:rPr>
                <w:rFonts w:ascii="Arial" w:hAnsi="Arial"/>
                <w:sz w:val="15"/>
              </w:rPr>
              <w:t xml:space="preserve">3.4%</w:t>
            </w:r>
          </w:p>
        </w:tc>
        <w:tc>
          <w:tcPr>
            <w:tcW w:type="dxa" w:w="1325"/>
          </w:tcPr>
          <w:p>
            <w:pPr>
              <w:pStyle w:val="Compact"/>
              <w:spacing w:after="0" w:before="0" w:line="240" w:lineRule="auto"/>
              <w:jc w:val="right"/>
            </w:pPr>
            <w:r>
              <w:rPr>
                <w:rFonts w:ascii="Arial" w:hAnsi="Arial"/>
                <w:sz w:val="15"/>
              </w:rPr>
              <w:t xml:space="preserve">5.3%</w:t>
            </w:r>
          </w:p>
        </w:tc>
        <w:tc>
          <w:tcPr>
            <w:tcW w:type="dxa" w:w="895"/>
          </w:tcPr>
          <w:p>
            <w:pPr>
              <w:pStyle w:val="Compact"/>
              <w:spacing w:after="0" w:before="0" w:line="240" w:lineRule="auto"/>
              <w:jc w:val="right"/>
            </w:pPr>
            <w:r>
              <w:rPr>
                <w:rFonts w:ascii="Arial" w:hAnsi="Arial"/>
                <w:sz w:val="15"/>
              </w:rPr>
              <w:t xml:space="preserve">3.5%</w:t>
            </w:r>
          </w:p>
        </w:tc>
      </w:tr>
      <w:tr>
        <w:trPr>
          <w:cantSplit/>
        </w:trPr>
        <w:tc>
          <w:tcPr>
            <w:tcW w:type="dxa" w:w="2182"/>
            <w:shd w:val="clear" w:color="auto" w:fill="F1F2F5"/>
          </w:tcPr>
          <w:p>
            <w:pPr>
              <w:pStyle w:val="Compact"/>
              <w:spacing w:after="0" w:before="0" w:line="240" w:lineRule="auto"/>
              <w:jc w:val="left"/>
            </w:pPr>
            <w:r>
              <w:rPr>
                <w:rFonts w:ascii="Arial" w:hAnsi="Arial"/>
                <w:sz w:val="15"/>
              </w:rPr>
              <w:t xml:space="preserve">Diluted EPS (KRW)</w:t>
            </w:r>
          </w:p>
        </w:tc>
        <w:tc>
          <w:tcPr>
            <w:tcW w:type="dxa" w:w="888"/>
            <w:shd w:val="clear" w:color="auto" w:fill="F1F2F5"/>
          </w:tcPr>
          <w:p>
            <w:pPr>
              <w:pStyle w:val="Compact"/>
              <w:spacing w:after="0" w:before="0" w:line="240" w:lineRule="auto"/>
              <w:jc w:val="right"/>
            </w:pPr>
            <w:r>
              <w:rPr>
                <w:rFonts w:ascii="Arial" w:hAnsi="Arial"/>
                <w:sz w:val="15"/>
              </w:rPr>
              <w:t xml:space="preserve">1,642</w:t>
            </w:r>
          </w:p>
        </w:tc>
        <w:tc>
          <w:tcPr>
            <w:tcW w:type="dxa" w:w="892"/>
            <w:shd w:val="clear" w:color="auto" w:fill="F1F2F5"/>
          </w:tcPr>
          <w:p>
            <w:pPr>
              <w:pStyle w:val="Compact"/>
              <w:spacing w:after="0" w:before="0" w:line="240" w:lineRule="auto"/>
              <w:jc w:val="right"/>
            </w:pPr>
            <w:r>
              <w:rPr>
                <w:rFonts w:ascii="Arial" w:hAnsi="Arial"/>
                <w:sz w:val="15"/>
              </w:rPr>
              <w:t xml:space="preserve">1,543</w:t>
            </w:r>
          </w:p>
        </w:tc>
        <w:tc>
          <w:tcPr>
            <w:tcW w:type="dxa" w:w="889"/>
            <w:shd w:val="clear" w:color="auto" w:fill="F1F2F5"/>
          </w:tcPr>
          <w:p>
            <w:pPr>
              <w:pStyle w:val="Compact"/>
              <w:spacing w:after="0" w:before="0" w:line="240" w:lineRule="auto"/>
              <w:jc w:val="right"/>
            </w:pPr>
            <w:r>
              <w:rPr>
                <w:rFonts w:ascii="Arial" w:hAnsi="Arial"/>
                <w:sz w:val="15"/>
              </w:rPr>
              <w:t xml:space="preserve">1,449</w:t>
            </w:r>
          </w:p>
        </w:tc>
        <w:tc>
          <w:tcPr>
            <w:tcW w:type="dxa" w:w="1809"/>
            <w:shd w:val="clear" w:color="auto" w:fill="F1F2F5"/>
          </w:tcPr>
          <w:p>
            <w:pPr>
              <w:pStyle w:val="Compact"/>
              <w:spacing w:after="0" w:before="0" w:line="240" w:lineRule="auto"/>
              <w:jc w:val="right"/>
            </w:pPr>
            <w:r>
              <w:rPr>
                <w:rFonts w:ascii="Arial" w:hAnsi="Arial"/>
                <w:sz w:val="15"/>
              </w:rPr>
              <w:t xml:space="preserve">871</w:t>
            </w:r>
          </w:p>
        </w:tc>
        <w:tc>
          <w:tcPr>
            <w:tcW w:type="dxa" w:w="1098"/>
            <w:shd w:val="clear" w:color="auto" w:fill="F1F2F5"/>
          </w:tcPr>
          <w:p>
            <w:pPr>
              <w:pStyle w:val="Compact"/>
              <w:spacing w:after="0" w:before="0" w:line="240" w:lineRule="auto"/>
              <w:jc w:val="right"/>
            </w:pPr>
            <w:r>
              <w:rPr>
                <w:rFonts w:ascii="Arial" w:hAnsi="Arial"/>
                <w:sz w:val="15"/>
              </w:rPr>
              <w:t xml:space="preserve">1,221</w:t>
            </w:r>
          </w:p>
        </w:tc>
        <w:tc>
          <w:tcPr>
            <w:tcW w:type="dxa" w:w="1325"/>
            <w:shd w:val="clear" w:color="auto" w:fill="F1F2F5"/>
          </w:tcPr>
          <w:p>
            <w:pPr>
              <w:pStyle w:val="Compact"/>
              <w:spacing w:after="0" w:before="0" w:line="240" w:lineRule="auto"/>
              <w:jc w:val="right"/>
            </w:pPr>
            <w:r>
              <w:rPr>
                <w:rFonts w:ascii="Arial" w:hAnsi="Arial"/>
                <w:sz w:val="15"/>
              </w:rPr>
              <w:t xml:space="preserve">935</w:t>
            </w:r>
          </w:p>
        </w:tc>
        <w:tc>
          <w:tcPr>
            <w:tcW w:type="dxa" w:w="895"/>
            <w:shd w:val="clear" w:color="auto" w:fill="F1F2F5"/>
          </w:tcPr>
          <w:p>
            <w:pPr>
              <w:pStyle w:val="Compact"/>
              <w:spacing w:after="0" w:before="0" w:line="240" w:lineRule="auto"/>
              <w:jc w:val="right"/>
            </w:pPr>
            <w:r>
              <w:rPr>
                <w:rFonts w:ascii="Arial" w:hAnsi="Arial"/>
                <w:sz w:val="15"/>
              </w:rPr>
              <w:t xml:space="preserve">–</w:t>
            </w:r>
          </w:p>
        </w:tc>
      </w:tr>
      <w:tr>
        <w:trPr>
          <w:cantSplit/>
        </w:trPr>
        <w:tc>
          <w:tcPr>
            <w:tcW w:type="dxa" w:w="2182"/>
          </w:tcPr>
          <w:p>
            <w:pPr>
              <w:pStyle w:val="Compact"/>
              <w:spacing w:after="0" w:before="0" w:line="240" w:lineRule="auto"/>
              <w:jc w:val="left"/>
            </w:pPr>
            <w:r>
              <w:rPr>
                <w:rFonts w:ascii="Arial" w:hAnsi="Arial"/>
                <w:sz w:val="15"/>
              </w:rPr>
              <w:t xml:space="preserve">DPS (KRW)</w:t>
            </w:r>
          </w:p>
        </w:tc>
        <w:tc>
          <w:tcPr>
            <w:tcW w:type="dxa" w:w="888"/>
          </w:tcPr>
          <w:p>
            <w:pPr>
              <w:pStyle w:val="Compact"/>
              <w:spacing w:after="0" w:before="0" w:line="240" w:lineRule="auto"/>
              <w:jc w:val="right"/>
            </w:pPr>
            <w:r>
              <w:rPr>
                <w:rFonts w:ascii="Arial" w:hAnsi="Arial"/>
                <w:sz w:val="15"/>
              </w:rPr>
              <w:t xml:space="preserve">550</w:t>
            </w:r>
          </w:p>
        </w:tc>
        <w:tc>
          <w:tcPr>
            <w:tcW w:type="dxa" w:w="892"/>
          </w:tcPr>
          <w:p>
            <w:pPr>
              <w:pStyle w:val="Compact"/>
              <w:spacing w:after="0" w:before="0" w:line="240" w:lineRule="auto"/>
              <w:jc w:val="right"/>
            </w:pPr>
            <w:r>
              <w:rPr>
                <w:rFonts w:ascii="Arial" w:hAnsi="Arial"/>
                <w:sz w:val="15"/>
              </w:rPr>
              <w:t xml:space="preserve">650</w:t>
            </w:r>
          </w:p>
        </w:tc>
        <w:tc>
          <w:tcPr>
            <w:tcW w:type="dxa" w:w="889"/>
          </w:tcPr>
          <w:p>
            <w:pPr>
              <w:pStyle w:val="Compact"/>
              <w:spacing w:after="0" w:before="0" w:line="240" w:lineRule="auto"/>
              <w:jc w:val="right"/>
            </w:pPr>
            <w:r>
              <w:rPr>
                <w:rFonts w:ascii="Arial" w:hAnsi="Arial"/>
                <w:sz w:val="15"/>
              </w:rPr>
              <w:t xml:space="preserve">650</w:t>
            </w:r>
          </w:p>
        </w:tc>
        <w:tc>
          <w:tcPr>
            <w:tcW w:type="dxa" w:w="1809"/>
          </w:tcPr>
          <w:p>
            <w:pPr>
              <w:pStyle w:val="Compact"/>
              <w:spacing w:after="0" w:before="0" w:line="240" w:lineRule="auto"/>
              <w:jc w:val="right"/>
            </w:pPr>
            <w:r>
              <w:rPr>
                <w:rFonts w:ascii="Arial" w:hAnsi="Arial"/>
                <w:sz w:val="15"/>
              </w:rPr>
              <w:t xml:space="preserve">650</w:t>
            </w:r>
          </w:p>
        </w:tc>
        <w:tc>
          <w:tcPr>
            <w:tcW w:type="dxa" w:w="1098"/>
          </w:tcPr>
          <w:p>
            <w:pPr>
              <w:pStyle w:val="Compact"/>
              <w:spacing w:after="0" w:before="0" w:line="240" w:lineRule="auto"/>
              <w:jc w:val="right"/>
            </w:pPr>
            <w:r>
              <w:rPr>
                <w:rFonts w:ascii="Arial" w:hAnsi="Arial"/>
                <w:sz w:val="15"/>
              </w:rPr>
              <w:t xml:space="preserve">660</w:t>
            </w:r>
          </w:p>
        </w:tc>
        <w:tc>
          <w:tcPr>
            <w:tcW w:type="dxa" w:w="1325"/>
          </w:tcPr>
          <w:p>
            <w:pPr>
              <w:pStyle w:val="Compact"/>
              <w:spacing w:after="0" w:before="0" w:line="240" w:lineRule="auto"/>
              <w:jc w:val="right"/>
            </w:pPr>
            <w:r>
              <w:rPr>
                <w:rFonts w:ascii="Arial" w:hAnsi="Arial"/>
                <w:sz w:val="15"/>
              </w:rPr>
              <w:t xml:space="preserve">270 (interim)</w:t>
            </w:r>
          </w:p>
        </w:tc>
        <w:tc>
          <w:tcPr>
            <w:tcW w:type="dxa" w:w="895"/>
          </w:tcPr>
          <w:p>
            <w:pPr>
              <w:pStyle w:val="Compact"/>
              <w:spacing w:after="0" w:before="0" w:line="240" w:lineRule="auto"/>
              <w:jc w:val="right"/>
            </w:pPr>
            <w:r>
              <w:rPr>
                <w:rFonts w:ascii="Arial" w:hAnsi="Arial"/>
                <w:sz w:val="15"/>
              </w:rPr>
              <w:t xml:space="preserve">–</w:t>
            </w:r>
          </w:p>
        </w:tc>
      </w:tr>
    </w:tbl>
    <w:p>
      <w:pPr>
        <w:pStyle w:val="BodyText"/>
      </w:pPr>
      <w:r>
        <w:rPr>
          <w:iCs/>
          <w:i/>
        </w:rPr>
        <w:t xml:space="preserve">Source: S&amp;P Capital IQ (standardised); company OP basis matches annual figures. Quarterly S&amp;P OP differs from company OP in 3Q25/4Q25 because of reclassification; we use company figures for quarters.</w:t>
      </w:r>
    </w:p>
    <w:p>
      <w:pPr>
        <w:pStyle w:val="CaptionedFigure"/>
      </w:pPr>
      <w:r>
        <w:drawing>
          <wp:inline>
            <wp:extent cx="6261100" cy="2552824"/>
            <wp:effectExtent b="0" l="0" r="0" t="0"/>
            <wp:docPr descr="Revenue and margins, FY21–FY25" title="" id="40" name="Picture"/>
            <a:graphic>
              <a:graphicData uri="http://schemas.openxmlformats.org/drawingml/2006/picture">
                <pic:pic>
                  <pic:nvPicPr>
                    <pic:cNvPr descr="../charts/fin_annual.png" id="41" name="Picture"/>
                    <pic:cNvPicPr>
                      <a:picLocks noChangeArrowheads="1" noChangeAspect="1"/>
                    </pic:cNvPicPr>
                  </pic:nvPicPr>
                  <pic:blipFill>
                    <a:blip r:embed="rId39"/>
                    <a:stretch>
                      <a:fillRect/>
                    </a:stretch>
                  </pic:blipFill>
                  <pic:spPr bwMode="auto">
                    <a:xfrm>
                      <a:off x="0" y="0"/>
                      <a:ext cx="6261100" cy="2552824"/>
                    </a:xfrm>
                    <a:prstGeom prst="rect">
                      <a:avLst/>
                    </a:prstGeom>
                    <a:noFill/>
                    <a:ln w="9525">
                      <a:noFill/>
                      <a:headEnd/>
                      <a:tailEnd/>
                    </a:ln>
                  </pic:spPr>
                </pic:pic>
              </a:graphicData>
            </a:graphic>
          </wp:inline>
        </w:drawing>
      </w:r>
    </w:p>
    <w:p>
      <w:pPr>
        <w:pStyle w:val="ImageCaption"/>
      </w:pPr>
      <w:r>
        <w:t xml:space="preserve">Revenue and margins, FY21–FY25</w:t>
      </w:r>
    </w:p>
    <w:bookmarkEnd w:id="42"/>
    <w:bookmarkStart w:id="43" w:name="X428a59ab2336478a5dbe9e3eae47b8516f21e0b"/>
    <w:p>
      <w:pPr>
        <w:pStyle w:val="Heading2"/>
      </w:pPr>
      <w:r>
        <w:t xml:space="preserve">Segment reporting (K-IFRS operating segments)</w:t>
      </w:r>
    </w:p>
    <w:p>
      <w:pPr>
        <w:pStyle w:val="FirstParagraph"/>
      </w:pPr>
      <w:r>
        <w:t xml:space="preserve">LG Uplus reports only two K-IFRS operating segments, LG U+ and LG HelloVision (LGHV). It discloses no segment net income and no geographic split; DART states that revenue comes</w:t>
      </w:r>
      <w:r>
        <w:t xml:space="preserve"> </w:t>
      </w:r>
      <w:r>
        <w:t xml:space="preserve">“</w:t>
      </w:r>
      <w:r>
        <w:t xml:space="preserve">almost entirely from customers located in Korea</w:t>
      </w:r>
      <w:r>
        <w:t xml:space="preserve">”</w:t>
      </w:r>
      <w:r>
        <w:t xml:space="preserve">. Management discloses revenue, but not profit, by product line (next table).</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3239"/>
        <w:gridCol w:w="1186"/>
        <w:gridCol w:w="1177"/>
        <w:gridCol w:w="1181"/>
        <w:gridCol w:w="1172"/>
        <w:gridCol w:w="1010"/>
        <w:gridCol w:w="1010"/>
      </w:tblGrid>
      <w:tr>
        <w:trPr>
          <w:tblHeader w:val="true"/>
          <w:tblHeader w:val="true"/>
          <w:cantSplit/>
        </w:trPr>
        <w:tc>
          <w:tcPr>
            <w:tcW w:type="dxa" w:w="3239"/>
            <w:shd w:val="clear" w:color="auto" w:fill="13213F"/>
          </w:tcPr>
          <w:p>
            <w:pPr>
              <w:pStyle w:val="Compact"/>
              <w:spacing w:after="0" w:before="0" w:line="240" w:lineRule="auto"/>
              <w:jc w:val="left"/>
            </w:pPr>
            <w:r>
              <w:rPr>
                <w:rFonts w:ascii="Arial" w:hAnsi="Arial"/>
                <w:b/>
                <w:color w:val="FFFFFF"/>
                <w:sz w:val="15"/>
              </w:rPr>
              <w:t xml:space="preserve">KRW bn</w:t>
            </w:r>
          </w:p>
        </w:tc>
        <w:tc>
          <w:tcPr>
            <w:tcW w:type="dxa" w:w="1186"/>
            <w:shd w:val="clear" w:color="auto" w:fill="13213F"/>
          </w:tcPr>
          <w:p>
            <w:pPr>
              <w:pStyle w:val="Compact"/>
              <w:spacing w:after="0" w:before="0" w:line="240" w:lineRule="auto"/>
              <w:jc w:val="right"/>
            </w:pPr>
            <w:r>
              <w:rPr>
                <w:rFonts w:ascii="Arial" w:hAnsi="Arial"/>
                <w:b/>
                <w:color w:val="FFFFFF"/>
                <w:sz w:val="15"/>
              </w:rPr>
              <w:t xml:space="preserve">FY2022</w:t>
            </w:r>
          </w:p>
        </w:tc>
        <w:tc>
          <w:tcPr>
            <w:tcW w:type="dxa" w:w="1177"/>
            <w:shd w:val="clear" w:color="auto" w:fill="13213F"/>
          </w:tcPr>
          <w:p>
            <w:pPr>
              <w:pStyle w:val="Compact"/>
              <w:spacing w:after="0" w:before="0" w:line="240" w:lineRule="auto"/>
              <w:jc w:val="right"/>
            </w:pPr>
            <w:r>
              <w:rPr>
                <w:rFonts w:ascii="Arial" w:hAnsi="Arial"/>
                <w:b/>
                <w:color w:val="FFFFFF"/>
                <w:sz w:val="15"/>
              </w:rPr>
              <w:t xml:space="preserve">FY2023</w:t>
            </w:r>
          </w:p>
        </w:tc>
        <w:tc>
          <w:tcPr>
            <w:tcW w:type="dxa" w:w="1182"/>
            <w:shd w:val="clear" w:color="auto" w:fill="13213F"/>
          </w:tcPr>
          <w:p>
            <w:pPr>
              <w:pStyle w:val="Compact"/>
              <w:spacing w:after="0" w:before="0" w:line="240" w:lineRule="auto"/>
              <w:jc w:val="right"/>
            </w:pPr>
            <w:r>
              <w:rPr>
                <w:rFonts w:ascii="Arial" w:hAnsi="Arial"/>
                <w:b/>
                <w:color w:val="FFFFFF"/>
                <w:sz w:val="15"/>
              </w:rPr>
              <w:t xml:space="preserve">FY2024</w:t>
            </w:r>
          </w:p>
        </w:tc>
        <w:tc>
          <w:tcPr>
            <w:tcW w:type="dxa" w:w="1173"/>
            <w:shd w:val="clear" w:color="auto" w:fill="13213F"/>
          </w:tcPr>
          <w:p>
            <w:pPr>
              <w:pStyle w:val="Compact"/>
              <w:spacing w:after="0" w:before="0" w:line="240" w:lineRule="auto"/>
              <w:jc w:val="right"/>
            </w:pPr>
            <w:r>
              <w:rPr>
                <w:rFonts w:ascii="Arial" w:hAnsi="Arial"/>
                <w:b/>
                <w:color w:val="FFFFFF"/>
                <w:sz w:val="15"/>
              </w:rPr>
              <w:t xml:space="preserve">FY2025</w:t>
            </w:r>
          </w:p>
        </w:tc>
        <w:tc>
          <w:tcPr>
            <w:tcW w:type="dxa" w:w="1010"/>
            <w:shd w:val="clear" w:color="auto" w:fill="13213F"/>
          </w:tcPr>
          <w:p>
            <w:pPr>
              <w:pStyle w:val="Compact"/>
              <w:spacing w:after="0" w:before="0" w:line="240" w:lineRule="auto"/>
              <w:jc w:val="right"/>
            </w:pPr>
            <w:r>
              <w:rPr>
                <w:rFonts w:ascii="Arial" w:hAnsi="Arial"/>
                <w:b/>
                <w:color w:val="FFFFFF"/>
                <w:sz w:val="15"/>
              </w:rPr>
              <w:t xml:space="preserve">1H25</w:t>
            </w:r>
          </w:p>
        </w:tc>
        <w:tc>
          <w:tcPr>
            <w:tcW w:type="dxa" w:w="1010"/>
            <w:shd w:val="clear" w:color="auto" w:fill="13213F"/>
          </w:tcPr>
          <w:p>
            <w:pPr>
              <w:pStyle w:val="Compact"/>
              <w:spacing w:after="0" w:before="0" w:line="240" w:lineRule="auto"/>
              <w:jc w:val="right"/>
            </w:pPr>
            <w:r>
              <w:rPr>
                <w:rFonts w:ascii="Arial" w:hAnsi="Arial"/>
                <w:b/>
                <w:color w:val="FFFFFF"/>
                <w:sz w:val="15"/>
              </w:rPr>
              <w:t xml:space="preserve">1H26</w:t>
            </w:r>
          </w:p>
        </w:tc>
      </w:tr>
      <w:tr>
        <w:trPr>
          <w:cantSplit/>
        </w:trPr>
        <w:tc>
          <w:tcPr>
            <w:tcW w:type="dxa" w:w="3239"/>
          </w:tcPr>
          <w:p>
            <w:pPr>
              <w:pStyle w:val="Compact"/>
              <w:spacing w:after="0" w:before="0" w:line="240" w:lineRule="auto"/>
              <w:jc w:val="left"/>
            </w:pPr>
            <w:r>
              <w:rPr>
                <w:bCs/>
                <w:rFonts w:ascii="Arial" w:hAnsi="Arial"/>
                <w:b/>
                <w:sz w:val="15"/>
              </w:rPr>
              <w:t xml:space="preserve">LG U+ segment revenue</w:t>
            </w:r>
          </w:p>
        </w:tc>
        <w:tc>
          <w:tcPr>
            <w:tcW w:type="dxa" w:w="1186"/>
          </w:tcPr>
          <w:p>
            <w:pPr>
              <w:pStyle w:val="Compact"/>
              <w:spacing w:after="0" w:before="0" w:line="240" w:lineRule="auto"/>
              <w:jc w:val="right"/>
            </w:pPr>
            <w:r>
              <w:rPr>
                <w:rFonts w:ascii="Arial" w:hAnsi="Arial"/>
                <w:sz w:val="15"/>
              </w:rPr>
              <w:t xml:space="preserve">12,850</w:t>
            </w:r>
          </w:p>
        </w:tc>
        <w:tc>
          <w:tcPr>
            <w:tcW w:type="dxa" w:w="1177"/>
          </w:tcPr>
          <w:p>
            <w:pPr>
              <w:pStyle w:val="Compact"/>
              <w:spacing w:after="0" w:before="0" w:line="240" w:lineRule="auto"/>
              <w:jc w:val="right"/>
            </w:pPr>
            <w:r>
              <w:rPr>
                <w:rFonts w:ascii="Arial" w:hAnsi="Arial"/>
                <w:sz w:val="15"/>
              </w:rPr>
              <w:t xml:space="preserve">13,299</w:t>
            </w:r>
          </w:p>
        </w:tc>
        <w:tc>
          <w:tcPr>
            <w:tcW w:type="dxa" w:w="1182"/>
          </w:tcPr>
          <w:p>
            <w:pPr>
              <w:pStyle w:val="Compact"/>
              <w:spacing w:after="0" w:before="0" w:line="240" w:lineRule="auto"/>
              <w:jc w:val="right"/>
            </w:pPr>
            <w:r>
              <w:rPr>
                <w:rFonts w:ascii="Arial" w:hAnsi="Arial"/>
                <w:sz w:val="15"/>
              </w:rPr>
              <w:t xml:space="preserve">13,562</w:t>
            </w:r>
          </w:p>
        </w:tc>
        <w:tc>
          <w:tcPr>
            <w:tcW w:type="dxa" w:w="1173"/>
          </w:tcPr>
          <w:p>
            <w:pPr>
              <w:pStyle w:val="Compact"/>
              <w:spacing w:after="0" w:before="0" w:line="240" w:lineRule="auto"/>
              <w:jc w:val="right"/>
            </w:pPr>
            <w:r>
              <w:rPr>
                <w:rFonts w:ascii="Arial" w:hAnsi="Arial"/>
                <w:sz w:val="15"/>
              </w:rPr>
              <w:t xml:space="preserve">14,325</w:t>
            </w:r>
          </w:p>
        </w:tc>
        <w:tc>
          <w:tcPr>
            <w:tcW w:type="dxa" w:w="1010"/>
          </w:tcPr>
          <w:p>
            <w:pPr>
              <w:pStyle w:val="Compact"/>
              <w:spacing w:after="0" w:before="0" w:line="240" w:lineRule="auto"/>
              <w:jc w:val="right"/>
            </w:pPr>
            <w:r>
              <w:rPr>
                <w:rFonts w:ascii="Arial" w:hAnsi="Arial"/>
                <w:sz w:val="15"/>
              </w:rPr>
              <w:t xml:space="preserve">6,994</w:t>
            </w:r>
          </w:p>
        </w:tc>
        <w:tc>
          <w:tcPr>
            <w:tcW w:type="dxa" w:w="1010"/>
          </w:tcPr>
          <w:p>
            <w:pPr>
              <w:pStyle w:val="Compact"/>
              <w:spacing w:after="0" w:before="0" w:line="240" w:lineRule="auto"/>
              <w:jc w:val="right"/>
            </w:pPr>
            <w:r>
              <w:rPr>
                <w:rFonts w:ascii="Arial" w:hAnsi="Arial"/>
                <w:sz w:val="15"/>
              </w:rPr>
              <w:t xml:space="preserve">7,065</w:t>
            </w:r>
          </w:p>
        </w:tc>
      </w:tr>
      <w:tr>
        <w:trPr>
          <w:cantSplit/>
        </w:trPr>
        <w:tc>
          <w:tcPr>
            <w:tcW w:type="dxa" w:w="3239"/>
            <w:shd w:val="clear" w:color="auto" w:fill="F1F2F5"/>
          </w:tcPr>
          <w:p>
            <w:pPr>
              <w:pStyle w:val="Compact"/>
              <w:spacing w:after="0" w:before="0" w:line="240" w:lineRule="auto"/>
              <w:jc w:val="left"/>
            </w:pPr>
            <w:r>
              <w:rPr>
                <w:rFonts w:ascii="Arial" w:hAnsi="Arial"/>
                <w:sz w:val="15"/>
              </w:rPr>
              <w:t xml:space="preserve">LG U+ segment EBITDA [e]</w:t>
            </w:r>
          </w:p>
        </w:tc>
        <w:tc>
          <w:tcPr>
            <w:tcW w:type="dxa" w:w="1186"/>
            <w:shd w:val="clear" w:color="auto" w:fill="F1F2F5"/>
          </w:tcPr>
          <w:p>
            <w:pPr>
              <w:pStyle w:val="Compact"/>
              <w:spacing w:after="0" w:before="0" w:line="240" w:lineRule="auto"/>
              <w:jc w:val="right"/>
            </w:pPr>
            <w:r>
              <w:rPr>
                <w:rFonts w:ascii="Arial" w:hAnsi="Arial"/>
                <w:sz w:val="15"/>
              </w:rPr>
              <w:t xml:space="preserve">3,359</w:t>
            </w:r>
          </w:p>
        </w:tc>
        <w:tc>
          <w:tcPr>
            <w:tcW w:type="dxa" w:w="1177"/>
            <w:shd w:val="clear" w:color="auto" w:fill="F1F2F5"/>
          </w:tcPr>
          <w:p>
            <w:pPr>
              <w:pStyle w:val="Compact"/>
              <w:spacing w:after="0" w:before="0" w:line="240" w:lineRule="auto"/>
              <w:jc w:val="right"/>
            </w:pPr>
            <w:r>
              <w:rPr>
                <w:rFonts w:ascii="Arial" w:hAnsi="Arial"/>
                <w:sz w:val="15"/>
              </w:rPr>
              <w:t xml:space="preserve">3,395</w:t>
            </w:r>
          </w:p>
        </w:tc>
        <w:tc>
          <w:tcPr>
            <w:tcW w:type="dxa" w:w="1182"/>
            <w:shd w:val="clear" w:color="auto" w:fill="F1F2F5"/>
          </w:tcPr>
          <w:p>
            <w:pPr>
              <w:pStyle w:val="Compact"/>
              <w:spacing w:after="0" w:before="0" w:line="240" w:lineRule="auto"/>
              <w:jc w:val="right"/>
            </w:pPr>
            <w:r>
              <w:rPr>
                <w:rFonts w:ascii="Arial" w:hAnsi="Arial"/>
                <w:sz w:val="15"/>
              </w:rPr>
              <w:t xml:space="preserve">3,400</w:t>
            </w:r>
          </w:p>
        </w:tc>
        <w:tc>
          <w:tcPr>
            <w:tcW w:type="dxa" w:w="1173"/>
            <w:shd w:val="clear" w:color="auto" w:fill="F1F2F5"/>
          </w:tcPr>
          <w:p>
            <w:pPr>
              <w:pStyle w:val="Compact"/>
              <w:spacing w:after="0" w:before="0" w:line="240" w:lineRule="auto"/>
              <w:jc w:val="right"/>
            </w:pPr>
            <w:r>
              <w:rPr>
                <w:rFonts w:ascii="Arial" w:hAnsi="Arial"/>
                <w:sz w:val="15"/>
              </w:rPr>
              <w:t xml:space="preserve">3,478</w:t>
            </w:r>
          </w:p>
        </w:tc>
        <w:tc>
          <w:tcPr>
            <w:tcW w:type="dxa" w:w="1010"/>
            <w:shd w:val="clear" w:color="auto" w:fill="F1F2F5"/>
          </w:tcPr>
          <w:p>
            <w:pPr>
              <w:pStyle w:val="Compact"/>
              <w:spacing w:after="0" w:before="0" w:line="240" w:lineRule="auto"/>
              <w:jc w:val="right"/>
            </w:pPr>
            <w:r>
              <w:rPr>
                <w:rFonts w:ascii="Arial" w:hAnsi="Arial"/>
                <w:sz w:val="15"/>
              </w:rPr>
              <w:t xml:space="preserve">1,836</w:t>
            </w:r>
          </w:p>
        </w:tc>
        <w:tc>
          <w:tcPr>
            <w:tcW w:type="dxa" w:w="1010"/>
            <w:shd w:val="clear" w:color="auto" w:fill="F1F2F5"/>
          </w:tcPr>
          <w:p>
            <w:pPr>
              <w:pStyle w:val="Compact"/>
              <w:spacing w:after="0" w:before="0" w:line="240" w:lineRule="auto"/>
              <w:jc w:val="right"/>
            </w:pPr>
            <w:r>
              <w:rPr>
                <w:rFonts w:ascii="Arial" w:hAnsi="Arial"/>
                <w:sz w:val="15"/>
              </w:rPr>
              <w:t xml:space="preserve">1,936</w:t>
            </w:r>
          </w:p>
        </w:tc>
      </w:tr>
      <w:tr>
        <w:trPr>
          <w:cantSplit/>
        </w:trPr>
        <w:tc>
          <w:tcPr>
            <w:tcW w:type="dxa" w:w="3239"/>
          </w:tcPr>
          <w:p>
            <w:pPr>
              <w:pStyle w:val="Compact"/>
              <w:spacing w:after="0" w:before="0" w:line="240" w:lineRule="auto"/>
              <w:jc w:val="left"/>
            </w:pPr>
            <w:r>
              <w:rPr>
                <w:rFonts w:ascii="Arial" w:hAnsi="Arial"/>
                <w:sz w:val="15"/>
              </w:rPr>
              <w:t xml:space="preserve">LG U+ segment EBITDA margin</w:t>
            </w:r>
          </w:p>
        </w:tc>
        <w:tc>
          <w:tcPr>
            <w:tcW w:type="dxa" w:w="1186"/>
          </w:tcPr>
          <w:p>
            <w:pPr>
              <w:pStyle w:val="Compact"/>
              <w:spacing w:after="0" w:before="0" w:line="240" w:lineRule="auto"/>
              <w:jc w:val="right"/>
            </w:pPr>
            <w:r>
              <w:rPr>
                <w:rFonts w:ascii="Arial" w:hAnsi="Arial"/>
                <w:sz w:val="15"/>
              </w:rPr>
              <w:t xml:space="preserve">26.1%</w:t>
            </w:r>
          </w:p>
        </w:tc>
        <w:tc>
          <w:tcPr>
            <w:tcW w:type="dxa" w:w="1177"/>
          </w:tcPr>
          <w:p>
            <w:pPr>
              <w:pStyle w:val="Compact"/>
              <w:spacing w:after="0" w:before="0" w:line="240" w:lineRule="auto"/>
              <w:jc w:val="right"/>
            </w:pPr>
            <w:r>
              <w:rPr>
                <w:rFonts w:ascii="Arial" w:hAnsi="Arial"/>
                <w:sz w:val="15"/>
              </w:rPr>
              <w:t xml:space="preserve">25.5%</w:t>
            </w:r>
          </w:p>
        </w:tc>
        <w:tc>
          <w:tcPr>
            <w:tcW w:type="dxa" w:w="1182"/>
          </w:tcPr>
          <w:p>
            <w:pPr>
              <w:pStyle w:val="Compact"/>
              <w:spacing w:after="0" w:before="0" w:line="240" w:lineRule="auto"/>
              <w:jc w:val="right"/>
            </w:pPr>
            <w:r>
              <w:rPr>
                <w:rFonts w:ascii="Arial" w:hAnsi="Arial"/>
                <w:sz w:val="15"/>
              </w:rPr>
              <w:t xml:space="preserve">25.1%</w:t>
            </w:r>
          </w:p>
        </w:tc>
        <w:tc>
          <w:tcPr>
            <w:tcW w:type="dxa" w:w="1173"/>
          </w:tcPr>
          <w:p>
            <w:pPr>
              <w:pStyle w:val="Compact"/>
              <w:spacing w:after="0" w:before="0" w:line="240" w:lineRule="auto"/>
              <w:jc w:val="right"/>
            </w:pPr>
            <w:r>
              <w:rPr>
                <w:rFonts w:ascii="Arial" w:hAnsi="Arial"/>
                <w:sz w:val="15"/>
              </w:rPr>
              <w:t xml:space="preserve">24.3%</w:t>
            </w:r>
          </w:p>
        </w:tc>
        <w:tc>
          <w:tcPr>
            <w:tcW w:type="dxa" w:w="1010"/>
          </w:tcPr>
          <w:p>
            <w:pPr>
              <w:pStyle w:val="Compact"/>
              <w:spacing w:after="0" w:before="0" w:line="240" w:lineRule="auto"/>
              <w:jc w:val="right"/>
            </w:pPr>
            <w:r>
              <w:rPr>
                <w:rFonts w:ascii="Arial" w:hAnsi="Arial"/>
                <w:sz w:val="15"/>
              </w:rPr>
              <w:t xml:space="preserve">26.3%</w:t>
            </w:r>
          </w:p>
        </w:tc>
        <w:tc>
          <w:tcPr>
            <w:tcW w:type="dxa" w:w="1010"/>
          </w:tcPr>
          <w:p>
            <w:pPr>
              <w:pStyle w:val="Compact"/>
              <w:spacing w:after="0" w:before="0" w:line="240" w:lineRule="auto"/>
              <w:jc w:val="right"/>
            </w:pPr>
            <w:r>
              <w:rPr>
                <w:rFonts w:ascii="Arial" w:hAnsi="Arial"/>
                <w:sz w:val="15"/>
              </w:rPr>
              <w:t xml:space="preserve">27.4%</w:t>
            </w:r>
          </w:p>
        </w:tc>
      </w:tr>
      <w:tr>
        <w:trPr>
          <w:cantSplit/>
        </w:trPr>
        <w:tc>
          <w:tcPr>
            <w:tcW w:type="dxa" w:w="3239"/>
            <w:shd w:val="clear" w:color="auto" w:fill="F1F2F5"/>
          </w:tcPr>
          <w:p>
            <w:pPr>
              <w:pStyle w:val="Compact"/>
              <w:spacing w:after="0" w:before="0" w:line="240" w:lineRule="auto"/>
              <w:jc w:val="left"/>
            </w:pPr>
            <w:r>
              <w:rPr>
                <w:rFonts w:ascii="Arial" w:hAnsi="Arial"/>
                <w:sz w:val="15"/>
              </w:rPr>
              <w:t xml:space="preserve">LG U+ segment OP</w:t>
            </w:r>
          </w:p>
        </w:tc>
        <w:tc>
          <w:tcPr>
            <w:tcW w:type="dxa" w:w="1186"/>
            <w:shd w:val="clear" w:color="auto" w:fill="F1F2F5"/>
          </w:tcPr>
          <w:p>
            <w:pPr>
              <w:pStyle w:val="Compact"/>
              <w:spacing w:after="0" w:before="0" w:line="240" w:lineRule="auto"/>
              <w:jc w:val="right"/>
            </w:pPr>
            <w:r>
              <w:rPr>
                <w:rFonts w:ascii="Arial" w:hAnsi="Arial"/>
                <w:sz w:val="15"/>
              </w:rPr>
              <w:t xml:space="preserve">1,069</w:t>
            </w:r>
          </w:p>
        </w:tc>
        <w:tc>
          <w:tcPr>
            <w:tcW w:type="dxa" w:w="1177"/>
            <w:shd w:val="clear" w:color="auto" w:fill="F1F2F5"/>
          </w:tcPr>
          <w:p>
            <w:pPr>
              <w:pStyle w:val="Compact"/>
              <w:spacing w:after="0" w:before="0" w:line="240" w:lineRule="auto"/>
              <w:jc w:val="right"/>
            </w:pPr>
            <w:r>
              <w:rPr>
                <w:rFonts w:ascii="Arial" w:hAnsi="Arial"/>
                <w:sz w:val="15"/>
              </w:rPr>
              <w:t xml:space="preserve">984</w:t>
            </w:r>
          </w:p>
        </w:tc>
        <w:tc>
          <w:tcPr>
            <w:tcW w:type="dxa" w:w="1182"/>
            <w:shd w:val="clear" w:color="auto" w:fill="F1F2F5"/>
          </w:tcPr>
          <w:p>
            <w:pPr>
              <w:pStyle w:val="Compact"/>
              <w:spacing w:after="0" w:before="0" w:line="240" w:lineRule="auto"/>
              <w:jc w:val="right"/>
            </w:pPr>
            <w:r>
              <w:rPr>
                <w:rFonts w:ascii="Arial" w:hAnsi="Arial"/>
                <w:sz w:val="15"/>
              </w:rPr>
              <w:t xml:space="preserve">868</w:t>
            </w:r>
          </w:p>
        </w:tc>
        <w:tc>
          <w:tcPr>
            <w:tcW w:type="dxa" w:w="1173"/>
            <w:shd w:val="clear" w:color="auto" w:fill="F1F2F5"/>
          </w:tcPr>
          <w:p>
            <w:pPr>
              <w:pStyle w:val="Compact"/>
              <w:spacing w:after="0" w:before="0" w:line="240" w:lineRule="auto"/>
              <w:jc w:val="right"/>
            </w:pPr>
            <w:r>
              <w:rPr>
                <w:rFonts w:ascii="Arial" w:hAnsi="Arial"/>
                <w:sz w:val="15"/>
              </w:rPr>
              <w:t xml:space="preserve">889</w:t>
            </w:r>
          </w:p>
        </w:tc>
        <w:tc>
          <w:tcPr>
            <w:tcW w:type="dxa" w:w="1010"/>
            <w:shd w:val="clear" w:color="auto" w:fill="F1F2F5"/>
          </w:tcPr>
          <w:p>
            <w:pPr>
              <w:pStyle w:val="Compact"/>
              <w:spacing w:after="0" w:before="0" w:line="240" w:lineRule="auto"/>
              <w:jc w:val="right"/>
            </w:pPr>
            <w:r>
              <w:rPr>
                <w:rFonts w:ascii="Arial" w:hAnsi="Arial"/>
                <w:sz w:val="15"/>
              </w:rPr>
              <w:t xml:space="preserve">554</w:t>
            </w:r>
          </w:p>
        </w:tc>
        <w:tc>
          <w:tcPr>
            <w:tcW w:type="dxa" w:w="1010"/>
            <w:shd w:val="clear" w:color="auto" w:fill="F1F2F5"/>
          </w:tcPr>
          <w:p>
            <w:pPr>
              <w:pStyle w:val="Compact"/>
              <w:spacing w:after="0" w:before="0" w:line="240" w:lineRule="auto"/>
              <w:jc w:val="right"/>
            </w:pPr>
            <w:r>
              <w:rPr>
                <w:rFonts w:ascii="Arial" w:hAnsi="Arial"/>
                <w:sz w:val="15"/>
              </w:rPr>
              <w:t xml:space="preserve">611</w:t>
            </w:r>
          </w:p>
        </w:tc>
      </w:tr>
      <w:tr>
        <w:trPr>
          <w:cantSplit/>
        </w:trPr>
        <w:tc>
          <w:tcPr>
            <w:tcW w:type="dxa" w:w="3239"/>
          </w:tcPr>
          <w:p>
            <w:pPr>
              <w:pStyle w:val="Compact"/>
              <w:spacing w:after="0" w:before="0" w:line="240" w:lineRule="auto"/>
              <w:jc w:val="left"/>
            </w:pPr>
            <w:r>
              <w:rPr>
                <w:rFonts w:ascii="Arial" w:hAnsi="Arial"/>
                <w:sz w:val="15"/>
              </w:rPr>
              <w:t xml:space="preserve">LG U+ segment OP margin</w:t>
            </w:r>
          </w:p>
        </w:tc>
        <w:tc>
          <w:tcPr>
            <w:tcW w:type="dxa" w:w="1186"/>
          </w:tcPr>
          <w:p>
            <w:pPr>
              <w:pStyle w:val="Compact"/>
              <w:spacing w:after="0" w:before="0" w:line="240" w:lineRule="auto"/>
              <w:jc w:val="right"/>
            </w:pPr>
            <w:r>
              <w:rPr>
                <w:rFonts w:ascii="Arial" w:hAnsi="Arial"/>
                <w:sz w:val="15"/>
              </w:rPr>
              <w:t xml:space="preserve">8.3%</w:t>
            </w:r>
          </w:p>
        </w:tc>
        <w:tc>
          <w:tcPr>
            <w:tcW w:type="dxa" w:w="1177"/>
          </w:tcPr>
          <w:p>
            <w:pPr>
              <w:pStyle w:val="Compact"/>
              <w:spacing w:after="0" w:before="0" w:line="240" w:lineRule="auto"/>
              <w:jc w:val="right"/>
            </w:pPr>
            <w:r>
              <w:rPr>
                <w:rFonts w:ascii="Arial" w:hAnsi="Arial"/>
                <w:sz w:val="15"/>
              </w:rPr>
              <w:t xml:space="preserve">7.4%</w:t>
            </w:r>
          </w:p>
        </w:tc>
        <w:tc>
          <w:tcPr>
            <w:tcW w:type="dxa" w:w="1182"/>
          </w:tcPr>
          <w:p>
            <w:pPr>
              <w:pStyle w:val="Compact"/>
              <w:spacing w:after="0" w:before="0" w:line="240" w:lineRule="auto"/>
              <w:jc w:val="right"/>
            </w:pPr>
            <w:r>
              <w:rPr>
                <w:rFonts w:ascii="Arial" w:hAnsi="Arial"/>
                <w:sz w:val="15"/>
              </w:rPr>
              <w:t xml:space="preserve">6.4%</w:t>
            </w:r>
          </w:p>
        </w:tc>
        <w:tc>
          <w:tcPr>
            <w:tcW w:type="dxa" w:w="1173"/>
          </w:tcPr>
          <w:p>
            <w:pPr>
              <w:pStyle w:val="Compact"/>
              <w:spacing w:after="0" w:before="0" w:line="240" w:lineRule="auto"/>
              <w:jc w:val="right"/>
            </w:pPr>
            <w:r>
              <w:rPr>
                <w:rFonts w:ascii="Arial" w:hAnsi="Arial"/>
                <w:sz w:val="15"/>
              </w:rPr>
              <w:t xml:space="preserve">6.2%</w:t>
            </w:r>
          </w:p>
        </w:tc>
        <w:tc>
          <w:tcPr>
            <w:tcW w:type="dxa" w:w="1010"/>
          </w:tcPr>
          <w:p>
            <w:pPr>
              <w:pStyle w:val="Compact"/>
              <w:spacing w:after="0" w:before="0" w:line="240" w:lineRule="auto"/>
              <w:jc w:val="right"/>
            </w:pPr>
            <w:r>
              <w:rPr>
                <w:rFonts w:ascii="Arial" w:hAnsi="Arial"/>
                <w:sz w:val="15"/>
              </w:rPr>
              <w:t xml:space="preserve">7.9%</w:t>
            </w:r>
          </w:p>
        </w:tc>
        <w:tc>
          <w:tcPr>
            <w:tcW w:type="dxa" w:w="1010"/>
          </w:tcPr>
          <w:p>
            <w:pPr>
              <w:pStyle w:val="Compact"/>
              <w:spacing w:after="0" w:before="0" w:line="240" w:lineRule="auto"/>
              <w:jc w:val="right"/>
            </w:pPr>
            <w:r>
              <w:rPr>
                <w:rFonts w:ascii="Arial" w:hAnsi="Arial"/>
                <w:sz w:val="15"/>
              </w:rPr>
              <w:t xml:space="preserve">8.6%</w:t>
            </w:r>
          </w:p>
        </w:tc>
      </w:tr>
      <w:tr>
        <w:trPr>
          <w:cantSplit/>
        </w:trPr>
        <w:tc>
          <w:tcPr>
            <w:tcW w:type="dxa" w:w="3239"/>
            <w:shd w:val="clear" w:color="auto" w:fill="F1F2F5"/>
          </w:tcPr>
          <w:p>
            <w:pPr>
              <w:pStyle w:val="Compact"/>
              <w:spacing w:after="0" w:before="0" w:line="240" w:lineRule="auto"/>
              <w:jc w:val="left"/>
            </w:pPr>
            <w:r>
              <w:rPr>
                <w:bCs/>
                <w:rFonts w:ascii="Arial" w:hAnsi="Arial"/>
                <w:b/>
                <w:sz w:val="15"/>
              </w:rPr>
              <w:t xml:space="preserve">LGHV segment revenue</w:t>
            </w:r>
          </w:p>
        </w:tc>
        <w:tc>
          <w:tcPr>
            <w:tcW w:type="dxa" w:w="1186"/>
            <w:shd w:val="clear" w:color="auto" w:fill="F1F2F5"/>
          </w:tcPr>
          <w:p>
            <w:pPr>
              <w:pStyle w:val="Compact"/>
              <w:spacing w:after="0" w:before="0" w:line="240" w:lineRule="auto"/>
              <w:jc w:val="right"/>
            </w:pPr>
            <w:r>
              <w:rPr>
                <w:rFonts w:ascii="Arial" w:hAnsi="Arial"/>
                <w:sz w:val="15"/>
              </w:rPr>
              <w:t xml:space="preserve">1,161</w:t>
            </w:r>
          </w:p>
        </w:tc>
        <w:tc>
          <w:tcPr>
            <w:tcW w:type="dxa" w:w="1177"/>
            <w:shd w:val="clear" w:color="auto" w:fill="F1F2F5"/>
          </w:tcPr>
          <w:p>
            <w:pPr>
              <w:pStyle w:val="Compact"/>
              <w:spacing w:after="0" w:before="0" w:line="240" w:lineRule="auto"/>
              <w:jc w:val="right"/>
            </w:pPr>
            <w:r>
              <w:rPr>
                <w:rFonts w:ascii="Arial" w:hAnsi="Arial"/>
                <w:sz w:val="15"/>
              </w:rPr>
              <w:t xml:space="preserve">1,185</w:t>
            </w:r>
          </w:p>
        </w:tc>
        <w:tc>
          <w:tcPr>
            <w:tcW w:type="dxa" w:w="1182"/>
            <w:shd w:val="clear" w:color="auto" w:fill="F1F2F5"/>
          </w:tcPr>
          <w:p>
            <w:pPr>
              <w:pStyle w:val="Compact"/>
              <w:spacing w:after="0" w:before="0" w:line="240" w:lineRule="auto"/>
              <w:jc w:val="right"/>
            </w:pPr>
            <w:r>
              <w:rPr>
                <w:rFonts w:ascii="Arial" w:hAnsi="Arial"/>
                <w:sz w:val="15"/>
              </w:rPr>
              <w:t xml:space="preserve">1,196</w:t>
            </w:r>
          </w:p>
        </w:tc>
        <w:tc>
          <w:tcPr>
            <w:tcW w:type="dxa" w:w="1173"/>
            <w:shd w:val="clear" w:color="auto" w:fill="F1F2F5"/>
          </w:tcPr>
          <w:p>
            <w:pPr>
              <w:pStyle w:val="Compact"/>
              <w:spacing w:after="0" w:before="0" w:line="240" w:lineRule="auto"/>
              <w:jc w:val="right"/>
            </w:pPr>
            <w:r>
              <w:rPr>
                <w:rFonts w:ascii="Arial" w:hAnsi="Arial"/>
                <w:sz w:val="15"/>
              </w:rPr>
              <w:t xml:space="preserve">1,267</w:t>
            </w:r>
          </w:p>
        </w:tc>
        <w:tc>
          <w:tcPr>
            <w:tcW w:type="dxa" w:w="1010"/>
            <w:shd w:val="clear" w:color="auto" w:fill="F1F2F5"/>
          </w:tcPr>
          <w:p>
            <w:pPr>
              <w:pStyle w:val="Compact"/>
              <w:spacing w:after="0" w:before="0" w:line="240" w:lineRule="auto"/>
              <w:jc w:val="right"/>
            </w:pPr>
            <w:r>
              <w:rPr>
                <w:rFonts w:ascii="Arial" w:hAnsi="Arial"/>
                <w:sz w:val="15"/>
              </w:rPr>
              <w:t xml:space="preserve">668</w:t>
            </w:r>
          </w:p>
        </w:tc>
        <w:tc>
          <w:tcPr>
            <w:tcW w:type="dxa" w:w="1010"/>
            <w:shd w:val="clear" w:color="auto" w:fill="F1F2F5"/>
          </w:tcPr>
          <w:p>
            <w:pPr>
              <w:pStyle w:val="Compact"/>
              <w:spacing w:after="0" w:before="0" w:line="240" w:lineRule="auto"/>
              <w:jc w:val="right"/>
            </w:pPr>
            <w:r>
              <w:rPr>
                <w:rFonts w:ascii="Arial" w:hAnsi="Arial"/>
                <w:sz w:val="15"/>
              </w:rPr>
              <w:t xml:space="preserve">500</w:t>
            </w:r>
          </w:p>
        </w:tc>
      </w:tr>
      <w:tr>
        <w:trPr>
          <w:cantSplit/>
        </w:trPr>
        <w:tc>
          <w:tcPr>
            <w:tcW w:type="dxa" w:w="3239"/>
          </w:tcPr>
          <w:p>
            <w:pPr>
              <w:pStyle w:val="Compact"/>
              <w:spacing w:after="0" w:before="0" w:line="240" w:lineRule="auto"/>
              <w:jc w:val="left"/>
            </w:pPr>
            <w:r>
              <w:rPr>
                <w:rFonts w:ascii="Arial" w:hAnsi="Arial"/>
                <w:sz w:val="15"/>
              </w:rPr>
              <w:t xml:space="preserve">LGHV segment EBITDA [e]</w:t>
            </w:r>
          </w:p>
        </w:tc>
        <w:tc>
          <w:tcPr>
            <w:tcW w:type="dxa" w:w="1186"/>
          </w:tcPr>
          <w:p>
            <w:pPr>
              <w:pStyle w:val="Compact"/>
              <w:spacing w:after="0" w:before="0" w:line="240" w:lineRule="auto"/>
              <w:jc w:val="right"/>
            </w:pPr>
            <w:r>
              <w:rPr>
                <w:rFonts w:ascii="Arial" w:hAnsi="Arial"/>
                <w:sz w:val="15"/>
              </w:rPr>
              <w:t xml:space="preserve">173</w:t>
            </w:r>
          </w:p>
        </w:tc>
        <w:tc>
          <w:tcPr>
            <w:tcW w:type="dxa" w:w="1177"/>
          </w:tcPr>
          <w:p>
            <w:pPr>
              <w:pStyle w:val="Compact"/>
              <w:spacing w:after="0" w:before="0" w:line="240" w:lineRule="auto"/>
              <w:jc w:val="right"/>
            </w:pPr>
            <w:r>
              <w:rPr>
                <w:rFonts w:ascii="Arial" w:hAnsi="Arial"/>
                <w:sz w:val="15"/>
              </w:rPr>
              <w:t xml:space="preserve">172</w:t>
            </w:r>
          </w:p>
        </w:tc>
        <w:tc>
          <w:tcPr>
            <w:tcW w:type="dxa" w:w="1182"/>
          </w:tcPr>
          <w:p>
            <w:pPr>
              <w:pStyle w:val="Compact"/>
              <w:spacing w:after="0" w:before="0" w:line="240" w:lineRule="auto"/>
              <w:jc w:val="right"/>
            </w:pPr>
            <w:r>
              <w:rPr>
                <w:rFonts w:ascii="Arial" w:hAnsi="Arial"/>
                <w:sz w:val="15"/>
              </w:rPr>
              <w:t xml:space="preserve">130</w:t>
            </w:r>
          </w:p>
        </w:tc>
        <w:tc>
          <w:tcPr>
            <w:tcW w:type="dxa" w:w="1173"/>
          </w:tcPr>
          <w:p>
            <w:pPr>
              <w:pStyle w:val="Compact"/>
              <w:spacing w:after="0" w:before="0" w:line="240" w:lineRule="auto"/>
              <w:jc w:val="right"/>
            </w:pPr>
            <w:r>
              <w:rPr>
                <w:rFonts w:ascii="Arial" w:hAnsi="Arial"/>
                <w:sz w:val="15"/>
              </w:rPr>
              <w:t xml:space="preserve">116</w:t>
            </w:r>
          </w:p>
        </w:tc>
        <w:tc>
          <w:tcPr>
            <w:tcW w:type="dxa" w:w="1010"/>
          </w:tcPr>
          <w:p>
            <w:pPr>
              <w:pStyle w:val="Compact"/>
              <w:spacing w:after="0" w:before="0" w:line="240" w:lineRule="auto"/>
              <w:jc w:val="right"/>
            </w:pPr>
            <w:r>
              <w:rPr>
                <w:rFonts w:ascii="Arial" w:hAnsi="Arial"/>
                <w:sz w:val="15"/>
              </w:rPr>
              <w:t xml:space="preserve">66</w:t>
            </w:r>
          </w:p>
        </w:tc>
        <w:tc>
          <w:tcPr>
            <w:tcW w:type="dxa" w:w="1010"/>
          </w:tcPr>
          <w:p>
            <w:pPr>
              <w:pStyle w:val="Compact"/>
              <w:spacing w:after="0" w:before="0" w:line="240" w:lineRule="auto"/>
              <w:jc w:val="right"/>
            </w:pPr>
            <w:r>
              <w:rPr>
                <w:rFonts w:ascii="Arial" w:hAnsi="Arial"/>
                <w:sz w:val="15"/>
              </w:rPr>
              <w:t xml:space="preserve">58</w:t>
            </w:r>
          </w:p>
        </w:tc>
      </w:tr>
      <w:tr>
        <w:trPr>
          <w:cantSplit/>
        </w:trPr>
        <w:tc>
          <w:tcPr>
            <w:tcW w:type="dxa" w:w="3239"/>
            <w:shd w:val="clear" w:color="auto" w:fill="F1F2F5"/>
          </w:tcPr>
          <w:p>
            <w:pPr>
              <w:pStyle w:val="Compact"/>
              <w:spacing w:after="0" w:before="0" w:line="240" w:lineRule="auto"/>
              <w:jc w:val="left"/>
            </w:pPr>
            <w:r>
              <w:rPr>
                <w:rFonts w:ascii="Arial" w:hAnsi="Arial"/>
                <w:sz w:val="15"/>
              </w:rPr>
              <w:t xml:space="preserve">LGHV segment OP</w:t>
            </w:r>
          </w:p>
        </w:tc>
        <w:tc>
          <w:tcPr>
            <w:tcW w:type="dxa" w:w="1186"/>
            <w:shd w:val="clear" w:color="auto" w:fill="F1F2F5"/>
          </w:tcPr>
          <w:p>
            <w:pPr>
              <w:pStyle w:val="Compact"/>
              <w:spacing w:after="0" w:before="0" w:line="240" w:lineRule="auto"/>
              <w:jc w:val="right"/>
            </w:pPr>
            <w:r>
              <w:rPr>
                <w:rFonts w:ascii="Arial" w:hAnsi="Arial"/>
                <w:sz w:val="15"/>
              </w:rPr>
              <w:t xml:space="preserve">12</w:t>
            </w:r>
          </w:p>
        </w:tc>
        <w:tc>
          <w:tcPr>
            <w:tcW w:type="dxa" w:w="1177"/>
            <w:shd w:val="clear" w:color="auto" w:fill="F1F2F5"/>
          </w:tcPr>
          <w:p>
            <w:pPr>
              <w:pStyle w:val="Compact"/>
              <w:spacing w:after="0" w:before="0" w:line="240" w:lineRule="auto"/>
              <w:jc w:val="right"/>
            </w:pPr>
            <w:r>
              <w:rPr>
                <w:rFonts w:ascii="Arial" w:hAnsi="Arial"/>
                <w:sz w:val="15"/>
              </w:rPr>
              <w:t xml:space="preserve">11</w:t>
            </w:r>
          </w:p>
        </w:tc>
        <w:tc>
          <w:tcPr>
            <w:tcW w:type="dxa" w:w="1182"/>
            <w:shd w:val="clear" w:color="auto" w:fill="F1F2F5"/>
          </w:tcPr>
          <w:p>
            <w:pPr>
              <w:pStyle w:val="Compact"/>
              <w:spacing w:after="0" w:before="0" w:line="240" w:lineRule="auto"/>
              <w:jc w:val="right"/>
            </w:pPr>
            <w:r>
              <w:rPr>
                <w:rFonts w:ascii="Arial" w:hAnsi="Arial"/>
                <w:sz w:val="15"/>
              </w:rPr>
              <w:t xml:space="preserve">-3</w:t>
            </w:r>
          </w:p>
        </w:tc>
        <w:tc>
          <w:tcPr>
            <w:tcW w:type="dxa" w:w="1173"/>
            <w:shd w:val="clear" w:color="auto" w:fill="F1F2F5"/>
          </w:tcPr>
          <w:p>
            <w:pPr>
              <w:pStyle w:val="Compact"/>
              <w:spacing w:after="0" w:before="0" w:line="240" w:lineRule="auto"/>
              <w:jc w:val="right"/>
            </w:pPr>
            <w:r>
              <w:rPr>
                <w:rFonts w:ascii="Arial" w:hAnsi="Arial"/>
                <w:sz w:val="15"/>
              </w:rPr>
              <w:t xml:space="preserve">7</w:t>
            </w:r>
          </w:p>
        </w:tc>
        <w:tc>
          <w:tcPr>
            <w:tcW w:type="dxa" w:w="1010"/>
            <w:shd w:val="clear" w:color="auto" w:fill="F1F2F5"/>
          </w:tcPr>
          <w:p>
            <w:pPr>
              <w:pStyle w:val="Compact"/>
              <w:spacing w:after="0" w:before="0" w:line="240" w:lineRule="auto"/>
              <w:jc w:val="right"/>
            </w:pPr>
            <w:r>
              <w:rPr>
                <w:rFonts w:ascii="Arial" w:hAnsi="Arial"/>
                <w:sz w:val="15"/>
              </w:rPr>
              <w:t xml:space="preserve">9</w:t>
            </w:r>
          </w:p>
        </w:tc>
        <w:tc>
          <w:tcPr>
            <w:tcW w:type="dxa" w:w="1010"/>
            <w:shd w:val="clear" w:color="auto" w:fill="F1F2F5"/>
          </w:tcPr>
          <w:p>
            <w:pPr>
              <w:pStyle w:val="Compact"/>
              <w:spacing w:after="0" w:before="0" w:line="240" w:lineRule="auto"/>
              <w:jc w:val="right"/>
            </w:pPr>
            <w:r>
              <w:rPr>
                <w:rFonts w:ascii="Arial" w:hAnsi="Arial"/>
                <w:sz w:val="15"/>
              </w:rPr>
              <w:t xml:space="preserve">3</w:t>
            </w:r>
          </w:p>
        </w:tc>
      </w:tr>
      <w:tr>
        <w:trPr>
          <w:cantSplit/>
        </w:trPr>
        <w:tc>
          <w:tcPr>
            <w:tcW w:type="dxa" w:w="3239"/>
          </w:tcPr>
          <w:p>
            <w:pPr>
              <w:pStyle w:val="Compact"/>
              <w:spacing w:after="0" w:before="0" w:line="240" w:lineRule="auto"/>
              <w:jc w:val="left"/>
            </w:pPr>
            <w:r>
              <w:rPr>
                <w:rFonts w:ascii="Arial" w:hAnsi="Arial"/>
                <w:sz w:val="15"/>
              </w:rPr>
              <w:t xml:space="preserve">LGHV OP margin</w:t>
            </w:r>
          </w:p>
        </w:tc>
        <w:tc>
          <w:tcPr>
            <w:tcW w:type="dxa" w:w="1186"/>
          </w:tcPr>
          <w:p>
            <w:pPr>
              <w:pStyle w:val="Compact"/>
              <w:spacing w:after="0" w:before="0" w:line="240" w:lineRule="auto"/>
              <w:jc w:val="right"/>
            </w:pPr>
            <w:r>
              <w:rPr>
                <w:rFonts w:ascii="Arial" w:hAnsi="Arial"/>
                <w:sz w:val="15"/>
              </w:rPr>
              <w:t xml:space="preserve">1.0%</w:t>
            </w:r>
          </w:p>
        </w:tc>
        <w:tc>
          <w:tcPr>
            <w:tcW w:type="dxa" w:w="1177"/>
          </w:tcPr>
          <w:p>
            <w:pPr>
              <w:pStyle w:val="Compact"/>
              <w:spacing w:after="0" w:before="0" w:line="240" w:lineRule="auto"/>
              <w:jc w:val="right"/>
            </w:pPr>
            <w:r>
              <w:rPr>
                <w:rFonts w:ascii="Arial" w:hAnsi="Arial"/>
                <w:sz w:val="15"/>
              </w:rPr>
              <w:t xml:space="preserve">0.9%</w:t>
            </w:r>
          </w:p>
        </w:tc>
        <w:tc>
          <w:tcPr>
            <w:tcW w:type="dxa" w:w="1182"/>
          </w:tcPr>
          <w:p>
            <w:pPr>
              <w:pStyle w:val="Compact"/>
              <w:spacing w:after="0" w:before="0" w:line="240" w:lineRule="auto"/>
              <w:jc w:val="right"/>
            </w:pPr>
            <w:r>
              <w:rPr>
                <w:rFonts w:ascii="Arial" w:hAnsi="Arial"/>
                <w:sz w:val="15"/>
              </w:rPr>
              <w:t xml:space="preserve">-0.2%</w:t>
            </w:r>
          </w:p>
        </w:tc>
        <w:tc>
          <w:tcPr>
            <w:tcW w:type="dxa" w:w="1173"/>
          </w:tcPr>
          <w:p>
            <w:pPr>
              <w:pStyle w:val="Compact"/>
              <w:spacing w:after="0" w:before="0" w:line="240" w:lineRule="auto"/>
              <w:jc w:val="right"/>
            </w:pPr>
            <w:r>
              <w:rPr>
                <w:rFonts w:ascii="Arial" w:hAnsi="Arial"/>
                <w:sz w:val="15"/>
              </w:rPr>
              <w:t xml:space="preserve">0.5%</w:t>
            </w:r>
          </w:p>
        </w:tc>
        <w:tc>
          <w:tcPr>
            <w:tcW w:type="dxa" w:w="1010"/>
          </w:tcPr>
          <w:p>
            <w:pPr>
              <w:pStyle w:val="Compact"/>
              <w:spacing w:after="0" w:before="0" w:line="240" w:lineRule="auto"/>
              <w:jc w:val="right"/>
            </w:pPr>
            <w:r>
              <w:rPr>
                <w:rFonts w:ascii="Arial" w:hAnsi="Arial"/>
                <w:sz w:val="15"/>
              </w:rPr>
              <w:t xml:space="preserve">1.4%</w:t>
            </w:r>
          </w:p>
        </w:tc>
        <w:tc>
          <w:tcPr>
            <w:tcW w:type="dxa" w:w="1010"/>
          </w:tcPr>
          <w:p>
            <w:pPr>
              <w:pStyle w:val="Compact"/>
              <w:spacing w:after="0" w:before="0" w:line="240" w:lineRule="auto"/>
              <w:jc w:val="right"/>
            </w:pPr>
            <w:r>
              <w:rPr>
                <w:rFonts w:ascii="Arial" w:hAnsi="Arial"/>
                <w:sz w:val="15"/>
              </w:rPr>
              <w:t xml:space="preserve">0.6%</w:t>
            </w:r>
          </w:p>
        </w:tc>
      </w:tr>
      <w:tr>
        <w:trPr>
          <w:cantSplit/>
        </w:trPr>
        <w:tc>
          <w:tcPr>
            <w:tcW w:type="dxa" w:w="3239"/>
            <w:shd w:val="clear" w:color="auto" w:fill="F1F2F5"/>
          </w:tcPr>
          <w:p>
            <w:pPr>
              <w:pStyle w:val="Compact"/>
              <w:spacing w:after="0" w:before="0" w:line="240" w:lineRule="auto"/>
              <w:jc w:val="left"/>
            </w:pPr>
            <w:r>
              <w:rPr>
                <w:rFonts w:ascii="Arial" w:hAnsi="Arial"/>
                <w:sz w:val="15"/>
              </w:rPr>
              <w:t xml:space="preserve">Eliminations</w:t>
            </w:r>
          </w:p>
        </w:tc>
        <w:tc>
          <w:tcPr>
            <w:tcW w:type="dxa" w:w="1186"/>
            <w:shd w:val="clear" w:color="auto" w:fill="F1F2F5"/>
          </w:tcPr>
          <w:p>
            <w:pPr>
              <w:pStyle w:val="Compact"/>
              <w:spacing w:after="0" w:before="0" w:line="240" w:lineRule="auto"/>
              <w:jc w:val="right"/>
            </w:pPr>
            <w:r>
              <w:rPr>
                <w:rFonts w:ascii="Arial" w:hAnsi="Arial"/>
                <w:sz w:val="15"/>
              </w:rPr>
              <w:t xml:space="preserve">-104</w:t>
            </w:r>
          </w:p>
        </w:tc>
        <w:tc>
          <w:tcPr>
            <w:tcW w:type="dxa" w:w="1177"/>
            <w:shd w:val="clear" w:color="auto" w:fill="F1F2F5"/>
          </w:tcPr>
          <w:p>
            <w:pPr>
              <w:pStyle w:val="Compact"/>
              <w:spacing w:after="0" w:before="0" w:line="240" w:lineRule="auto"/>
              <w:jc w:val="right"/>
            </w:pPr>
            <w:r>
              <w:rPr>
                <w:rFonts w:ascii="Arial" w:hAnsi="Arial"/>
                <w:sz w:val="15"/>
              </w:rPr>
              <w:t xml:space="preserve">-111</w:t>
            </w:r>
          </w:p>
        </w:tc>
        <w:tc>
          <w:tcPr>
            <w:tcW w:type="dxa" w:w="1182"/>
            <w:shd w:val="clear" w:color="auto" w:fill="F1F2F5"/>
          </w:tcPr>
          <w:p>
            <w:pPr>
              <w:pStyle w:val="Compact"/>
              <w:spacing w:after="0" w:before="0" w:line="240" w:lineRule="auto"/>
              <w:jc w:val="right"/>
            </w:pPr>
            <w:r>
              <w:rPr>
                <w:rFonts w:ascii="Arial" w:hAnsi="Arial"/>
                <w:sz w:val="15"/>
              </w:rPr>
              <w:t xml:space="preserve">-133</w:t>
            </w:r>
          </w:p>
        </w:tc>
        <w:tc>
          <w:tcPr>
            <w:tcW w:type="dxa" w:w="1173"/>
            <w:shd w:val="clear" w:color="auto" w:fill="F1F2F5"/>
          </w:tcPr>
          <w:p>
            <w:pPr>
              <w:pStyle w:val="Compact"/>
              <w:spacing w:after="0" w:before="0" w:line="240" w:lineRule="auto"/>
              <w:jc w:val="right"/>
            </w:pPr>
            <w:r>
              <w:rPr>
                <w:rFonts w:ascii="Arial" w:hAnsi="Arial"/>
                <w:sz w:val="15"/>
              </w:rPr>
              <w:t xml:space="preserve">-140</w:t>
            </w:r>
          </w:p>
        </w:tc>
        <w:tc>
          <w:tcPr>
            <w:tcW w:type="dxa" w:w="1010"/>
            <w:shd w:val="clear" w:color="auto" w:fill="F1F2F5"/>
          </w:tcPr>
          <w:p>
            <w:pPr>
              <w:pStyle w:val="Compact"/>
              <w:spacing w:after="0" w:before="0" w:line="240" w:lineRule="auto"/>
              <w:jc w:val="right"/>
            </w:pPr>
            <w:r>
              <w:rPr>
                <w:rFonts w:ascii="Arial" w:hAnsi="Arial"/>
                <w:sz w:val="15"/>
              </w:rPr>
              <w:t xml:space="preserve">-69</w:t>
            </w:r>
          </w:p>
        </w:tc>
        <w:tc>
          <w:tcPr>
            <w:tcW w:type="dxa" w:w="1010"/>
            <w:shd w:val="clear" w:color="auto" w:fill="F1F2F5"/>
          </w:tcPr>
          <w:p>
            <w:pPr>
              <w:pStyle w:val="Compact"/>
              <w:spacing w:after="0" w:before="0" w:line="240" w:lineRule="auto"/>
              <w:jc w:val="right"/>
            </w:pPr>
            <w:r>
              <w:rPr>
                <w:rFonts w:ascii="Arial" w:hAnsi="Arial"/>
                <w:sz w:val="15"/>
              </w:rPr>
              <w:t xml:space="preserve">-66</w:t>
            </w:r>
          </w:p>
        </w:tc>
      </w:tr>
      <w:tr>
        <w:trPr>
          <w:cantSplit/>
        </w:trPr>
        <w:tc>
          <w:tcPr>
            <w:tcW w:type="dxa" w:w="3239"/>
            <w:shd w:val="clear" w:color="auto" w:fill="DCE4F2"/>
          </w:tcPr>
          <w:p>
            <w:pPr>
              <w:pStyle w:val="Compact"/>
              <w:spacing w:after="0" w:before="0" w:line="240" w:lineRule="auto"/>
              <w:jc w:val="left"/>
            </w:pPr>
            <w:r>
              <w:rPr>
                <w:bCs/>
                <w:rFonts w:ascii="Arial" w:hAnsi="Arial"/>
                <w:b/>
                <w:sz w:val="15"/>
              </w:rPr>
              <w:t xml:space="preserve">Consolidated revenue</w:t>
            </w:r>
          </w:p>
        </w:tc>
        <w:tc>
          <w:tcPr>
            <w:tcW w:type="dxa" w:w="1186"/>
            <w:shd w:val="clear" w:color="auto" w:fill="DCE4F2"/>
          </w:tcPr>
          <w:p>
            <w:pPr>
              <w:pStyle w:val="Compact"/>
              <w:spacing w:after="0" w:before="0" w:line="240" w:lineRule="auto"/>
              <w:jc w:val="right"/>
            </w:pPr>
            <w:r>
              <w:rPr>
                <w:rFonts w:ascii="Arial" w:hAnsi="Arial"/>
                <w:b/>
                <w:sz w:val="15"/>
              </w:rPr>
              <w:t xml:space="preserve">13,906</w:t>
            </w:r>
          </w:p>
        </w:tc>
        <w:tc>
          <w:tcPr>
            <w:tcW w:type="dxa" w:w="1177"/>
            <w:shd w:val="clear" w:color="auto" w:fill="DCE4F2"/>
          </w:tcPr>
          <w:p>
            <w:pPr>
              <w:pStyle w:val="Compact"/>
              <w:spacing w:after="0" w:before="0" w:line="240" w:lineRule="auto"/>
              <w:jc w:val="right"/>
            </w:pPr>
            <w:r>
              <w:rPr>
                <w:rFonts w:ascii="Arial" w:hAnsi="Arial"/>
                <w:b/>
                <w:sz w:val="15"/>
              </w:rPr>
              <w:t xml:space="preserve">14,373</w:t>
            </w:r>
          </w:p>
        </w:tc>
        <w:tc>
          <w:tcPr>
            <w:tcW w:type="dxa" w:w="1182"/>
            <w:shd w:val="clear" w:color="auto" w:fill="DCE4F2"/>
          </w:tcPr>
          <w:p>
            <w:pPr>
              <w:pStyle w:val="Compact"/>
              <w:spacing w:after="0" w:before="0" w:line="240" w:lineRule="auto"/>
              <w:jc w:val="right"/>
            </w:pPr>
            <w:r>
              <w:rPr>
                <w:rFonts w:ascii="Arial" w:hAnsi="Arial"/>
                <w:b/>
                <w:sz w:val="15"/>
              </w:rPr>
              <w:t xml:space="preserve">14,625</w:t>
            </w:r>
          </w:p>
        </w:tc>
        <w:tc>
          <w:tcPr>
            <w:tcW w:type="dxa" w:w="1173"/>
            <w:shd w:val="clear" w:color="auto" w:fill="DCE4F2"/>
          </w:tcPr>
          <w:p>
            <w:pPr>
              <w:pStyle w:val="Compact"/>
              <w:spacing w:after="0" w:before="0" w:line="240" w:lineRule="auto"/>
              <w:jc w:val="right"/>
            </w:pPr>
            <w:r>
              <w:rPr>
                <w:rFonts w:ascii="Arial" w:hAnsi="Arial"/>
                <w:b/>
                <w:sz w:val="15"/>
              </w:rPr>
              <w:t xml:space="preserve">15,452</w:t>
            </w:r>
          </w:p>
        </w:tc>
        <w:tc>
          <w:tcPr>
            <w:tcW w:type="dxa" w:w="1010"/>
            <w:shd w:val="clear" w:color="auto" w:fill="DCE4F2"/>
          </w:tcPr>
          <w:p>
            <w:pPr>
              <w:pStyle w:val="Compact"/>
              <w:spacing w:after="0" w:before="0" w:line="240" w:lineRule="auto"/>
              <w:jc w:val="right"/>
            </w:pPr>
            <w:r>
              <w:rPr>
                <w:rFonts w:ascii="Arial" w:hAnsi="Arial"/>
                <w:b/>
                <w:sz w:val="15"/>
              </w:rPr>
              <w:t xml:space="preserve">7,593</w:t>
            </w:r>
          </w:p>
        </w:tc>
        <w:tc>
          <w:tcPr>
            <w:tcW w:type="dxa" w:w="1010"/>
            <w:shd w:val="clear" w:color="auto" w:fill="DCE4F2"/>
          </w:tcPr>
          <w:p>
            <w:pPr>
              <w:pStyle w:val="Compact"/>
              <w:spacing w:after="0" w:before="0" w:line="240" w:lineRule="auto"/>
              <w:jc w:val="right"/>
            </w:pPr>
            <w:r>
              <w:rPr>
                <w:rFonts w:ascii="Arial" w:hAnsi="Arial"/>
                <w:b/>
                <w:sz w:val="15"/>
              </w:rPr>
              <w:t xml:space="preserve">7,499</w:t>
            </w:r>
          </w:p>
        </w:tc>
      </w:tr>
    </w:tbl>
    <w:p>
      <w:pPr>
        <w:pStyle w:val="BodyText"/>
      </w:pPr>
      <w:r>
        <w:rPr>
          <w:iCs/>
          <w:i/>
        </w:rPr>
        <w:t xml:space="preserve">Source: S&amp;P Capital IQ segment data from the K-IFRS segment note; 1H figures from the 1H26 half-year report. EBITDA = segment OP + segment D&amp;A [e]. FY21 segment detail is not available in S&amp;P.</w:t>
      </w:r>
    </w:p>
    <w:bookmarkEnd w:id="43"/>
    <w:bookmarkStart w:id="47" w:name="revenue-by-product-line-management-basis"/>
    <w:p>
      <w:pPr>
        <w:pStyle w:val="Heading2"/>
      </w:pPr>
      <w:r>
        <w:t xml:space="preserve">Revenue by product line (management basis)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2274"/>
        <w:gridCol w:w="995"/>
        <w:gridCol w:w="1000"/>
        <w:gridCol w:w="952"/>
        <w:gridCol w:w="952"/>
        <w:gridCol w:w="1027"/>
        <w:gridCol w:w="812"/>
        <w:gridCol w:w="1051"/>
        <w:gridCol w:w="909"/>
      </w:tblGrid>
      <w:tr>
        <w:trPr>
          <w:tblHeader w:val="true"/>
          <w:tblHeader w:val="true"/>
          <w:cantSplit/>
        </w:trPr>
        <w:tc>
          <w:tcPr>
            <w:tcW w:type="dxa" w:w="2275"/>
            <w:shd w:val="clear" w:color="auto" w:fill="13213F"/>
          </w:tcPr>
          <w:p>
            <w:pPr>
              <w:pStyle w:val="Compact"/>
              <w:spacing w:after="0" w:before="0" w:line="240" w:lineRule="auto"/>
              <w:jc w:val="left"/>
            </w:pPr>
            <w:r>
              <w:rPr>
                <w:rFonts w:ascii="Arial" w:hAnsi="Arial"/>
                <w:b/>
                <w:color w:val="FFFFFF"/>
                <w:sz w:val="15"/>
              </w:rPr>
              <w:t xml:space="preserve">KRW bn</w:t>
            </w:r>
          </w:p>
        </w:tc>
        <w:tc>
          <w:tcPr>
            <w:tcW w:type="dxa" w:w="996"/>
            <w:shd w:val="clear" w:color="auto" w:fill="13213F"/>
          </w:tcPr>
          <w:p>
            <w:pPr>
              <w:pStyle w:val="Compact"/>
              <w:spacing w:after="0" w:before="0" w:line="240" w:lineRule="auto"/>
              <w:jc w:val="right"/>
            </w:pPr>
            <w:r>
              <w:rPr>
                <w:rFonts w:ascii="Arial" w:hAnsi="Arial"/>
                <w:b/>
                <w:color w:val="FFFFFF"/>
                <w:sz w:val="15"/>
              </w:rPr>
              <w:t xml:space="preserve">FY2021</w:t>
            </w:r>
          </w:p>
        </w:tc>
        <w:tc>
          <w:tcPr>
            <w:tcW w:type="dxa" w:w="1001"/>
            <w:shd w:val="clear" w:color="auto" w:fill="13213F"/>
          </w:tcPr>
          <w:p>
            <w:pPr>
              <w:pStyle w:val="Compact"/>
              <w:spacing w:after="0" w:before="0" w:line="240" w:lineRule="auto"/>
              <w:jc w:val="right"/>
            </w:pPr>
            <w:r>
              <w:rPr>
                <w:rFonts w:ascii="Arial" w:hAnsi="Arial"/>
                <w:b/>
                <w:color w:val="FFFFFF"/>
                <w:sz w:val="15"/>
              </w:rPr>
              <w:t xml:space="preserve">FY2022</w:t>
            </w:r>
          </w:p>
        </w:tc>
        <w:tc>
          <w:tcPr>
            <w:tcW w:type="dxa" w:w="952"/>
            <w:shd w:val="clear" w:color="auto" w:fill="13213F"/>
          </w:tcPr>
          <w:p>
            <w:pPr>
              <w:pStyle w:val="Compact"/>
              <w:spacing w:after="0" w:before="0" w:line="240" w:lineRule="auto"/>
              <w:jc w:val="right"/>
            </w:pPr>
            <w:r>
              <w:rPr>
                <w:rFonts w:ascii="Arial" w:hAnsi="Arial"/>
                <w:b/>
                <w:color w:val="FFFFFF"/>
                <w:sz w:val="15"/>
              </w:rPr>
              <w:t xml:space="preserve">FY2023</w:t>
            </w:r>
          </w:p>
        </w:tc>
        <w:tc>
          <w:tcPr>
            <w:tcW w:type="dxa" w:w="952"/>
            <w:shd w:val="clear" w:color="auto" w:fill="13213F"/>
          </w:tcPr>
          <w:p>
            <w:pPr>
              <w:pStyle w:val="Compact"/>
              <w:spacing w:after="0" w:before="0" w:line="240" w:lineRule="auto"/>
              <w:jc w:val="right"/>
            </w:pPr>
            <w:r>
              <w:rPr>
                <w:rFonts w:ascii="Arial" w:hAnsi="Arial"/>
                <w:b/>
                <w:color w:val="FFFFFF"/>
                <w:sz w:val="15"/>
              </w:rPr>
              <w:t xml:space="preserve">FY2024</w:t>
            </w:r>
          </w:p>
        </w:tc>
        <w:tc>
          <w:tcPr>
            <w:tcW w:type="dxa" w:w="1028"/>
            <w:shd w:val="clear" w:color="auto" w:fill="13213F"/>
          </w:tcPr>
          <w:p>
            <w:pPr>
              <w:pStyle w:val="Compact"/>
              <w:spacing w:after="0" w:before="0" w:line="240" w:lineRule="auto"/>
              <w:jc w:val="right"/>
            </w:pPr>
            <w:r>
              <w:rPr>
                <w:rFonts w:ascii="Arial" w:hAnsi="Arial"/>
                <w:b/>
                <w:color w:val="FFFFFF"/>
                <w:sz w:val="15"/>
              </w:rPr>
              <w:t xml:space="preserve">FY2025</w:t>
            </w:r>
          </w:p>
        </w:tc>
        <w:tc>
          <w:tcPr>
            <w:tcW w:type="dxa" w:w="813"/>
            <w:shd w:val="clear" w:color="auto" w:fill="13213F"/>
          </w:tcPr>
          <w:p>
            <w:pPr>
              <w:pStyle w:val="Compact"/>
              <w:spacing w:after="0" w:before="0" w:line="240" w:lineRule="auto"/>
              <w:jc w:val="right"/>
            </w:pPr>
            <w:r>
              <w:rPr>
                <w:rFonts w:ascii="Arial" w:hAnsi="Arial"/>
                <w:b/>
                <w:color w:val="FFFFFF"/>
                <w:sz w:val="15"/>
              </w:rPr>
              <w:t xml:space="preserve">2Q26</w:t>
            </w:r>
          </w:p>
        </w:tc>
        <w:tc>
          <w:tcPr>
            <w:tcW w:type="dxa" w:w="1052"/>
            <w:shd w:val="clear" w:color="auto" w:fill="13213F"/>
          </w:tcPr>
          <w:p>
            <w:pPr>
              <w:pStyle w:val="Compact"/>
              <w:spacing w:after="0" w:before="0" w:line="240" w:lineRule="auto"/>
              <w:jc w:val="right"/>
            </w:pPr>
            <w:r>
              <w:rPr>
                <w:rFonts w:ascii="Arial" w:hAnsi="Arial"/>
                <w:b/>
                <w:color w:val="FFFFFF"/>
                <w:sz w:val="15"/>
              </w:rPr>
              <w:t xml:space="preserve">2Q26 YoY</w:t>
            </w:r>
          </w:p>
        </w:tc>
        <w:tc>
          <w:tcPr>
            <w:tcW w:type="dxa" w:w="910"/>
            <w:shd w:val="clear" w:color="auto" w:fill="13213F"/>
          </w:tcPr>
          <w:p>
            <w:pPr>
              <w:pStyle w:val="Compact"/>
              <w:spacing w:after="0" w:before="0" w:line="240" w:lineRule="auto"/>
              <w:jc w:val="right"/>
            </w:pPr>
            <w:r>
              <w:rPr>
                <w:rFonts w:ascii="Arial" w:hAnsi="Arial"/>
                <w:b/>
                <w:color w:val="FFFFFF"/>
                <w:sz w:val="15"/>
              </w:rPr>
              <w:t xml:space="preserve">4-yr CAGR</w:t>
            </w:r>
          </w:p>
        </w:tc>
      </w:tr>
      <w:tr>
        <w:trPr>
          <w:cantSplit/>
        </w:trPr>
        <w:tc>
          <w:tcPr>
            <w:tcW w:type="dxa" w:w="2275"/>
          </w:tcPr>
          <w:p>
            <w:pPr>
              <w:pStyle w:val="Compact"/>
              <w:spacing w:after="0" w:before="0" w:line="240" w:lineRule="auto"/>
              <w:jc w:val="left"/>
            </w:pPr>
            <w:r>
              <w:rPr>
                <w:rFonts w:ascii="Arial" w:hAnsi="Arial"/>
                <w:sz w:val="15"/>
              </w:rPr>
              <w:t xml:space="preserve">Mobile service revenue</w:t>
            </w:r>
          </w:p>
        </w:tc>
        <w:tc>
          <w:tcPr>
            <w:tcW w:type="dxa" w:w="996"/>
          </w:tcPr>
          <w:p>
            <w:pPr>
              <w:pStyle w:val="Compact"/>
              <w:spacing w:after="0" w:before="0" w:line="240" w:lineRule="auto"/>
              <w:jc w:val="right"/>
            </w:pPr>
            <w:r>
              <w:rPr>
                <w:rFonts w:ascii="Arial" w:hAnsi="Arial"/>
                <w:sz w:val="15"/>
              </w:rPr>
              <w:t xml:space="preserve">5,693</w:t>
            </w:r>
          </w:p>
        </w:tc>
        <w:tc>
          <w:tcPr>
            <w:tcW w:type="dxa" w:w="1001"/>
          </w:tcPr>
          <w:p>
            <w:pPr>
              <w:pStyle w:val="Compact"/>
              <w:spacing w:after="0" w:before="0" w:line="240" w:lineRule="auto"/>
              <w:jc w:val="right"/>
            </w:pPr>
            <w:r>
              <w:rPr>
                <w:rFonts w:ascii="Arial" w:hAnsi="Arial"/>
                <w:sz w:val="15"/>
              </w:rPr>
              <w:t xml:space="preserve">5,831</w:t>
            </w:r>
          </w:p>
        </w:tc>
        <w:tc>
          <w:tcPr>
            <w:tcW w:type="dxa" w:w="952"/>
          </w:tcPr>
          <w:p>
            <w:pPr>
              <w:pStyle w:val="Compact"/>
              <w:spacing w:after="0" w:before="0" w:line="240" w:lineRule="auto"/>
              <w:jc w:val="right"/>
            </w:pPr>
            <w:r>
              <w:rPr>
                <w:rFonts w:ascii="Arial" w:hAnsi="Arial"/>
                <w:sz w:val="15"/>
              </w:rPr>
              <w:t xml:space="preserve">5,984</w:t>
            </w:r>
          </w:p>
        </w:tc>
        <w:tc>
          <w:tcPr>
            <w:tcW w:type="dxa" w:w="952"/>
          </w:tcPr>
          <w:p>
            <w:pPr>
              <w:pStyle w:val="Compact"/>
              <w:spacing w:after="0" w:before="0" w:line="240" w:lineRule="auto"/>
              <w:jc w:val="right"/>
            </w:pPr>
            <w:r>
              <w:rPr>
                <w:rFonts w:ascii="Arial" w:hAnsi="Arial"/>
                <w:sz w:val="15"/>
              </w:rPr>
              <w:t xml:space="preserve">6,117</w:t>
            </w:r>
          </w:p>
        </w:tc>
        <w:tc>
          <w:tcPr>
            <w:tcW w:type="dxa" w:w="1028"/>
          </w:tcPr>
          <w:p>
            <w:pPr>
              <w:pStyle w:val="Compact"/>
              <w:spacing w:after="0" w:before="0" w:line="240" w:lineRule="auto"/>
              <w:jc w:val="right"/>
            </w:pPr>
            <w:r>
              <w:rPr>
                <w:rFonts w:ascii="Arial" w:hAnsi="Arial"/>
                <w:sz w:val="15"/>
              </w:rPr>
              <w:t xml:space="preserve">6,371</w:t>
            </w:r>
          </w:p>
        </w:tc>
        <w:tc>
          <w:tcPr>
            <w:tcW w:type="dxa" w:w="813"/>
          </w:tcPr>
          <w:p>
            <w:pPr>
              <w:pStyle w:val="Compact"/>
              <w:spacing w:after="0" w:before="0" w:line="240" w:lineRule="auto"/>
              <w:jc w:val="right"/>
            </w:pPr>
            <w:r>
              <w:rPr>
                <w:rFonts w:ascii="Arial" w:hAnsi="Arial"/>
                <w:sz w:val="15"/>
              </w:rPr>
              <w:t xml:space="preserve">1,596</w:t>
            </w:r>
          </w:p>
        </w:tc>
        <w:tc>
          <w:tcPr>
            <w:tcW w:type="dxa" w:w="1052"/>
          </w:tcPr>
          <w:p>
            <w:pPr>
              <w:pStyle w:val="Compact"/>
              <w:spacing w:after="0" w:before="0" w:line="240" w:lineRule="auto"/>
              <w:jc w:val="right"/>
            </w:pPr>
            <w:r>
              <w:rPr>
                <w:rFonts w:ascii="Arial" w:hAnsi="Arial"/>
                <w:sz w:val="15"/>
              </w:rPr>
              <w:t xml:space="preserve">+1.2%</w:t>
            </w:r>
          </w:p>
        </w:tc>
        <w:tc>
          <w:tcPr>
            <w:tcW w:type="dxa" w:w="910"/>
          </w:tcPr>
          <w:p>
            <w:pPr>
              <w:pStyle w:val="Compact"/>
              <w:spacing w:after="0" w:before="0" w:line="240" w:lineRule="auto"/>
              <w:jc w:val="right"/>
            </w:pPr>
            <w:r>
              <w:rPr>
                <w:rFonts w:ascii="Arial" w:hAnsi="Arial"/>
                <w:sz w:val="15"/>
              </w:rPr>
              <w:t xml:space="preserve">2.9%</w:t>
            </w:r>
          </w:p>
        </w:tc>
      </w:tr>
      <w:tr>
        <w:trPr>
          <w:cantSplit/>
        </w:trPr>
        <w:tc>
          <w:tcPr>
            <w:tcW w:type="dxa" w:w="2275"/>
            <w:shd w:val="clear" w:color="auto" w:fill="F1F2F5"/>
          </w:tcPr>
          <w:p>
            <w:pPr>
              <w:pStyle w:val="Compact"/>
              <w:spacing w:after="0" w:before="0" w:line="240" w:lineRule="auto"/>
              <w:jc w:val="left"/>
            </w:pPr>
            <w:r>
              <w:rPr>
                <w:rFonts w:ascii="Arial" w:hAnsi="Arial"/>
                <w:sz w:val="15"/>
              </w:rPr>
              <w:t xml:space="preserve">Smart Home</w:t>
            </w:r>
          </w:p>
        </w:tc>
        <w:tc>
          <w:tcPr>
            <w:tcW w:type="dxa" w:w="996"/>
            <w:shd w:val="clear" w:color="auto" w:fill="F1F2F5"/>
          </w:tcPr>
          <w:p>
            <w:pPr>
              <w:pStyle w:val="Compact"/>
              <w:spacing w:after="0" w:before="0" w:line="240" w:lineRule="auto"/>
              <w:jc w:val="right"/>
            </w:pPr>
            <w:r>
              <w:rPr>
                <w:rFonts w:ascii="Arial" w:hAnsi="Arial"/>
                <w:sz w:val="15"/>
              </w:rPr>
              <w:t xml:space="preserve">2,204</w:t>
            </w:r>
          </w:p>
        </w:tc>
        <w:tc>
          <w:tcPr>
            <w:tcW w:type="dxa" w:w="1001"/>
            <w:shd w:val="clear" w:color="auto" w:fill="F1F2F5"/>
          </w:tcPr>
          <w:p>
            <w:pPr>
              <w:pStyle w:val="Compact"/>
              <w:spacing w:after="0" w:before="0" w:line="240" w:lineRule="auto"/>
              <w:jc w:val="right"/>
            </w:pPr>
            <w:r>
              <w:rPr>
                <w:rFonts w:ascii="Arial" w:hAnsi="Arial"/>
                <w:sz w:val="15"/>
              </w:rPr>
              <w:t xml:space="preserve">2,345</w:t>
            </w:r>
          </w:p>
        </w:tc>
        <w:tc>
          <w:tcPr>
            <w:tcW w:type="dxa" w:w="952"/>
            <w:shd w:val="clear" w:color="auto" w:fill="F1F2F5"/>
          </w:tcPr>
          <w:p>
            <w:pPr>
              <w:pStyle w:val="Compact"/>
              <w:spacing w:after="0" w:before="0" w:line="240" w:lineRule="auto"/>
              <w:jc w:val="right"/>
            </w:pPr>
            <w:r>
              <w:rPr>
                <w:rFonts w:ascii="Arial" w:hAnsi="Arial"/>
                <w:sz w:val="15"/>
              </w:rPr>
              <w:t xml:space="preserve">2,417</w:t>
            </w:r>
          </w:p>
        </w:tc>
        <w:tc>
          <w:tcPr>
            <w:tcW w:type="dxa" w:w="952"/>
            <w:shd w:val="clear" w:color="auto" w:fill="F1F2F5"/>
          </w:tcPr>
          <w:p>
            <w:pPr>
              <w:pStyle w:val="Compact"/>
              <w:spacing w:after="0" w:before="0" w:line="240" w:lineRule="auto"/>
              <w:jc w:val="right"/>
            </w:pPr>
            <w:r>
              <w:rPr>
                <w:rFonts w:ascii="Arial" w:hAnsi="Arial"/>
                <w:sz w:val="15"/>
              </w:rPr>
              <w:t xml:space="preserve">2,506</w:t>
            </w:r>
          </w:p>
        </w:tc>
        <w:tc>
          <w:tcPr>
            <w:tcW w:type="dxa" w:w="1028"/>
            <w:shd w:val="clear" w:color="auto" w:fill="F1F2F5"/>
          </w:tcPr>
          <w:p>
            <w:pPr>
              <w:pStyle w:val="Compact"/>
              <w:spacing w:after="0" w:before="0" w:line="240" w:lineRule="auto"/>
              <w:jc w:val="right"/>
            </w:pPr>
            <w:r>
              <w:rPr>
                <w:rFonts w:ascii="Arial" w:hAnsi="Arial"/>
                <w:sz w:val="15"/>
              </w:rPr>
              <w:t xml:space="preserve">2,590</w:t>
            </w:r>
          </w:p>
        </w:tc>
        <w:tc>
          <w:tcPr>
            <w:tcW w:type="dxa" w:w="813"/>
            <w:shd w:val="clear" w:color="auto" w:fill="F1F2F5"/>
          </w:tcPr>
          <w:p>
            <w:pPr>
              <w:pStyle w:val="Compact"/>
              <w:spacing w:after="0" w:before="0" w:line="240" w:lineRule="auto"/>
              <w:jc w:val="right"/>
            </w:pPr>
            <w:r>
              <w:rPr>
                <w:rFonts w:ascii="Arial" w:hAnsi="Arial"/>
                <w:sz w:val="15"/>
              </w:rPr>
              <w:t xml:space="preserve">664</w:t>
            </w:r>
          </w:p>
        </w:tc>
        <w:tc>
          <w:tcPr>
            <w:tcW w:type="dxa" w:w="1052"/>
            <w:shd w:val="clear" w:color="auto" w:fill="F1F2F5"/>
          </w:tcPr>
          <w:p>
            <w:pPr>
              <w:pStyle w:val="Compact"/>
              <w:spacing w:after="0" w:before="0" w:line="240" w:lineRule="auto"/>
              <w:jc w:val="right"/>
            </w:pPr>
            <w:r>
              <w:rPr>
                <w:rFonts w:ascii="Arial" w:hAnsi="Arial"/>
                <w:sz w:val="15"/>
              </w:rPr>
              <w:t xml:space="preserve">+4.3%</w:t>
            </w:r>
          </w:p>
        </w:tc>
        <w:tc>
          <w:tcPr>
            <w:tcW w:type="dxa" w:w="910"/>
            <w:shd w:val="clear" w:color="auto" w:fill="F1F2F5"/>
          </w:tcPr>
          <w:p>
            <w:pPr>
              <w:pStyle w:val="Compact"/>
              <w:spacing w:after="0" w:before="0" w:line="240" w:lineRule="auto"/>
              <w:jc w:val="right"/>
            </w:pPr>
            <w:r>
              <w:rPr>
                <w:rFonts w:ascii="Arial" w:hAnsi="Arial"/>
                <w:sz w:val="15"/>
              </w:rPr>
              <w:t xml:space="preserve">4.1%</w:t>
            </w:r>
          </w:p>
        </w:tc>
      </w:tr>
      <w:tr>
        <w:trPr>
          <w:cantSplit/>
        </w:trPr>
        <w:tc>
          <w:tcPr>
            <w:tcW w:type="dxa" w:w="2275"/>
          </w:tcPr>
          <w:p>
            <w:pPr>
              <w:pStyle w:val="Compact"/>
              <w:spacing w:after="0" w:before="0" w:line="240" w:lineRule="auto"/>
              <w:jc w:val="left"/>
            </w:pPr>
            <w:r>
              <w:rPr>
                <w:rFonts w:ascii="Arial" w:hAnsi="Arial"/>
                <w:sz w:val="15"/>
              </w:rPr>
              <w:t xml:space="preserve">– IPTV</w:t>
            </w:r>
          </w:p>
        </w:tc>
        <w:tc>
          <w:tcPr>
            <w:tcW w:type="dxa" w:w="996"/>
          </w:tcPr>
          <w:p>
            <w:pPr>
              <w:pStyle w:val="Compact"/>
              <w:spacing w:after="0" w:before="0" w:line="240" w:lineRule="auto"/>
              <w:jc w:val="right"/>
            </w:pPr>
            <w:r>
              <w:rPr>
                <w:rFonts w:ascii="Arial" w:hAnsi="Arial"/>
                <w:sz w:val="15"/>
              </w:rPr>
              <w:t xml:space="preserve">1,256</w:t>
            </w:r>
          </w:p>
        </w:tc>
        <w:tc>
          <w:tcPr>
            <w:tcW w:type="dxa" w:w="1001"/>
          </w:tcPr>
          <w:p>
            <w:pPr>
              <w:pStyle w:val="Compact"/>
              <w:spacing w:after="0" w:before="0" w:line="240" w:lineRule="auto"/>
              <w:jc w:val="right"/>
            </w:pPr>
            <w:r>
              <w:rPr>
                <w:rFonts w:ascii="Arial" w:hAnsi="Arial"/>
                <w:sz w:val="15"/>
              </w:rPr>
              <w:t xml:space="preserve">1,326</w:t>
            </w:r>
          </w:p>
        </w:tc>
        <w:tc>
          <w:tcPr>
            <w:tcW w:type="dxa" w:w="952"/>
          </w:tcPr>
          <w:p>
            <w:pPr>
              <w:pStyle w:val="Compact"/>
              <w:spacing w:after="0" w:before="0" w:line="240" w:lineRule="auto"/>
              <w:jc w:val="right"/>
            </w:pPr>
            <w:r>
              <w:rPr>
                <w:rFonts w:ascii="Arial" w:hAnsi="Arial"/>
                <w:sz w:val="15"/>
              </w:rPr>
              <w:t xml:space="preserve">1,325</w:t>
            </w:r>
          </w:p>
        </w:tc>
        <w:tc>
          <w:tcPr>
            <w:tcW w:type="dxa" w:w="952"/>
          </w:tcPr>
          <w:p>
            <w:pPr>
              <w:pStyle w:val="Compact"/>
              <w:spacing w:after="0" w:before="0" w:line="240" w:lineRule="auto"/>
              <w:jc w:val="right"/>
            </w:pPr>
            <w:r>
              <w:rPr>
                <w:rFonts w:ascii="Arial" w:hAnsi="Arial"/>
                <w:sz w:val="15"/>
              </w:rPr>
              <w:t xml:space="preserve">1,328</w:t>
            </w:r>
          </w:p>
        </w:tc>
        <w:tc>
          <w:tcPr>
            <w:tcW w:type="dxa" w:w="1028"/>
          </w:tcPr>
          <w:p>
            <w:pPr>
              <w:pStyle w:val="Compact"/>
              <w:spacing w:after="0" w:before="0" w:line="240" w:lineRule="auto"/>
              <w:jc w:val="right"/>
            </w:pPr>
            <w:r>
              <w:rPr>
                <w:rFonts w:ascii="Arial" w:hAnsi="Arial"/>
                <w:sz w:val="15"/>
              </w:rPr>
              <w:t xml:space="preserve">1,327</w:t>
            </w:r>
          </w:p>
        </w:tc>
        <w:tc>
          <w:tcPr>
            <w:tcW w:type="dxa" w:w="813"/>
          </w:tcPr>
          <w:p>
            <w:pPr>
              <w:pStyle w:val="Compact"/>
              <w:spacing w:after="0" w:before="0" w:line="240" w:lineRule="auto"/>
              <w:jc w:val="right"/>
            </w:pPr>
            <w:r>
              <w:rPr>
                <w:rFonts w:ascii="Arial" w:hAnsi="Arial"/>
                <w:sz w:val="15"/>
              </w:rPr>
              <w:t xml:space="preserve">338</w:t>
            </w:r>
          </w:p>
        </w:tc>
        <w:tc>
          <w:tcPr>
            <w:tcW w:type="dxa" w:w="1052"/>
          </w:tcPr>
          <w:p>
            <w:pPr>
              <w:pStyle w:val="Compact"/>
              <w:spacing w:after="0" w:before="0" w:line="240" w:lineRule="auto"/>
              <w:jc w:val="right"/>
            </w:pPr>
            <w:r>
              <w:rPr>
                <w:rFonts w:ascii="Arial" w:hAnsi="Arial"/>
                <w:sz w:val="15"/>
              </w:rPr>
              <w:t xml:space="preserve">+2.1%</w:t>
            </w:r>
          </w:p>
        </w:tc>
        <w:tc>
          <w:tcPr>
            <w:tcW w:type="dxa" w:w="910"/>
          </w:tcPr>
          <w:p>
            <w:pPr>
              <w:pStyle w:val="Compact"/>
              <w:spacing w:after="0" w:before="0" w:line="240" w:lineRule="auto"/>
              <w:jc w:val="right"/>
            </w:pPr>
            <w:r>
              <w:rPr>
                <w:rFonts w:ascii="Arial" w:hAnsi="Arial"/>
                <w:sz w:val="15"/>
              </w:rPr>
              <w:t xml:space="preserve">1.4%</w:t>
            </w:r>
          </w:p>
        </w:tc>
      </w:tr>
      <w:tr>
        <w:trPr>
          <w:cantSplit/>
        </w:trPr>
        <w:tc>
          <w:tcPr>
            <w:tcW w:type="dxa" w:w="2275"/>
            <w:shd w:val="clear" w:color="auto" w:fill="F1F2F5"/>
          </w:tcPr>
          <w:p>
            <w:pPr>
              <w:pStyle w:val="Compact"/>
              <w:spacing w:after="0" w:before="0" w:line="240" w:lineRule="auto"/>
              <w:jc w:val="left"/>
            </w:pPr>
            <w:r>
              <w:rPr>
                <w:rFonts w:ascii="Arial" w:hAnsi="Arial"/>
                <w:sz w:val="15"/>
              </w:rPr>
              <w:t xml:space="preserve">– Broadband</w:t>
            </w:r>
          </w:p>
        </w:tc>
        <w:tc>
          <w:tcPr>
            <w:tcW w:type="dxa" w:w="996"/>
            <w:shd w:val="clear" w:color="auto" w:fill="F1F2F5"/>
          </w:tcPr>
          <w:p>
            <w:pPr>
              <w:pStyle w:val="Compact"/>
              <w:spacing w:after="0" w:before="0" w:line="240" w:lineRule="auto"/>
              <w:jc w:val="right"/>
            </w:pPr>
            <w:r>
              <w:rPr>
                <w:rFonts w:ascii="Arial" w:hAnsi="Arial"/>
                <w:sz w:val="15"/>
              </w:rPr>
              <w:t xml:space="preserve">948</w:t>
            </w:r>
          </w:p>
        </w:tc>
        <w:tc>
          <w:tcPr>
            <w:tcW w:type="dxa" w:w="1001"/>
            <w:shd w:val="clear" w:color="auto" w:fill="F1F2F5"/>
          </w:tcPr>
          <w:p>
            <w:pPr>
              <w:pStyle w:val="Compact"/>
              <w:spacing w:after="0" w:before="0" w:line="240" w:lineRule="auto"/>
              <w:jc w:val="right"/>
            </w:pPr>
            <w:r>
              <w:rPr>
                <w:rFonts w:ascii="Arial" w:hAnsi="Arial"/>
                <w:sz w:val="15"/>
              </w:rPr>
              <w:t xml:space="preserve">1,018</w:t>
            </w:r>
          </w:p>
        </w:tc>
        <w:tc>
          <w:tcPr>
            <w:tcW w:type="dxa" w:w="952"/>
            <w:shd w:val="clear" w:color="auto" w:fill="F1F2F5"/>
          </w:tcPr>
          <w:p>
            <w:pPr>
              <w:pStyle w:val="Compact"/>
              <w:spacing w:after="0" w:before="0" w:line="240" w:lineRule="auto"/>
              <w:jc w:val="right"/>
            </w:pPr>
            <w:r>
              <w:rPr>
                <w:rFonts w:ascii="Arial" w:hAnsi="Arial"/>
                <w:sz w:val="15"/>
              </w:rPr>
              <w:t xml:space="preserve">1,070</w:t>
            </w:r>
          </w:p>
        </w:tc>
        <w:tc>
          <w:tcPr>
            <w:tcW w:type="dxa" w:w="952"/>
            <w:shd w:val="clear" w:color="auto" w:fill="F1F2F5"/>
          </w:tcPr>
          <w:p>
            <w:pPr>
              <w:pStyle w:val="Compact"/>
              <w:spacing w:after="0" w:before="0" w:line="240" w:lineRule="auto"/>
              <w:jc w:val="right"/>
            </w:pPr>
            <w:r>
              <w:rPr>
                <w:rFonts w:ascii="Arial" w:hAnsi="Arial"/>
                <w:sz w:val="15"/>
              </w:rPr>
              <w:t xml:space="preserve">1,141</w:t>
            </w:r>
          </w:p>
        </w:tc>
        <w:tc>
          <w:tcPr>
            <w:tcW w:type="dxa" w:w="1028"/>
            <w:shd w:val="clear" w:color="auto" w:fill="F1F2F5"/>
          </w:tcPr>
          <w:p>
            <w:pPr>
              <w:pStyle w:val="Compact"/>
              <w:spacing w:after="0" w:before="0" w:line="240" w:lineRule="auto"/>
              <w:jc w:val="right"/>
            </w:pPr>
            <w:r>
              <w:rPr>
                <w:rFonts w:ascii="Arial" w:hAnsi="Arial"/>
                <w:sz w:val="15"/>
              </w:rPr>
              <w:t xml:space="preserve">1,224</w:t>
            </w:r>
          </w:p>
        </w:tc>
        <w:tc>
          <w:tcPr>
            <w:tcW w:type="dxa" w:w="813"/>
            <w:shd w:val="clear" w:color="auto" w:fill="F1F2F5"/>
          </w:tcPr>
          <w:p>
            <w:pPr>
              <w:pStyle w:val="Compact"/>
              <w:spacing w:after="0" w:before="0" w:line="240" w:lineRule="auto"/>
              <w:jc w:val="right"/>
            </w:pPr>
            <w:r>
              <w:rPr>
                <w:rFonts w:ascii="Arial" w:hAnsi="Arial"/>
                <w:sz w:val="15"/>
              </w:rPr>
              <w:t xml:space="preserve">325</w:t>
            </w:r>
          </w:p>
        </w:tc>
        <w:tc>
          <w:tcPr>
            <w:tcW w:type="dxa" w:w="1052"/>
            <w:shd w:val="clear" w:color="auto" w:fill="F1F2F5"/>
          </w:tcPr>
          <w:p>
            <w:pPr>
              <w:pStyle w:val="Compact"/>
              <w:spacing w:after="0" w:before="0" w:line="240" w:lineRule="auto"/>
              <w:jc w:val="right"/>
            </w:pPr>
            <w:r>
              <w:rPr>
                <w:rFonts w:ascii="Arial" w:hAnsi="Arial"/>
                <w:sz w:val="15"/>
              </w:rPr>
              <w:t xml:space="preserve">+7.6%</w:t>
            </w:r>
          </w:p>
        </w:tc>
        <w:tc>
          <w:tcPr>
            <w:tcW w:type="dxa" w:w="910"/>
            <w:shd w:val="clear" w:color="auto" w:fill="F1F2F5"/>
          </w:tcPr>
          <w:p>
            <w:pPr>
              <w:pStyle w:val="Compact"/>
              <w:spacing w:after="0" w:before="0" w:line="240" w:lineRule="auto"/>
              <w:jc w:val="right"/>
            </w:pPr>
            <w:r>
              <w:rPr>
                <w:rFonts w:ascii="Arial" w:hAnsi="Arial"/>
                <w:sz w:val="15"/>
              </w:rPr>
              <w:t xml:space="preserve">6.6%</w:t>
            </w:r>
          </w:p>
        </w:tc>
      </w:tr>
      <w:tr>
        <w:trPr>
          <w:cantSplit/>
        </w:trPr>
        <w:tc>
          <w:tcPr>
            <w:tcW w:type="dxa" w:w="2275"/>
          </w:tcPr>
          <w:p>
            <w:pPr>
              <w:pStyle w:val="Compact"/>
              <w:spacing w:after="0" w:before="0" w:line="240" w:lineRule="auto"/>
              <w:jc w:val="left"/>
            </w:pPr>
            <w:r>
              <w:rPr>
                <w:rFonts w:ascii="Arial" w:hAnsi="Arial"/>
                <w:sz w:val="15"/>
              </w:rPr>
              <w:t xml:space="preserve">Enterprise infrastructure</w:t>
            </w:r>
          </w:p>
        </w:tc>
        <w:tc>
          <w:tcPr>
            <w:tcW w:type="dxa" w:w="996"/>
          </w:tcPr>
          <w:p>
            <w:pPr>
              <w:pStyle w:val="Compact"/>
              <w:spacing w:after="0" w:before="0" w:line="240" w:lineRule="auto"/>
              <w:jc w:val="right"/>
            </w:pPr>
            <w:r>
              <w:rPr>
                <w:rFonts w:ascii="Arial" w:hAnsi="Arial"/>
                <w:sz w:val="15"/>
              </w:rPr>
              <w:t xml:space="preserve">1,493</w:t>
            </w:r>
          </w:p>
        </w:tc>
        <w:tc>
          <w:tcPr>
            <w:tcW w:type="dxa" w:w="1001"/>
          </w:tcPr>
          <w:p>
            <w:pPr>
              <w:pStyle w:val="Compact"/>
              <w:spacing w:after="0" w:before="0" w:line="240" w:lineRule="auto"/>
              <w:jc w:val="right"/>
            </w:pPr>
            <w:r>
              <w:rPr>
                <w:rFonts w:ascii="Arial" w:hAnsi="Arial"/>
                <w:sz w:val="15"/>
              </w:rPr>
              <w:t xml:space="preserve">1,584</w:t>
            </w:r>
          </w:p>
        </w:tc>
        <w:tc>
          <w:tcPr>
            <w:tcW w:type="dxa" w:w="952"/>
          </w:tcPr>
          <w:p>
            <w:pPr>
              <w:pStyle w:val="Compact"/>
              <w:spacing w:after="0" w:before="0" w:line="240" w:lineRule="auto"/>
              <w:jc w:val="right"/>
            </w:pPr>
            <w:r>
              <w:rPr>
                <w:rFonts w:ascii="Arial" w:hAnsi="Arial"/>
                <w:sz w:val="15"/>
              </w:rPr>
              <w:t xml:space="preserve">1,684</w:t>
            </w:r>
          </w:p>
        </w:tc>
        <w:tc>
          <w:tcPr>
            <w:tcW w:type="dxa" w:w="952"/>
          </w:tcPr>
          <w:p>
            <w:pPr>
              <w:pStyle w:val="Compact"/>
              <w:spacing w:after="0" w:before="0" w:line="240" w:lineRule="auto"/>
              <w:jc w:val="right"/>
            </w:pPr>
            <w:r>
              <w:rPr>
                <w:rFonts w:ascii="Arial" w:hAnsi="Arial"/>
                <w:sz w:val="15"/>
              </w:rPr>
              <w:t xml:space="preserve">1,706</w:t>
            </w:r>
          </w:p>
        </w:tc>
        <w:tc>
          <w:tcPr>
            <w:tcW w:type="dxa" w:w="1028"/>
          </w:tcPr>
          <w:p>
            <w:pPr>
              <w:pStyle w:val="Compact"/>
              <w:spacing w:after="0" w:before="0" w:line="240" w:lineRule="auto"/>
              <w:jc w:val="right"/>
            </w:pPr>
            <w:r>
              <w:rPr>
                <w:rFonts w:ascii="Arial" w:hAnsi="Arial"/>
                <w:sz w:val="15"/>
              </w:rPr>
              <w:t xml:space="preserve">1,808</w:t>
            </w:r>
          </w:p>
        </w:tc>
        <w:tc>
          <w:tcPr>
            <w:tcW w:type="dxa" w:w="813"/>
          </w:tcPr>
          <w:p>
            <w:pPr>
              <w:pStyle w:val="Compact"/>
              <w:spacing w:after="0" w:before="0" w:line="240" w:lineRule="auto"/>
              <w:jc w:val="right"/>
            </w:pPr>
            <w:r>
              <w:rPr>
                <w:rFonts w:ascii="Arial" w:hAnsi="Arial"/>
                <w:sz w:val="15"/>
              </w:rPr>
              <w:t xml:space="preserve">464</w:t>
            </w:r>
          </w:p>
        </w:tc>
        <w:tc>
          <w:tcPr>
            <w:tcW w:type="dxa" w:w="1052"/>
          </w:tcPr>
          <w:p>
            <w:pPr>
              <w:pStyle w:val="Compact"/>
              <w:spacing w:after="0" w:before="0" w:line="240" w:lineRule="auto"/>
              <w:jc w:val="right"/>
            </w:pPr>
            <w:r>
              <w:rPr>
                <w:rFonts w:ascii="Arial" w:hAnsi="Arial"/>
                <w:sz w:val="15"/>
              </w:rPr>
              <w:t xml:space="preserve">+8.6%</w:t>
            </w:r>
          </w:p>
        </w:tc>
        <w:tc>
          <w:tcPr>
            <w:tcW w:type="dxa" w:w="910"/>
          </w:tcPr>
          <w:p>
            <w:pPr>
              <w:pStyle w:val="Compact"/>
              <w:spacing w:after="0" w:before="0" w:line="240" w:lineRule="auto"/>
              <w:jc w:val="right"/>
            </w:pPr>
            <w:r>
              <w:rPr>
                <w:rFonts w:ascii="Arial" w:hAnsi="Arial"/>
                <w:sz w:val="15"/>
              </w:rPr>
              <w:t xml:space="preserve">4.9%</w:t>
            </w:r>
          </w:p>
        </w:tc>
      </w:tr>
      <w:tr>
        <w:trPr>
          <w:cantSplit/>
        </w:trPr>
        <w:tc>
          <w:tcPr>
            <w:tcW w:type="dxa" w:w="2275"/>
            <w:shd w:val="clear" w:color="auto" w:fill="F1F2F5"/>
          </w:tcPr>
          <w:p>
            <w:pPr>
              <w:pStyle w:val="Compact"/>
              <w:spacing w:after="0" w:before="0" w:line="240" w:lineRule="auto"/>
              <w:jc w:val="left"/>
            </w:pPr>
            <w:r>
              <w:rPr>
                <w:rFonts w:ascii="Arial" w:hAnsi="Arial"/>
                <w:sz w:val="15"/>
              </w:rPr>
              <w:t xml:space="preserve">– IDC / AIDC</w:t>
            </w:r>
          </w:p>
        </w:tc>
        <w:tc>
          <w:tcPr>
            <w:tcW w:type="dxa" w:w="996"/>
            <w:shd w:val="clear" w:color="auto" w:fill="F1F2F5"/>
          </w:tcPr>
          <w:p>
            <w:pPr>
              <w:pStyle w:val="Compact"/>
              <w:spacing w:after="0" w:before="0" w:line="240" w:lineRule="auto"/>
              <w:jc w:val="right"/>
            </w:pPr>
            <w:r>
              <w:rPr>
                <w:rFonts w:ascii="Arial" w:hAnsi="Arial"/>
                <w:sz w:val="15"/>
              </w:rPr>
              <w:t xml:space="preserve">258</w:t>
            </w:r>
          </w:p>
        </w:tc>
        <w:tc>
          <w:tcPr>
            <w:tcW w:type="dxa" w:w="1001"/>
            <w:shd w:val="clear" w:color="auto" w:fill="F1F2F5"/>
          </w:tcPr>
          <w:p>
            <w:pPr>
              <w:pStyle w:val="Compact"/>
              <w:spacing w:after="0" w:before="0" w:line="240" w:lineRule="auto"/>
              <w:jc w:val="right"/>
            </w:pPr>
            <w:r>
              <w:rPr>
                <w:rFonts w:ascii="Arial" w:hAnsi="Arial"/>
                <w:sz w:val="15"/>
              </w:rPr>
              <w:t xml:space="preserve">281</w:t>
            </w:r>
          </w:p>
        </w:tc>
        <w:tc>
          <w:tcPr>
            <w:tcW w:type="dxa" w:w="952"/>
            <w:shd w:val="clear" w:color="auto" w:fill="F1F2F5"/>
          </w:tcPr>
          <w:p>
            <w:pPr>
              <w:pStyle w:val="Compact"/>
              <w:spacing w:after="0" w:before="0" w:line="240" w:lineRule="auto"/>
              <w:jc w:val="right"/>
            </w:pPr>
            <w:r>
              <w:rPr>
                <w:rFonts w:ascii="Arial" w:hAnsi="Arial"/>
                <w:sz w:val="15"/>
              </w:rPr>
              <w:t xml:space="preserve">326</w:t>
            </w:r>
          </w:p>
        </w:tc>
        <w:tc>
          <w:tcPr>
            <w:tcW w:type="dxa" w:w="952"/>
            <w:shd w:val="clear" w:color="auto" w:fill="F1F2F5"/>
          </w:tcPr>
          <w:p>
            <w:pPr>
              <w:pStyle w:val="Compact"/>
              <w:spacing w:after="0" w:before="0" w:line="240" w:lineRule="auto"/>
              <w:jc w:val="right"/>
            </w:pPr>
            <w:r>
              <w:rPr>
                <w:rFonts w:ascii="Arial" w:hAnsi="Arial"/>
                <w:sz w:val="15"/>
              </w:rPr>
              <w:t xml:space="preserve">357</w:t>
            </w:r>
          </w:p>
        </w:tc>
        <w:tc>
          <w:tcPr>
            <w:tcW w:type="dxa" w:w="1028"/>
            <w:shd w:val="clear" w:color="auto" w:fill="F1F2F5"/>
          </w:tcPr>
          <w:p>
            <w:pPr>
              <w:pStyle w:val="Compact"/>
              <w:spacing w:after="0" w:before="0" w:line="240" w:lineRule="auto"/>
              <w:jc w:val="right"/>
            </w:pPr>
            <w:r>
              <w:rPr>
                <w:rFonts w:ascii="Arial" w:hAnsi="Arial"/>
                <w:sz w:val="15"/>
              </w:rPr>
              <w:t xml:space="preserve">~422 [e]</w:t>
            </w:r>
          </w:p>
        </w:tc>
        <w:tc>
          <w:tcPr>
            <w:tcW w:type="dxa" w:w="813"/>
            <w:shd w:val="clear" w:color="auto" w:fill="F1F2F5"/>
          </w:tcPr>
          <w:p>
            <w:pPr>
              <w:pStyle w:val="Compact"/>
              <w:spacing w:after="0" w:before="0" w:line="240" w:lineRule="auto"/>
              <w:jc w:val="right"/>
            </w:pPr>
            <w:r>
              <w:rPr>
                <w:rFonts w:ascii="Arial" w:hAnsi="Arial"/>
                <w:sz w:val="15"/>
              </w:rPr>
              <w:t xml:space="preserve">124</w:t>
            </w:r>
          </w:p>
        </w:tc>
        <w:tc>
          <w:tcPr>
            <w:tcW w:type="dxa" w:w="1052"/>
            <w:shd w:val="clear" w:color="auto" w:fill="F1F2F5"/>
          </w:tcPr>
          <w:p>
            <w:pPr>
              <w:pStyle w:val="Compact"/>
              <w:spacing w:after="0" w:before="0" w:line="240" w:lineRule="auto"/>
              <w:jc w:val="right"/>
            </w:pPr>
            <w:r>
              <w:rPr>
                <w:rFonts w:ascii="Arial" w:hAnsi="Arial"/>
                <w:sz w:val="15"/>
              </w:rPr>
              <w:t xml:space="preserve">+28.9%</w:t>
            </w:r>
          </w:p>
        </w:tc>
        <w:tc>
          <w:tcPr>
            <w:tcW w:type="dxa" w:w="910"/>
            <w:shd w:val="clear" w:color="auto" w:fill="F1F2F5"/>
          </w:tcPr>
          <w:p>
            <w:pPr>
              <w:pStyle w:val="Compact"/>
              <w:spacing w:after="0" w:before="0" w:line="240" w:lineRule="auto"/>
              <w:jc w:val="right"/>
            </w:pPr>
            <w:r>
              <w:rPr>
                <w:rFonts w:ascii="Arial" w:hAnsi="Arial"/>
                <w:sz w:val="15"/>
              </w:rPr>
              <w:t xml:space="preserve">13.1%</w:t>
            </w:r>
          </w:p>
        </w:tc>
      </w:tr>
      <w:tr>
        <w:trPr>
          <w:cantSplit/>
        </w:trPr>
        <w:tc>
          <w:tcPr>
            <w:tcW w:type="dxa" w:w="2275"/>
          </w:tcPr>
          <w:p>
            <w:pPr>
              <w:pStyle w:val="Compact"/>
              <w:spacing w:after="0" w:before="0" w:line="240" w:lineRule="auto"/>
              <w:jc w:val="left"/>
            </w:pPr>
            <w:r>
              <w:rPr>
                <w:rFonts w:ascii="Arial" w:hAnsi="Arial"/>
                <w:sz w:val="15"/>
              </w:rPr>
              <w:t xml:space="preserve">– Solutions</w:t>
            </w:r>
          </w:p>
        </w:tc>
        <w:tc>
          <w:tcPr>
            <w:tcW w:type="dxa" w:w="996"/>
          </w:tcPr>
          <w:p>
            <w:pPr>
              <w:pStyle w:val="Compact"/>
              <w:spacing w:after="0" w:before="0" w:line="240" w:lineRule="auto"/>
              <w:jc w:val="right"/>
            </w:pPr>
            <w:r>
              <w:rPr>
                <w:rFonts w:ascii="Arial" w:hAnsi="Arial"/>
                <w:sz w:val="15"/>
              </w:rPr>
              <w:t xml:space="preserve">489</w:t>
            </w:r>
          </w:p>
        </w:tc>
        <w:tc>
          <w:tcPr>
            <w:tcW w:type="dxa" w:w="1001"/>
          </w:tcPr>
          <w:p>
            <w:pPr>
              <w:pStyle w:val="Compact"/>
              <w:spacing w:after="0" w:before="0" w:line="240" w:lineRule="auto"/>
              <w:jc w:val="right"/>
            </w:pPr>
            <w:r>
              <w:rPr>
                <w:rFonts w:ascii="Arial" w:hAnsi="Arial"/>
                <w:sz w:val="15"/>
              </w:rPr>
              <w:t xml:space="preserve">524</w:t>
            </w:r>
          </w:p>
        </w:tc>
        <w:tc>
          <w:tcPr>
            <w:tcW w:type="dxa" w:w="952"/>
          </w:tcPr>
          <w:p>
            <w:pPr>
              <w:pStyle w:val="Compact"/>
              <w:spacing w:after="0" w:before="0" w:line="240" w:lineRule="auto"/>
              <w:jc w:val="right"/>
            </w:pPr>
            <w:r>
              <w:rPr>
                <w:rFonts w:ascii="Arial" w:hAnsi="Arial"/>
                <w:sz w:val="15"/>
              </w:rPr>
              <w:t xml:space="preserve">559</w:t>
            </w:r>
          </w:p>
        </w:tc>
        <w:tc>
          <w:tcPr>
            <w:tcW w:type="dxa" w:w="952"/>
          </w:tcPr>
          <w:p>
            <w:pPr>
              <w:pStyle w:val="Compact"/>
              <w:spacing w:after="0" w:before="0" w:line="240" w:lineRule="auto"/>
              <w:jc w:val="right"/>
            </w:pPr>
            <w:r>
              <w:rPr>
                <w:rFonts w:ascii="Arial" w:hAnsi="Arial"/>
                <w:sz w:val="15"/>
              </w:rPr>
              <w:t xml:space="preserve">527</w:t>
            </w:r>
          </w:p>
        </w:tc>
        <w:tc>
          <w:tcPr>
            <w:tcW w:type="dxa" w:w="1028"/>
          </w:tcPr>
          <w:p>
            <w:pPr>
              <w:pStyle w:val="Compact"/>
              <w:spacing w:after="0" w:before="0" w:line="240" w:lineRule="auto"/>
              <w:jc w:val="right"/>
            </w:pPr>
            <w:r>
              <w:rPr>
                <w:rFonts w:ascii="Arial" w:hAnsi="Arial"/>
                <w:sz w:val="15"/>
              </w:rPr>
              <w:t xml:space="preserve">~550 [e]</w:t>
            </w:r>
          </w:p>
        </w:tc>
        <w:tc>
          <w:tcPr>
            <w:tcW w:type="dxa" w:w="813"/>
          </w:tcPr>
          <w:p>
            <w:pPr>
              <w:pStyle w:val="Compact"/>
              <w:spacing w:after="0" w:before="0" w:line="240" w:lineRule="auto"/>
              <w:jc w:val="right"/>
            </w:pPr>
            <w:r>
              <w:rPr>
                <w:rFonts w:ascii="Arial" w:hAnsi="Arial"/>
                <w:sz w:val="15"/>
              </w:rPr>
              <w:t xml:space="preserve">n/d</w:t>
            </w:r>
          </w:p>
        </w:tc>
        <w:tc>
          <w:tcPr>
            <w:tcW w:type="dxa" w:w="1052"/>
          </w:tcPr>
          <w:p>
            <w:pPr>
              <w:pStyle w:val="Compact"/>
              <w:spacing w:after="0" w:before="0" w:line="240" w:lineRule="auto"/>
              <w:jc w:val="right"/>
            </w:pPr>
            <w:r>
              <w:rPr>
                <w:rFonts w:ascii="Arial" w:hAnsi="Arial"/>
                <w:sz w:val="15"/>
              </w:rPr>
              <w:t xml:space="preserve">+6.8%</w:t>
            </w:r>
          </w:p>
        </w:tc>
        <w:tc>
          <w:tcPr>
            <w:tcW w:type="dxa" w:w="910"/>
          </w:tcPr>
          <w:p>
            <w:pPr>
              <w:pStyle w:val="Compact"/>
              <w:spacing w:after="0" w:before="0" w:line="240" w:lineRule="auto"/>
              <w:jc w:val="right"/>
            </w:pPr>
            <w:r>
              <w:rPr>
                <w:rFonts w:ascii="Arial" w:hAnsi="Arial"/>
                <w:sz w:val="15"/>
              </w:rPr>
              <w:t xml:space="preserve">~3%</w:t>
            </w:r>
          </w:p>
        </w:tc>
      </w:tr>
      <w:tr>
        <w:trPr>
          <w:cantSplit/>
        </w:trPr>
        <w:tc>
          <w:tcPr>
            <w:tcW w:type="dxa" w:w="2275"/>
            <w:shd w:val="clear" w:color="auto" w:fill="F1F2F5"/>
          </w:tcPr>
          <w:p>
            <w:pPr>
              <w:pStyle w:val="Compact"/>
              <w:spacing w:after="0" w:before="0" w:line="240" w:lineRule="auto"/>
              <w:jc w:val="left"/>
            </w:pPr>
            <w:r>
              <w:rPr>
                <w:rFonts w:ascii="Arial" w:hAnsi="Arial"/>
                <w:sz w:val="15"/>
              </w:rPr>
              <w:t xml:space="preserve">– Enterprise lines</w:t>
            </w:r>
          </w:p>
        </w:tc>
        <w:tc>
          <w:tcPr>
            <w:tcW w:type="dxa" w:w="996"/>
            <w:shd w:val="clear" w:color="auto" w:fill="F1F2F5"/>
          </w:tcPr>
          <w:p>
            <w:pPr>
              <w:pStyle w:val="Compact"/>
              <w:spacing w:after="0" w:before="0" w:line="240" w:lineRule="auto"/>
              <w:jc w:val="right"/>
            </w:pPr>
            <w:r>
              <w:rPr>
                <w:rFonts w:ascii="Arial" w:hAnsi="Arial"/>
                <w:sz w:val="15"/>
              </w:rPr>
              <w:t xml:space="preserve">~746 [e]</w:t>
            </w:r>
          </w:p>
        </w:tc>
        <w:tc>
          <w:tcPr>
            <w:tcW w:type="dxa" w:w="1001"/>
            <w:shd w:val="clear" w:color="auto" w:fill="F1F2F5"/>
          </w:tcPr>
          <w:p>
            <w:pPr>
              <w:pStyle w:val="Compact"/>
              <w:spacing w:after="0" w:before="0" w:line="240" w:lineRule="auto"/>
              <w:jc w:val="right"/>
            </w:pPr>
            <w:r>
              <w:rPr>
                <w:rFonts w:ascii="Arial" w:hAnsi="Arial"/>
                <w:sz w:val="15"/>
              </w:rPr>
              <w:t xml:space="preserve">~779 [e]</w:t>
            </w:r>
          </w:p>
        </w:tc>
        <w:tc>
          <w:tcPr>
            <w:tcW w:type="dxa" w:w="952"/>
            <w:shd w:val="clear" w:color="auto" w:fill="F1F2F5"/>
          </w:tcPr>
          <w:p>
            <w:pPr>
              <w:pStyle w:val="Compact"/>
              <w:spacing w:after="0" w:before="0" w:line="240" w:lineRule="auto"/>
              <w:jc w:val="right"/>
            </w:pPr>
            <w:r>
              <w:rPr>
                <w:rFonts w:ascii="Arial" w:hAnsi="Arial"/>
                <w:sz w:val="15"/>
              </w:rPr>
              <w:t xml:space="preserve">799</w:t>
            </w:r>
          </w:p>
        </w:tc>
        <w:tc>
          <w:tcPr>
            <w:tcW w:type="dxa" w:w="952"/>
            <w:shd w:val="clear" w:color="auto" w:fill="F1F2F5"/>
          </w:tcPr>
          <w:p>
            <w:pPr>
              <w:pStyle w:val="Compact"/>
              <w:spacing w:after="0" w:before="0" w:line="240" w:lineRule="auto"/>
              <w:jc w:val="right"/>
            </w:pPr>
            <w:r>
              <w:rPr>
                <w:rFonts w:ascii="Arial" w:hAnsi="Arial"/>
                <w:sz w:val="15"/>
              </w:rPr>
              <w:t xml:space="preserve">822</w:t>
            </w:r>
          </w:p>
        </w:tc>
        <w:tc>
          <w:tcPr>
            <w:tcW w:type="dxa" w:w="1028"/>
            <w:shd w:val="clear" w:color="auto" w:fill="F1F2F5"/>
          </w:tcPr>
          <w:p>
            <w:pPr>
              <w:pStyle w:val="Compact"/>
              <w:spacing w:after="0" w:before="0" w:line="240" w:lineRule="auto"/>
              <w:jc w:val="right"/>
            </w:pPr>
            <w:r>
              <w:rPr>
                <w:rFonts w:ascii="Arial" w:hAnsi="Arial"/>
                <w:sz w:val="15"/>
              </w:rPr>
              <w:t xml:space="preserve">~836 [e]</w:t>
            </w:r>
          </w:p>
        </w:tc>
        <w:tc>
          <w:tcPr>
            <w:tcW w:type="dxa" w:w="813"/>
            <w:shd w:val="clear" w:color="auto" w:fill="F1F2F5"/>
          </w:tcPr>
          <w:p>
            <w:pPr>
              <w:pStyle w:val="Compact"/>
              <w:spacing w:after="0" w:before="0" w:line="240" w:lineRule="auto"/>
              <w:jc w:val="right"/>
            </w:pPr>
            <w:r>
              <w:rPr>
                <w:rFonts w:ascii="Arial" w:hAnsi="Arial"/>
                <w:sz w:val="15"/>
              </w:rPr>
              <w:t xml:space="preserve">n/d</w:t>
            </w:r>
          </w:p>
        </w:tc>
        <w:tc>
          <w:tcPr>
            <w:tcW w:type="dxa" w:w="1052"/>
            <w:shd w:val="clear" w:color="auto" w:fill="F1F2F5"/>
          </w:tcPr>
          <w:p>
            <w:pPr>
              <w:pStyle w:val="Compact"/>
              <w:spacing w:after="0" w:before="0" w:line="240" w:lineRule="auto"/>
              <w:jc w:val="right"/>
            </w:pPr>
            <w:r>
              <w:rPr>
                <w:rFonts w:ascii="Arial" w:hAnsi="Arial"/>
                <w:sz w:val="15"/>
              </w:rPr>
              <w:t xml:space="preserve">n/d</w:t>
            </w:r>
          </w:p>
        </w:tc>
        <w:tc>
          <w:tcPr>
            <w:tcW w:type="dxa" w:w="910"/>
            <w:shd w:val="clear" w:color="auto" w:fill="F1F2F5"/>
          </w:tcPr>
          <w:p>
            <w:pPr>
              <w:pStyle w:val="Compact"/>
              <w:spacing w:after="0" w:before="0" w:line="240" w:lineRule="auto"/>
              <w:jc w:val="right"/>
            </w:pPr>
            <w:r>
              <w:rPr>
                <w:rFonts w:ascii="Arial" w:hAnsi="Arial"/>
                <w:sz w:val="15"/>
              </w:rPr>
              <w:t xml:space="preserve">~3%</w:t>
            </w:r>
          </w:p>
        </w:tc>
      </w:tr>
      <w:tr>
        <w:trPr>
          <w:cantSplit/>
        </w:trPr>
        <w:tc>
          <w:tcPr>
            <w:tcW w:type="dxa" w:w="2275"/>
          </w:tcPr>
          <w:p>
            <w:pPr>
              <w:pStyle w:val="Compact"/>
              <w:spacing w:after="0" w:before="0" w:line="240" w:lineRule="auto"/>
              <w:jc w:val="left"/>
            </w:pPr>
            <w:r>
              <w:rPr>
                <w:rFonts w:ascii="Arial" w:hAnsi="Arial"/>
                <w:sz w:val="15"/>
              </w:rPr>
              <w:t xml:space="preserve">Handset sales [e]</w:t>
            </w:r>
          </w:p>
        </w:tc>
        <w:tc>
          <w:tcPr>
            <w:tcW w:type="dxa" w:w="996"/>
          </w:tcPr>
          <w:p>
            <w:pPr>
              <w:pStyle w:val="Compact"/>
              <w:spacing w:after="0" w:before="0" w:line="240" w:lineRule="auto"/>
              <w:jc w:val="right"/>
            </w:pPr>
            <w:r>
              <w:rPr>
                <w:rFonts w:ascii="Arial" w:hAnsi="Arial"/>
                <w:sz w:val="15"/>
              </w:rPr>
              <w:t xml:space="preserve">2,783</w:t>
            </w:r>
          </w:p>
        </w:tc>
        <w:tc>
          <w:tcPr>
            <w:tcW w:type="dxa" w:w="1001"/>
          </w:tcPr>
          <w:p>
            <w:pPr>
              <w:pStyle w:val="Compact"/>
              <w:spacing w:after="0" w:before="0" w:line="240" w:lineRule="auto"/>
              <w:jc w:val="right"/>
            </w:pPr>
            <w:r>
              <w:rPr>
                <w:rFonts w:ascii="Arial" w:hAnsi="Arial"/>
                <w:sz w:val="15"/>
              </w:rPr>
              <w:t xml:space="preserve">2,495</w:t>
            </w:r>
          </w:p>
        </w:tc>
        <w:tc>
          <w:tcPr>
            <w:tcW w:type="dxa" w:w="952"/>
          </w:tcPr>
          <w:p>
            <w:pPr>
              <w:pStyle w:val="Compact"/>
              <w:spacing w:after="0" w:before="0" w:line="240" w:lineRule="auto"/>
              <w:jc w:val="right"/>
            </w:pPr>
            <w:r>
              <w:rPr>
                <w:rFonts w:ascii="Arial" w:hAnsi="Arial"/>
                <w:sz w:val="15"/>
              </w:rPr>
              <w:t xml:space="preserve">2,736</w:t>
            </w:r>
          </w:p>
        </w:tc>
        <w:tc>
          <w:tcPr>
            <w:tcW w:type="dxa" w:w="952"/>
          </w:tcPr>
          <w:p>
            <w:pPr>
              <w:pStyle w:val="Compact"/>
              <w:spacing w:after="0" w:before="0" w:line="240" w:lineRule="auto"/>
              <w:jc w:val="right"/>
            </w:pPr>
            <w:r>
              <w:rPr>
                <w:rFonts w:ascii="Arial" w:hAnsi="Arial"/>
                <w:sz w:val="15"/>
              </w:rPr>
              <w:t xml:space="preserve">2,782</w:t>
            </w:r>
          </w:p>
        </w:tc>
        <w:tc>
          <w:tcPr>
            <w:tcW w:type="dxa" w:w="1028"/>
          </w:tcPr>
          <w:p>
            <w:pPr>
              <w:pStyle w:val="Compact"/>
              <w:spacing w:after="0" w:before="0" w:line="240" w:lineRule="auto"/>
              <w:jc w:val="right"/>
            </w:pPr>
            <w:r>
              <w:rPr>
                <w:rFonts w:ascii="Arial" w:hAnsi="Arial"/>
                <w:sz w:val="15"/>
              </w:rPr>
              <w:t xml:space="preserve">~3,194</w:t>
            </w:r>
          </w:p>
        </w:tc>
        <w:tc>
          <w:tcPr>
            <w:tcW w:type="dxa" w:w="813"/>
          </w:tcPr>
          <w:p>
            <w:pPr>
              <w:pStyle w:val="Compact"/>
              <w:spacing w:after="0" w:before="0" w:line="240" w:lineRule="auto"/>
              <w:jc w:val="right"/>
            </w:pPr>
            <w:r>
              <w:rPr>
                <w:rFonts w:ascii="Arial" w:hAnsi="Arial"/>
                <w:sz w:val="15"/>
              </w:rPr>
              <w:t xml:space="preserve">618</w:t>
            </w:r>
          </w:p>
        </w:tc>
        <w:tc>
          <w:tcPr>
            <w:tcW w:type="dxa" w:w="1052"/>
          </w:tcPr>
          <w:p>
            <w:pPr>
              <w:pStyle w:val="Compact"/>
              <w:spacing w:after="0" w:before="0" w:line="240" w:lineRule="auto"/>
              <w:jc w:val="right"/>
            </w:pPr>
            <w:r>
              <w:rPr>
                <w:rFonts w:ascii="Arial" w:hAnsi="Arial"/>
                <w:sz w:val="15"/>
              </w:rPr>
              <w:t xml:space="preserve">-17.7% [u]</w:t>
            </w:r>
          </w:p>
        </w:tc>
        <w:tc>
          <w:tcPr>
            <w:tcW w:type="dxa" w:w="910"/>
          </w:tcPr>
          <w:p>
            <w:pPr>
              <w:pStyle w:val="Compact"/>
              <w:spacing w:after="0" w:before="0" w:line="240" w:lineRule="auto"/>
              <w:jc w:val="right"/>
            </w:pPr>
            <w:r>
              <w:rPr>
                <w:rFonts w:ascii="Arial" w:hAnsi="Arial"/>
                <w:sz w:val="15"/>
              </w:rPr>
              <w:t xml:space="preserve">3.5%</w:t>
            </w:r>
          </w:p>
        </w:tc>
      </w:tr>
      <w:tr>
        <w:trPr>
          <w:cantSplit/>
        </w:trPr>
        <w:tc>
          <w:tcPr>
            <w:tcW w:type="dxa" w:w="2275"/>
            <w:shd w:val="clear" w:color="auto" w:fill="DCE4F2"/>
          </w:tcPr>
          <w:p>
            <w:pPr>
              <w:pStyle w:val="Compact"/>
              <w:spacing w:after="0" w:before="0" w:line="240" w:lineRule="auto"/>
              <w:jc w:val="left"/>
            </w:pPr>
            <w:r>
              <w:rPr>
                <w:rFonts w:ascii="Arial" w:hAnsi="Arial"/>
                <w:b/>
                <w:sz w:val="15"/>
              </w:rPr>
              <w:t xml:space="preserve">Consolidated revenue</w:t>
            </w:r>
          </w:p>
        </w:tc>
        <w:tc>
          <w:tcPr>
            <w:tcW w:type="dxa" w:w="996"/>
            <w:shd w:val="clear" w:color="auto" w:fill="DCE4F2"/>
          </w:tcPr>
          <w:p>
            <w:pPr>
              <w:pStyle w:val="Compact"/>
              <w:spacing w:after="0" w:before="0" w:line="240" w:lineRule="auto"/>
              <w:jc w:val="right"/>
            </w:pPr>
            <w:r>
              <w:rPr>
                <w:rFonts w:ascii="Arial" w:hAnsi="Arial"/>
                <w:b/>
                <w:sz w:val="15"/>
              </w:rPr>
              <w:t xml:space="preserve">13,851</w:t>
            </w:r>
          </w:p>
        </w:tc>
        <w:tc>
          <w:tcPr>
            <w:tcW w:type="dxa" w:w="1001"/>
            <w:shd w:val="clear" w:color="auto" w:fill="DCE4F2"/>
          </w:tcPr>
          <w:p>
            <w:pPr>
              <w:pStyle w:val="Compact"/>
              <w:spacing w:after="0" w:before="0" w:line="240" w:lineRule="auto"/>
              <w:jc w:val="right"/>
            </w:pPr>
            <w:r>
              <w:rPr>
                <w:rFonts w:ascii="Arial" w:hAnsi="Arial"/>
                <w:b/>
                <w:sz w:val="15"/>
              </w:rPr>
              <w:t xml:space="preserve">13,906</w:t>
            </w:r>
          </w:p>
        </w:tc>
        <w:tc>
          <w:tcPr>
            <w:tcW w:type="dxa" w:w="952"/>
            <w:shd w:val="clear" w:color="auto" w:fill="DCE4F2"/>
          </w:tcPr>
          <w:p>
            <w:pPr>
              <w:pStyle w:val="Compact"/>
              <w:spacing w:after="0" w:before="0" w:line="240" w:lineRule="auto"/>
              <w:jc w:val="right"/>
            </w:pPr>
            <w:r>
              <w:rPr>
                <w:rFonts w:ascii="Arial" w:hAnsi="Arial"/>
                <w:b/>
                <w:sz w:val="15"/>
              </w:rPr>
              <w:t xml:space="preserve">14,373</w:t>
            </w:r>
          </w:p>
        </w:tc>
        <w:tc>
          <w:tcPr>
            <w:tcW w:type="dxa" w:w="952"/>
            <w:shd w:val="clear" w:color="auto" w:fill="DCE4F2"/>
          </w:tcPr>
          <w:p>
            <w:pPr>
              <w:pStyle w:val="Compact"/>
              <w:spacing w:after="0" w:before="0" w:line="240" w:lineRule="auto"/>
              <w:jc w:val="right"/>
            </w:pPr>
            <w:r>
              <w:rPr>
                <w:rFonts w:ascii="Arial" w:hAnsi="Arial"/>
                <w:b/>
                <w:sz w:val="15"/>
              </w:rPr>
              <w:t xml:space="preserve">14,625</w:t>
            </w:r>
          </w:p>
        </w:tc>
        <w:tc>
          <w:tcPr>
            <w:tcW w:type="dxa" w:w="1028"/>
            <w:shd w:val="clear" w:color="auto" w:fill="DCE4F2"/>
          </w:tcPr>
          <w:p>
            <w:pPr>
              <w:pStyle w:val="Compact"/>
              <w:spacing w:after="0" w:before="0" w:line="240" w:lineRule="auto"/>
              <w:jc w:val="right"/>
            </w:pPr>
            <w:r>
              <w:rPr>
                <w:rFonts w:ascii="Arial" w:hAnsi="Arial"/>
                <w:b/>
                <w:sz w:val="15"/>
              </w:rPr>
              <w:t xml:space="preserve">15,452</w:t>
            </w:r>
          </w:p>
        </w:tc>
        <w:tc>
          <w:tcPr>
            <w:tcW w:type="dxa" w:w="813"/>
            <w:shd w:val="clear" w:color="auto" w:fill="DCE4F2"/>
          </w:tcPr>
          <w:p>
            <w:pPr>
              <w:pStyle w:val="Compact"/>
              <w:spacing w:after="0" w:before="0" w:line="240" w:lineRule="auto"/>
              <w:jc w:val="right"/>
            </w:pPr>
            <w:r>
              <w:rPr>
                <w:rFonts w:ascii="Arial" w:hAnsi="Arial"/>
                <w:b/>
                <w:sz w:val="15"/>
              </w:rPr>
              <w:t xml:space="preserve">3,695</w:t>
            </w:r>
          </w:p>
        </w:tc>
        <w:tc>
          <w:tcPr>
            <w:tcW w:type="dxa" w:w="1052"/>
            <w:shd w:val="clear" w:color="auto" w:fill="DCE4F2"/>
          </w:tcPr>
          <w:p>
            <w:pPr>
              <w:pStyle w:val="Compact"/>
              <w:spacing w:after="0" w:before="0" w:line="240" w:lineRule="auto"/>
              <w:jc w:val="right"/>
            </w:pPr>
            <w:r>
              <w:rPr>
                <w:rFonts w:ascii="Arial" w:hAnsi="Arial"/>
                <w:b/>
                <w:sz w:val="15"/>
              </w:rPr>
              <w:t xml:space="preserve">-3.9%</w:t>
            </w:r>
          </w:p>
        </w:tc>
        <w:tc>
          <w:tcPr>
            <w:tcW w:type="dxa" w:w="910"/>
            <w:shd w:val="clear" w:color="auto" w:fill="DCE4F2"/>
          </w:tcPr>
          <w:p>
            <w:pPr>
              <w:pStyle w:val="Compact"/>
              <w:spacing w:after="0" w:before="0" w:line="240" w:lineRule="auto"/>
              <w:jc w:val="right"/>
            </w:pPr>
            <w:r>
              <w:rPr>
                <w:rFonts w:ascii="Arial" w:hAnsi="Arial"/>
                <w:b/>
                <w:sz w:val="15"/>
              </w:rPr>
              <w:t xml:space="preserve">2.8%</w:t>
            </w:r>
          </w:p>
        </w:tc>
      </w:tr>
    </w:tbl>
    <w:p>
      <w:pPr>
        <w:pStyle w:val="BodyText"/>
      </w:pPr>
      <w:r>
        <w:rPr>
          <w:iCs/>
          <w:i/>
        </w:rPr>
        <w:t xml:space="preserve">Source: Q4 earnings calls FY21–FY25, FY2024 annual report (restated FY23), 2Q26 earnings release. Rows do not sum to the total because telephony, interconnection, LGHV and other subsidiaries are excluded. In 2026 the company restated 2025 mobile service revenue about KRW10bn per quarter lower (new MSIT basis).</w:t>
      </w:r>
    </w:p>
    <w:p>
      <w:pPr>
        <w:pStyle w:val="CaptionedFigure"/>
      </w:pPr>
      <w:r>
        <w:drawing>
          <wp:inline>
            <wp:extent cx="6261100" cy="3004026"/>
            <wp:effectExtent b="0" l="0" r="0" t="0"/>
            <wp:docPr descr="Revenue mix and IDC/AIDC revenue" title="" id="45" name="Picture"/>
            <a:graphic>
              <a:graphicData uri="http://schemas.openxmlformats.org/drawingml/2006/picture">
                <pic:pic>
                  <pic:nvPicPr>
                    <pic:cNvPr descr="../charts/seg_rev.png" id="46" name="Picture"/>
                    <pic:cNvPicPr>
                      <a:picLocks noChangeArrowheads="1" noChangeAspect="1"/>
                    </pic:cNvPicPr>
                  </pic:nvPicPr>
                  <pic:blipFill>
                    <a:blip r:embed="rId44"/>
                    <a:stretch>
                      <a:fillRect/>
                    </a:stretch>
                  </pic:blipFill>
                  <pic:spPr bwMode="auto">
                    <a:xfrm>
                      <a:off x="0" y="0"/>
                      <a:ext cx="6261100" cy="3004026"/>
                    </a:xfrm>
                    <a:prstGeom prst="rect">
                      <a:avLst/>
                    </a:prstGeom>
                    <a:noFill/>
                    <a:ln w="9525">
                      <a:noFill/>
                      <a:headEnd/>
                      <a:tailEnd/>
                    </a:ln>
                  </pic:spPr>
                </pic:pic>
              </a:graphicData>
            </a:graphic>
          </wp:inline>
        </w:drawing>
      </w:r>
    </w:p>
    <w:p>
      <w:pPr>
        <w:pStyle w:val="ImageCaption"/>
      </w:pPr>
      <w:r>
        <w:t xml:space="preserve">Revenue mix and IDC/AIDC revenue</w:t>
      </w:r>
    </w:p>
    <w:p>
      <w:pPr>
        <w:pStyle w:val="BodyText"/>
      </w:pPr>
      <w:r>
        <w:rPr>
          <w:bCs/>
          <w:b/>
        </w:rPr>
        <w:t xml:space="preserve">Trends and drivers.</w:t>
      </w:r>
    </w:p>
    <w:p>
      <w:pPr>
        <w:numPr>
          <w:ilvl w:val="0"/>
          <w:numId w:val="1012"/>
        </w:numPr>
        <w:pStyle w:val="Compact"/>
      </w:pPr>
      <w:r>
        <w:rPr>
          <w:bCs/>
          <w:b/>
        </w:rPr>
        <w:t xml:space="preserve">Growth was slow and then accelerated in FY25 (+5.7%).</w:t>
      </w:r>
      <w:r>
        <w:t xml:space="preserve"> </w:t>
      </w:r>
      <w:r>
        <w:t xml:space="preserve">FY22–FY24 revenue grew 0.4–3.4% a year, with mobile service revenue at ~2–2.5% as 5G upgrades offset tariff pressure. FY25 jumped because SK Telecom’s April-2025 USIM hack sent subscribers to LG Uplus and KT. Mobile service revenue grew +4.1%, the fastest since 2021, and handset sales rose ~15% [e]. In 2026 that tailwind fades: 2Q26 mobile service revenue grew only +1.2% and total revenue fell 3.9% as handset sales normalised.</w:t>
      </w:r>
    </w:p>
    <w:p>
      <w:pPr>
        <w:numPr>
          <w:ilvl w:val="0"/>
          <w:numId w:val="1012"/>
        </w:numPr>
        <w:pStyle w:val="Compact"/>
      </w:pPr>
      <w:r>
        <w:rPr>
          <w:bCs/>
          <w:b/>
        </w:rPr>
        <w:t xml:space="preserve">EBITDA has been flat at KRW3.4–3.6tn for five years, while D&amp;A rose by KRW256bn.</w:t>
      </w:r>
      <w:r>
        <w:t xml:space="preserve"> </w:t>
      </w:r>
      <w:r>
        <w:t xml:space="preserve">The 5G build-out (capex ~KRW2.3–2.5tn a year in FY21–23) depreciated through FY24–25. Labour costs also stepped up after the ordinary-wage court ruling in 4Q24. As a result, operating margin compressed from 7.8% (FY22) to 5.8% (FY25), and ROE halved from 9.5% to ~4–6%.</w:t>
      </w:r>
    </w:p>
    <w:p>
      <w:pPr>
        <w:numPr>
          <w:ilvl w:val="0"/>
          <w:numId w:val="1012"/>
        </w:numPr>
        <w:pStyle w:val="Compact"/>
      </w:pPr>
      <w:r>
        <w:rPr>
          <w:bCs/>
          <w:b/>
        </w:rPr>
        <w:t xml:space="preserve">The inflection came in 1H26.</w:t>
      </w:r>
      <w:r>
        <w:t xml:space="preserve"> </w:t>
      </w:r>
      <w:r>
        <w:t xml:space="preserve">OP rose +10.2% and the EBITDA margin reached 26.6%. The drivers were:</w:t>
      </w:r>
    </w:p>
    <w:p>
      <w:pPr>
        <w:numPr>
          <w:ilvl w:val="1"/>
          <w:numId w:val="1013"/>
        </w:numPr>
        <w:pStyle w:val="Compact"/>
      </w:pPr>
      <w:r>
        <w:t xml:space="preserve">roughly KRW60–70bn a year of labour savings from the 3Q25 early retirement of ~600 staff [e];</w:t>
      </w:r>
    </w:p>
    <w:p>
      <w:pPr>
        <w:numPr>
          <w:ilvl w:val="1"/>
          <w:numId w:val="1013"/>
        </w:numPr>
        <w:pStyle w:val="Compact"/>
      </w:pPr>
      <w:r>
        <w:t xml:space="preserve">the AIDC mix (+29–31%);</w:t>
      </w:r>
    </w:p>
    <w:p>
      <w:pPr>
        <w:numPr>
          <w:ilvl w:val="1"/>
          <w:numId w:val="1013"/>
        </w:numPr>
        <w:pStyle w:val="Compact"/>
      </w:pPr>
      <w:r>
        <w:t xml:space="preserve">lower-margin handset revenue shrinking;</w:t>
      </w:r>
    </w:p>
    <w:p>
      <w:pPr>
        <w:numPr>
          <w:ilvl w:val="1"/>
          <w:numId w:val="1013"/>
        </w:numPr>
        <w:pStyle w:val="Compact"/>
      </w:pPr>
      <w:r>
        <w:t xml:space="preserve">D&amp;A contained at +2.6%.</w:t>
      </w:r>
    </w:p>
    <w:p>
      <w:pPr>
        <w:numPr>
          <w:ilvl w:val="0"/>
          <w:numId w:val="1012"/>
        </w:numPr>
        <w:pStyle w:val="Compact"/>
      </w:pPr>
      <w:r>
        <w:rPr>
          <w:bCs/>
          <w:b/>
        </w:rPr>
        <w:t xml:space="preserve">Segment comparison.</w:t>
      </w:r>
      <w:r>
        <w:t xml:space="preserve"> </w:t>
      </w:r>
      <w:r>
        <w:t xml:space="preserve">The LG U+ segment margin (8.6% OP in 1H26) is ~10x LGHV’s (0.6%). LGHV is in structural decline: cable pay-TV is losing share, MVNO prices are falling, and 2Q26 revenue fell 31% YoY. LGHV is now ~8% of revenue and ~3% of EBITDA. It has generated cumulative impairments (KRW164bn in FY20 at the parent; LGHV-level goodwill impairment in FY24) and is the main reason net income fell 40% in FY24.</w:t>
      </w:r>
    </w:p>
    <w:p>
      <w:pPr>
        <w:numPr>
          <w:ilvl w:val="0"/>
          <w:numId w:val="1012"/>
        </w:numPr>
        <w:pStyle w:val="Compact"/>
      </w:pPr>
      <w:r>
        <w:rPr>
          <w:bCs/>
          <w:b/>
        </w:rPr>
        <w:t xml:space="preserve">Geography.</w:t>
      </w:r>
      <w:r>
        <w:t xml:space="preserve"> </w:t>
      </w:r>
      <w:r>
        <w:t xml:space="preserve">There is no geographic diversification, which is neither a growth driver nor a currency risk. The only FX exposure is a USD50m floating-rate note, which is swapped.</w:t>
      </w:r>
    </w:p>
    <w:bookmarkEnd w:id="47"/>
    <w:bookmarkStart w:id="51" w:name="quarterly-trend-company-basis"/>
    <w:p>
      <w:pPr>
        <w:pStyle w:val="Heading2"/>
      </w:pPr>
      <w:r>
        <w:t xml:space="preserve">Quarterly trend (company basis)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3098"/>
        <w:gridCol w:w="1024"/>
        <w:gridCol w:w="1024"/>
        <w:gridCol w:w="1161"/>
        <w:gridCol w:w="1166"/>
        <w:gridCol w:w="1024"/>
        <w:gridCol w:w="1476"/>
      </w:tblGrid>
      <w:tr>
        <w:trPr>
          <w:tblHeader w:val="true"/>
          <w:tblHeader w:val="true"/>
          <w:cantSplit/>
        </w:trPr>
        <w:tc>
          <w:tcPr>
            <w:tcW w:type="dxa" w:w="3099"/>
            <w:shd w:val="clear" w:color="auto" w:fill="13213F"/>
          </w:tcPr>
          <w:p>
            <w:pPr>
              <w:pStyle w:val="Compact"/>
              <w:spacing w:after="0" w:before="0" w:line="240" w:lineRule="auto"/>
              <w:jc w:val="left"/>
            </w:pPr>
            <w:r>
              <w:rPr>
                <w:rFonts w:ascii="Arial" w:hAnsi="Arial"/>
                <w:b/>
                <w:color w:val="FFFFFF"/>
                <w:sz w:val="15"/>
              </w:rPr>
              <w:t xml:space="preserve">KRW bn</w:t>
            </w:r>
          </w:p>
        </w:tc>
        <w:tc>
          <w:tcPr>
            <w:tcW w:type="dxa" w:w="1025"/>
            <w:shd w:val="clear" w:color="auto" w:fill="13213F"/>
          </w:tcPr>
          <w:p>
            <w:pPr>
              <w:pStyle w:val="Compact"/>
              <w:spacing w:after="0" w:before="0" w:line="240" w:lineRule="auto"/>
              <w:jc w:val="right"/>
            </w:pPr>
            <w:r>
              <w:rPr>
                <w:rFonts w:ascii="Arial" w:hAnsi="Arial"/>
                <w:b/>
                <w:color w:val="FFFFFF"/>
                <w:sz w:val="15"/>
              </w:rPr>
              <w:t xml:space="preserve">1Q25</w:t>
            </w:r>
          </w:p>
        </w:tc>
        <w:tc>
          <w:tcPr>
            <w:tcW w:type="dxa" w:w="1025"/>
            <w:shd w:val="clear" w:color="auto" w:fill="13213F"/>
          </w:tcPr>
          <w:p>
            <w:pPr>
              <w:pStyle w:val="Compact"/>
              <w:spacing w:after="0" w:before="0" w:line="240" w:lineRule="auto"/>
              <w:jc w:val="right"/>
            </w:pPr>
            <w:r>
              <w:rPr>
                <w:rFonts w:ascii="Arial" w:hAnsi="Arial"/>
                <w:b/>
                <w:color w:val="FFFFFF"/>
                <w:sz w:val="15"/>
              </w:rPr>
              <w:t xml:space="preserve">2Q25</w:t>
            </w:r>
          </w:p>
        </w:tc>
        <w:tc>
          <w:tcPr>
            <w:tcW w:type="dxa" w:w="1161"/>
            <w:shd w:val="clear" w:color="auto" w:fill="13213F"/>
          </w:tcPr>
          <w:p>
            <w:pPr>
              <w:pStyle w:val="Compact"/>
              <w:spacing w:after="0" w:before="0" w:line="240" w:lineRule="auto"/>
              <w:jc w:val="right"/>
            </w:pPr>
            <w:r>
              <w:rPr>
                <w:rFonts w:ascii="Arial" w:hAnsi="Arial"/>
                <w:b/>
                <w:color w:val="FFFFFF"/>
                <w:sz w:val="15"/>
              </w:rPr>
              <w:t xml:space="preserve">3Q25</w:t>
            </w:r>
          </w:p>
        </w:tc>
        <w:tc>
          <w:tcPr>
            <w:tcW w:type="dxa" w:w="1167"/>
            <w:shd w:val="clear" w:color="auto" w:fill="13213F"/>
          </w:tcPr>
          <w:p>
            <w:pPr>
              <w:pStyle w:val="Compact"/>
              <w:spacing w:after="0" w:before="0" w:line="240" w:lineRule="auto"/>
              <w:jc w:val="right"/>
            </w:pPr>
            <w:r>
              <w:rPr>
                <w:rFonts w:ascii="Arial" w:hAnsi="Arial"/>
                <w:b/>
                <w:color w:val="FFFFFF"/>
                <w:sz w:val="15"/>
              </w:rPr>
              <w:t xml:space="preserve">4Q25</w:t>
            </w:r>
          </w:p>
        </w:tc>
        <w:tc>
          <w:tcPr>
            <w:tcW w:type="dxa" w:w="1025"/>
            <w:shd w:val="clear" w:color="auto" w:fill="13213F"/>
          </w:tcPr>
          <w:p>
            <w:pPr>
              <w:pStyle w:val="Compact"/>
              <w:spacing w:after="0" w:before="0" w:line="240" w:lineRule="auto"/>
              <w:jc w:val="right"/>
            </w:pPr>
            <w:r>
              <w:rPr>
                <w:rFonts w:ascii="Arial" w:hAnsi="Arial"/>
                <w:b/>
                <w:color w:val="FFFFFF"/>
                <w:sz w:val="15"/>
              </w:rPr>
              <w:t xml:space="preserve">1Q26</w:t>
            </w:r>
          </w:p>
        </w:tc>
        <w:tc>
          <w:tcPr>
            <w:tcW w:type="dxa" w:w="1477"/>
            <w:shd w:val="clear" w:color="auto" w:fill="13213F"/>
          </w:tcPr>
          <w:p>
            <w:pPr>
              <w:pStyle w:val="Compact"/>
              <w:spacing w:after="0" w:before="0" w:line="240" w:lineRule="auto"/>
              <w:jc w:val="right"/>
            </w:pPr>
            <w:r>
              <w:rPr>
                <w:rFonts w:ascii="Arial" w:hAnsi="Arial"/>
                <w:b/>
                <w:color w:val="FFFFFF"/>
                <w:sz w:val="15"/>
              </w:rPr>
              <w:t xml:space="preserve">2Q26</w:t>
            </w:r>
          </w:p>
        </w:tc>
      </w:tr>
      <w:tr>
        <w:trPr>
          <w:cantSplit/>
        </w:trPr>
        <w:tc>
          <w:tcPr>
            <w:tcW w:type="dxa" w:w="3099"/>
          </w:tcPr>
          <w:p>
            <w:pPr>
              <w:pStyle w:val="Compact"/>
              <w:spacing w:after="0" w:before="0" w:line="240" w:lineRule="auto"/>
              <w:jc w:val="left"/>
            </w:pPr>
            <w:r>
              <w:rPr>
                <w:rFonts w:ascii="Arial" w:hAnsi="Arial"/>
                <w:sz w:val="15"/>
              </w:rPr>
              <w:t xml:space="preserve">Revenue</w:t>
            </w:r>
          </w:p>
        </w:tc>
        <w:tc>
          <w:tcPr>
            <w:tcW w:type="dxa" w:w="1025"/>
          </w:tcPr>
          <w:p>
            <w:pPr>
              <w:pStyle w:val="Compact"/>
              <w:spacing w:after="0" w:before="0" w:line="240" w:lineRule="auto"/>
              <w:jc w:val="right"/>
            </w:pPr>
            <w:r>
              <w:rPr>
                <w:rFonts w:ascii="Arial" w:hAnsi="Arial"/>
                <w:sz w:val="15"/>
              </w:rPr>
              <w:t xml:space="preserve">3,748</w:t>
            </w:r>
          </w:p>
        </w:tc>
        <w:tc>
          <w:tcPr>
            <w:tcW w:type="dxa" w:w="1025"/>
          </w:tcPr>
          <w:p>
            <w:pPr>
              <w:pStyle w:val="Compact"/>
              <w:spacing w:after="0" w:before="0" w:line="240" w:lineRule="auto"/>
              <w:jc w:val="right"/>
            </w:pPr>
            <w:r>
              <w:rPr>
                <w:rFonts w:ascii="Arial" w:hAnsi="Arial"/>
                <w:sz w:val="15"/>
              </w:rPr>
              <w:t xml:space="preserve">3,844</w:t>
            </w:r>
          </w:p>
        </w:tc>
        <w:tc>
          <w:tcPr>
            <w:tcW w:type="dxa" w:w="1161"/>
          </w:tcPr>
          <w:p>
            <w:pPr>
              <w:pStyle w:val="Compact"/>
              <w:spacing w:after="0" w:before="0" w:line="240" w:lineRule="auto"/>
              <w:jc w:val="right"/>
            </w:pPr>
            <w:r>
              <w:rPr>
                <w:rFonts w:ascii="Arial" w:hAnsi="Arial"/>
                <w:sz w:val="15"/>
              </w:rPr>
              <w:t xml:space="preserve">4,011</w:t>
            </w:r>
          </w:p>
        </w:tc>
        <w:tc>
          <w:tcPr>
            <w:tcW w:type="dxa" w:w="1167"/>
          </w:tcPr>
          <w:p>
            <w:pPr>
              <w:pStyle w:val="Compact"/>
              <w:spacing w:after="0" w:before="0" w:line="240" w:lineRule="auto"/>
              <w:jc w:val="right"/>
            </w:pPr>
            <w:r>
              <w:rPr>
                <w:rFonts w:ascii="Arial" w:hAnsi="Arial"/>
                <w:sz w:val="15"/>
              </w:rPr>
              <w:t xml:space="preserve">3,848</w:t>
            </w:r>
          </w:p>
        </w:tc>
        <w:tc>
          <w:tcPr>
            <w:tcW w:type="dxa" w:w="1025"/>
          </w:tcPr>
          <w:p>
            <w:pPr>
              <w:pStyle w:val="Compact"/>
              <w:spacing w:after="0" w:before="0" w:line="240" w:lineRule="auto"/>
              <w:jc w:val="right"/>
            </w:pPr>
            <w:r>
              <w:rPr>
                <w:rFonts w:ascii="Arial" w:hAnsi="Arial"/>
                <w:sz w:val="15"/>
              </w:rPr>
              <w:t xml:space="preserve">3,804</w:t>
            </w:r>
          </w:p>
        </w:tc>
        <w:tc>
          <w:tcPr>
            <w:tcW w:type="dxa" w:w="1477"/>
          </w:tcPr>
          <w:p>
            <w:pPr>
              <w:pStyle w:val="Compact"/>
              <w:spacing w:after="0" w:before="0" w:line="240" w:lineRule="auto"/>
              <w:jc w:val="right"/>
            </w:pPr>
            <w:r>
              <w:rPr>
                <w:rFonts w:ascii="Arial" w:hAnsi="Arial"/>
                <w:sz w:val="15"/>
              </w:rPr>
              <w:t xml:space="preserve">3,695</w:t>
            </w:r>
          </w:p>
        </w:tc>
      </w:tr>
      <w:tr>
        <w:trPr>
          <w:cantSplit/>
        </w:trPr>
        <w:tc>
          <w:tcPr>
            <w:tcW w:type="dxa" w:w="3099"/>
            <w:shd w:val="clear" w:color="auto" w:fill="F1F2F5"/>
          </w:tcPr>
          <w:p>
            <w:pPr>
              <w:pStyle w:val="Compact"/>
              <w:spacing w:after="0" w:before="0" w:line="240" w:lineRule="auto"/>
              <w:jc w:val="left"/>
            </w:pPr>
            <w:r>
              <w:rPr>
                <w:rFonts w:ascii="Arial" w:hAnsi="Arial"/>
                <w:sz w:val="15"/>
              </w:rPr>
              <w:t xml:space="preserve">Service revenue YoY (consol.)</w:t>
            </w:r>
          </w:p>
        </w:tc>
        <w:tc>
          <w:tcPr>
            <w:tcW w:type="dxa" w:w="1025"/>
            <w:shd w:val="clear" w:color="auto" w:fill="F1F2F5"/>
          </w:tcPr>
          <w:p>
            <w:pPr>
              <w:pStyle w:val="Compact"/>
              <w:spacing w:after="0" w:before="0" w:line="240" w:lineRule="auto"/>
              <w:jc w:val="right"/>
            </w:pPr>
            <w:r>
              <w:rPr>
                <w:rFonts w:ascii="Arial" w:hAnsi="Arial"/>
                <w:sz w:val="15"/>
              </w:rPr>
              <w:t xml:space="preserve">+1.6%</w:t>
            </w:r>
          </w:p>
        </w:tc>
        <w:tc>
          <w:tcPr>
            <w:tcW w:type="dxa" w:w="1025"/>
            <w:shd w:val="clear" w:color="auto" w:fill="F1F2F5"/>
          </w:tcPr>
          <w:p>
            <w:pPr>
              <w:pStyle w:val="Compact"/>
              <w:spacing w:after="0" w:before="0" w:line="240" w:lineRule="auto"/>
              <w:jc w:val="right"/>
            </w:pPr>
            <w:r>
              <w:rPr>
                <w:rFonts w:ascii="Arial" w:hAnsi="Arial"/>
                <w:sz w:val="15"/>
              </w:rPr>
              <w:t xml:space="preserve">+2.5%</w:t>
            </w:r>
          </w:p>
        </w:tc>
        <w:tc>
          <w:tcPr>
            <w:tcW w:type="dxa" w:w="1161"/>
            <w:shd w:val="clear" w:color="auto" w:fill="F1F2F5"/>
          </w:tcPr>
          <w:p>
            <w:pPr>
              <w:pStyle w:val="Compact"/>
              <w:spacing w:after="0" w:before="0" w:line="240" w:lineRule="auto"/>
              <w:jc w:val="right"/>
            </w:pPr>
            <w:r>
              <w:rPr>
                <w:rFonts w:ascii="Arial" w:hAnsi="Arial"/>
                <w:sz w:val="15"/>
              </w:rPr>
              <w:t xml:space="preserve">+4.2%</w:t>
            </w:r>
          </w:p>
        </w:tc>
        <w:tc>
          <w:tcPr>
            <w:tcW w:type="dxa" w:w="1167"/>
            <w:shd w:val="clear" w:color="auto" w:fill="F1F2F5"/>
          </w:tcPr>
          <w:p>
            <w:pPr>
              <w:pStyle w:val="Compact"/>
              <w:spacing w:after="0" w:before="0" w:line="240" w:lineRule="auto"/>
              <w:jc w:val="right"/>
            </w:pPr>
            <w:r>
              <w:rPr>
                <w:rFonts w:ascii="Arial" w:hAnsi="Arial"/>
                <w:sz w:val="15"/>
              </w:rPr>
              <w:t xml:space="preserve">n/d</w:t>
            </w:r>
          </w:p>
        </w:tc>
        <w:tc>
          <w:tcPr>
            <w:tcW w:type="dxa" w:w="1025"/>
            <w:shd w:val="clear" w:color="auto" w:fill="F1F2F5"/>
          </w:tcPr>
          <w:p>
            <w:pPr>
              <w:pStyle w:val="Compact"/>
              <w:spacing w:after="0" w:before="0" w:line="240" w:lineRule="auto"/>
              <w:jc w:val="right"/>
            </w:pPr>
            <w:r>
              <w:rPr>
                <w:rFonts w:ascii="Arial" w:hAnsi="Arial"/>
                <w:sz w:val="15"/>
              </w:rPr>
              <w:t xml:space="preserve">+3.3%</w:t>
            </w:r>
          </w:p>
        </w:tc>
        <w:tc>
          <w:tcPr>
            <w:tcW w:type="dxa" w:w="1477"/>
            <w:shd w:val="clear" w:color="auto" w:fill="F1F2F5"/>
          </w:tcPr>
          <w:p>
            <w:pPr>
              <w:pStyle w:val="Compact"/>
              <w:spacing w:after="0" w:before="0" w:line="240" w:lineRule="auto"/>
              <w:jc w:val="right"/>
            </w:pPr>
            <w:r>
              <w:rPr>
                <w:rFonts w:ascii="Arial" w:hAnsi="Arial"/>
                <w:sz w:val="15"/>
              </w:rPr>
              <w:t xml:space="preserve">+2.0%</w:t>
            </w:r>
          </w:p>
        </w:tc>
      </w:tr>
      <w:tr>
        <w:trPr>
          <w:cantSplit/>
        </w:trPr>
        <w:tc>
          <w:tcPr>
            <w:tcW w:type="dxa" w:w="3099"/>
          </w:tcPr>
          <w:p>
            <w:pPr>
              <w:pStyle w:val="Compact"/>
              <w:spacing w:after="0" w:before="0" w:line="240" w:lineRule="auto"/>
              <w:jc w:val="left"/>
            </w:pPr>
            <w:r>
              <w:rPr>
                <w:rFonts w:ascii="Arial" w:hAnsi="Arial"/>
                <w:sz w:val="15"/>
              </w:rPr>
              <w:t xml:space="preserve">EBITDA</w:t>
            </w:r>
          </w:p>
        </w:tc>
        <w:tc>
          <w:tcPr>
            <w:tcW w:type="dxa" w:w="1025"/>
          </w:tcPr>
          <w:p>
            <w:pPr>
              <w:pStyle w:val="Compact"/>
              <w:spacing w:after="0" w:before="0" w:line="240" w:lineRule="auto"/>
              <w:jc w:val="right"/>
            </w:pPr>
            <w:r>
              <w:rPr>
                <w:rFonts w:ascii="Arial" w:hAnsi="Arial"/>
                <w:sz w:val="15"/>
              </w:rPr>
              <w:t xml:space="preserve">921</w:t>
            </w:r>
          </w:p>
        </w:tc>
        <w:tc>
          <w:tcPr>
            <w:tcW w:type="dxa" w:w="1025"/>
          </w:tcPr>
          <w:p>
            <w:pPr>
              <w:pStyle w:val="Compact"/>
              <w:spacing w:after="0" w:before="0" w:line="240" w:lineRule="auto"/>
              <w:jc w:val="right"/>
            </w:pPr>
            <w:r>
              <w:rPr>
                <w:rFonts w:ascii="Arial" w:hAnsi="Arial"/>
                <w:sz w:val="15"/>
              </w:rPr>
              <w:t xml:space="preserve">977</w:t>
            </w:r>
          </w:p>
        </w:tc>
        <w:tc>
          <w:tcPr>
            <w:tcW w:type="dxa" w:w="1161"/>
          </w:tcPr>
          <w:p>
            <w:pPr>
              <w:pStyle w:val="Compact"/>
              <w:spacing w:after="0" w:before="0" w:line="240" w:lineRule="auto"/>
              <w:jc w:val="right"/>
            </w:pPr>
            <w:r>
              <w:rPr>
                <w:rFonts w:ascii="Arial" w:hAnsi="Arial"/>
                <w:sz w:val="15"/>
              </w:rPr>
              <w:t xml:space="preserve">831</w:t>
            </w:r>
          </w:p>
        </w:tc>
        <w:tc>
          <w:tcPr>
            <w:tcW w:type="dxa" w:w="1167"/>
          </w:tcPr>
          <w:p>
            <w:pPr>
              <w:pStyle w:val="Compact"/>
              <w:spacing w:after="0" w:before="0" w:line="240" w:lineRule="auto"/>
              <w:jc w:val="right"/>
            </w:pPr>
            <w:r>
              <w:rPr>
                <w:rFonts w:ascii="Arial" w:hAnsi="Arial"/>
                <w:sz w:val="15"/>
              </w:rPr>
              <w:t xml:space="preserve">859 [e]</w:t>
            </w:r>
          </w:p>
        </w:tc>
        <w:tc>
          <w:tcPr>
            <w:tcW w:type="dxa" w:w="1025"/>
          </w:tcPr>
          <w:p>
            <w:pPr>
              <w:pStyle w:val="Compact"/>
              <w:spacing w:after="0" w:before="0" w:line="240" w:lineRule="auto"/>
              <w:jc w:val="right"/>
            </w:pPr>
            <w:r>
              <w:rPr>
                <w:rFonts w:ascii="Arial" w:hAnsi="Arial"/>
                <w:sz w:val="15"/>
              </w:rPr>
              <w:t xml:space="preserve">959</w:t>
            </w:r>
          </w:p>
        </w:tc>
        <w:tc>
          <w:tcPr>
            <w:tcW w:type="dxa" w:w="1477"/>
          </w:tcPr>
          <w:p>
            <w:pPr>
              <w:pStyle w:val="Compact"/>
              <w:spacing w:after="0" w:before="0" w:line="240" w:lineRule="auto"/>
              <w:jc w:val="right"/>
            </w:pPr>
            <w:r>
              <w:rPr>
                <w:rFonts w:ascii="Arial" w:hAnsi="Arial"/>
                <w:sz w:val="15"/>
              </w:rPr>
              <w:t xml:space="preserve">1,035</w:t>
            </w:r>
          </w:p>
        </w:tc>
      </w:tr>
      <w:tr>
        <w:trPr>
          <w:cantSplit/>
        </w:trPr>
        <w:tc>
          <w:tcPr>
            <w:tcW w:type="dxa" w:w="3099"/>
            <w:shd w:val="clear" w:color="auto" w:fill="F1F2F5"/>
          </w:tcPr>
          <w:p>
            <w:pPr>
              <w:pStyle w:val="Compact"/>
              <w:spacing w:after="0" w:before="0" w:line="240" w:lineRule="auto"/>
              <w:jc w:val="left"/>
            </w:pPr>
            <w:r>
              <w:rPr>
                <w:rFonts w:ascii="Arial" w:hAnsi="Arial"/>
                <w:sz w:val="15"/>
              </w:rPr>
              <w:t xml:space="preserve">Operating profit</w:t>
            </w:r>
          </w:p>
        </w:tc>
        <w:tc>
          <w:tcPr>
            <w:tcW w:type="dxa" w:w="1025"/>
            <w:shd w:val="clear" w:color="auto" w:fill="F1F2F5"/>
          </w:tcPr>
          <w:p>
            <w:pPr>
              <w:pStyle w:val="Compact"/>
              <w:spacing w:after="0" w:before="0" w:line="240" w:lineRule="auto"/>
              <w:jc w:val="right"/>
            </w:pPr>
            <w:r>
              <w:rPr>
                <w:rFonts w:ascii="Arial" w:hAnsi="Arial"/>
                <w:sz w:val="15"/>
              </w:rPr>
              <w:t xml:space="preserve">255.4</w:t>
            </w:r>
          </w:p>
        </w:tc>
        <w:tc>
          <w:tcPr>
            <w:tcW w:type="dxa" w:w="1025"/>
            <w:shd w:val="clear" w:color="auto" w:fill="F1F2F5"/>
          </w:tcPr>
          <w:p>
            <w:pPr>
              <w:pStyle w:val="Compact"/>
              <w:spacing w:after="0" w:before="0" w:line="240" w:lineRule="auto"/>
              <w:jc w:val="right"/>
            </w:pPr>
            <w:r>
              <w:rPr>
                <w:rFonts w:ascii="Arial" w:hAnsi="Arial"/>
                <w:sz w:val="15"/>
              </w:rPr>
              <w:t xml:space="preserve">304.5</w:t>
            </w:r>
          </w:p>
        </w:tc>
        <w:tc>
          <w:tcPr>
            <w:tcW w:type="dxa" w:w="1161"/>
            <w:shd w:val="clear" w:color="auto" w:fill="F1F2F5"/>
          </w:tcPr>
          <w:p>
            <w:pPr>
              <w:pStyle w:val="Compact"/>
              <w:spacing w:after="0" w:before="0" w:line="240" w:lineRule="auto"/>
              <w:jc w:val="right"/>
            </w:pPr>
            <w:r>
              <w:rPr>
                <w:rFonts w:ascii="Arial" w:hAnsi="Arial"/>
                <w:sz w:val="15"/>
              </w:rPr>
              <w:t xml:space="preserve">161.7</w:t>
            </w:r>
          </w:p>
        </w:tc>
        <w:tc>
          <w:tcPr>
            <w:tcW w:type="dxa" w:w="1167"/>
            <w:shd w:val="clear" w:color="auto" w:fill="F1F2F5"/>
          </w:tcPr>
          <w:p>
            <w:pPr>
              <w:pStyle w:val="Compact"/>
              <w:spacing w:after="0" w:before="0" w:line="240" w:lineRule="auto"/>
              <w:jc w:val="right"/>
            </w:pPr>
            <w:r>
              <w:rPr>
                <w:rFonts w:ascii="Arial" w:hAnsi="Arial"/>
                <w:sz w:val="15"/>
              </w:rPr>
              <w:t xml:space="preserve">170.5</w:t>
            </w:r>
          </w:p>
        </w:tc>
        <w:tc>
          <w:tcPr>
            <w:tcW w:type="dxa" w:w="1025"/>
            <w:shd w:val="clear" w:color="auto" w:fill="F1F2F5"/>
          </w:tcPr>
          <w:p>
            <w:pPr>
              <w:pStyle w:val="Compact"/>
              <w:spacing w:after="0" w:before="0" w:line="240" w:lineRule="auto"/>
              <w:jc w:val="right"/>
            </w:pPr>
            <w:r>
              <w:rPr>
                <w:rFonts w:ascii="Arial" w:hAnsi="Arial"/>
                <w:sz w:val="15"/>
              </w:rPr>
              <w:t xml:space="preserve">272.3</w:t>
            </w:r>
          </w:p>
        </w:tc>
        <w:tc>
          <w:tcPr>
            <w:tcW w:type="dxa" w:w="1477"/>
            <w:shd w:val="clear" w:color="auto" w:fill="F1F2F5"/>
          </w:tcPr>
          <w:p>
            <w:pPr>
              <w:pStyle w:val="Compact"/>
              <w:spacing w:after="0" w:before="0" w:line="240" w:lineRule="auto"/>
              <w:jc w:val="right"/>
            </w:pPr>
            <w:r>
              <w:rPr>
                <w:rFonts w:ascii="Arial" w:hAnsi="Arial"/>
                <w:sz w:val="15"/>
              </w:rPr>
              <w:t xml:space="preserve">344.5</w:t>
            </w:r>
          </w:p>
        </w:tc>
      </w:tr>
      <w:tr>
        <w:trPr>
          <w:cantSplit/>
        </w:trPr>
        <w:tc>
          <w:tcPr>
            <w:tcW w:type="dxa" w:w="3099"/>
          </w:tcPr>
          <w:p>
            <w:pPr>
              <w:pStyle w:val="Compact"/>
              <w:spacing w:after="0" w:before="0" w:line="240" w:lineRule="auto"/>
              <w:jc w:val="left"/>
            </w:pPr>
            <w:r>
              <w:rPr>
                <w:rFonts w:ascii="Arial" w:hAnsi="Arial"/>
                <w:sz w:val="15"/>
              </w:rPr>
              <w:t xml:space="preserve">OP margin</w:t>
            </w:r>
          </w:p>
        </w:tc>
        <w:tc>
          <w:tcPr>
            <w:tcW w:type="dxa" w:w="1025"/>
          </w:tcPr>
          <w:p>
            <w:pPr>
              <w:pStyle w:val="Compact"/>
              <w:spacing w:after="0" w:before="0" w:line="240" w:lineRule="auto"/>
              <w:jc w:val="right"/>
            </w:pPr>
            <w:r>
              <w:rPr>
                <w:rFonts w:ascii="Arial" w:hAnsi="Arial"/>
                <w:sz w:val="15"/>
              </w:rPr>
              <w:t xml:space="preserve">6.8%</w:t>
            </w:r>
          </w:p>
        </w:tc>
        <w:tc>
          <w:tcPr>
            <w:tcW w:type="dxa" w:w="1025"/>
          </w:tcPr>
          <w:p>
            <w:pPr>
              <w:pStyle w:val="Compact"/>
              <w:spacing w:after="0" w:before="0" w:line="240" w:lineRule="auto"/>
              <w:jc w:val="right"/>
            </w:pPr>
            <w:r>
              <w:rPr>
                <w:rFonts w:ascii="Arial" w:hAnsi="Arial"/>
                <w:sz w:val="15"/>
              </w:rPr>
              <w:t xml:space="preserve">7.9%</w:t>
            </w:r>
          </w:p>
        </w:tc>
        <w:tc>
          <w:tcPr>
            <w:tcW w:type="dxa" w:w="1161"/>
          </w:tcPr>
          <w:p>
            <w:pPr>
              <w:pStyle w:val="Compact"/>
              <w:spacing w:after="0" w:before="0" w:line="240" w:lineRule="auto"/>
              <w:jc w:val="right"/>
            </w:pPr>
            <w:r>
              <w:rPr>
                <w:rFonts w:ascii="Arial" w:hAnsi="Arial"/>
                <w:sz w:val="15"/>
              </w:rPr>
              <w:t xml:space="preserve">4.0%</w:t>
            </w:r>
          </w:p>
        </w:tc>
        <w:tc>
          <w:tcPr>
            <w:tcW w:type="dxa" w:w="1167"/>
          </w:tcPr>
          <w:p>
            <w:pPr>
              <w:pStyle w:val="Compact"/>
              <w:spacing w:after="0" w:before="0" w:line="240" w:lineRule="auto"/>
              <w:jc w:val="right"/>
            </w:pPr>
            <w:r>
              <w:rPr>
                <w:rFonts w:ascii="Arial" w:hAnsi="Arial"/>
                <w:sz w:val="15"/>
              </w:rPr>
              <w:t xml:space="preserve">4.4%</w:t>
            </w:r>
          </w:p>
        </w:tc>
        <w:tc>
          <w:tcPr>
            <w:tcW w:type="dxa" w:w="1025"/>
          </w:tcPr>
          <w:p>
            <w:pPr>
              <w:pStyle w:val="Compact"/>
              <w:spacing w:after="0" w:before="0" w:line="240" w:lineRule="auto"/>
              <w:jc w:val="right"/>
            </w:pPr>
            <w:r>
              <w:rPr>
                <w:rFonts w:ascii="Arial" w:hAnsi="Arial"/>
                <w:sz w:val="15"/>
              </w:rPr>
              <w:t xml:space="preserve">7.2%</w:t>
            </w:r>
          </w:p>
        </w:tc>
        <w:tc>
          <w:tcPr>
            <w:tcW w:type="dxa" w:w="1477"/>
          </w:tcPr>
          <w:p>
            <w:pPr>
              <w:pStyle w:val="Compact"/>
              <w:spacing w:after="0" w:before="0" w:line="240" w:lineRule="auto"/>
              <w:jc w:val="right"/>
            </w:pPr>
            <w:r>
              <w:rPr>
                <w:rFonts w:ascii="Arial" w:hAnsi="Arial"/>
                <w:sz w:val="15"/>
              </w:rPr>
              <w:t xml:space="preserve">9.3%</w:t>
            </w:r>
          </w:p>
        </w:tc>
      </w:tr>
      <w:tr>
        <w:trPr>
          <w:cantSplit/>
        </w:trPr>
        <w:tc>
          <w:tcPr>
            <w:tcW w:type="dxa" w:w="3099"/>
            <w:shd w:val="clear" w:color="auto" w:fill="F1F2F5"/>
          </w:tcPr>
          <w:p>
            <w:pPr>
              <w:pStyle w:val="Compact"/>
              <w:spacing w:after="0" w:before="0" w:line="240" w:lineRule="auto"/>
              <w:jc w:val="left"/>
            </w:pPr>
            <w:r>
              <w:rPr>
                <w:rFonts w:ascii="Arial" w:hAnsi="Arial"/>
                <w:sz w:val="15"/>
              </w:rPr>
              <w:t xml:space="preserve">One-offs</w:t>
            </w:r>
          </w:p>
        </w:tc>
        <w:tc>
          <w:tcPr>
            <w:tcW w:type="dxa" w:w="1025"/>
            <w:shd w:val="clear" w:color="auto" w:fill="F1F2F5"/>
          </w:tcPr>
          <w:p>
            <w:pPr>
              <w:pStyle w:val="Compact"/>
              <w:spacing w:after="0" w:before="0" w:line="240" w:lineRule="auto"/>
              <w:jc w:val="right"/>
            </w:pPr>
            <w:r>
              <w:rPr>
                <w:rFonts w:ascii="Arial" w:hAnsi="Arial"/>
                <w:sz w:val="15"/>
              </w:rPr>
              <w:t xml:space="preserve">–</w:t>
            </w:r>
          </w:p>
        </w:tc>
        <w:tc>
          <w:tcPr>
            <w:tcW w:type="dxa" w:w="1025"/>
            <w:shd w:val="clear" w:color="auto" w:fill="F1F2F5"/>
          </w:tcPr>
          <w:p>
            <w:pPr>
              <w:pStyle w:val="Compact"/>
              <w:spacing w:after="0" w:before="0" w:line="240" w:lineRule="auto"/>
              <w:jc w:val="right"/>
            </w:pPr>
            <w:r>
              <w:rPr>
                <w:rFonts w:ascii="Arial" w:hAnsi="Arial"/>
                <w:sz w:val="15"/>
              </w:rPr>
              <w:t xml:space="preserve">–</w:t>
            </w:r>
          </w:p>
        </w:tc>
        <w:tc>
          <w:tcPr>
            <w:tcW w:type="dxa" w:w="1161"/>
            <w:shd w:val="clear" w:color="auto" w:fill="F1F2F5"/>
          </w:tcPr>
          <w:p>
            <w:pPr>
              <w:pStyle w:val="Compact"/>
              <w:spacing w:after="0" w:before="0" w:line="240" w:lineRule="auto"/>
              <w:jc w:val="right"/>
            </w:pPr>
            <w:r>
              <w:rPr>
                <w:rFonts w:ascii="Arial" w:hAnsi="Arial"/>
                <w:sz w:val="15"/>
              </w:rPr>
              <w:t xml:space="preserve">ERP -150</w:t>
            </w:r>
          </w:p>
        </w:tc>
        <w:tc>
          <w:tcPr>
            <w:tcW w:type="dxa" w:w="1167"/>
            <w:shd w:val="clear" w:color="auto" w:fill="F1F2F5"/>
          </w:tcPr>
          <w:p>
            <w:pPr>
              <w:pStyle w:val="Compact"/>
              <w:spacing w:after="0" w:before="0" w:line="240" w:lineRule="auto"/>
              <w:jc w:val="right"/>
            </w:pPr>
            <w:r>
              <w:rPr>
                <w:rFonts w:ascii="Arial" w:hAnsi="Arial"/>
                <w:sz w:val="15"/>
              </w:rPr>
              <w:t xml:space="preserve">–</w:t>
            </w:r>
          </w:p>
        </w:tc>
        <w:tc>
          <w:tcPr>
            <w:tcW w:type="dxa" w:w="1025"/>
            <w:shd w:val="clear" w:color="auto" w:fill="F1F2F5"/>
          </w:tcPr>
          <w:p>
            <w:pPr>
              <w:pStyle w:val="Compact"/>
              <w:spacing w:after="0" w:before="0" w:line="240" w:lineRule="auto"/>
              <w:jc w:val="right"/>
            </w:pPr>
            <w:r>
              <w:rPr>
                <w:rFonts w:ascii="Arial" w:hAnsi="Arial"/>
                <w:sz w:val="15"/>
              </w:rPr>
              <w:t xml:space="preserve">–</w:t>
            </w:r>
          </w:p>
        </w:tc>
        <w:tc>
          <w:tcPr>
            <w:tcW w:type="dxa" w:w="1477"/>
            <w:shd w:val="clear" w:color="auto" w:fill="F1F2F5"/>
          </w:tcPr>
          <w:p>
            <w:pPr>
              <w:pStyle w:val="Compact"/>
              <w:spacing w:after="0" w:before="0" w:line="240" w:lineRule="auto"/>
              <w:jc w:val="right"/>
            </w:pPr>
            <w:r>
              <w:rPr>
                <w:rFonts w:ascii="Arial" w:hAnsi="Arial"/>
                <w:sz w:val="15"/>
              </w:rPr>
              <w:t xml:space="preserve">~+20–25 [u]</w:t>
            </w:r>
          </w:p>
        </w:tc>
      </w:tr>
      <w:tr>
        <w:trPr>
          <w:cantSplit/>
        </w:trPr>
        <w:tc>
          <w:tcPr>
            <w:tcW w:type="dxa" w:w="3099"/>
          </w:tcPr>
          <w:p>
            <w:pPr>
              <w:pStyle w:val="Compact"/>
              <w:spacing w:after="0" w:before="0" w:line="240" w:lineRule="auto"/>
              <w:jc w:val="left"/>
            </w:pPr>
            <w:r>
              <w:rPr>
                <w:rFonts w:ascii="Arial" w:hAnsi="Arial"/>
                <w:sz w:val="15"/>
              </w:rPr>
              <w:t xml:space="preserve">Net income (to parent)</w:t>
            </w:r>
          </w:p>
        </w:tc>
        <w:tc>
          <w:tcPr>
            <w:tcW w:type="dxa" w:w="1025"/>
          </w:tcPr>
          <w:p>
            <w:pPr>
              <w:pStyle w:val="Compact"/>
              <w:spacing w:after="0" w:before="0" w:line="240" w:lineRule="auto"/>
              <w:jc w:val="right"/>
            </w:pPr>
            <w:r>
              <w:rPr>
                <w:rFonts w:ascii="Arial" w:hAnsi="Arial"/>
                <w:sz w:val="15"/>
              </w:rPr>
              <w:t xml:space="preserve">165.7</w:t>
            </w:r>
          </w:p>
        </w:tc>
        <w:tc>
          <w:tcPr>
            <w:tcW w:type="dxa" w:w="1025"/>
          </w:tcPr>
          <w:p>
            <w:pPr>
              <w:pStyle w:val="Compact"/>
              <w:spacing w:after="0" w:before="0" w:line="240" w:lineRule="auto"/>
              <w:jc w:val="right"/>
            </w:pPr>
            <w:r>
              <w:rPr>
                <w:rFonts w:ascii="Arial" w:hAnsi="Arial"/>
                <w:sz w:val="15"/>
              </w:rPr>
              <w:t xml:space="preserve">219.5</w:t>
            </w:r>
          </w:p>
        </w:tc>
        <w:tc>
          <w:tcPr>
            <w:tcW w:type="dxa" w:w="1161"/>
          </w:tcPr>
          <w:p>
            <w:pPr>
              <w:pStyle w:val="Compact"/>
              <w:spacing w:after="0" w:before="0" w:line="240" w:lineRule="auto"/>
              <w:jc w:val="right"/>
            </w:pPr>
            <w:r>
              <w:rPr>
                <w:rFonts w:ascii="Arial" w:hAnsi="Arial"/>
                <w:sz w:val="15"/>
              </w:rPr>
              <w:t xml:space="preserve">49.7</w:t>
            </w:r>
          </w:p>
        </w:tc>
        <w:tc>
          <w:tcPr>
            <w:tcW w:type="dxa" w:w="1167"/>
          </w:tcPr>
          <w:p>
            <w:pPr>
              <w:pStyle w:val="Compact"/>
              <w:spacing w:after="0" w:before="0" w:line="240" w:lineRule="auto"/>
              <w:jc w:val="right"/>
            </w:pPr>
            <w:r>
              <w:rPr>
                <w:rFonts w:ascii="Arial" w:hAnsi="Arial"/>
                <w:sz w:val="15"/>
              </w:rPr>
              <w:t xml:space="preserve">88.9</w:t>
            </w:r>
          </w:p>
        </w:tc>
        <w:tc>
          <w:tcPr>
            <w:tcW w:type="dxa" w:w="1025"/>
          </w:tcPr>
          <w:p>
            <w:pPr>
              <w:pStyle w:val="Compact"/>
              <w:spacing w:after="0" w:before="0" w:line="240" w:lineRule="auto"/>
              <w:jc w:val="right"/>
            </w:pPr>
            <w:r>
              <w:rPr>
                <w:rFonts w:ascii="Arial" w:hAnsi="Arial"/>
                <w:sz w:val="15"/>
              </w:rPr>
              <w:t xml:space="preserve">176.9</w:t>
            </w:r>
          </w:p>
        </w:tc>
        <w:tc>
          <w:tcPr>
            <w:tcW w:type="dxa" w:w="1477"/>
          </w:tcPr>
          <w:p>
            <w:pPr>
              <w:pStyle w:val="Compact"/>
              <w:spacing w:after="0" w:before="0" w:line="240" w:lineRule="auto"/>
              <w:jc w:val="right"/>
            </w:pPr>
            <w:r>
              <w:rPr>
                <w:rFonts w:ascii="Arial" w:hAnsi="Arial"/>
                <w:sz w:val="15"/>
              </w:rPr>
              <w:t xml:space="preserve">219.7</w:t>
            </w:r>
          </w:p>
        </w:tc>
      </w:tr>
      <w:tr>
        <w:trPr>
          <w:cantSplit/>
        </w:trPr>
        <w:tc>
          <w:tcPr>
            <w:tcW w:type="dxa" w:w="3099"/>
            <w:shd w:val="clear" w:color="auto" w:fill="F1F2F5"/>
          </w:tcPr>
          <w:p>
            <w:pPr>
              <w:pStyle w:val="Compact"/>
              <w:spacing w:after="0" w:before="0" w:line="240" w:lineRule="auto"/>
              <w:jc w:val="left"/>
            </w:pPr>
            <w:r>
              <w:rPr>
                <w:rFonts w:ascii="Arial" w:hAnsi="Arial"/>
                <w:sz w:val="15"/>
              </w:rPr>
              <w:t xml:space="preserve">Marketing expense (standalone)</w:t>
            </w:r>
          </w:p>
        </w:tc>
        <w:tc>
          <w:tcPr>
            <w:tcW w:type="dxa" w:w="1025"/>
            <w:shd w:val="clear" w:color="auto" w:fill="F1F2F5"/>
          </w:tcPr>
          <w:p>
            <w:pPr>
              <w:pStyle w:val="Compact"/>
              <w:spacing w:after="0" w:before="0" w:line="240" w:lineRule="auto"/>
              <w:jc w:val="right"/>
            </w:pPr>
            <w:r>
              <w:rPr>
                <w:rFonts w:ascii="Arial" w:hAnsi="Arial"/>
                <w:sz w:val="15"/>
              </w:rPr>
              <w:t xml:space="preserve">555.8</w:t>
            </w:r>
          </w:p>
        </w:tc>
        <w:tc>
          <w:tcPr>
            <w:tcW w:type="dxa" w:w="1025"/>
            <w:shd w:val="clear" w:color="auto" w:fill="F1F2F5"/>
          </w:tcPr>
          <w:p>
            <w:pPr>
              <w:pStyle w:val="Compact"/>
              <w:spacing w:after="0" w:before="0" w:line="240" w:lineRule="auto"/>
              <w:jc w:val="right"/>
            </w:pPr>
            <w:r>
              <w:rPr>
                <w:rFonts w:ascii="Arial" w:hAnsi="Arial"/>
                <w:sz w:val="15"/>
              </w:rPr>
              <w:t xml:space="preserve">540.1</w:t>
            </w:r>
          </w:p>
        </w:tc>
        <w:tc>
          <w:tcPr>
            <w:tcW w:type="dxa" w:w="1161"/>
            <w:shd w:val="clear" w:color="auto" w:fill="F1F2F5"/>
          </w:tcPr>
          <w:p>
            <w:pPr>
              <w:pStyle w:val="Compact"/>
              <w:spacing w:after="0" w:before="0" w:line="240" w:lineRule="auto"/>
              <w:jc w:val="right"/>
            </w:pPr>
            <w:r>
              <w:rPr>
                <w:rFonts w:ascii="Arial" w:hAnsi="Arial"/>
                <w:sz w:val="15"/>
              </w:rPr>
              <w:t xml:space="preserve">585.2</w:t>
            </w:r>
          </w:p>
        </w:tc>
        <w:tc>
          <w:tcPr>
            <w:tcW w:type="dxa" w:w="1167"/>
            <w:shd w:val="clear" w:color="auto" w:fill="F1F2F5"/>
          </w:tcPr>
          <w:p>
            <w:pPr>
              <w:pStyle w:val="Compact"/>
              <w:spacing w:after="0" w:before="0" w:line="240" w:lineRule="auto"/>
              <w:jc w:val="right"/>
            </w:pPr>
            <w:r>
              <w:rPr>
                <w:rFonts w:ascii="Arial" w:hAnsi="Arial"/>
                <w:sz w:val="15"/>
              </w:rPr>
              <w:t xml:space="preserve">~633 [e]</w:t>
            </w:r>
          </w:p>
        </w:tc>
        <w:tc>
          <w:tcPr>
            <w:tcW w:type="dxa" w:w="1025"/>
            <w:shd w:val="clear" w:color="auto" w:fill="F1F2F5"/>
          </w:tcPr>
          <w:p>
            <w:pPr>
              <w:pStyle w:val="Compact"/>
              <w:spacing w:after="0" w:before="0" w:line="240" w:lineRule="auto"/>
              <w:jc w:val="right"/>
            </w:pPr>
            <w:r>
              <w:rPr>
                <w:rFonts w:ascii="Arial" w:hAnsi="Arial"/>
                <w:sz w:val="15"/>
              </w:rPr>
              <w:t xml:space="preserve">614.2</w:t>
            </w:r>
          </w:p>
        </w:tc>
        <w:tc>
          <w:tcPr>
            <w:tcW w:type="dxa" w:w="1477"/>
            <w:shd w:val="clear" w:color="auto" w:fill="F1F2F5"/>
          </w:tcPr>
          <w:p>
            <w:pPr>
              <w:pStyle w:val="Compact"/>
              <w:spacing w:after="0" w:before="0" w:line="240" w:lineRule="auto"/>
              <w:jc w:val="right"/>
            </w:pPr>
            <w:r>
              <w:rPr>
                <w:rFonts w:ascii="Arial" w:hAnsi="Arial"/>
                <w:sz w:val="15"/>
              </w:rPr>
              <w:t xml:space="preserve">572.1</w:t>
            </w:r>
          </w:p>
        </w:tc>
      </w:tr>
      <w:tr>
        <w:trPr>
          <w:cantSplit/>
        </w:trPr>
        <w:tc>
          <w:tcPr>
            <w:tcW w:type="dxa" w:w="3099"/>
          </w:tcPr>
          <w:p>
            <w:pPr>
              <w:pStyle w:val="Compact"/>
              <w:spacing w:after="0" w:before="0" w:line="240" w:lineRule="auto"/>
              <w:jc w:val="left"/>
            </w:pPr>
            <w:r>
              <w:rPr>
                <w:rFonts w:ascii="Arial" w:hAnsi="Arial"/>
                <w:sz w:val="15"/>
              </w:rPr>
              <w:t xml:space="preserve">Capex (standalone)</w:t>
            </w:r>
          </w:p>
        </w:tc>
        <w:tc>
          <w:tcPr>
            <w:tcW w:type="dxa" w:w="1025"/>
          </w:tcPr>
          <w:p>
            <w:pPr>
              <w:pStyle w:val="Compact"/>
              <w:spacing w:after="0" w:before="0" w:line="240" w:lineRule="auto"/>
              <w:jc w:val="right"/>
            </w:pPr>
            <w:r>
              <w:rPr>
                <w:rFonts w:ascii="Arial" w:hAnsi="Arial"/>
                <w:sz w:val="15"/>
              </w:rPr>
              <w:t xml:space="preserve">333.1</w:t>
            </w:r>
          </w:p>
        </w:tc>
        <w:tc>
          <w:tcPr>
            <w:tcW w:type="dxa" w:w="1025"/>
          </w:tcPr>
          <w:p>
            <w:pPr>
              <w:pStyle w:val="Compact"/>
              <w:spacing w:after="0" w:before="0" w:line="240" w:lineRule="auto"/>
              <w:jc w:val="right"/>
            </w:pPr>
            <w:r>
              <w:rPr>
                <w:rFonts w:ascii="Arial" w:hAnsi="Arial"/>
                <w:sz w:val="15"/>
              </w:rPr>
              <w:t xml:space="preserve">393.3</w:t>
            </w:r>
          </w:p>
        </w:tc>
        <w:tc>
          <w:tcPr>
            <w:tcW w:type="dxa" w:w="1161"/>
          </w:tcPr>
          <w:p>
            <w:pPr>
              <w:pStyle w:val="Compact"/>
              <w:spacing w:after="0" w:before="0" w:line="240" w:lineRule="auto"/>
              <w:jc w:val="right"/>
            </w:pPr>
            <w:r>
              <w:rPr>
                <w:rFonts w:ascii="Arial" w:hAnsi="Arial"/>
                <w:sz w:val="15"/>
              </w:rPr>
              <w:t xml:space="preserve">438.1</w:t>
            </w:r>
          </w:p>
        </w:tc>
        <w:tc>
          <w:tcPr>
            <w:tcW w:type="dxa" w:w="1167"/>
          </w:tcPr>
          <w:p>
            <w:pPr>
              <w:pStyle w:val="Compact"/>
              <w:spacing w:after="0" w:before="0" w:line="240" w:lineRule="auto"/>
              <w:jc w:val="right"/>
            </w:pPr>
            <w:r>
              <w:rPr>
                <w:rFonts w:ascii="Arial" w:hAnsi="Arial"/>
                <w:sz w:val="15"/>
              </w:rPr>
              <w:t xml:space="preserve">~586 [e]</w:t>
            </w:r>
          </w:p>
        </w:tc>
        <w:tc>
          <w:tcPr>
            <w:tcW w:type="dxa" w:w="1025"/>
          </w:tcPr>
          <w:p>
            <w:pPr>
              <w:pStyle w:val="Compact"/>
              <w:spacing w:after="0" w:before="0" w:line="240" w:lineRule="auto"/>
              <w:jc w:val="right"/>
            </w:pPr>
            <w:r>
              <w:rPr>
                <w:rFonts w:ascii="Arial" w:hAnsi="Arial"/>
                <w:sz w:val="15"/>
              </w:rPr>
              <w:t xml:space="preserve">317.2</w:t>
            </w:r>
          </w:p>
        </w:tc>
        <w:tc>
          <w:tcPr>
            <w:tcW w:type="dxa" w:w="1477"/>
          </w:tcPr>
          <w:p>
            <w:pPr>
              <w:pStyle w:val="Compact"/>
              <w:spacing w:after="0" w:before="0" w:line="240" w:lineRule="auto"/>
              <w:jc w:val="right"/>
            </w:pPr>
            <w:r>
              <w:rPr>
                <w:rFonts w:ascii="Arial" w:hAnsi="Arial"/>
                <w:sz w:val="15"/>
              </w:rPr>
              <w:t xml:space="preserve">477.8</w:t>
            </w:r>
          </w:p>
        </w:tc>
      </w:tr>
    </w:tbl>
    <w:p>
      <w:pPr>
        <w:pStyle w:val="CaptionedFigure"/>
      </w:pPr>
      <w:r>
        <w:drawing>
          <wp:inline>
            <wp:extent cx="6261100" cy="2503788"/>
            <wp:effectExtent b="0" l="0" r="0" t="0"/>
            <wp:docPr descr="Quarterly operating profit" title="" id="49" name="Picture"/>
            <a:graphic>
              <a:graphicData uri="http://schemas.openxmlformats.org/drawingml/2006/picture">
                <pic:pic>
                  <pic:nvPicPr>
                    <pic:cNvPr descr="../charts/fin_quarterly_op.png" id="50" name="Picture"/>
                    <pic:cNvPicPr>
                      <a:picLocks noChangeArrowheads="1" noChangeAspect="1"/>
                    </pic:cNvPicPr>
                  </pic:nvPicPr>
                  <pic:blipFill>
                    <a:blip r:embed="rId48"/>
                    <a:stretch>
                      <a:fillRect/>
                    </a:stretch>
                  </pic:blipFill>
                  <pic:spPr bwMode="auto">
                    <a:xfrm>
                      <a:off x="0" y="0"/>
                      <a:ext cx="6261100" cy="2503788"/>
                    </a:xfrm>
                    <a:prstGeom prst="rect">
                      <a:avLst/>
                    </a:prstGeom>
                    <a:noFill/>
                    <a:ln w="9525">
                      <a:noFill/>
                      <a:headEnd/>
                      <a:tailEnd/>
                    </a:ln>
                  </pic:spPr>
                </pic:pic>
              </a:graphicData>
            </a:graphic>
          </wp:inline>
        </w:drawing>
      </w:r>
    </w:p>
    <w:p>
      <w:pPr>
        <w:pStyle w:val="ImageCaption"/>
      </w:pPr>
      <w:r>
        <w:t xml:space="preserve">Quarterly operating profit</w:t>
      </w:r>
    </w:p>
    <w:bookmarkEnd w:id="51"/>
    <w:bookmarkStart w:id="58" w:name="operational-kpis"/>
    <w:p>
      <w:pPr>
        <w:pStyle w:val="Heading2"/>
      </w:pPr>
      <w:r>
        <w:t xml:space="preserve">Operational KPIs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1971"/>
        <w:gridCol w:w="926"/>
        <w:gridCol w:w="930"/>
        <w:gridCol w:w="927"/>
        <w:gridCol w:w="955"/>
        <w:gridCol w:w="942"/>
        <w:gridCol w:w="1077"/>
        <w:gridCol w:w="2246"/>
      </w:tblGrid>
      <w:tr>
        <w:trPr>
          <w:tblHeader w:val="true"/>
          <w:tblHeader w:val="true"/>
          <w:cantSplit/>
        </w:trPr>
        <w:tc>
          <w:tcPr>
            <w:tcW w:type="dxa" w:w="1972"/>
            <w:shd w:val="clear" w:color="auto" w:fill="13213F"/>
          </w:tcPr>
          <w:p>
            <w:pPr>
              <w:pStyle w:val="Compact"/>
              <w:spacing w:after="0" w:before="0" w:line="240" w:lineRule="auto"/>
              <w:jc w:val="left"/>
            </w:pPr>
            <w:r>
              <w:rPr>
                <w:rFonts w:ascii="Arial" w:hAnsi="Arial"/>
                <w:b/>
                <w:color w:val="FFFFFF"/>
                <w:sz w:val="15"/>
              </w:rPr>
              <w:t xml:space="preserve">KPI</w:t>
            </w:r>
          </w:p>
        </w:tc>
        <w:tc>
          <w:tcPr>
            <w:tcW w:type="dxa" w:w="926"/>
            <w:shd w:val="clear" w:color="auto" w:fill="13213F"/>
          </w:tcPr>
          <w:p>
            <w:pPr>
              <w:pStyle w:val="Compact"/>
              <w:spacing w:after="0" w:before="0" w:line="240" w:lineRule="auto"/>
              <w:jc w:val="right"/>
            </w:pPr>
            <w:r>
              <w:rPr>
                <w:rFonts w:ascii="Arial" w:hAnsi="Arial"/>
                <w:b/>
                <w:color w:val="FFFFFF"/>
                <w:sz w:val="15"/>
              </w:rPr>
              <w:t xml:space="preserve">FY2021</w:t>
            </w:r>
          </w:p>
        </w:tc>
        <w:tc>
          <w:tcPr>
            <w:tcW w:type="dxa" w:w="930"/>
            <w:shd w:val="clear" w:color="auto" w:fill="13213F"/>
          </w:tcPr>
          <w:p>
            <w:pPr>
              <w:pStyle w:val="Compact"/>
              <w:spacing w:after="0" w:before="0" w:line="240" w:lineRule="auto"/>
              <w:jc w:val="right"/>
            </w:pPr>
            <w:r>
              <w:rPr>
                <w:rFonts w:ascii="Arial" w:hAnsi="Arial"/>
                <w:b/>
                <w:color w:val="FFFFFF"/>
                <w:sz w:val="15"/>
              </w:rPr>
              <w:t xml:space="preserve">FY2022</w:t>
            </w:r>
          </w:p>
        </w:tc>
        <w:tc>
          <w:tcPr>
            <w:tcW w:type="dxa" w:w="928"/>
            <w:shd w:val="clear" w:color="auto" w:fill="13213F"/>
          </w:tcPr>
          <w:p>
            <w:pPr>
              <w:pStyle w:val="Compact"/>
              <w:spacing w:after="0" w:before="0" w:line="240" w:lineRule="auto"/>
              <w:jc w:val="right"/>
            </w:pPr>
            <w:r>
              <w:rPr>
                <w:rFonts w:ascii="Arial" w:hAnsi="Arial"/>
                <w:b/>
                <w:color w:val="FFFFFF"/>
                <w:sz w:val="15"/>
              </w:rPr>
              <w:t xml:space="preserve">FY2023</w:t>
            </w:r>
          </w:p>
        </w:tc>
        <w:tc>
          <w:tcPr>
            <w:tcW w:type="dxa" w:w="955"/>
            <w:shd w:val="clear" w:color="auto" w:fill="13213F"/>
          </w:tcPr>
          <w:p>
            <w:pPr>
              <w:pStyle w:val="Compact"/>
              <w:spacing w:after="0" w:before="0" w:line="240" w:lineRule="auto"/>
              <w:jc w:val="right"/>
            </w:pPr>
            <w:r>
              <w:rPr>
                <w:rFonts w:ascii="Arial" w:hAnsi="Arial"/>
                <w:b/>
                <w:color w:val="FFFFFF"/>
                <w:sz w:val="15"/>
              </w:rPr>
              <w:t xml:space="preserve">FY2024</w:t>
            </w:r>
          </w:p>
        </w:tc>
        <w:tc>
          <w:tcPr>
            <w:tcW w:type="dxa" w:w="943"/>
            <w:shd w:val="clear" w:color="auto" w:fill="13213F"/>
          </w:tcPr>
          <w:p>
            <w:pPr>
              <w:pStyle w:val="Compact"/>
              <w:spacing w:after="0" w:before="0" w:line="240" w:lineRule="auto"/>
              <w:jc w:val="right"/>
            </w:pPr>
            <w:r>
              <w:rPr>
                <w:rFonts w:ascii="Arial" w:hAnsi="Arial"/>
                <w:b/>
                <w:color w:val="FFFFFF"/>
                <w:sz w:val="15"/>
              </w:rPr>
              <w:t xml:space="preserve">FY2025</w:t>
            </w:r>
          </w:p>
        </w:tc>
        <w:tc>
          <w:tcPr>
            <w:tcW w:type="dxa" w:w="1078"/>
            <w:shd w:val="clear" w:color="auto" w:fill="13213F"/>
          </w:tcPr>
          <w:p>
            <w:pPr>
              <w:pStyle w:val="Compact"/>
              <w:spacing w:after="0" w:before="0" w:line="240" w:lineRule="auto"/>
              <w:jc w:val="right"/>
            </w:pPr>
            <w:r>
              <w:rPr>
                <w:rFonts w:ascii="Arial" w:hAnsi="Arial"/>
                <w:b/>
                <w:color w:val="FFFFFF"/>
                <w:sz w:val="15"/>
              </w:rPr>
              <w:t xml:space="preserve">2Q26</w:t>
            </w:r>
          </w:p>
        </w:tc>
        <w:tc>
          <w:tcPr>
            <w:tcW w:type="dxa" w:w="2247"/>
            <w:shd w:val="clear" w:color="auto" w:fill="13213F"/>
          </w:tcPr>
          <w:p>
            <w:pPr>
              <w:pStyle w:val="Compact"/>
              <w:spacing w:after="0" w:before="0" w:line="240" w:lineRule="auto"/>
              <w:jc w:val="left"/>
            </w:pPr>
            <w:r>
              <w:rPr>
                <w:rFonts w:ascii="Arial" w:hAnsi="Arial"/>
                <w:b/>
                <w:color w:val="FFFFFF"/>
                <w:sz w:val="15"/>
              </w:rPr>
              <w:t xml:space="preserve">Trend comment</w:t>
            </w:r>
          </w:p>
        </w:tc>
      </w:tr>
      <w:tr>
        <w:trPr>
          <w:cantSplit/>
        </w:trPr>
        <w:tc>
          <w:tcPr>
            <w:tcW w:type="dxa" w:w="1972"/>
            <w:shd w:val="clear" w:color="auto" w:fill="DCE4F2"/>
          </w:tcPr>
          <w:p>
            <w:pPr>
              <w:pStyle w:val="Compact"/>
              <w:spacing w:after="0" w:before="0" w:line="240" w:lineRule="auto"/>
              <w:jc w:val="left"/>
            </w:pPr>
            <w:r>
              <w:rPr>
                <w:rFonts w:ascii="Arial" w:hAnsi="Arial"/>
                <w:b/>
                <w:sz w:val="15"/>
              </w:rPr>
              <w:t xml:space="preserve">Total wireless lines incl. MVNO (m)</w:t>
            </w:r>
          </w:p>
        </w:tc>
        <w:tc>
          <w:tcPr>
            <w:tcW w:type="dxa" w:w="926"/>
            <w:shd w:val="clear" w:color="auto" w:fill="DCE4F2"/>
          </w:tcPr>
          <w:p>
            <w:pPr>
              <w:pStyle w:val="Compact"/>
              <w:spacing w:after="0" w:before="0" w:line="240" w:lineRule="auto"/>
              <w:jc w:val="right"/>
            </w:pPr>
            <w:r>
              <w:rPr>
                <w:rFonts w:ascii="Arial" w:hAnsi="Arial"/>
                <w:b/>
                <w:sz w:val="15"/>
              </w:rPr>
              <w:t xml:space="preserve">18.0</w:t>
            </w:r>
          </w:p>
        </w:tc>
        <w:tc>
          <w:tcPr>
            <w:tcW w:type="dxa" w:w="930"/>
            <w:shd w:val="clear" w:color="auto" w:fill="DCE4F2"/>
          </w:tcPr>
          <w:p>
            <w:pPr>
              <w:pStyle w:val="Compact"/>
              <w:spacing w:after="0" w:before="0" w:line="240" w:lineRule="auto"/>
              <w:jc w:val="right"/>
            </w:pPr>
            <w:r>
              <w:rPr>
                <w:rFonts w:ascii="Arial" w:hAnsi="Arial"/>
                <w:b/>
                <w:sz w:val="15"/>
              </w:rPr>
              <w:t xml:space="preserve">19.9</w:t>
            </w:r>
          </w:p>
        </w:tc>
        <w:tc>
          <w:tcPr>
            <w:tcW w:type="dxa" w:w="928"/>
            <w:shd w:val="clear" w:color="auto" w:fill="DCE4F2"/>
          </w:tcPr>
          <w:p>
            <w:pPr>
              <w:pStyle w:val="Compact"/>
              <w:spacing w:after="0" w:before="0" w:line="240" w:lineRule="auto"/>
              <w:jc w:val="right"/>
            </w:pPr>
            <w:r>
              <w:rPr>
                <w:rFonts w:ascii="Arial" w:hAnsi="Arial"/>
                <w:b/>
                <w:sz w:val="15"/>
              </w:rPr>
              <w:t xml:space="preserve">25.1</w:t>
            </w:r>
          </w:p>
        </w:tc>
        <w:tc>
          <w:tcPr>
            <w:tcW w:type="dxa" w:w="955"/>
            <w:shd w:val="clear" w:color="auto" w:fill="DCE4F2"/>
          </w:tcPr>
          <w:p>
            <w:pPr>
              <w:pStyle w:val="Compact"/>
              <w:spacing w:after="0" w:before="0" w:line="240" w:lineRule="auto"/>
              <w:jc w:val="right"/>
            </w:pPr>
            <w:r>
              <w:rPr>
                <w:rFonts w:ascii="Arial" w:hAnsi="Arial"/>
                <w:b/>
                <w:sz w:val="15"/>
              </w:rPr>
              <w:t xml:space="preserve">28.5</w:t>
            </w:r>
          </w:p>
        </w:tc>
        <w:tc>
          <w:tcPr>
            <w:tcW w:type="dxa" w:w="943"/>
            <w:shd w:val="clear" w:color="auto" w:fill="DCE4F2"/>
          </w:tcPr>
          <w:p>
            <w:pPr>
              <w:pStyle w:val="Compact"/>
              <w:spacing w:after="0" w:before="0" w:line="240" w:lineRule="auto"/>
              <w:jc w:val="right"/>
            </w:pPr>
            <w:r>
              <w:rPr>
                <w:rFonts w:ascii="Arial" w:hAnsi="Arial"/>
                <w:b/>
                <w:sz w:val="15"/>
              </w:rPr>
              <w:t xml:space="preserve">30.7</w:t>
            </w:r>
          </w:p>
        </w:tc>
        <w:tc>
          <w:tcPr>
            <w:tcW w:type="dxa" w:w="1078"/>
            <w:shd w:val="clear" w:color="auto" w:fill="DCE4F2"/>
          </w:tcPr>
          <w:p>
            <w:pPr>
              <w:pStyle w:val="Compact"/>
              <w:spacing w:after="0" w:before="0" w:line="240" w:lineRule="auto"/>
              <w:jc w:val="right"/>
            </w:pPr>
            <w:r>
              <w:rPr>
                <w:rFonts w:ascii="Arial" w:hAnsi="Arial"/>
                <w:b/>
                <w:sz w:val="15"/>
              </w:rPr>
              <w:t xml:space="preserve">31.5</w:t>
            </w:r>
          </w:p>
        </w:tc>
        <w:tc>
          <w:tcPr>
            <w:tcW w:type="dxa" w:w="2247"/>
            <w:shd w:val="clear" w:color="auto" w:fill="DCE4F2"/>
          </w:tcPr>
          <w:p>
            <w:pPr>
              <w:pStyle w:val="Compact"/>
              <w:spacing w:after="0" w:before="0" w:line="240" w:lineRule="auto"/>
              <w:jc w:val="left"/>
            </w:pPr>
            <w:r>
              <w:rPr>
                <w:rFonts w:ascii="Arial" w:hAnsi="Arial"/>
                <w:b/>
                <w:sz w:val="15"/>
              </w:rPr>
              <w:t xml:space="preserve">+75% since FY21, mostly IoT and MVNO</w:t>
            </w:r>
          </w:p>
        </w:tc>
      </w:tr>
      <w:tr>
        <w:trPr>
          <w:cantSplit/>
        </w:trPr>
        <w:tc>
          <w:tcPr>
            <w:tcW w:type="dxa" w:w="1972"/>
            <w:shd w:val="clear" w:color="auto" w:fill="F1F2F5"/>
          </w:tcPr>
          <w:p>
            <w:pPr>
              <w:pStyle w:val="Compact"/>
              <w:spacing w:after="0" w:before="0" w:line="240" w:lineRule="auto"/>
              <w:jc w:val="left"/>
            </w:pPr>
            <w:r>
              <w:rPr>
                <w:rFonts w:ascii="Arial" w:hAnsi="Arial"/>
                <w:sz w:val="15"/>
              </w:rPr>
              <w:t xml:space="preserve">MNO lines (m)</w:t>
            </w:r>
          </w:p>
        </w:tc>
        <w:tc>
          <w:tcPr>
            <w:tcW w:type="dxa" w:w="926"/>
            <w:shd w:val="clear" w:color="auto" w:fill="F1F2F5"/>
          </w:tcPr>
          <w:p>
            <w:pPr>
              <w:pStyle w:val="Compact"/>
              <w:spacing w:after="0" w:before="0" w:line="240" w:lineRule="auto"/>
              <w:jc w:val="right"/>
            </w:pPr>
            <w:r>
              <w:rPr>
                <w:rFonts w:ascii="Arial" w:hAnsi="Arial"/>
                <w:sz w:val="15"/>
              </w:rPr>
              <w:t xml:space="preserve">15.2 [e]</w:t>
            </w:r>
          </w:p>
        </w:tc>
        <w:tc>
          <w:tcPr>
            <w:tcW w:type="dxa" w:w="930"/>
            <w:shd w:val="clear" w:color="auto" w:fill="F1F2F5"/>
          </w:tcPr>
          <w:p>
            <w:pPr>
              <w:pStyle w:val="Compact"/>
              <w:spacing w:after="0" w:before="0" w:line="240" w:lineRule="auto"/>
              <w:jc w:val="right"/>
            </w:pPr>
            <w:r>
              <w:rPr>
                <w:rFonts w:ascii="Arial" w:hAnsi="Arial"/>
                <w:sz w:val="15"/>
              </w:rPr>
              <w:t xml:space="preserve">16.0 [e]</w:t>
            </w:r>
          </w:p>
        </w:tc>
        <w:tc>
          <w:tcPr>
            <w:tcW w:type="dxa" w:w="928"/>
            <w:shd w:val="clear" w:color="auto" w:fill="F1F2F5"/>
          </w:tcPr>
          <w:p>
            <w:pPr>
              <w:pStyle w:val="Compact"/>
              <w:spacing w:after="0" w:before="0" w:line="240" w:lineRule="auto"/>
              <w:jc w:val="right"/>
            </w:pPr>
            <w:r>
              <w:rPr>
                <w:rFonts w:ascii="Arial" w:hAnsi="Arial"/>
                <w:sz w:val="15"/>
              </w:rPr>
              <w:t xml:space="preserve">18.8 [e]</w:t>
            </w:r>
          </w:p>
        </w:tc>
        <w:tc>
          <w:tcPr>
            <w:tcW w:type="dxa" w:w="955"/>
            <w:shd w:val="clear" w:color="auto" w:fill="F1F2F5"/>
          </w:tcPr>
          <w:p>
            <w:pPr>
              <w:pStyle w:val="Compact"/>
              <w:spacing w:after="0" w:before="0" w:line="240" w:lineRule="auto"/>
              <w:jc w:val="right"/>
            </w:pPr>
            <w:r>
              <w:rPr>
                <w:rFonts w:ascii="Arial" w:hAnsi="Arial"/>
                <w:sz w:val="15"/>
              </w:rPr>
              <w:t xml:space="preserve">20.4 [e]</w:t>
            </w:r>
          </w:p>
        </w:tc>
        <w:tc>
          <w:tcPr>
            <w:tcW w:type="dxa" w:w="943"/>
            <w:shd w:val="clear" w:color="auto" w:fill="F1F2F5"/>
          </w:tcPr>
          <w:p>
            <w:pPr>
              <w:pStyle w:val="Compact"/>
              <w:spacing w:after="0" w:before="0" w:line="240" w:lineRule="auto"/>
              <w:jc w:val="right"/>
            </w:pPr>
            <w:r>
              <w:rPr>
                <w:rFonts w:ascii="Arial" w:hAnsi="Arial"/>
                <w:sz w:val="15"/>
              </w:rPr>
              <w:t xml:space="preserve">21.7</w:t>
            </w:r>
          </w:p>
        </w:tc>
        <w:tc>
          <w:tcPr>
            <w:tcW w:type="dxa" w:w="1078"/>
            <w:shd w:val="clear" w:color="auto" w:fill="F1F2F5"/>
          </w:tcPr>
          <w:p>
            <w:pPr>
              <w:pStyle w:val="Compact"/>
              <w:spacing w:after="0" w:before="0" w:line="240" w:lineRule="auto"/>
              <w:jc w:val="right"/>
            </w:pPr>
            <w:r>
              <w:rPr>
                <w:rFonts w:ascii="Arial" w:hAnsi="Arial"/>
                <w:sz w:val="15"/>
              </w:rPr>
              <w:t xml:space="preserve">22.4</w:t>
            </w:r>
          </w:p>
        </w:tc>
        <w:tc>
          <w:tcPr>
            <w:tcW w:type="dxa" w:w="2247"/>
            <w:shd w:val="clear" w:color="auto" w:fill="F1F2F5"/>
          </w:tcPr>
          <w:p>
            <w:pPr>
              <w:pStyle w:val="Compact"/>
              <w:spacing w:after="0" w:before="0" w:line="240" w:lineRule="auto"/>
              <w:jc w:val="left"/>
            </w:pPr>
            <w:r>
              <w:rPr>
                <w:rFonts w:ascii="Arial" w:hAnsi="Arial"/>
                <w:sz w:val="15"/>
              </w:rPr>
              <w:t xml:space="preserve">+7.2% YoY (rival breaches)</w:t>
            </w:r>
          </w:p>
        </w:tc>
      </w:tr>
      <w:tr>
        <w:trPr>
          <w:cantSplit/>
        </w:trPr>
        <w:tc>
          <w:tcPr>
            <w:tcW w:type="dxa" w:w="1972"/>
            <w:shd w:val="clear" w:color="auto" w:fill="DCE4F2"/>
          </w:tcPr>
          <w:p>
            <w:pPr>
              <w:pStyle w:val="Compact"/>
              <w:spacing w:after="0" w:before="0" w:line="240" w:lineRule="auto"/>
              <w:jc w:val="left"/>
            </w:pPr>
            <w:r>
              <w:rPr>
                <w:rFonts w:ascii="Arial" w:hAnsi="Arial"/>
                <w:b/>
                <w:sz w:val="15"/>
              </w:rPr>
              <w:t xml:space="preserve">Implied handset base (m) [e]</w:t>
            </w:r>
          </w:p>
        </w:tc>
        <w:tc>
          <w:tcPr>
            <w:tcW w:type="dxa" w:w="926"/>
            <w:shd w:val="clear" w:color="auto" w:fill="DCE4F2"/>
          </w:tcPr>
          <w:p>
            <w:pPr>
              <w:pStyle w:val="Compact"/>
              <w:spacing w:after="0" w:before="0" w:line="240" w:lineRule="auto"/>
              <w:jc w:val="right"/>
            </w:pPr>
            <w:r>
              <w:rPr>
                <w:rFonts w:ascii="Arial" w:hAnsi="Arial"/>
                <w:b/>
                <w:sz w:val="15"/>
              </w:rPr>
              <w:t xml:space="preserve">~11.4</w:t>
            </w:r>
          </w:p>
        </w:tc>
        <w:tc>
          <w:tcPr>
            <w:tcW w:type="dxa" w:w="930"/>
            <w:shd w:val="clear" w:color="auto" w:fill="DCE4F2"/>
          </w:tcPr>
          <w:p>
            <w:pPr>
              <w:pStyle w:val="Compact"/>
              <w:spacing w:after="0" w:before="0" w:line="240" w:lineRule="auto"/>
              <w:jc w:val="right"/>
            </w:pPr>
            <w:r>
              <w:rPr>
                <w:rFonts w:ascii="Arial" w:hAnsi="Arial"/>
                <w:b/>
                <w:sz w:val="15"/>
              </w:rPr>
              <w:t xml:space="preserve">~11.4</w:t>
            </w:r>
          </w:p>
        </w:tc>
        <w:tc>
          <w:tcPr>
            <w:tcW w:type="dxa" w:w="928"/>
            <w:shd w:val="clear" w:color="auto" w:fill="DCE4F2"/>
          </w:tcPr>
          <w:p>
            <w:pPr>
              <w:pStyle w:val="Compact"/>
              <w:spacing w:after="0" w:before="0" w:line="240" w:lineRule="auto"/>
              <w:jc w:val="right"/>
            </w:pPr>
            <w:r>
              <w:rPr>
                <w:rFonts w:ascii="Arial" w:hAnsi="Arial"/>
                <w:b/>
                <w:sz w:val="15"/>
              </w:rPr>
              <w:t xml:space="preserve">~11.0</w:t>
            </w:r>
          </w:p>
        </w:tc>
        <w:tc>
          <w:tcPr>
            <w:tcW w:type="dxa" w:w="955"/>
            <w:shd w:val="clear" w:color="auto" w:fill="DCE4F2"/>
          </w:tcPr>
          <w:p>
            <w:pPr>
              <w:pStyle w:val="Compact"/>
              <w:spacing w:after="0" w:before="0" w:line="240" w:lineRule="auto"/>
              <w:jc w:val="right"/>
            </w:pPr>
            <w:r>
              <w:rPr>
                <w:rFonts w:ascii="Arial" w:hAnsi="Arial"/>
                <w:b/>
                <w:sz w:val="15"/>
              </w:rPr>
              <w:t xml:space="preserve">~10.9</w:t>
            </w:r>
          </w:p>
        </w:tc>
        <w:tc>
          <w:tcPr>
            <w:tcW w:type="dxa" w:w="943"/>
            <w:shd w:val="clear" w:color="auto" w:fill="DCE4F2"/>
          </w:tcPr>
          <w:p>
            <w:pPr>
              <w:pStyle w:val="Compact"/>
              <w:spacing w:after="0" w:before="0" w:line="240" w:lineRule="auto"/>
              <w:jc w:val="right"/>
            </w:pPr>
            <w:r>
              <w:rPr>
                <w:rFonts w:ascii="Arial" w:hAnsi="Arial"/>
                <w:b/>
                <w:sz w:val="15"/>
              </w:rPr>
              <w:t xml:space="preserve">n/d</w:t>
            </w:r>
          </w:p>
        </w:tc>
        <w:tc>
          <w:tcPr>
            <w:tcW w:type="dxa" w:w="1078"/>
            <w:shd w:val="clear" w:color="auto" w:fill="DCE4F2"/>
          </w:tcPr>
          <w:p>
            <w:pPr>
              <w:pStyle w:val="Compact"/>
              <w:spacing w:after="0" w:before="0" w:line="240" w:lineRule="auto"/>
              <w:jc w:val="right"/>
            </w:pPr>
            <w:r>
              <w:rPr>
                <w:rFonts w:ascii="Arial" w:hAnsi="Arial"/>
                <w:b/>
                <w:sz w:val="15"/>
              </w:rPr>
              <w:t xml:space="preserve">~11.3</w:t>
            </w:r>
          </w:p>
        </w:tc>
        <w:tc>
          <w:tcPr>
            <w:tcW w:type="dxa" w:w="2247"/>
            <w:shd w:val="clear" w:color="auto" w:fill="DCE4F2"/>
          </w:tcPr>
          <w:p>
            <w:pPr>
              <w:pStyle w:val="Compact"/>
              <w:spacing w:after="0" w:before="0" w:line="240" w:lineRule="auto"/>
              <w:jc w:val="left"/>
            </w:pPr>
            <w:r>
              <w:rPr>
                <w:rFonts w:ascii="Arial" w:hAnsi="Arial"/>
                <w:b/>
                <w:sz w:val="15"/>
              </w:rPr>
              <w:t xml:space="preserve">Flat; this is the real</w:t>
            </w:r>
            <w:r>
              <w:rPr>
                <w:rFonts w:ascii="Arial" w:hAnsi="Arial"/>
                <w:b/>
                <w:sz w:val="15"/>
              </w:rPr>
              <w:t xml:space="preserve"> </w:t>
            </w:r>
            <w:r>
              <w:rPr>
                <w:rFonts w:ascii="Arial" w:hAnsi="Arial"/>
                <w:b/>
                <w:sz w:val="15"/>
              </w:rPr>
              <w:t xml:space="preserve">“</w:t>
            </w:r>
            <w:r>
              <w:rPr>
                <w:rFonts w:ascii="Arial" w:hAnsi="Arial"/>
                <w:b/>
                <w:sz w:val="15"/>
              </w:rPr>
              <w:t xml:space="preserve">volume</w:t>
            </w:r>
            <w:r>
              <w:rPr>
                <w:rFonts w:ascii="Arial" w:hAnsi="Arial"/>
                <w:b/>
                <w:sz w:val="15"/>
              </w:rPr>
              <w:t xml:space="preserve">”</w:t>
            </w:r>
          </w:p>
        </w:tc>
      </w:tr>
      <w:tr>
        <w:trPr>
          <w:cantSplit/>
        </w:trPr>
        <w:tc>
          <w:tcPr>
            <w:tcW w:type="dxa" w:w="1972"/>
            <w:shd w:val="clear" w:color="auto" w:fill="F1F2F5"/>
          </w:tcPr>
          <w:p>
            <w:pPr>
              <w:pStyle w:val="Compact"/>
              <w:spacing w:after="0" w:before="0" w:line="240" w:lineRule="auto"/>
              <w:jc w:val="left"/>
            </w:pPr>
            <w:r>
              <w:rPr>
                <w:rFonts w:ascii="Arial" w:hAnsi="Arial"/>
                <w:sz w:val="15"/>
              </w:rPr>
              <w:t xml:space="preserve">Hosted MVNO lines (m)</w:t>
            </w:r>
          </w:p>
        </w:tc>
        <w:tc>
          <w:tcPr>
            <w:tcW w:type="dxa" w:w="926"/>
            <w:shd w:val="clear" w:color="auto" w:fill="F1F2F5"/>
          </w:tcPr>
          <w:p>
            <w:pPr>
              <w:pStyle w:val="Compact"/>
              <w:spacing w:after="0" w:before="0" w:line="240" w:lineRule="auto"/>
              <w:jc w:val="right"/>
            </w:pPr>
            <w:r>
              <w:rPr>
                <w:rFonts w:ascii="Arial" w:hAnsi="Arial"/>
                <w:sz w:val="15"/>
              </w:rPr>
              <w:t xml:space="preserve">2.8</w:t>
            </w:r>
          </w:p>
        </w:tc>
        <w:tc>
          <w:tcPr>
            <w:tcW w:type="dxa" w:w="930"/>
            <w:shd w:val="clear" w:color="auto" w:fill="F1F2F5"/>
          </w:tcPr>
          <w:p>
            <w:pPr>
              <w:pStyle w:val="Compact"/>
              <w:spacing w:after="0" w:before="0" w:line="240" w:lineRule="auto"/>
              <w:jc w:val="right"/>
            </w:pPr>
            <w:r>
              <w:rPr>
                <w:rFonts w:ascii="Arial" w:hAnsi="Arial"/>
                <w:sz w:val="15"/>
              </w:rPr>
              <w:t xml:space="preserve">3.9</w:t>
            </w:r>
          </w:p>
        </w:tc>
        <w:tc>
          <w:tcPr>
            <w:tcW w:type="dxa" w:w="928"/>
            <w:shd w:val="clear" w:color="auto" w:fill="F1F2F5"/>
          </w:tcPr>
          <w:p>
            <w:pPr>
              <w:pStyle w:val="Compact"/>
              <w:spacing w:after="0" w:before="0" w:line="240" w:lineRule="auto"/>
              <w:jc w:val="right"/>
            </w:pPr>
            <w:r>
              <w:rPr>
                <w:rFonts w:ascii="Arial" w:hAnsi="Arial"/>
                <w:sz w:val="15"/>
              </w:rPr>
              <w:t xml:space="preserve">6.3</w:t>
            </w:r>
          </w:p>
        </w:tc>
        <w:tc>
          <w:tcPr>
            <w:tcW w:type="dxa" w:w="955"/>
            <w:shd w:val="clear" w:color="auto" w:fill="F1F2F5"/>
          </w:tcPr>
          <w:p>
            <w:pPr>
              <w:pStyle w:val="Compact"/>
              <w:spacing w:after="0" w:before="0" w:line="240" w:lineRule="auto"/>
              <w:jc w:val="right"/>
            </w:pPr>
            <w:r>
              <w:rPr>
                <w:rFonts w:ascii="Arial" w:hAnsi="Arial"/>
                <w:sz w:val="15"/>
              </w:rPr>
              <w:t xml:space="preserve">~8.2</w:t>
            </w:r>
          </w:p>
        </w:tc>
        <w:tc>
          <w:tcPr>
            <w:tcW w:type="dxa" w:w="943"/>
            <w:shd w:val="clear" w:color="auto" w:fill="F1F2F5"/>
          </w:tcPr>
          <w:p>
            <w:pPr>
              <w:pStyle w:val="Compact"/>
              <w:spacing w:after="0" w:before="0" w:line="240" w:lineRule="auto"/>
              <w:jc w:val="right"/>
            </w:pPr>
            <w:r>
              <w:rPr>
                <w:rFonts w:ascii="Arial" w:hAnsi="Arial"/>
                <w:sz w:val="15"/>
              </w:rPr>
              <w:t xml:space="preserve">9.0</w:t>
            </w:r>
          </w:p>
        </w:tc>
        <w:tc>
          <w:tcPr>
            <w:tcW w:type="dxa" w:w="1078"/>
            <w:shd w:val="clear" w:color="auto" w:fill="F1F2F5"/>
          </w:tcPr>
          <w:p>
            <w:pPr>
              <w:pStyle w:val="Compact"/>
              <w:spacing w:after="0" w:before="0" w:line="240" w:lineRule="auto"/>
              <w:jc w:val="right"/>
            </w:pPr>
            <w:r>
              <w:rPr>
                <w:rFonts w:ascii="Arial" w:hAnsi="Arial"/>
                <w:sz w:val="15"/>
              </w:rPr>
              <w:t xml:space="preserve">9.0</w:t>
            </w:r>
          </w:p>
        </w:tc>
        <w:tc>
          <w:tcPr>
            <w:tcW w:type="dxa" w:w="2247"/>
            <w:shd w:val="clear" w:color="auto" w:fill="F1F2F5"/>
          </w:tcPr>
          <w:p>
            <w:pPr>
              <w:pStyle w:val="Compact"/>
              <w:spacing w:after="0" w:before="0" w:line="240" w:lineRule="auto"/>
              <w:jc w:val="left"/>
            </w:pPr>
            <w:r>
              <w:rPr>
                <w:rFonts w:ascii="Arial" w:hAnsi="Arial"/>
                <w:sz w:val="15"/>
              </w:rPr>
              <w:t xml:space="preserve">Plateauing</w:t>
            </w:r>
          </w:p>
        </w:tc>
      </w:tr>
      <w:tr>
        <w:trPr>
          <w:cantSplit/>
        </w:trPr>
        <w:tc>
          <w:tcPr>
            <w:tcW w:type="dxa" w:w="1972"/>
          </w:tcPr>
          <w:p>
            <w:pPr>
              <w:pStyle w:val="Compact"/>
              <w:spacing w:after="0" w:before="0" w:line="240" w:lineRule="auto"/>
              <w:jc w:val="left"/>
            </w:pPr>
            <w:r>
              <w:rPr>
                <w:rFonts w:ascii="Arial" w:hAnsi="Arial"/>
                <w:sz w:val="15"/>
              </w:rPr>
              <w:t xml:space="preserve">5G share of handsets</w:t>
            </w:r>
          </w:p>
        </w:tc>
        <w:tc>
          <w:tcPr>
            <w:tcW w:type="dxa" w:w="926"/>
          </w:tcPr>
          <w:p>
            <w:pPr>
              <w:pStyle w:val="Compact"/>
              <w:spacing w:after="0" w:before="0" w:line="240" w:lineRule="auto"/>
              <w:jc w:val="right"/>
            </w:pPr>
            <w:r>
              <w:rPr>
                <w:rFonts w:ascii="Arial" w:hAnsi="Arial"/>
                <w:sz w:val="15"/>
              </w:rPr>
              <w:t xml:space="preserve">40.5%</w:t>
            </w:r>
          </w:p>
        </w:tc>
        <w:tc>
          <w:tcPr>
            <w:tcW w:type="dxa" w:w="930"/>
          </w:tcPr>
          <w:p>
            <w:pPr>
              <w:pStyle w:val="Compact"/>
              <w:spacing w:after="0" w:before="0" w:line="240" w:lineRule="auto"/>
              <w:jc w:val="right"/>
            </w:pPr>
            <w:r>
              <w:rPr>
                <w:rFonts w:ascii="Arial" w:hAnsi="Arial"/>
                <w:sz w:val="15"/>
              </w:rPr>
              <w:t xml:space="preserve">53.5%</w:t>
            </w:r>
          </w:p>
        </w:tc>
        <w:tc>
          <w:tcPr>
            <w:tcW w:type="dxa" w:w="928"/>
          </w:tcPr>
          <w:p>
            <w:pPr>
              <w:pStyle w:val="Compact"/>
              <w:spacing w:after="0" w:before="0" w:line="240" w:lineRule="auto"/>
              <w:jc w:val="right"/>
            </w:pPr>
            <w:r>
              <w:rPr>
                <w:rFonts w:ascii="Arial" w:hAnsi="Arial"/>
                <w:sz w:val="15"/>
              </w:rPr>
              <w:t xml:space="preserve">64.3%</w:t>
            </w:r>
          </w:p>
        </w:tc>
        <w:tc>
          <w:tcPr>
            <w:tcW w:type="dxa" w:w="955"/>
          </w:tcPr>
          <w:p>
            <w:pPr>
              <w:pStyle w:val="Compact"/>
              <w:spacing w:after="0" w:before="0" w:line="240" w:lineRule="auto"/>
              <w:jc w:val="right"/>
            </w:pPr>
            <w:r>
              <w:rPr>
                <w:rFonts w:ascii="Arial" w:hAnsi="Arial"/>
                <w:sz w:val="15"/>
              </w:rPr>
              <w:t xml:space="preserve">72.7%</w:t>
            </w:r>
          </w:p>
        </w:tc>
        <w:tc>
          <w:tcPr>
            <w:tcW w:type="dxa" w:w="943"/>
          </w:tcPr>
          <w:p>
            <w:pPr>
              <w:pStyle w:val="Compact"/>
              <w:spacing w:after="0" w:before="0" w:line="240" w:lineRule="auto"/>
              <w:jc w:val="right"/>
            </w:pPr>
            <w:r>
              <w:rPr>
                <w:rFonts w:ascii="Arial" w:hAnsi="Arial"/>
                <w:sz w:val="15"/>
              </w:rPr>
              <w:t xml:space="preserve">83.1%</w:t>
            </w:r>
          </w:p>
        </w:tc>
        <w:tc>
          <w:tcPr>
            <w:tcW w:type="dxa" w:w="1078"/>
          </w:tcPr>
          <w:p>
            <w:pPr>
              <w:pStyle w:val="Compact"/>
              <w:spacing w:after="0" w:before="0" w:line="240" w:lineRule="auto"/>
              <w:jc w:val="right"/>
            </w:pPr>
            <w:r>
              <w:rPr>
                <w:rFonts w:ascii="Arial" w:hAnsi="Arial"/>
                <w:sz w:val="15"/>
              </w:rPr>
              <w:t xml:space="preserve">84.9%</w:t>
            </w:r>
          </w:p>
        </w:tc>
        <w:tc>
          <w:tcPr>
            <w:tcW w:type="dxa" w:w="2247"/>
          </w:tcPr>
          <w:p>
            <w:pPr>
              <w:pStyle w:val="Compact"/>
              <w:spacing w:after="0" w:before="0" w:line="240" w:lineRule="auto"/>
              <w:jc w:val="left"/>
            </w:pPr>
            <w:r>
              <w:rPr>
                <w:rFonts w:ascii="Arial" w:hAnsi="Arial"/>
                <w:sz w:val="15"/>
              </w:rPr>
              <w:t xml:space="preserve">Near saturation; ARPU upgrade lever is exhausted</w:t>
            </w:r>
          </w:p>
        </w:tc>
      </w:tr>
      <w:tr>
        <w:trPr>
          <w:cantSplit/>
        </w:trPr>
        <w:tc>
          <w:tcPr>
            <w:tcW w:type="dxa" w:w="1972"/>
            <w:shd w:val="clear" w:color="auto" w:fill="F1F2F5"/>
          </w:tcPr>
          <w:p>
            <w:pPr>
              <w:pStyle w:val="Compact"/>
              <w:spacing w:after="0" w:before="0" w:line="240" w:lineRule="auto"/>
              <w:jc w:val="left"/>
            </w:pPr>
            <w:r>
              <w:rPr>
                <w:rFonts w:ascii="Arial" w:hAnsi="Arial"/>
                <w:sz w:val="15"/>
              </w:rPr>
              <w:t xml:space="preserve">MNO total-line share (MSIT, incl. IoT)</w:t>
            </w:r>
          </w:p>
        </w:tc>
        <w:tc>
          <w:tcPr>
            <w:tcW w:type="dxa" w:w="926"/>
            <w:shd w:val="clear" w:color="auto" w:fill="F1F2F5"/>
          </w:tcPr>
          <w:p>
            <w:pPr>
              <w:pStyle w:val="Compact"/>
              <w:spacing w:after="0" w:before="0" w:line="240" w:lineRule="auto"/>
              <w:jc w:val="right"/>
            </w:pPr>
            <w:r>
              <w:rPr>
                <w:rFonts w:ascii="Arial" w:hAnsi="Arial"/>
                <w:sz w:val="15"/>
              </w:rPr>
              <w:t xml:space="preserve">n/d</w:t>
            </w:r>
          </w:p>
        </w:tc>
        <w:tc>
          <w:tcPr>
            <w:tcW w:type="dxa" w:w="930"/>
            <w:shd w:val="clear" w:color="auto" w:fill="F1F2F5"/>
          </w:tcPr>
          <w:p>
            <w:pPr>
              <w:pStyle w:val="Compact"/>
              <w:spacing w:after="0" w:before="0" w:line="240" w:lineRule="auto"/>
              <w:jc w:val="right"/>
            </w:pPr>
            <w:r>
              <w:rPr>
                <w:rFonts w:ascii="Arial" w:hAnsi="Arial"/>
                <w:sz w:val="15"/>
              </w:rPr>
              <w:t xml:space="preserve">25.0%</w:t>
            </w:r>
          </w:p>
        </w:tc>
        <w:tc>
          <w:tcPr>
            <w:tcW w:type="dxa" w:w="928"/>
            <w:shd w:val="clear" w:color="auto" w:fill="F1F2F5"/>
          </w:tcPr>
          <w:p>
            <w:pPr>
              <w:pStyle w:val="Compact"/>
              <w:spacing w:after="0" w:before="0" w:line="240" w:lineRule="auto"/>
              <w:jc w:val="right"/>
            </w:pPr>
            <w:r>
              <w:rPr>
                <w:rFonts w:ascii="Arial" w:hAnsi="Arial"/>
                <w:sz w:val="15"/>
              </w:rPr>
              <w:t xml:space="preserve">27.6%</w:t>
            </w:r>
          </w:p>
        </w:tc>
        <w:tc>
          <w:tcPr>
            <w:tcW w:type="dxa" w:w="955"/>
            <w:shd w:val="clear" w:color="auto" w:fill="F1F2F5"/>
          </w:tcPr>
          <w:p>
            <w:pPr>
              <w:pStyle w:val="Compact"/>
              <w:spacing w:after="0" w:before="0" w:line="240" w:lineRule="auto"/>
              <w:jc w:val="right"/>
            </w:pPr>
            <w:r>
              <w:rPr>
                <w:rFonts w:ascii="Arial" w:hAnsi="Arial"/>
                <w:sz w:val="15"/>
              </w:rPr>
              <w:t xml:space="preserve">28.5%</w:t>
            </w:r>
          </w:p>
        </w:tc>
        <w:tc>
          <w:tcPr>
            <w:tcW w:type="dxa" w:w="943"/>
            <w:shd w:val="clear" w:color="auto" w:fill="F1F2F5"/>
          </w:tcPr>
          <w:p>
            <w:pPr>
              <w:pStyle w:val="Compact"/>
              <w:spacing w:after="0" w:before="0" w:line="240" w:lineRule="auto"/>
              <w:jc w:val="right"/>
            </w:pPr>
            <w:r>
              <w:rPr>
                <w:rFonts w:ascii="Arial" w:hAnsi="Arial"/>
                <w:sz w:val="15"/>
              </w:rPr>
              <w:t xml:space="preserve">29.5%</w:t>
            </w:r>
          </w:p>
        </w:tc>
        <w:tc>
          <w:tcPr>
            <w:tcW w:type="dxa" w:w="1078"/>
            <w:shd w:val="clear" w:color="auto" w:fill="F1F2F5"/>
          </w:tcPr>
          <w:p>
            <w:pPr>
              <w:pStyle w:val="Compact"/>
              <w:spacing w:after="0" w:before="0" w:line="240" w:lineRule="auto"/>
              <w:jc w:val="right"/>
            </w:pPr>
            <w:r>
              <w:rPr>
                <w:rFonts w:ascii="Arial" w:hAnsi="Arial"/>
                <w:sz w:val="15"/>
              </w:rPr>
              <w:t xml:space="preserve">29.8% (Mar-26)</w:t>
            </w:r>
          </w:p>
        </w:tc>
        <w:tc>
          <w:tcPr>
            <w:tcW w:type="dxa" w:w="2247"/>
            <w:shd w:val="clear" w:color="auto" w:fill="F1F2F5"/>
          </w:tcPr>
          <w:p>
            <w:pPr>
              <w:pStyle w:val="Compact"/>
              <w:spacing w:after="0" w:before="0" w:line="240" w:lineRule="auto"/>
              <w:jc w:val="left"/>
            </w:pPr>
            <w:r>
              <w:rPr>
                <w:rFonts w:ascii="Arial" w:hAnsi="Arial"/>
                <w:sz w:val="15"/>
              </w:rPr>
              <w:t xml:space="preserve">Ahead of KT since Dec-23</w:t>
            </w:r>
          </w:p>
        </w:tc>
      </w:tr>
      <w:tr>
        <w:trPr>
          <w:cantSplit/>
        </w:trPr>
        <w:tc>
          <w:tcPr>
            <w:tcW w:type="dxa" w:w="1972"/>
          </w:tcPr>
          <w:p>
            <w:pPr>
              <w:pStyle w:val="Compact"/>
              <w:spacing w:after="0" w:before="0" w:line="240" w:lineRule="auto"/>
              <w:jc w:val="left"/>
            </w:pPr>
            <w:r>
              <w:rPr>
                <w:rFonts w:ascii="Arial" w:hAnsi="Arial"/>
                <w:sz w:val="15"/>
              </w:rPr>
              <w:t xml:space="preserve">Mobile service revenue per MNO line (KRW/month) [e]</w:t>
            </w:r>
          </w:p>
        </w:tc>
        <w:tc>
          <w:tcPr>
            <w:tcW w:type="dxa" w:w="926"/>
          </w:tcPr>
          <w:p>
            <w:pPr>
              <w:pStyle w:val="Compact"/>
              <w:spacing w:after="0" w:before="0" w:line="240" w:lineRule="auto"/>
              <w:jc w:val="right"/>
            </w:pPr>
            <w:r>
              <w:rPr>
                <w:rFonts w:ascii="Arial" w:hAnsi="Arial"/>
                <w:sz w:val="15"/>
              </w:rPr>
              <w:t xml:space="preserve">~31,700</w:t>
            </w:r>
          </w:p>
        </w:tc>
        <w:tc>
          <w:tcPr>
            <w:tcW w:type="dxa" w:w="930"/>
          </w:tcPr>
          <w:p>
            <w:pPr>
              <w:pStyle w:val="Compact"/>
              <w:spacing w:after="0" w:before="0" w:line="240" w:lineRule="auto"/>
              <w:jc w:val="right"/>
            </w:pPr>
            <w:r>
              <w:rPr>
                <w:rFonts w:ascii="Arial" w:hAnsi="Arial"/>
                <w:sz w:val="15"/>
              </w:rPr>
              <w:t xml:space="preserve">~31,200</w:t>
            </w:r>
          </w:p>
        </w:tc>
        <w:tc>
          <w:tcPr>
            <w:tcW w:type="dxa" w:w="928"/>
          </w:tcPr>
          <w:p>
            <w:pPr>
              <w:pStyle w:val="Compact"/>
              <w:spacing w:after="0" w:before="0" w:line="240" w:lineRule="auto"/>
              <w:jc w:val="right"/>
            </w:pPr>
            <w:r>
              <w:rPr>
                <w:rFonts w:ascii="Arial" w:hAnsi="Arial"/>
                <w:sz w:val="15"/>
              </w:rPr>
              <w:t xml:space="preserve">~28,700</w:t>
            </w:r>
          </w:p>
        </w:tc>
        <w:tc>
          <w:tcPr>
            <w:tcW w:type="dxa" w:w="955"/>
          </w:tcPr>
          <w:p>
            <w:pPr>
              <w:pStyle w:val="Compact"/>
              <w:spacing w:after="0" w:before="0" w:line="240" w:lineRule="auto"/>
              <w:jc w:val="right"/>
            </w:pPr>
            <w:r>
              <w:rPr>
                <w:rFonts w:ascii="Arial" w:hAnsi="Arial"/>
                <w:sz w:val="15"/>
              </w:rPr>
              <w:t xml:space="preserve">~26,100</w:t>
            </w:r>
          </w:p>
        </w:tc>
        <w:tc>
          <w:tcPr>
            <w:tcW w:type="dxa" w:w="943"/>
          </w:tcPr>
          <w:p>
            <w:pPr>
              <w:pStyle w:val="Compact"/>
              <w:spacing w:after="0" w:before="0" w:line="240" w:lineRule="auto"/>
              <w:jc w:val="right"/>
            </w:pPr>
            <w:r>
              <w:rPr>
                <w:rFonts w:ascii="Arial" w:hAnsi="Arial"/>
                <w:sz w:val="15"/>
              </w:rPr>
              <w:t xml:space="preserve">~25,200</w:t>
            </w:r>
          </w:p>
        </w:tc>
        <w:tc>
          <w:tcPr>
            <w:tcW w:type="dxa" w:w="1078"/>
          </w:tcPr>
          <w:p>
            <w:pPr>
              <w:pStyle w:val="Compact"/>
              <w:spacing w:after="0" w:before="0" w:line="240" w:lineRule="auto"/>
              <w:jc w:val="right"/>
            </w:pPr>
            <w:r>
              <w:rPr>
                <w:rFonts w:ascii="Arial" w:hAnsi="Arial"/>
                <w:sz w:val="15"/>
              </w:rPr>
              <w:t xml:space="preserve">–</w:t>
            </w:r>
          </w:p>
        </w:tc>
        <w:tc>
          <w:tcPr>
            <w:tcW w:type="dxa" w:w="2247"/>
          </w:tcPr>
          <w:p>
            <w:pPr>
              <w:pStyle w:val="Compact"/>
              <w:spacing w:after="0" w:before="0" w:line="240" w:lineRule="auto"/>
              <w:jc w:val="left"/>
            </w:pPr>
            <w:r>
              <w:rPr>
                <w:rFonts w:ascii="Arial" w:hAnsi="Arial"/>
                <w:sz w:val="15"/>
              </w:rPr>
              <w:t xml:space="preserve">Diluted by low-ARPU IoT lines</w:t>
            </w:r>
          </w:p>
        </w:tc>
      </w:tr>
      <w:tr>
        <w:trPr>
          <w:cantSplit/>
        </w:trPr>
        <w:tc>
          <w:tcPr>
            <w:tcW w:type="dxa" w:w="1972"/>
            <w:shd w:val="clear" w:color="auto" w:fill="F1F2F5"/>
          </w:tcPr>
          <w:p>
            <w:pPr>
              <w:pStyle w:val="Compact"/>
              <w:spacing w:after="0" w:before="0" w:line="240" w:lineRule="auto"/>
              <w:jc w:val="left"/>
            </w:pPr>
            <w:r>
              <w:rPr>
                <w:rFonts w:ascii="Arial" w:hAnsi="Arial"/>
                <w:sz w:val="15"/>
              </w:rPr>
              <w:t xml:space="preserve">Monthly MNO churn</w:t>
            </w:r>
          </w:p>
        </w:tc>
        <w:tc>
          <w:tcPr>
            <w:tcW w:type="dxa" w:w="926"/>
            <w:shd w:val="clear" w:color="auto" w:fill="F1F2F5"/>
          </w:tcPr>
          <w:p>
            <w:pPr>
              <w:pStyle w:val="Compact"/>
              <w:spacing w:after="0" w:before="0" w:line="240" w:lineRule="auto"/>
              <w:jc w:val="right"/>
            </w:pPr>
            <w:r>
              <w:rPr>
                <w:rFonts w:ascii="Arial" w:hAnsi="Arial"/>
                <w:sz w:val="15"/>
              </w:rPr>
              <w:t xml:space="preserve">n/d</w:t>
            </w:r>
          </w:p>
        </w:tc>
        <w:tc>
          <w:tcPr>
            <w:tcW w:type="dxa" w:w="930"/>
            <w:shd w:val="clear" w:color="auto" w:fill="F1F2F5"/>
          </w:tcPr>
          <w:p>
            <w:pPr>
              <w:pStyle w:val="Compact"/>
              <w:spacing w:after="0" w:before="0" w:line="240" w:lineRule="auto"/>
              <w:jc w:val="right"/>
            </w:pPr>
            <w:r>
              <w:rPr>
                <w:rFonts w:ascii="Arial" w:hAnsi="Arial"/>
                <w:sz w:val="15"/>
              </w:rPr>
              <w:t xml:space="preserve">~1.08%</w:t>
            </w:r>
          </w:p>
        </w:tc>
        <w:tc>
          <w:tcPr>
            <w:tcW w:type="dxa" w:w="928"/>
            <w:shd w:val="clear" w:color="auto" w:fill="F1F2F5"/>
          </w:tcPr>
          <w:p>
            <w:pPr>
              <w:pStyle w:val="Compact"/>
              <w:spacing w:after="0" w:before="0" w:line="240" w:lineRule="auto"/>
              <w:jc w:val="right"/>
            </w:pPr>
            <w:r>
              <w:rPr>
                <w:rFonts w:ascii="Arial" w:hAnsi="Arial"/>
                <w:sz w:val="15"/>
              </w:rPr>
              <w:t xml:space="preserve">n/d</w:t>
            </w:r>
          </w:p>
        </w:tc>
        <w:tc>
          <w:tcPr>
            <w:tcW w:type="dxa" w:w="955"/>
            <w:shd w:val="clear" w:color="auto" w:fill="F1F2F5"/>
          </w:tcPr>
          <w:p>
            <w:pPr>
              <w:pStyle w:val="Compact"/>
              <w:spacing w:after="0" w:before="0" w:line="240" w:lineRule="auto"/>
              <w:jc w:val="right"/>
            </w:pPr>
            <w:r>
              <w:rPr>
                <w:rFonts w:ascii="Arial" w:hAnsi="Arial"/>
                <w:sz w:val="15"/>
              </w:rPr>
              <w:t xml:space="preserve">~1.06% [u]</w:t>
            </w:r>
          </w:p>
        </w:tc>
        <w:tc>
          <w:tcPr>
            <w:tcW w:type="dxa" w:w="943"/>
            <w:shd w:val="clear" w:color="auto" w:fill="F1F2F5"/>
          </w:tcPr>
          <w:p>
            <w:pPr>
              <w:pStyle w:val="Compact"/>
              <w:spacing w:after="0" w:before="0" w:line="240" w:lineRule="auto"/>
              <w:jc w:val="right"/>
            </w:pPr>
            <w:r>
              <w:rPr>
                <w:rFonts w:ascii="Arial" w:hAnsi="Arial"/>
                <w:sz w:val="15"/>
              </w:rPr>
              <w:t xml:space="preserve">1.00% [u]</w:t>
            </w:r>
          </w:p>
        </w:tc>
        <w:tc>
          <w:tcPr>
            <w:tcW w:type="dxa" w:w="1078"/>
            <w:shd w:val="clear" w:color="auto" w:fill="F1F2F5"/>
          </w:tcPr>
          <w:p>
            <w:pPr>
              <w:pStyle w:val="Compact"/>
              <w:spacing w:after="0" w:before="0" w:line="240" w:lineRule="auto"/>
              <w:jc w:val="right"/>
            </w:pPr>
            <w:r>
              <w:rPr>
                <w:rFonts w:ascii="Arial" w:hAnsi="Arial"/>
                <w:sz w:val="15"/>
              </w:rPr>
              <w:t xml:space="preserve">n/d</w:t>
            </w:r>
          </w:p>
        </w:tc>
        <w:tc>
          <w:tcPr>
            <w:tcW w:type="dxa" w:w="2247"/>
            <w:shd w:val="clear" w:color="auto" w:fill="F1F2F5"/>
          </w:tcPr>
          <w:p>
            <w:pPr>
              <w:pStyle w:val="Compact"/>
              <w:spacing w:after="0" w:before="0" w:line="240" w:lineRule="auto"/>
              <w:jc w:val="left"/>
            </w:pPr>
            <w:r>
              <w:rPr>
                <w:rFonts w:ascii="Arial" w:hAnsi="Arial"/>
                <w:sz w:val="15"/>
              </w:rPr>
              <w:t xml:space="preserve">Improving</w:t>
            </w:r>
          </w:p>
        </w:tc>
      </w:tr>
      <w:tr>
        <w:trPr>
          <w:cantSplit/>
        </w:trPr>
        <w:tc>
          <w:tcPr>
            <w:tcW w:type="dxa" w:w="1972"/>
          </w:tcPr>
          <w:p>
            <w:pPr>
              <w:pStyle w:val="Compact"/>
              <w:spacing w:after="0" w:before="0" w:line="240" w:lineRule="auto"/>
              <w:jc w:val="left"/>
            </w:pPr>
            <w:r>
              <w:rPr>
                <w:rFonts w:ascii="Arial" w:hAnsi="Arial"/>
                <w:sz w:val="15"/>
              </w:rPr>
              <w:t xml:space="preserve">IPTV subscribers (m)</w:t>
            </w:r>
          </w:p>
        </w:tc>
        <w:tc>
          <w:tcPr>
            <w:tcW w:type="dxa" w:w="926"/>
          </w:tcPr>
          <w:p>
            <w:pPr>
              <w:pStyle w:val="Compact"/>
              <w:spacing w:after="0" w:before="0" w:line="240" w:lineRule="auto"/>
              <w:jc w:val="right"/>
            </w:pPr>
            <w:r>
              <w:rPr>
                <w:rFonts w:ascii="Arial" w:hAnsi="Arial"/>
                <w:sz w:val="15"/>
              </w:rPr>
              <w:t xml:space="preserve">5.35</w:t>
            </w:r>
          </w:p>
        </w:tc>
        <w:tc>
          <w:tcPr>
            <w:tcW w:type="dxa" w:w="930"/>
          </w:tcPr>
          <w:p>
            <w:pPr>
              <w:pStyle w:val="Compact"/>
              <w:spacing w:after="0" w:before="0" w:line="240" w:lineRule="auto"/>
              <w:jc w:val="right"/>
            </w:pPr>
            <w:r>
              <w:rPr>
                <w:rFonts w:ascii="Arial" w:hAnsi="Arial"/>
                <w:sz w:val="15"/>
              </w:rPr>
              <w:t xml:space="preserve">5.35</w:t>
            </w:r>
          </w:p>
        </w:tc>
        <w:tc>
          <w:tcPr>
            <w:tcW w:type="dxa" w:w="928"/>
          </w:tcPr>
          <w:p>
            <w:pPr>
              <w:pStyle w:val="Compact"/>
              <w:spacing w:after="0" w:before="0" w:line="240" w:lineRule="auto"/>
              <w:jc w:val="right"/>
            </w:pPr>
            <w:r>
              <w:rPr>
                <w:rFonts w:ascii="Arial" w:hAnsi="Arial"/>
                <w:sz w:val="15"/>
              </w:rPr>
              <w:t xml:space="preserve">5.45</w:t>
            </w:r>
          </w:p>
        </w:tc>
        <w:tc>
          <w:tcPr>
            <w:tcW w:type="dxa" w:w="955"/>
          </w:tcPr>
          <w:p>
            <w:pPr>
              <w:pStyle w:val="Compact"/>
              <w:spacing w:after="0" w:before="0" w:line="240" w:lineRule="auto"/>
              <w:jc w:val="right"/>
            </w:pPr>
            <w:r>
              <w:rPr>
                <w:rFonts w:ascii="Arial" w:hAnsi="Arial"/>
                <w:sz w:val="15"/>
              </w:rPr>
              <w:t xml:space="preserve">5.58</w:t>
            </w:r>
          </w:p>
        </w:tc>
        <w:tc>
          <w:tcPr>
            <w:tcW w:type="dxa" w:w="943"/>
          </w:tcPr>
          <w:p>
            <w:pPr>
              <w:pStyle w:val="Compact"/>
              <w:spacing w:after="0" w:before="0" w:line="240" w:lineRule="auto"/>
              <w:jc w:val="right"/>
            </w:pPr>
            <w:r>
              <w:rPr>
                <w:rFonts w:ascii="Arial" w:hAnsi="Arial"/>
                <w:sz w:val="15"/>
              </w:rPr>
              <w:t xml:space="preserve">5.74</w:t>
            </w:r>
          </w:p>
        </w:tc>
        <w:tc>
          <w:tcPr>
            <w:tcW w:type="dxa" w:w="1078"/>
          </w:tcPr>
          <w:p>
            <w:pPr>
              <w:pStyle w:val="Compact"/>
              <w:spacing w:after="0" w:before="0" w:line="240" w:lineRule="auto"/>
              <w:jc w:val="right"/>
            </w:pPr>
            <w:r>
              <w:rPr>
                <w:rFonts w:ascii="Arial" w:hAnsi="Arial"/>
                <w:sz w:val="15"/>
              </w:rPr>
              <w:t xml:space="preserve">5.76 (1Q)</w:t>
            </w:r>
          </w:p>
        </w:tc>
        <w:tc>
          <w:tcPr>
            <w:tcW w:type="dxa" w:w="2247"/>
          </w:tcPr>
          <w:p>
            <w:pPr>
              <w:pStyle w:val="Compact"/>
              <w:spacing w:after="0" w:before="0" w:line="240" w:lineRule="auto"/>
              <w:jc w:val="left"/>
            </w:pPr>
            <w:r>
              <w:rPr>
                <w:rFonts w:ascii="Arial" w:hAnsi="Arial"/>
                <w:sz w:val="15"/>
              </w:rPr>
              <w:t xml:space="preserve">+1–3% a year</w:t>
            </w:r>
          </w:p>
        </w:tc>
      </w:tr>
      <w:tr>
        <w:trPr>
          <w:cantSplit/>
        </w:trPr>
        <w:tc>
          <w:tcPr>
            <w:tcW w:type="dxa" w:w="1972"/>
            <w:shd w:val="clear" w:color="auto" w:fill="F1F2F5"/>
          </w:tcPr>
          <w:p>
            <w:pPr>
              <w:pStyle w:val="Compact"/>
              <w:spacing w:after="0" w:before="0" w:line="240" w:lineRule="auto"/>
              <w:jc w:val="left"/>
            </w:pPr>
            <w:r>
              <w:rPr>
                <w:rFonts w:ascii="Arial" w:hAnsi="Arial"/>
                <w:sz w:val="15"/>
              </w:rPr>
              <w:t xml:space="preserve">Broadband subscribers (m)</w:t>
            </w:r>
          </w:p>
        </w:tc>
        <w:tc>
          <w:tcPr>
            <w:tcW w:type="dxa" w:w="926"/>
            <w:shd w:val="clear" w:color="auto" w:fill="F1F2F5"/>
          </w:tcPr>
          <w:p>
            <w:pPr>
              <w:pStyle w:val="Compact"/>
              <w:spacing w:after="0" w:before="0" w:line="240" w:lineRule="auto"/>
              <w:jc w:val="right"/>
            </w:pPr>
            <w:r>
              <w:rPr>
                <w:rFonts w:ascii="Arial" w:hAnsi="Arial"/>
                <w:sz w:val="15"/>
              </w:rPr>
              <w:t xml:space="preserve">4.76</w:t>
            </w:r>
          </w:p>
        </w:tc>
        <w:tc>
          <w:tcPr>
            <w:tcW w:type="dxa" w:w="930"/>
            <w:shd w:val="clear" w:color="auto" w:fill="F1F2F5"/>
          </w:tcPr>
          <w:p>
            <w:pPr>
              <w:pStyle w:val="Compact"/>
              <w:spacing w:after="0" w:before="0" w:line="240" w:lineRule="auto"/>
              <w:jc w:val="right"/>
            </w:pPr>
            <w:r>
              <w:rPr>
                <w:rFonts w:ascii="Arial" w:hAnsi="Arial"/>
                <w:sz w:val="15"/>
              </w:rPr>
              <w:t xml:space="preserve">4.94</w:t>
            </w:r>
          </w:p>
        </w:tc>
        <w:tc>
          <w:tcPr>
            <w:tcW w:type="dxa" w:w="928"/>
            <w:shd w:val="clear" w:color="auto" w:fill="F1F2F5"/>
          </w:tcPr>
          <w:p>
            <w:pPr>
              <w:pStyle w:val="Compact"/>
              <w:spacing w:after="0" w:before="0" w:line="240" w:lineRule="auto"/>
              <w:jc w:val="right"/>
            </w:pPr>
            <w:r>
              <w:rPr>
                <w:rFonts w:ascii="Arial" w:hAnsi="Arial"/>
                <w:sz w:val="15"/>
              </w:rPr>
              <w:t xml:space="preserve">5.16</w:t>
            </w:r>
          </w:p>
        </w:tc>
        <w:tc>
          <w:tcPr>
            <w:tcW w:type="dxa" w:w="955"/>
            <w:shd w:val="clear" w:color="auto" w:fill="F1F2F5"/>
          </w:tcPr>
          <w:p>
            <w:pPr>
              <w:pStyle w:val="Compact"/>
              <w:spacing w:after="0" w:before="0" w:line="240" w:lineRule="auto"/>
              <w:jc w:val="right"/>
            </w:pPr>
            <w:r>
              <w:rPr>
                <w:rFonts w:ascii="Arial" w:hAnsi="Arial"/>
                <w:sz w:val="15"/>
              </w:rPr>
              <w:t xml:space="preserve">5.35</w:t>
            </w:r>
          </w:p>
        </w:tc>
        <w:tc>
          <w:tcPr>
            <w:tcW w:type="dxa" w:w="943"/>
            <w:shd w:val="clear" w:color="auto" w:fill="F1F2F5"/>
          </w:tcPr>
          <w:p>
            <w:pPr>
              <w:pStyle w:val="Compact"/>
              <w:spacing w:after="0" w:before="0" w:line="240" w:lineRule="auto"/>
              <w:jc w:val="right"/>
            </w:pPr>
            <w:r>
              <w:rPr>
                <w:rFonts w:ascii="Arial" w:hAnsi="Arial"/>
                <w:sz w:val="15"/>
              </w:rPr>
              <w:t xml:space="preserve">5.58</w:t>
            </w:r>
          </w:p>
        </w:tc>
        <w:tc>
          <w:tcPr>
            <w:tcW w:type="dxa" w:w="1078"/>
            <w:shd w:val="clear" w:color="auto" w:fill="F1F2F5"/>
          </w:tcPr>
          <w:p>
            <w:pPr>
              <w:pStyle w:val="Compact"/>
              <w:spacing w:after="0" w:before="0" w:line="240" w:lineRule="auto"/>
              <w:jc w:val="right"/>
            </w:pPr>
            <w:r>
              <w:rPr>
                <w:rFonts w:ascii="Arial" w:hAnsi="Arial"/>
                <w:sz w:val="15"/>
              </w:rPr>
              <w:t xml:space="preserve">5.64 (1Q)</w:t>
            </w:r>
          </w:p>
        </w:tc>
        <w:tc>
          <w:tcPr>
            <w:tcW w:type="dxa" w:w="2247"/>
            <w:shd w:val="clear" w:color="auto" w:fill="F1F2F5"/>
          </w:tcPr>
          <w:p>
            <w:pPr>
              <w:pStyle w:val="Compact"/>
              <w:spacing w:after="0" w:before="0" w:line="240" w:lineRule="auto"/>
              <w:jc w:val="left"/>
            </w:pPr>
            <w:r>
              <w:rPr>
                <w:rFonts w:ascii="Arial" w:hAnsi="Arial"/>
                <w:sz w:val="15"/>
              </w:rPr>
              <w:t xml:space="preserve">+4% a year; Giga-tier 33%</w:t>
            </w:r>
          </w:p>
        </w:tc>
      </w:tr>
      <w:tr>
        <w:trPr>
          <w:cantSplit/>
        </w:trPr>
        <w:tc>
          <w:tcPr>
            <w:tcW w:type="dxa" w:w="1972"/>
          </w:tcPr>
          <w:p>
            <w:pPr>
              <w:pStyle w:val="Compact"/>
              <w:spacing w:after="0" w:before="0" w:line="240" w:lineRule="auto"/>
              <w:jc w:val="left"/>
            </w:pPr>
            <w:r>
              <w:rPr>
                <w:rFonts w:ascii="Arial" w:hAnsi="Arial"/>
                <w:sz w:val="15"/>
              </w:rPr>
              <w:t xml:space="preserve">Marketing / standalone service revenue</w:t>
            </w:r>
          </w:p>
        </w:tc>
        <w:tc>
          <w:tcPr>
            <w:tcW w:type="dxa" w:w="926"/>
          </w:tcPr>
          <w:p>
            <w:pPr>
              <w:pStyle w:val="Compact"/>
              <w:spacing w:after="0" w:before="0" w:line="240" w:lineRule="auto"/>
              <w:jc w:val="right"/>
            </w:pPr>
            <w:r>
              <w:rPr>
                <w:rFonts w:ascii="Arial" w:hAnsi="Arial"/>
                <w:sz w:val="15"/>
              </w:rPr>
              <w:t xml:space="preserve">22.5%</w:t>
            </w:r>
          </w:p>
        </w:tc>
        <w:tc>
          <w:tcPr>
            <w:tcW w:type="dxa" w:w="930"/>
          </w:tcPr>
          <w:p>
            <w:pPr>
              <w:pStyle w:val="Compact"/>
              <w:spacing w:after="0" w:before="0" w:line="240" w:lineRule="auto"/>
              <w:jc w:val="right"/>
            </w:pPr>
            <w:r>
              <w:rPr>
                <w:rFonts w:ascii="Arial" w:hAnsi="Arial"/>
                <w:sz w:val="15"/>
              </w:rPr>
              <w:t xml:space="preserve">21.7%</w:t>
            </w:r>
          </w:p>
        </w:tc>
        <w:tc>
          <w:tcPr>
            <w:tcW w:type="dxa" w:w="928"/>
          </w:tcPr>
          <w:p>
            <w:pPr>
              <w:pStyle w:val="Compact"/>
              <w:spacing w:after="0" w:before="0" w:line="240" w:lineRule="auto"/>
              <w:jc w:val="right"/>
            </w:pPr>
            <w:r>
              <w:rPr>
                <w:rFonts w:ascii="Arial" w:hAnsi="Arial"/>
                <w:sz w:val="15"/>
              </w:rPr>
              <w:t xml:space="preserve">20.2%</w:t>
            </w:r>
          </w:p>
        </w:tc>
        <w:tc>
          <w:tcPr>
            <w:tcW w:type="dxa" w:w="955"/>
          </w:tcPr>
          <w:p>
            <w:pPr>
              <w:pStyle w:val="Compact"/>
              <w:spacing w:after="0" w:before="0" w:line="240" w:lineRule="auto"/>
              <w:jc w:val="right"/>
            </w:pPr>
            <w:r>
              <w:rPr>
                <w:rFonts w:ascii="Arial" w:hAnsi="Arial"/>
                <w:sz w:val="15"/>
              </w:rPr>
              <w:t xml:space="preserve">20.1%</w:t>
            </w:r>
          </w:p>
        </w:tc>
        <w:tc>
          <w:tcPr>
            <w:tcW w:type="dxa" w:w="943"/>
          </w:tcPr>
          <w:p>
            <w:pPr>
              <w:pStyle w:val="Compact"/>
              <w:spacing w:after="0" w:before="0" w:line="240" w:lineRule="auto"/>
              <w:jc w:val="right"/>
            </w:pPr>
            <w:r>
              <w:rPr>
                <w:rFonts w:ascii="Arial" w:hAnsi="Arial"/>
                <w:sz w:val="15"/>
              </w:rPr>
              <w:t xml:space="preserve">20.2%</w:t>
            </w:r>
          </w:p>
        </w:tc>
        <w:tc>
          <w:tcPr>
            <w:tcW w:type="dxa" w:w="1078"/>
          </w:tcPr>
          <w:p>
            <w:pPr>
              <w:pStyle w:val="Compact"/>
              <w:spacing w:after="0" w:before="0" w:line="240" w:lineRule="auto"/>
              <w:jc w:val="right"/>
            </w:pPr>
            <w:r>
              <w:rPr>
                <w:rFonts w:ascii="Arial" w:hAnsi="Arial"/>
                <w:sz w:val="15"/>
              </w:rPr>
              <w:t xml:space="preserve">19.9%</w:t>
            </w:r>
          </w:p>
        </w:tc>
        <w:tc>
          <w:tcPr>
            <w:tcW w:type="dxa" w:w="2247"/>
          </w:tcPr>
          <w:p>
            <w:pPr>
              <w:pStyle w:val="Compact"/>
              <w:spacing w:after="0" w:before="0" w:line="240" w:lineRule="auto"/>
              <w:jc w:val="left"/>
            </w:pPr>
            <w:r>
              <w:rPr>
                <w:rFonts w:ascii="Arial" w:hAnsi="Arial"/>
                <w:sz w:val="15"/>
              </w:rPr>
              <w:t xml:space="preserve">Disciplined; watch post-Dansuobeop</w:t>
            </w:r>
          </w:p>
        </w:tc>
      </w:tr>
      <w:tr>
        <w:trPr>
          <w:cantSplit/>
        </w:trPr>
        <w:tc>
          <w:tcPr>
            <w:tcW w:type="dxa" w:w="1972"/>
            <w:shd w:val="clear" w:color="auto" w:fill="F1F2F5"/>
          </w:tcPr>
          <w:p>
            <w:pPr>
              <w:pStyle w:val="Compact"/>
              <w:spacing w:after="0" w:before="0" w:line="240" w:lineRule="auto"/>
              <w:jc w:val="left"/>
            </w:pPr>
            <w:r>
              <w:rPr>
                <w:rFonts w:ascii="Arial" w:hAnsi="Arial"/>
                <w:sz w:val="15"/>
              </w:rPr>
              <w:t xml:space="preserve">Capex (standalone, KRW bn)</w:t>
            </w:r>
          </w:p>
        </w:tc>
        <w:tc>
          <w:tcPr>
            <w:tcW w:type="dxa" w:w="926"/>
            <w:shd w:val="clear" w:color="auto" w:fill="F1F2F5"/>
          </w:tcPr>
          <w:p>
            <w:pPr>
              <w:pStyle w:val="Compact"/>
              <w:spacing w:after="0" w:before="0" w:line="240" w:lineRule="auto"/>
              <w:jc w:val="right"/>
            </w:pPr>
            <w:r>
              <w:rPr>
                <w:rFonts w:ascii="Arial" w:hAnsi="Arial"/>
                <w:sz w:val="15"/>
              </w:rPr>
              <w:t xml:space="preserve">2,346</w:t>
            </w:r>
          </w:p>
        </w:tc>
        <w:tc>
          <w:tcPr>
            <w:tcW w:type="dxa" w:w="930"/>
            <w:shd w:val="clear" w:color="auto" w:fill="F1F2F5"/>
          </w:tcPr>
          <w:p>
            <w:pPr>
              <w:pStyle w:val="Compact"/>
              <w:spacing w:after="0" w:before="0" w:line="240" w:lineRule="auto"/>
              <w:jc w:val="right"/>
            </w:pPr>
            <w:r>
              <w:rPr>
                <w:rFonts w:ascii="Arial" w:hAnsi="Arial"/>
                <w:sz w:val="15"/>
              </w:rPr>
              <w:t xml:space="preserve">2,420</w:t>
            </w:r>
          </w:p>
        </w:tc>
        <w:tc>
          <w:tcPr>
            <w:tcW w:type="dxa" w:w="928"/>
            <w:shd w:val="clear" w:color="auto" w:fill="F1F2F5"/>
          </w:tcPr>
          <w:p>
            <w:pPr>
              <w:pStyle w:val="Compact"/>
              <w:spacing w:after="0" w:before="0" w:line="240" w:lineRule="auto"/>
              <w:jc w:val="right"/>
            </w:pPr>
            <w:r>
              <w:rPr>
                <w:rFonts w:ascii="Arial" w:hAnsi="Arial"/>
                <w:sz w:val="15"/>
              </w:rPr>
              <w:t xml:space="preserve">2,514</w:t>
            </w:r>
          </w:p>
        </w:tc>
        <w:tc>
          <w:tcPr>
            <w:tcW w:type="dxa" w:w="955"/>
            <w:shd w:val="clear" w:color="auto" w:fill="F1F2F5"/>
          </w:tcPr>
          <w:p>
            <w:pPr>
              <w:pStyle w:val="Compact"/>
              <w:spacing w:after="0" w:before="0" w:line="240" w:lineRule="auto"/>
              <w:jc w:val="right"/>
            </w:pPr>
            <w:r>
              <w:rPr>
                <w:rFonts w:ascii="Arial" w:hAnsi="Arial"/>
                <w:sz w:val="15"/>
              </w:rPr>
              <w:t xml:space="preserve">1,921</w:t>
            </w:r>
          </w:p>
        </w:tc>
        <w:tc>
          <w:tcPr>
            <w:tcW w:type="dxa" w:w="943"/>
            <w:shd w:val="clear" w:color="auto" w:fill="F1F2F5"/>
          </w:tcPr>
          <w:p>
            <w:pPr>
              <w:pStyle w:val="Compact"/>
              <w:spacing w:after="0" w:before="0" w:line="240" w:lineRule="auto"/>
              <w:jc w:val="right"/>
            </w:pPr>
            <w:r>
              <w:rPr>
                <w:rFonts w:ascii="Arial" w:hAnsi="Arial"/>
                <w:sz w:val="15"/>
              </w:rPr>
              <w:t xml:space="preserve">~1,750</w:t>
            </w:r>
          </w:p>
        </w:tc>
        <w:tc>
          <w:tcPr>
            <w:tcW w:type="dxa" w:w="1078"/>
            <w:shd w:val="clear" w:color="auto" w:fill="F1F2F5"/>
          </w:tcPr>
          <w:p>
            <w:pPr>
              <w:pStyle w:val="Compact"/>
              <w:spacing w:after="0" w:before="0" w:line="240" w:lineRule="auto"/>
              <w:jc w:val="right"/>
            </w:pPr>
            <w:r>
              <w:rPr>
                <w:rFonts w:ascii="Arial" w:hAnsi="Arial"/>
                <w:sz w:val="15"/>
              </w:rPr>
              <w:t xml:space="preserve">478 (2Q)</w:t>
            </w:r>
          </w:p>
        </w:tc>
        <w:tc>
          <w:tcPr>
            <w:tcW w:type="dxa" w:w="2247"/>
            <w:shd w:val="clear" w:color="auto" w:fill="F1F2F5"/>
          </w:tcPr>
          <w:p>
            <w:pPr>
              <w:pStyle w:val="Compact"/>
              <w:spacing w:after="0" w:before="0" w:line="240" w:lineRule="auto"/>
              <w:jc w:val="left"/>
            </w:pPr>
            <w:r>
              <w:rPr>
                <w:rFonts w:ascii="Arial" w:hAnsi="Arial"/>
                <w:sz w:val="15"/>
              </w:rPr>
              <w:t xml:space="preserve">Trough in FY25; AIDC lifts FY26–28</w:t>
            </w:r>
          </w:p>
        </w:tc>
      </w:tr>
      <w:tr>
        <w:trPr>
          <w:cantSplit/>
        </w:trPr>
        <w:tc>
          <w:tcPr>
            <w:tcW w:type="dxa" w:w="1972"/>
          </w:tcPr>
          <w:p>
            <w:pPr>
              <w:pStyle w:val="Compact"/>
              <w:spacing w:after="0" w:before="0" w:line="240" w:lineRule="auto"/>
              <w:jc w:val="left"/>
            </w:pPr>
            <w:r>
              <w:rPr>
                <w:rFonts w:ascii="Arial" w:hAnsi="Arial"/>
                <w:sz w:val="15"/>
              </w:rPr>
              <w:t xml:space="preserve">Capex / revenue</w:t>
            </w:r>
          </w:p>
        </w:tc>
        <w:tc>
          <w:tcPr>
            <w:tcW w:type="dxa" w:w="926"/>
          </w:tcPr>
          <w:p>
            <w:pPr>
              <w:pStyle w:val="Compact"/>
              <w:spacing w:after="0" w:before="0" w:line="240" w:lineRule="auto"/>
              <w:jc w:val="right"/>
            </w:pPr>
            <w:r>
              <w:rPr>
                <w:rFonts w:ascii="Arial" w:hAnsi="Arial"/>
                <w:sz w:val="15"/>
              </w:rPr>
              <w:t xml:space="preserve">16.9%</w:t>
            </w:r>
          </w:p>
        </w:tc>
        <w:tc>
          <w:tcPr>
            <w:tcW w:type="dxa" w:w="930"/>
          </w:tcPr>
          <w:p>
            <w:pPr>
              <w:pStyle w:val="Compact"/>
              <w:spacing w:after="0" w:before="0" w:line="240" w:lineRule="auto"/>
              <w:jc w:val="right"/>
            </w:pPr>
            <w:r>
              <w:rPr>
                <w:rFonts w:ascii="Arial" w:hAnsi="Arial"/>
                <w:sz w:val="15"/>
              </w:rPr>
              <w:t xml:space="preserve">17.4%</w:t>
            </w:r>
          </w:p>
        </w:tc>
        <w:tc>
          <w:tcPr>
            <w:tcW w:type="dxa" w:w="928"/>
          </w:tcPr>
          <w:p>
            <w:pPr>
              <w:pStyle w:val="Compact"/>
              <w:spacing w:after="0" w:before="0" w:line="240" w:lineRule="auto"/>
              <w:jc w:val="right"/>
            </w:pPr>
            <w:r>
              <w:rPr>
                <w:rFonts w:ascii="Arial" w:hAnsi="Arial"/>
                <w:sz w:val="15"/>
              </w:rPr>
              <w:t xml:space="preserve">17.5%</w:t>
            </w:r>
          </w:p>
        </w:tc>
        <w:tc>
          <w:tcPr>
            <w:tcW w:type="dxa" w:w="955"/>
          </w:tcPr>
          <w:p>
            <w:pPr>
              <w:pStyle w:val="Compact"/>
              <w:spacing w:after="0" w:before="0" w:line="240" w:lineRule="auto"/>
              <w:jc w:val="right"/>
            </w:pPr>
            <w:r>
              <w:rPr>
                <w:rFonts w:ascii="Arial" w:hAnsi="Arial"/>
                <w:sz w:val="15"/>
              </w:rPr>
              <w:t xml:space="preserve">13.1%</w:t>
            </w:r>
          </w:p>
        </w:tc>
        <w:tc>
          <w:tcPr>
            <w:tcW w:type="dxa" w:w="943"/>
          </w:tcPr>
          <w:p>
            <w:pPr>
              <w:pStyle w:val="Compact"/>
              <w:spacing w:after="0" w:before="0" w:line="240" w:lineRule="auto"/>
              <w:jc w:val="right"/>
            </w:pPr>
            <w:r>
              <w:rPr>
                <w:rFonts w:ascii="Arial" w:hAnsi="Arial"/>
                <w:sz w:val="15"/>
              </w:rPr>
              <w:t xml:space="preserve">11.3%</w:t>
            </w:r>
          </w:p>
        </w:tc>
        <w:tc>
          <w:tcPr>
            <w:tcW w:type="dxa" w:w="1078"/>
          </w:tcPr>
          <w:p>
            <w:pPr>
              <w:pStyle w:val="Compact"/>
              <w:spacing w:after="0" w:before="0" w:line="240" w:lineRule="auto"/>
              <w:jc w:val="right"/>
            </w:pPr>
            <w:r>
              <w:rPr>
                <w:rFonts w:ascii="Arial" w:hAnsi="Arial"/>
                <w:sz w:val="15"/>
              </w:rPr>
              <w:t xml:space="preserve">12.9%</w:t>
            </w:r>
          </w:p>
        </w:tc>
        <w:tc>
          <w:tcPr>
            <w:tcW w:type="dxa" w:w="2247"/>
          </w:tcPr>
          <w:p>
            <w:pPr>
              <w:pStyle w:val="Compact"/>
              <w:spacing w:after="0" w:before="0" w:line="240" w:lineRule="auto"/>
              <w:jc w:val="left"/>
            </w:pPr>
            <w:r>
              <w:rPr>
                <w:rFonts w:ascii="Arial" w:hAnsi="Arial"/>
                <w:sz w:val="15"/>
              </w:rPr>
              <w:t xml:space="preserve">Capex intensity halved from peak, then rising</w:t>
            </w:r>
          </w:p>
        </w:tc>
      </w:tr>
      <w:tr>
        <w:trPr>
          <w:cantSplit/>
        </w:trPr>
        <w:tc>
          <w:tcPr>
            <w:tcW w:type="dxa" w:w="1972"/>
            <w:shd w:val="clear" w:color="auto" w:fill="F1F2F5"/>
          </w:tcPr>
          <w:p>
            <w:pPr>
              <w:pStyle w:val="Compact"/>
              <w:spacing w:after="0" w:before="0" w:line="240" w:lineRule="auto"/>
              <w:jc w:val="left"/>
            </w:pPr>
            <w:r>
              <w:rPr>
                <w:rFonts w:ascii="Arial" w:hAnsi="Arial"/>
                <w:sz w:val="15"/>
              </w:rPr>
              <w:t xml:space="preserve">Standalone employees</w:t>
            </w:r>
          </w:p>
        </w:tc>
        <w:tc>
          <w:tcPr>
            <w:tcW w:type="dxa" w:w="926"/>
            <w:shd w:val="clear" w:color="auto" w:fill="F1F2F5"/>
          </w:tcPr>
          <w:p>
            <w:pPr>
              <w:pStyle w:val="Compact"/>
              <w:spacing w:after="0" w:before="0" w:line="240" w:lineRule="auto"/>
              <w:jc w:val="right"/>
            </w:pPr>
            <w:r>
              <w:rPr>
                <w:rFonts w:ascii="Arial" w:hAnsi="Arial"/>
                <w:sz w:val="15"/>
              </w:rPr>
              <w:t xml:space="preserve">n/d</w:t>
            </w:r>
          </w:p>
        </w:tc>
        <w:tc>
          <w:tcPr>
            <w:tcW w:type="dxa" w:w="930"/>
            <w:shd w:val="clear" w:color="auto" w:fill="F1F2F5"/>
          </w:tcPr>
          <w:p>
            <w:pPr>
              <w:pStyle w:val="Compact"/>
              <w:spacing w:after="0" w:before="0" w:line="240" w:lineRule="auto"/>
              <w:jc w:val="right"/>
            </w:pPr>
            <w:r>
              <w:rPr>
                <w:rFonts w:ascii="Arial" w:hAnsi="Arial"/>
                <w:sz w:val="15"/>
              </w:rPr>
              <w:t xml:space="preserve">n/d</w:t>
            </w:r>
          </w:p>
        </w:tc>
        <w:tc>
          <w:tcPr>
            <w:tcW w:type="dxa" w:w="928"/>
            <w:shd w:val="clear" w:color="auto" w:fill="F1F2F5"/>
          </w:tcPr>
          <w:p>
            <w:pPr>
              <w:pStyle w:val="Compact"/>
              <w:spacing w:after="0" w:before="0" w:line="240" w:lineRule="auto"/>
              <w:jc w:val="right"/>
            </w:pPr>
            <w:r>
              <w:rPr>
                <w:rFonts w:ascii="Arial" w:hAnsi="Arial"/>
                <w:sz w:val="15"/>
              </w:rPr>
              <w:t xml:space="preserve">n/d</w:t>
            </w:r>
          </w:p>
        </w:tc>
        <w:tc>
          <w:tcPr>
            <w:tcW w:type="dxa" w:w="955"/>
            <w:shd w:val="clear" w:color="auto" w:fill="F1F2F5"/>
          </w:tcPr>
          <w:p>
            <w:pPr>
              <w:pStyle w:val="Compact"/>
              <w:spacing w:after="0" w:before="0" w:line="240" w:lineRule="auto"/>
              <w:jc w:val="right"/>
            </w:pPr>
            <w:r>
              <w:rPr>
                <w:rFonts w:ascii="Arial" w:hAnsi="Arial"/>
                <w:sz w:val="15"/>
              </w:rPr>
              <w:t xml:space="preserve">10,571</w:t>
            </w:r>
          </w:p>
        </w:tc>
        <w:tc>
          <w:tcPr>
            <w:tcW w:type="dxa" w:w="943"/>
            <w:shd w:val="clear" w:color="auto" w:fill="F1F2F5"/>
          </w:tcPr>
          <w:p>
            <w:pPr>
              <w:pStyle w:val="Compact"/>
              <w:spacing w:after="0" w:before="0" w:line="240" w:lineRule="auto"/>
              <w:jc w:val="right"/>
            </w:pPr>
            <w:r>
              <w:rPr>
                <w:rFonts w:ascii="Arial" w:hAnsi="Arial"/>
                <w:sz w:val="15"/>
              </w:rPr>
              <w:t xml:space="preserve">~10,000</w:t>
            </w:r>
          </w:p>
        </w:tc>
        <w:tc>
          <w:tcPr>
            <w:tcW w:type="dxa" w:w="1078"/>
            <w:shd w:val="clear" w:color="auto" w:fill="F1F2F5"/>
          </w:tcPr>
          <w:p>
            <w:pPr>
              <w:pStyle w:val="Compact"/>
              <w:spacing w:after="0" w:before="0" w:line="240" w:lineRule="auto"/>
              <w:jc w:val="right"/>
            </w:pPr>
            <w:r>
              <w:rPr>
                <w:rFonts w:ascii="Arial" w:hAnsi="Arial"/>
                <w:sz w:val="15"/>
              </w:rPr>
              <w:t xml:space="preserve">9,811</w:t>
            </w:r>
          </w:p>
        </w:tc>
        <w:tc>
          <w:tcPr>
            <w:tcW w:type="dxa" w:w="2247"/>
            <w:shd w:val="clear" w:color="auto" w:fill="F1F2F5"/>
          </w:tcPr>
          <w:p>
            <w:pPr>
              <w:pStyle w:val="Compact"/>
              <w:spacing w:after="0" w:before="0" w:line="240" w:lineRule="auto"/>
              <w:jc w:val="left"/>
            </w:pPr>
            <w:r>
              <w:rPr>
                <w:rFonts w:ascii="Arial" w:hAnsi="Arial"/>
                <w:sz w:val="15"/>
              </w:rPr>
              <w:t xml:space="preserve">-7% after early retirement</w:t>
            </w:r>
          </w:p>
        </w:tc>
      </w:tr>
      <w:tr>
        <w:trPr>
          <w:cantSplit/>
        </w:trPr>
        <w:tc>
          <w:tcPr>
            <w:tcW w:type="dxa" w:w="1972"/>
          </w:tcPr>
          <w:p>
            <w:pPr>
              <w:pStyle w:val="Compact"/>
              <w:spacing w:after="0" w:before="0" w:line="240" w:lineRule="auto"/>
              <w:jc w:val="left"/>
            </w:pPr>
            <w:r>
              <w:rPr>
                <w:rFonts w:ascii="Arial" w:hAnsi="Arial"/>
                <w:sz w:val="15"/>
              </w:rPr>
              <w:t xml:space="preserve">Mobile network capacity utilisation</w:t>
            </w:r>
          </w:p>
        </w:tc>
        <w:tc>
          <w:tcPr>
            <w:tcW w:type="dxa" w:w="926"/>
          </w:tcPr>
          <w:p>
            <w:pPr>
              <w:pStyle w:val="Compact"/>
              <w:spacing w:after="0" w:before="0" w:line="240" w:lineRule="auto"/>
              <w:jc w:val="right"/>
            </w:pPr>
            <w:r>
              <w:rPr>
                <w:rFonts w:ascii="Arial" w:hAnsi="Arial"/>
                <w:sz w:val="15"/>
              </w:rPr>
              <w:t xml:space="preserve">–</w:t>
            </w:r>
          </w:p>
        </w:tc>
        <w:tc>
          <w:tcPr>
            <w:tcW w:type="dxa" w:w="930"/>
          </w:tcPr>
          <w:p>
            <w:pPr>
              <w:pStyle w:val="Compact"/>
              <w:spacing w:after="0" w:before="0" w:line="240" w:lineRule="auto"/>
              <w:jc w:val="right"/>
            </w:pPr>
            <w:r>
              <w:rPr>
                <w:rFonts w:ascii="Arial" w:hAnsi="Arial"/>
                <w:sz w:val="15"/>
              </w:rPr>
              <w:t xml:space="preserve">–</w:t>
            </w:r>
          </w:p>
        </w:tc>
        <w:tc>
          <w:tcPr>
            <w:tcW w:type="dxa" w:w="928"/>
          </w:tcPr>
          <w:p>
            <w:pPr>
              <w:pStyle w:val="Compact"/>
              <w:spacing w:after="0" w:before="0" w:line="240" w:lineRule="auto"/>
              <w:jc w:val="right"/>
            </w:pPr>
            <w:r>
              <w:rPr>
                <w:rFonts w:ascii="Arial" w:hAnsi="Arial"/>
                <w:sz w:val="15"/>
              </w:rPr>
              <w:t xml:space="preserve">–</w:t>
            </w:r>
          </w:p>
        </w:tc>
        <w:tc>
          <w:tcPr>
            <w:tcW w:type="dxa" w:w="955"/>
          </w:tcPr>
          <w:p>
            <w:pPr>
              <w:pStyle w:val="Compact"/>
              <w:spacing w:after="0" w:before="0" w:line="240" w:lineRule="auto"/>
              <w:jc w:val="right"/>
            </w:pPr>
            <w:r>
              <w:rPr>
                <w:rFonts w:ascii="Arial" w:hAnsi="Arial"/>
                <w:sz w:val="15"/>
              </w:rPr>
              <w:t xml:space="preserve">55.3%</w:t>
            </w:r>
          </w:p>
        </w:tc>
        <w:tc>
          <w:tcPr>
            <w:tcW w:type="dxa" w:w="943"/>
          </w:tcPr>
          <w:p>
            <w:pPr>
              <w:pStyle w:val="Compact"/>
              <w:spacing w:after="0" w:before="0" w:line="240" w:lineRule="auto"/>
              <w:jc w:val="right"/>
            </w:pPr>
            <w:r>
              <w:rPr>
                <w:rFonts w:ascii="Arial" w:hAnsi="Arial"/>
                <w:sz w:val="15"/>
              </w:rPr>
              <w:t xml:space="preserve">59.1%</w:t>
            </w:r>
          </w:p>
        </w:tc>
        <w:tc>
          <w:tcPr>
            <w:tcW w:type="dxa" w:w="1078"/>
          </w:tcPr>
          <w:p>
            <w:pPr>
              <w:pStyle w:val="Compact"/>
              <w:spacing w:after="0" w:before="0" w:line="240" w:lineRule="auto"/>
              <w:jc w:val="right"/>
            </w:pPr>
            <w:r>
              <w:rPr>
                <w:rFonts w:ascii="Arial" w:hAnsi="Arial"/>
                <w:sz w:val="15"/>
              </w:rPr>
              <w:t xml:space="preserve">60.5%</w:t>
            </w:r>
          </w:p>
        </w:tc>
        <w:tc>
          <w:tcPr>
            <w:tcW w:type="dxa" w:w="2247"/>
          </w:tcPr>
          <w:p>
            <w:pPr>
              <w:pStyle w:val="Compact"/>
              <w:spacing w:after="0" w:before="0" w:line="240" w:lineRule="auto"/>
              <w:jc w:val="left"/>
            </w:pPr>
            <w:r>
              <w:rPr>
                <w:rFonts w:ascii="Arial" w:hAnsi="Arial"/>
                <w:sz w:val="15"/>
              </w:rPr>
              <w:t xml:space="preserve">Headroom for growth without new radio capex</w:t>
            </w:r>
          </w:p>
        </w:tc>
      </w:tr>
    </w:tbl>
    <w:p>
      <w:pPr>
        <w:pStyle w:val="BodyText"/>
      </w:pPr>
      <w:r>
        <w:rPr>
          <w:iCs/>
          <w:i/>
        </w:rPr>
        <w:t xml:space="preserve">Sources: company earnings calls and releases, MSIT statistics via the company, DART. Reported ARPU is not text-indexed in the sources available to us (n/d). There is no order backlog in the classic sense; the closest equivalent is the Paju AIDC pre-leasing and the KRW5tn cumulative AIDC order target by 2030.</w:t>
      </w:r>
    </w:p>
    <w:p>
      <w:pPr>
        <w:pStyle w:val="CaptionedFigure"/>
      </w:pPr>
      <w:r>
        <w:drawing>
          <wp:inline>
            <wp:extent cx="6261100" cy="2494318"/>
            <wp:effectExtent b="0" l="0" r="0" t="0"/>
            <wp:docPr descr="Lines, 5G penetration and line share" title="" id="53" name="Picture"/>
            <a:graphic>
              <a:graphicData uri="http://schemas.openxmlformats.org/drawingml/2006/picture">
                <pic:pic>
                  <pic:nvPicPr>
                    <pic:cNvPr descr="../charts/kpi.png" id="54" name="Picture"/>
                    <pic:cNvPicPr>
                      <a:picLocks noChangeArrowheads="1" noChangeAspect="1"/>
                    </pic:cNvPicPr>
                  </pic:nvPicPr>
                  <pic:blipFill>
                    <a:blip r:embed="rId52"/>
                    <a:stretch>
                      <a:fillRect/>
                    </a:stretch>
                  </pic:blipFill>
                  <pic:spPr bwMode="auto">
                    <a:xfrm>
                      <a:off x="0" y="0"/>
                      <a:ext cx="6261100" cy="2494318"/>
                    </a:xfrm>
                    <a:prstGeom prst="rect">
                      <a:avLst/>
                    </a:prstGeom>
                    <a:noFill/>
                    <a:ln w="9525">
                      <a:noFill/>
                      <a:headEnd/>
                      <a:tailEnd/>
                    </a:ln>
                  </pic:spPr>
                </pic:pic>
              </a:graphicData>
            </a:graphic>
          </wp:inline>
        </w:drawing>
      </w:r>
    </w:p>
    <w:p>
      <w:pPr>
        <w:pStyle w:val="ImageCaption"/>
      </w:pPr>
      <w:r>
        <w:t xml:space="preserve">Lines, 5G penetration and line share</w:t>
      </w:r>
    </w:p>
    <w:p>
      <w:pPr>
        <w:pStyle w:val="CaptionedFigure"/>
      </w:pPr>
      <w:r>
        <w:drawing>
          <wp:inline>
            <wp:extent cx="6261100" cy="2405902"/>
            <wp:effectExtent b="0" l="0" r="0" t="0"/>
            <wp:docPr descr="Capex vs D&amp;A and capex intensity" title="" id="56" name="Picture"/>
            <a:graphic>
              <a:graphicData uri="http://schemas.openxmlformats.org/drawingml/2006/picture">
                <pic:pic>
                  <pic:nvPicPr>
                    <pic:cNvPr descr="../charts/capex.png" id="57" name="Picture"/>
                    <pic:cNvPicPr>
                      <a:picLocks noChangeArrowheads="1" noChangeAspect="1"/>
                    </pic:cNvPicPr>
                  </pic:nvPicPr>
                  <pic:blipFill>
                    <a:blip r:embed="rId55"/>
                    <a:stretch>
                      <a:fillRect/>
                    </a:stretch>
                  </pic:blipFill>
                  <pic:spPr bwMode="auto">
                    <a:xfrm>
                      <a:off x="0" y="0"/>
                      <a:ext cx="6261100" cy="2405902"/>
                    </a:xfrm>
                    <a:prstGeom prst="rect">
                      <a:avLst/>
                    </a:prstGeom>
                    <a:noFill/>
                    <a:ln w="9525">
                      <a:noFill/>
                      <a:headEnd/>
                      <a:tailEnd/>
                    </a:ln>
                  </pic:spPr>
                </pic:pic>
              </a:graphicData>
            </a:graphic>
          </wp:inline>
        </w:drawing>
      </w:r>
    </w:p>
    <w:p>
      <w:pPr>
        <w:pStyle w:val="ImageCaption"/>
      </w:pPr>
      <w:r>
        <w:t xml:space="preserve">Capex vs D&amp;A and capex intensity</w:t>
      </w:r>
    </w:p>
    <w:p>
      <w:pPr>
        <w:pStyle w:val="BodyText"/>
      </w:pPr>
      <w:r>
        <w:rPr>
          <w:bCs/>
          <w:b/>
        </w:rPr>
        <w:t xml:space="preserve">KPI read-across.</w:t>
      </w:r>
    </w:p>
    <w:p>
      <w:pPr>
        <w:numPr>
          <w:ilvl w:val="0"/>
          <w:numId w:val="1014"/>
        </w:numPr>
        <w:pStyle w:val="Compact"/>
      </w:pPr>
      <w:r>
        <w:t xml:space="preserve">The headline</w:t>
      </w:r>
      <w:r>
        <w:t xml:space="preserve"> </w:t>
      </w:r>
      <w:r>
        <w:t xml:space="preserve">“</w:t>
      </w:r>
      <w:r>
        <w:t xml:space="preserve">line growth</w:t>
      </w:r>
      <w:r>
        <w:t xml:space="preserve">”</w:t>
      </w:r>
      <w:r>
        <w:t xml:space="preserve"> </w:t>
      </w:r>
      <w:r>
        <w:t xml:space="preserve">story (18m to 31.5m) is mostly low-value IoT and MVNO lines. The handset base has been flat at ~11m for five years, so revenue per line is falling and is not a useful measure of pricing.</w:t>
      </w:r>
    </w:p>
    <w:p>
      <w:pPr>
        <w:numPr>
          <w:ilvl w:val="0"/>
          <w:numId w:val="1014"/>
        </w:numPr>
        <w:pStyle w:val="Compact"/>
      </w:pPr>
      <w:r>
        <w:t xml:space="preserve">The useful KPIs are:</w:t>
      </w:r>
    </w:p>
    <w:p>
      <w:pPr>
        <w:numPr>
          <w:ilvl w:val="1"/>
          <w:numId w:val="1015"/>
        </w:numPr>
        <w:pStyle w:val="Compact"/>
      </w:pPr>
      <w:r>
        <w:t xml:space="preserve">mobile service revenue growth (2–4%);</w:t>
      </w:r>
    </w:p>
    <w:p>
      <w:pPr>
        <w:numPr>
          <w:ilvl w:val="1"/>
          <w:numId w:val="1015"/>
        </w:numPr>
        <w:pStyle w:val="Compact"/>
      </w:pPr>
      <w:r>
        <w:t xml:space="preserve">marketing at ~20% of service revenue;</w:t>
      </w:r>
    </w:p>
    <w:p>
      <w:pPr>
        <w:numPr>
          <w:ilvl w:val="1"/>
          <w:numId w:val="1015"/>
        </w:numPr>
        <w:pStyle w:val="Compact"/>
      </w:pPr>
      <w:r>
        <w:t xml:space="preserve">capex intensity (at a trough, now turning up for AIDC);</w:t>
      </w:r>
    </w:p>
    <w:p>
      <w:pPr>
        <w:numPr>
          <w:ilvl w:val="1"/>
          <w:numId w:val="1015"/>
        </w:numPr>
        <w:pStyle w:val="Compact"/>
      </w:pPr>
      <w:r>
        <w:t xml:space="preserve">AIDC revenue growth (+29–31%).</w:t>
      </w:r>
    </w:p>
    <w:p>
      <w:pPr>
        <w:numPr>
          <w:ilvl w:val="0"/>
          <w:numId w:val="1014"/>
        </w:numPr>
        <w:pStyle w:val="Compact"/>
      </w:pPr>
      <w:r>
        <w:t xml:space="preserve">Network capacity utilisation of ~60% means volume growth needs little new radio capex.</w:t>
      </w:r>
    </w:p>
    <w:bookmarkEnd w:id="58"/>
    <w:bookmarkEnd w:id="59"/>
    <w:bookmarkStart w:id="66" w:name="Xced82d7e62871f54c56c77345f2bfc98db9728d"/>
    <w:p>
      <w:pPr>
        <w:pStyle w:val="Heading1"/>
      </w:pPr>
      <w:r>
        <w:t xml:space="preserve">Historical share-price catalysts (moves greater than 10%, last five years)</w:t>
      </w:r>
    </w:p>
    <w:p>
      <w:pPr>
        <w:pStyle w:val="CaptionedFigure"/>
      </w:pPr>
      <w:r>
        <w:drawing>
          <wp:inline>
            <wp:extent cx="6261100" cy="2965058"/>
            <wp:effectExtent b="0" l="0" r="0" t="0"/>
            <wp:docPr descr="Ten-year share price with key catalysts" title="" id="61" name="Picture"/>
            <a:graphic>
              <a:graphicData uri="http://schemas.openxmlformats.org/drawingml/2006/picture">
                <pic:pic>
                  <pic:nvPicPr>
                    <pic:cNvPr descr="../charts/price_10y.png" id="62" name="Picture"/>
                    <pic:cNvPicPr>
                      <a:picLocks noChangeArrowheads="1" noChangeAspect="1"/>
                    </pic:cNvPicPr>
                  </pic:nvPicPr>
                  <pic:blipFill>
                    <a:blip r:embed="rId60"/>
                    <a:stretch>
                      <a:fillRect/>
                    </a:stretch>
                  </pic:blipFill>
                  <pic:spPr bwMode="auto">
                    <a:xfrm>
                      <a:off x="0" y="0"/>
                      <a:ext cx="6261100" cy="2965058"/>
                    </a:xfrm>
                    <a:prstGeom prst="rect">
                      <a:avLst/>
                    </a:prstGeom>
                    <a:noFill/>
                    <a:ln w="9525">
                      <a:noFill/>
                      <a:headEnd/>
                      <a:tailEnd/>
                    </a:ln>
                  </pic:spPr>
                </pic:pic>
              </a:graphicData>
            </a:graphic>
          </wp:inline>
        </w:drawing>
      </w:r>
    </w:p>
    <w:p>
      <w:pPr>
        <w:pStyle w:val="ImageCaption"/>
      </w:pPr>
      <w:r>
        <w:t xml:space="preserve">Ten-year share price with key catalysts</w:t>
      </w:r>
    </w:p>
    <w:p>
      <w:pPr>
        <w:pStyle w:val="BodyText"/>
      </w:pPr>
      <w:r>
        <w:rPr>
          <w:bCs/>
          <w:b/>
        </w:rPr>
        <w:t xml:space="preserve">LG Uplus has had no single-day move of 10% or more in the past five years.</w:t>
      </w:r>
      <w:r>
        <w:t xml:space="preserve"> </w:t>
      </w:r>
      <w:r>
        <w:t xml:space="preserve">The largest was -9.5% on 4-Mar-2026, a market-wide crash day (KODEX 200 -12.5%). The tradeable moves have come over one to eight weeks, and most were event-driven: capital-return announcements, competitor security breaches, policy and index flows.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1492"/>
        <w:gridCol w:w="867"/>
        <w:gridCol w:w="1090"/>
        <w:gridCol w:w="955"/>
        <w:gridCol w:w="3790"/>
        <w:gridCol w:w="1781"/>
      </w:tblGrid>
      <w:tr>
        <w:trPr>
          <w:tblHeader w:val="true"/>
          <w:tblHeader w:val="true"/>
          <w:cantSplit/>
        </w:trPr>
        <w:tc>
          <w:tcPr>
            <w:tcW w:type="dxa" w:w="1493"/>
            <w:shd w:val="clear" w:color="auto" w:fill="13213F"/>
          </w:tcPr>
          <w:p>
            <w:pPr>
              <w:pStyle w:val="Compact"/>
              <w:spacing w:after="0" w:before="0" w:line="240" w:lineRule="auto"/>
              <w:jc w:val="left"/>
            </w:pPr>
            <w:r>
              <w:rPr>
                <w:rFonts w:ascii="Arial" w:hAnsi="Arial"/>
                <w:b/>
                <w:color w:val="FFFFFF"/>
                <w:sz w:val="15"/>
              </w:rPr>
              <w:t xml:space="preserve">Window</w:t>
            </w:r>
          </w:p>
        </w:tc>
        <w:tc>
          <w:tcPr>
            <w:tcW w:type="dxa" w:w="867"/>
            <w:shd w:val="clear" w:color="auto" w:fill="13213F"/>
          </w:tcPr>
          <w:p>
            <w:pPr>
              <w:pStyle w:val="Compact"/>
              <w:spacing w:after="0" w:before="0" w:line="240" w:lineRule="auto"/>
              <w:jc w:val="right"/>
            </w:pPr>
            <w:r>
              <w:rPr>
                <w:rFonts w:ascii="Arial" w:hAnsi="Arial"/>
                <w:b/>
                <w:color w:val="FFFFFF"/>
                <w:sz w:val="15"/>
              </w:rPr>
              <w:t xml:space="preserve">Move</w:t>
            </w:r>
          </w:p>
        </w:tc>
        <w:tc>
          <w:tcPr>
            <w:tcW w:type="dxa" w:w="1091"/>
            <w:shd w:val="clear" w:color="auto" w:fill="13213F"/>
          </w:tcPr>
          <w:p>
            <w:pPr>
              <w:pStyle w:val="Compact"/>
              <w:spacing w:after="0" w:before="0" w:line="240" w:lineRule="auto"/>
              <w:jc w:val="left"/>
            </w:pPr>
            <w:r>
              <w:rPr>
                <w:rFonts w:ascii="Arial" w:hAnsi="Arial"/>
                <w:b/>
                <w:color w:val="FFFFFF"/>
                <w:sz w:val="15"/>
              </w:rPr>
              <w:t xml:space="preserve">Price from → to</w:t>
            </w:r>
          </w:p>
        </w:tc>
        <w:tc>
          <w:tcPr>
            <w:tcW w:type="dxa" w:w="955"/>
            <w:shd w:val="clear" w:color="auto" w:fill="13213F"/>
          </w:tcPr>
          <w:p>
            <w:pPr>
              <w:pStyle w:val="Compact"/>
              <w:spacing w:after="0" w:before="0" w:line="240" w:lineRule="auto"/>
              <w:jc w:val="right"/>
            </w:pPr>
            <w:r>
              <w:rPr>
                <w:rFonts w:ascii="Arial" w:hAnsi="Arial"/>
                <w:b/>
                <w:color w:val="FFFFFF"/>
                <w:sz w:val="15"/>
              </w:rPr>
              <w:t xml:space="preserve">KOSPI 200 proxy</w:t>
            </w:r>
          </w:p>
        </w:tc>
        <w:tc>
          <w:tcPr>
            <w:tcW w:type="dxa" w:w="3790"/>
            <w:shd w:val="clear" w:color="auto" w:fill="13213F"/>
          </w:tcPr>
          <w:p>
            <w:pPr>
              <w:pStyle w:val="Compact"/>
              <w:spacing w:after="0" w:before="0" w:line="240" w:lineRule="auto"/>
              <w:jc w:val="left"/>
            </w:pPr>
            <w:r>
              <w:rPr>
                <w:rFonts w:ascii="Arial" w:hAnsi="Arial"/>
                <w:b/>
                <w:color w:val="FFFFFF"/>
                <w:sz w:val="15"/>
              </w:rPr>
              <w:t xml:space="preserve">Driver</w:t>
            </w:r>
          </w:p>
        </w:tc>
        <w:tc>
          <w:tcPr>
            <w:tcW w:type="dxa" w:w="1781"/>
            <w:shd w:val="clear" w:color="auto" w:fill="13213F"/>
          </w:tcPr>
          <w:p>
            <w:pPr>
              <w:pStyle w:val="Compact"/>
              <w:spacing w:after="0" w:before="0" w:line="240" w:lineRule="auto"/>
              <w:jc w:val="left"/>
            </w:pPr>
            <w:r>
              <w:rPr>
                <w:rFonts w:ascii="Arial" w:hAnsi="Arial"/>
                <w:b/>
                <w:color w:val="FFFFFF"/>
                <w:sz w:val="15"/>
              </w:rPr>
              <w:t xml:space="preserve">Type</w:t>
            </w:r>
          </w:p>
        </w:tc>
      </w:tr>
      <w:tr>
        <w:trPr>
          <w:cantSplit/>
        </w:trPr>
        <w:tc>
          <w:tcPr>
            <w:tcW w:type="dxa" w:w="1493"/>
          </w:tcPr>
          <w:p>
            <w:pPr>
              <w:pStyle w:val="Compact"/>
              <w:spacing w:after="0" w:before="0" w:line="240" w:lineRule="auto"/>
              <w:jc w:val="left"/>
            </w:pPr>
            <w:r>
              <w:rPr>
                <w:rFonts w:ascii="Arial" w:hAnsi="Arial"/>
                <w:sz w:val="15"/>
              </w:rPr>
              <w:t xml:space="preserve">5-Oct-21 → 1-Dec-21</w:t>
            </w:r>
          </w:p>
        </w:tc>
        <w:tc>
          <w:tcPr>
            <w:tcW w:type="dxa" w:w="867"/>
          </w:tcPr>
          <w:p>
            <w:pPr>
              <w:pStyle w:val="Compact"/>
              <w:spacing w:after="0" w:before="0" w:line="240" w:lineRule="auto"/>
              <w:jc w:val="right"/>
            </w:pPr>
            <w:r>
              <w:rPr>
                <w:rFonts w:ascii="Arial" w:hAnsi="Arial"/>
                <w:sz w:val="15"/>
              </w:rPr>
              <w:t xml:space="preserve">-11.9%</w:t>
            </w:r>
          </w:p>
        </w:tc>
        <w:tc>
          <w:tcPr>
            <w:tcW w:type="dxa" w:w="1091"/>
          </w:tcPr>
          <w:p>
            <w:pPr>
              <w:pStyle w:val="Compact"/>
              <w:spacing w:after="0" w:before="0" w:line="240" w:lineRule="auto"/>
              <w:jc w:val="left"/>
            </w:pPr>
            <w:r>
              <w:rPr>
                <w:rFonts w:ascii="Arial" w:hAnsi="Arial"/>
                <w:sz w:val="15"/>
              </w:rPr>
              <w:t xml:space="preserve">15,100 → 13,300</w:t>
            </w:r>
          </w:p>
        </w:tc>
        <w:tc>
          <w:tcPr>
            <w:tcW w:type="dxa" w:w="955"/>
          </w:tcPr>
          <w:p>
            <w:pPr>
              <w:pStyle w:val="Compact"/>
              <w:spacing w:after="0" w:before="0" w:line="240" w:lineRule="auto"/>
              <w:jc w:val="right"/>
            </w:pPr>
            <w:r>
              <w:rPr>
                <w:rFonts w:ascii="Arial" w:hAnsi="Arial"/>
                <w:sz w:val="15"/>
              </w:rPr>
              <w:t xml:space="preserve">-0.5%</w:t>
            </w:r>
          </w:p>
        </w:tc>
        <w:tc>
          <w:tcPr>
            <w:tcW w:type="dxa" w:w="3790"/>
          </w:tcPr>
          <w:p>
            <w:pPr>
              <w:pStyle w:val="Compact"/>
              <w:spacing w:after="0" w:before="0" w:line="240" w:lineRule="auto"/>
              <w:jc w:val="left"/>
            </w:pPr>
            <w:r>
              <w:rPr>
                <w:rFonts w:ascii="Arial" w:hAnsi="Arial"/>
                <w:sz w:val="15"/>
              </w:rPr>
              <w:t xml:space="preserve">Post-buyback de-rating; LG year-end CEO change (Hwang Hyun-sik) and 5G tariff pressure [u]</w:t>
            </w:r>
          </w:p>
        </w:tc>
        <w:tc>
          <w:tcPr>
            <w:tcW w:type="dxa" w:w="1781"/>
          </w:tcPr>
          <w:p>
            <w:pPr>
              <w:pStyle w:val="Compact"/>
              <w:spacing w:after="0" w:before="0" w:line="240" w:lineRule="auto"/>
              <w:jc w:val="left"/>
            </w:pPr>
            <w:r>
              <w:rPr>
                <w:rFonts w:ascii="Arial" w:hAnsi="Arial"/>
                <w:sz w:val="15"/>
              </w:rPr>
              <w:t xml:space="preserve">Stock-specific</w:t>
            </w:r>
          </w:p>
        </w:tc>
      </w:tr>
      <w:tr>
        <w:trPr>
          <w:cantSplit/>
        </w:trPr>
        <w:tc>
          <w:tcPr>
            <w:tcW w:type="dxa" w:w="1493"/>
            <w:shd w:val="clear" w:color="auto" w:fill="F1F2F5"/>
          </w:tcPr>
          <w:p>
            <w:pPr>
              <w:pStyle w:val="Compact"/>
              <w:spacing w:after="0" w:before="0" w:line="240" w:lineRule="auto"/>
              <w:jc w:val="left"/>
            </w:pPr>
            <w:r>
              <w:rPr>
                <w:rFonts w:ascii="Arial" w:hAnsi="Arial"/>
                <w:sz w:val="15"/>
              </w:rPr>
              <w:t xml:space="preserve">17-Dec-21 → 27-Jan-22</w:t>
            </w:r>
          </w:p>
        </w:tc>
        <w:tc>
          <w:tcPr>
            <w:tcW w:type="dxa" w:w="867"/>
            <w:shd w:val="clear" w:color="auto" w:fill="F1F2F5"/>
          </w:tcPr>
          <w:p>
            <w:pPr>
              <w:pStyle w:val="Compact"/>
              <w:spacing w:after="0" w:before="0" w:line="240" w:lineRule="auto"/>
              <w:jc w:val="right"/>
            </w:pPr>
            <w:r>
              <w:rPr>
                <w:rFonts w:ascii="Arial" w:hAnsi="Arial"/>
                <w:sz w:val="15"/>
              </w:rPr>
              <w:t xml:space="preserve">-12.1%</w:t>
            </w:r>
          </w:p>
        </w:tc>
        <w:tc>
          <w:tcPr>
            <w:tcW w:type="dxa" w:w="1091"/>
            <w:shd w:val="clear" w:color="auto" w:fill="F1F2F5"/>
          </w:tcPr>
          <w:p>
            <w:pPr>
              <w:pStyle w:val="Compact"/>
              <w:spacing w:after="0" w:before="0" w:line="240" w:lineRule="auto"/>
              <w:jc w:val="left"/>
            </w:pPr>
            <w:r>
              <w:rPr>
                <w:rFonts w:ascii="Arial" w:hAnsi="Arial"/>
                <w:sz w:val="15"/>
              </w:rPr>
              <w:t xml:space="preserve">14,450 → 12,700</w:t>
            </w:r>
          </w:p>
        </w:tc>
        <w:tc>
          <w:tcPr>
            <w:tcW w:type="dxa" w:w="955"/>
            <w:shd w:val="clear" w:color="auto" w:fill="F1F2F5"/>
          </w:tcPr>
          <w:p>
            <w:pPr>
              <w:pStyle w:val="Compact"/>
              <w:spacing w:after="0" w:before="0" w:line="240" w:lineRule="auto"/>
              <w:jc w:val="right"/>
            </w:pPr>
            <w:r>
              <w:rPr>
                <w:rFonts w:ascii="Arial" w:hAnsi="Arial"/>
                <w:sz w:val="15"/>
              </w:rPr>
              <w:t xml:space="preserve">-9.0%</w:t>
            </w:r>
          </w:p>
        </w:tc>
        <w:tc>
          <w:tcPr>
            <w:tcW w:type="dxa" w:w="3790"/>
            <w:shd w:val="clear" w:color="auto" w:fill="F1F2F5"/>
          </w:tcPr>
          <w:p>
            <w:pPr>
              <w:pStyle w:val="Compact"/>
              <w:spacing w:after="0" w:before="0" w:line="240" w:lineRule="auto"/>
              <w:jc w:val="left"/>
            </w:pPr>
            <w:r>
              <w:rPr>
                <w:rFonts w:ascii="Arial" w:hAnsi="Arial"/>
                <w:sz w:val="15"/>
              </w:rPr>
              <w:t xml:space="preserve">Global rate sell-off; ex-dividend (KRW350)</w:t>
            </w:r>
          </w:p>
        </w:tc>
        <w:tc>
          <w:tcPr>
            <w:tcW w:type="dxa" w:w="1781"/>
            <w:shd w:val="clear" w:color="auto" w:fill="F1F2F5"/>
          </w:tcPr>
          <w:p>
            <w:pPr>
              <w:pStyle w:val="Compact"/>
              <w:spacing w:after="0" w:before="0" w:line="240" w:lineRule="auto"/>
              <w:jc w:val="left"/>
            </w:pPr>
            <w:r>
              <w:rPr>
                <w:rFonts w:ascii="Arial" w:hAnsi="Arial"/>
                <w:sz w:val="15"/>
              </w:rPr>
              <w:t xml:space="preserve">Market</w:t>
            </w:r>
          </w:p>
        </w:tc>
      </w:tr>
      <w:tr>
        <w:trPr>
          <w:cantSplit/>
        </w:trPr>
        <w:tc>
          <w:tcPr>
            <w:tcW w:type="dxa" w:w="1493"/>
          </w:tcPr>
          <w:p>
            <w:pPr>
              <w:pStyle w:val="Compact"/>
              <w:spacing w:after="0" w:before="0" w:line="240" w:lineRule="auto"/>
              <w:jc w:val="left"/>
            </w:pPr>
            <w:r>
              <w:rPr>
                <w:rFonts w:ascii="Arial" w:hAnsi="Arial"/>
                <w:sz w:val="15"/>
              </w:rPr>
              <w:t xml:space="preserve">2-Mar-22 → 19-Apr-22</w:t>
            </w:r>
          </w:p>
        </w:tc>
        <w:tc>
          <w:tcPr>
            <w:tcW w:type="dxa" w:w="867"/>
          </w:tcPr>
          <w:p>
            <w:pPr>
              <w:pStyle w:val="Compact"/>
              <w:spacing w:after="0" w:before="0" w:line="240" w:lineRule="auto"/>
              <w:jc w:val="right"/>
            </w:pPr>
            <w:r>
              <w:rPr>
                <w:rFonts w:ascii="Arial" w:hAnsi="Arial"/>
                <w:sz w:val="15"/>
              </w:rPr>
              <w:t xml:space="preserve">+12.6%</w:t>
            </w:r>
          </w:p>
        </w:tc>
        <w:tc>
          <w:tcPr>
            <w:tcW w:type="dxa" w:w="1091"/>
          </w:tcPr>
          <w:p>
            <w:pPr>
              <w:pStyle w:val="Compact"/>
              <w:spacing w:after="0" w:before="0" w:line="240" w:lineRule="auto"/>
              <w:jc w:val="left"/>
            </w:pPr>
            <w:r>
              <w:rPr>
                <w:rFonts w:ascii="Arial" w:hAnsi="Arial"/>
                <w:sz w:val="15"/>
              </w:rPr>
              <w:t xml:space="preserve">13,100 → 14,750</w:t>
            </w:r>
          </w:p>
        </w:tc>
        <w:tc>
          <w:tcPr>
            <w:tcW w:type="dxa" w:w="955"/>
          </w:tcPr>
          <w:p>
            <w:pPr>
              <w:pStyle w:val="Compact"/>
              <w:spacing w:after="0" w:before="0" w:line="240" w:lineRule="auto"/>
              <w:jc w:val="right"/>
            </w:pPr>
            <w:r>
              <w:rPr>
                <w:rFonts w:ascii="Arial" w:hAnsi="Arial"/>
                <w:sz w:val="15"/>
              </w:rPr>
              <w:t xml:space="preserve">-0.9%</w:t>
            </w:r>
          </w:p>
        </w:tc>
        <w:tc>
          <w:tcPr>
            <w:tcW w:type="dxa" w:w="3790"/>
          </w:tcPr>
          <w:p>
            <w:pPr>
              <w:pStyle w:val="Compact"/>
              <w:spacing w:after="0" w:before="0" w:line="240" w:lineRule="auto"/>
              <w:jc w:val="left"/>
            </w:pPr>
            <w:r>
              <w:rPr>
                <w:rFonts w:ascii="Arial" w:hAnsi="Arial"/>
                <w:sz w:val="15"/>
              </w:rPr>
              <w:t xml:space="preserve">Record FY21 net income (KRW712bn); Investor Day (6-Apr-22); 3.40–3.42GHz decision [u]</w:t>
            </w:r>
          </w:p>
        </w:tc>
        <w:tc>
          <w:tcPr>
            <w:tcW w:type="dxa" w:w="1781"/>
          </w:tcPr>
          <w:p>
            <w:pPr>
              <w:pStyle w:val="Compact"/>
              <w:spacing w:after="0" w:before="0" w:line="240" w:lineRule="auto"/>
              <w:jc w:val="left"/>
            </w:pPr>
            <w:r>
              <w:rPr>
                <w:rFonts w:ascii="Arial" w:hAnsi="Arial"/>
                <w:sz w:val="15"/>
              </w:rPr>
              <w:t xml:space="preserve">Event</w:t>
            </w:r>
          </w:p>
        </w:tc>
      </w:tr>
      <w:tr>
        <w:trPr>
          <w:cantSplit/>
        </w:trPr>
        <w:tc>
          <w:tcPr>
            <w:tcW w:type="dxa" w:w="1493"/>
            <w:shd w:val="clear" w:color="auto" w:fill="F1F2F5"/>
          </w:tcPr>
          <w:p>
            <w:pPr>
              <w:pStyle w:val="Compact"/>
              <w:spacing w:after="0" w:before="0" w:line="240" w:lineRule="auto"/>
              <w:jc w:val="left"/>
            </w:pPr>
            <w:r>
              <w:rPr>
                <w:rFonts w:ascii="Arial" w:hAnsi="Arial"/>
                <w:sz w:val="15"/>
              </w:rPr>
              <w:t xml:space="preserve">20-Apr-22 → 19-May-22</w:t>
            </w:r>
          </w:p>
        </w:tc>
        <w:tc>
          <w:tcPr>
            <w:tcW w:type="dxa" w:w="867"/>
            <w:shd w:val="clear" w:color="auto" w:fill="F1F2F5"/>
          </w:tcPr>
          <w:p>
            <w:pPr>
              <w:pStyle w:val="Compact"/>
              <w:spacing w:after="0" w:before="0" w:line="240" w:lineRule="auto"/>
              <w:jc w:val="right"/>
            </w:pPr>
            <w:r>
              <w:rPr>
                <w:rFonts w:ascii="Arial" w:hAnsi="Arial"/>
                <w:sz w:val="15"/>
              </w:rPr>
              <w:t xml:space="preserve">-11.2%</w:t>
            </w:r>
          </w:p>
        </w:tc>
        <w:tc>
          <w:tcPr>
            <w:tcW w:type="dxa" w:w="1091"/>
            <w:shd w:val="clear" w:color="auto" w:fill="F1F2F5"/>
          </w:tcPr>
          <w:p>
            <w:pPr>
              <w:pStyle w:val="Compact"/>
              <w:spacing w:after="0" w:before="0" w:line="240" w:lineRule="auto"/>
              <w:jc w:val="left"/>
            </w:pPr>
            <w:r>
              <w:rPr>
                <w:rFonts w:ascii="Arial" w:hAnsi="Arial"/>
                <w:sz w:val="15"/>
              </w:rPr>
              <w:t xml:space="preserve">14,700 → 13,050</w:t>
            </w:r>
          </w:p>
        </w:tc>
        <w:tc>
          <w:tcPr>
            <w:tcW w:type="dxa" w:w="955"/>
            <w:shd w:val="clear" w:color="auto" w:fill="F1F2F5"/>
          </w:tcPr>
          <w:p>
            <w:pPr>
              <w:pStyle w:val="Compact"/>
              <w:spacing w:after="0" w:before="0" w:line="240" w:lineRule="auto"/>
              <w:jc w:val="right"/>
            </w:pPr>
            <w:r>
              <w:rPr>
                <w:rFonts w:ascii="Arial" w:hAnsi="Arial"/>
                <w:sz w:val="15"/>
              </w:rPr>
              <w:t xml:space="preserve">-2.3%</w:t>
            </w:r>
          </w:p>
        </w:tc>
        <w:tc>
          <w:tcPr>
            <w:tcW w:type="dxa" w:w="3790"/>
            <w:shd w:val="clear" w:color="auto" w:fill="F1F2F5"/>
          </w:tcPr>
          <w:p>
            <w:pPr>
              <w:pStyle w:val="Compact"/>
              <w:spacing w:after="0" w:before="0" w:line="240" w:lineRule="auto"/>
              <w:jc w:val="left"/>
            </w:pPr>
            <w:r>
              <w:rPr>
                <w:rFonts w:ascii="Arial" w:hAnsi="Arial"/>
                <w:sz w:val="15"/>
              </w:rPr>
              <w:t xml:space="preserve">Unexplained -6.1% on 27-Apr-22 [u]; 1Q22 results</w:t>
            </w:r>
          </w:p>
        </w:tc>
        <w:tc>
          <w:tcPr>
            <w:tcW w:type="dxa" w:w="1781"/>
            <w:shd w:val="clear" w:color="auto" w:fill="F1F2F5"/>
          </w:tcPr>
          <w:p>
            <w:pPr>
              <w:pStyle w:val="Compact"/>
              <w:spacing w:after="0" w:before="0" w:line="240" w:lineRule="auto"/>
              <w:jc w:val="left"/>
            </w:pPr>
            <w:r>
              <w:rPr>
                <w:rFonts w:ascii="Arial" w:hAnsi="Arial"/>
                <w:sz w:val="15"/>
              </w:rPr>
              <w:t xml:space="preserve">Unclear</w:t>
            </w:r>
          </w:p>
        </w:tc>
      </w:tr>
      <w:tr>
        <w:trPr>
          <w:cantSplit/>
        </w:trPr>
        <w:tc>
          <w:tcPr>
            <w:tcW w:type="dxa" w:w="1493"/>
          </w:tcPr>
          <w:p>
            <w:pPr>
              <w:pStyle w:val="Compact"/>
              <w:spacing w:after="0" w:before="0" w:line="240" w:lineRule="auto"/>
              <w:jc w:val="left"/>
            </w:pPr>
            <w:r>
              <w:rPr>
                <w:rFonts w:ascii="Arial" w:hAnsi="Arial"/>
                <w:sz w:val="15"/>
              </w:rPr>
              <w:t xml:space="preserve">31-May-22 → 15-Jul-22</w:t>
            </w:r>
          </w:p>
        </w:tc>
        <w:tc>
          <w:tcPr>
            <w:tcW w:type="dxa" w:w="867"/>
          </w:tcPr>
          <w:p>
            <w:pPr>
              <w:pStyle w:val="Compact"/>
              <w:spacing w:after="0" w:before="0" w:line="240" w:lineRule="auto"/>
              <w:jc w:val="right"/>
            </w:pPr>
            <w:r>
              <w:rPr>
                <w:rFonts w:ascii="Arial" w:hAnsi="Arial"/>
                <w:sz w:val="15"/>
              </w:rPr>
              <w:t xml:space="preserve">-13.7%</w:t>
            </w:r>
          </w:p>
        </w:tc>
        <w:tc>
          <w:tcPr>
            <w:tcW w:type="dxa" w:w="1091"/>
          </w:tcPr>
          <w:p>
            <w:pPr>
              <w:pStyle w:val="Compact"/>
              <w:spacing w:after="0" w:before="0" w:line="240" w:lineRule="auto"/>
              <w:jc w:val="left"/>
            </w:pPr>
            <w:r>
              <w:rPr>
                <w:rFonts w:ascii="Arial" w:hAnsi="Arial"/>
                <w:sz w:val="15"/>
              </w:rPr>
              <w:t xml:space="preserve">13,850 → 11,950</w:t>
            </w:r>
          </w:p>
        </w:tc>
        <w:tc>
          <w:tcPr>
            <w:tcW w:type="dxa" w:w="955"/>
          </w:tcPr>
          <w:p>
            <w:pPr>
              <w:pStyle w:val="Compact"/>
              <w:spacing w:after="0" w:before="0" w:line="240" w:lineRule="auto"/>
              <w:jc w:val="right"/>
            </w:pPr>
            <w:r>
              <w:rPr>
                <w:rFonts w:ascii="Arial" w:hAnsi="Arial"/>
                <w:sz w:val="15"/>
              </w:rPr>
              <w:t xml:space="preserve">-11.3%</w:t>
            </w:r>
          </w:p>
        </w:tc>
        <w:tc>
          <w:tcPr>
            <w:tcW w:type="dxa" w:w="3790"/>
          </w:tcPr>
          <w:p>
            <w:pPr>
              <w:pStyle w:val="Compact"/>
              <w:spacing w:after="0" w:before="0" w:line="240" w:lineRule="auto"/>
              <w:jc w:val="left"/>
            </w:pPr>
            <w:r>
              <w:rPr>
                <w:rFonts w:ascii="Arial" w:hAnsi="Arial"/>
                <w:sz w:val="15"/>
              </w:rPr>
              <w:t xml:space="preserve">2022 bear market; government push for mid-tier 5G tariffs [u]</w:t>
            </w:r>
          </w:p>
        </w:tc>
        <w:tc>
          <w:tcPr>
            <w:tcW w:type="dxa" w:w="1781"/>
          </w:tcPr>
          <w:p>
            <w:pPr>
              <w:pStyle w:val="Compact"/>
              <w:spacing w:after="0" w:before="0" w:line="240" w:lineRule="auto"/>
              <w:jc w:val="left"/>
            </w:pPr>
            <w:r>
              <w:rPr>
                <w:rFonts w:ascii="Arial" w:hAnsi="Arial"/>
                <w:sz w:val="15"/>
              </w:rPr>
              <w:t xml:space="preserve">Market / policy</w:t>
            </w:r>
          </w:p>
        </w:tc>
      </w:tr>
      <w:tr>
        <w:trPr>
          <w:cantSplit/>
        </w:trPr>
        <w:tc>
          <w:tcPr>
            <w:tcW w:type="dxa" w:w="1493"/>
            <w:shd w:val="clear" w:color="auto" w:fill="F1F2F5"/>
          </w:tcPr>
          <w:p>
            <w:pPr>
              <w:pStyle w:val="Compact"/>
              <w:spacing w:after="0" w:before="0" w:line="240" w:lineRule="auto"/>
              <w:jc w:val="left"/>
            </w:pPr>
            <w:r>
              <w:rPr>
                <w:rFonts w:ascii="Arial" w:hAnsi="Arial"/>
                <w:sz w:val="15"/>
              </w:rPr>
              <w:t xml:space="preserve">9-Aug-22 → 11-Oct-22</w:t>
            </w:r>
          </w:p>
        </w:tc>
        <w:tc>
          <w:tcPr>
            <w:tcW w:type="dxa" w:w="867"/>
            <w:shd w:val="clear" w:color="auto" w:fill="F1F2F5"/>
          </w:tcPr>
          <w:p>
            <w:pPr>
              <w:pStyle w:val="Compact"/>
              <w:spacing w:after="0" w:before="0" w:line="240" w:lineRule="auto"/>
              <w:jc w:val="right"/>
            </w:pPr>
            <w:r>
              <w:rPr>
                <w:rFonts w:ascii="Arial" w:hAnsi="Arial"/>
                <w:sz w:val="15"/>
              </w:rPr>
              <w:t xml:space="preserve">-17.0%</w:t>
            </w:r>
          </w:p>
        </w:tc>
        <w:tc>
          <w:tcPr>
            <w:tcW w:type="dxa" w:w="1091"/>
            <w:shd w:val="clear" w:color="auto" w:fill="F1F2F5"/>
          </w:tcPr>
          <w:p>
            <w:pPr>
              <w:pStyle w:val="Compact"/>
              <w:spacing w:after="0" w:before="0" w:line="240" w:lineRule="auto"/>
              <w:jc w:val="left"/>
            </w:pPr>
            <w:r>
              <w:rPr>
                <w:rFonts w:ascii="Arial" w:hAnsi="Arial"/>
                <w:sz w:val="15"/>
              </w:rPr>
              <w:t xml:space="preserve">12,650 → 10,500</w:t>
            </w:r>
          </w:p>
        </w:tc>
        <w:tc>
          <w:tcPr>
            <w:tcW w:type="dxa" w:w="955"/>
            <w:shd w:val="clear" w:color="auto" w:fill="F1F2F5"/>
          </w:tcPr>
          <w:p>
            <w:pPr>
              <w:pStyle w:val="Compact"/>
              <w:spacing w:after="0" w:before="0" w:line="240" w:lineRule="auto"/>
              <w:jc w:val="right"/>
            </w:pPr>
            <w:r>
              <w:rPr>
                <w:rFonts w:ascii="Arial" w:hAnsi="Arial"/>
                <w:sz w:val="15"/>
              </w:rPr>
              <w:t xml:space="preserve">-11.4%</w:t>
            </w:r>
          </w:p>
        </w:tc>
        <w:tc>
          <w:tcPr>
            <w:tcW w:type="dxa" w:w="3790"/>
            <w:shd w:val="clear" w:color="auto" w:fill="F1F2F5"/>
          </w:tcPr>
          <w:p>
            <w:pPr>
              <w:pStyle w:val="Compact"/>
              <w:spacing w:after="0" w:before="0" w:line="240" w:lineRule="auto"/>
              <w:jc w:val="left"/>
            </w:pPr>
            <w:r>
              <w:rPr>
                <w:rFonts w:ascii="Arial" w:hAnsi="Arial"/>
                <w:sz w:val="15"/>
              </w:rPr>
              <w:t xml:space="preserve">Rates and strong USD; Korean credit scare (Legoland, Sep–Oct 2022) [u]</w:t>
            </w:r>
          </w:p>
        </w:tc>
        <w:tc>
          <w:tcPr>
            <w:tcW w:type="dxa" w:w="1781"/>
            <w:shd w:val="clear" w:color="auto" w:fill="F1F2F5"/>
          </w:tcPr>
          <w:p>
            <w:pPr>
              <w:pStyle w:val="Compact"/>
              <w:spacing w:after="0" w:before="0" w:line="240" w:lineRule="auto"/>
              <w:jc w:val="left"/>
            </w:pPr>
            <w:r>
              <w:rPr>
                <w:rFonts w:ascii="Arial" w:hAnsi="Arial"/>
                <w:sz w:val="15"/>
              </w:rPr>
              <w:t xml:space="preserve">Market</w:t>
            </w:r>
          </w:p>
        </w:tc>
      </w:tr>
      <w:tr>
        <w:trPr>
          <w:cantSplit/>
        </w:trPr>
        <w:tc>
          <w:tcPr>
            <w:tcW w:type="dxa" w:w="1493"/>
          </w:tcPr>
          <w:p>
            <w:pPr>
              <w:pStyle w:val="Compact"/>
              <w:spacing w:after="0" w:before="0" w:line="240" w:lineRule="auto"/>
              <w:jc w:val="left"/>
            </w:pPr>
            <w:r>
              <w:rPr>
                <w:rFonts w:ascii="Arial" w:hAnsi="Arial"/>
                <w:sz w:val="15"/>
              </w:rPr>
              <w:t xml:space="preserve">13-Oct-22 → 23-Nov-22</w:t>
            </w:r>
          </w:p>
        </w:tc>
        <w:tc>
          <w:tcPr>
            <w:tcW w:type="dxa" w:w="867"/>
          </w:tcPr>
          <w:p>
            <w:pPr>
              <w:pStyle w:val="Compact"/>
              <w:spacing w:after="0" w:before="0" w:line="240" w:lineRule="auto"/>
              <w:jc w:val="right"/>
            </w:pPr>
            <w:r>
              <w:rPr>
                <w:rFonts w:ascii="Arial" w:hAnsi="Arial"/>
                <w:sz w:val="15"/>
              </w:rPr>
              <w:t xml:space="preserve">+18.5%</w:t>
            </w:r>
          </w:p>
        </w:tc>
        <w:tc>
          <w:tcPr>
            <w:tcW w:type="dxa" w:w="1091"/>
          </w:tcPr>
          <w:p>
            <w:pPr>
              <w:pStyle w:val="Compact"/>
              <w:spacing w:after="0" w:before="0" w:line="240" w:lineRule="auto"/>
              <w:jc w:val="left"/>
            </w:pPr>
            <w:r>
              <w:rPr>
                <w:rFonts w:ascii="Arial" w:hAnsi="Arial"/>
                <w:sz w:val="15"/>
              </w:rPr>
              <w:t xml:space="preserve">10,250 → 12,150</w:t>
            </w:r>
          </w:p>
        </w:tc>
        <w:tc>
          <w:tcPr>
            <w:tcW w:type="dxa" w:w="955"/>
          </w:tcPr>
          <w:p>
            <w:pPr>
              <w:pStyle w:val="Compact"/>
              <w:spacing w:after="0" w:before="0" w:line="240" w:lineRule="auto"/>
              <w:jc w:val="right"/>
            </w:pPr>
            <w:r>
              <w:rPr>
                <w:rFonts w:ascii="Arial" w:hAnsi="Arial"/>
                <w:sz w:val="15"/>
              </w:rPr>
              <w:t xml:space="preserve">+8.4%</w:t>
            </w:r>
          </w:p>
        </w:tc>
        <w:tc>
          <w:tcPr>
            <w:tcW w:type="dxa" w:w="3790"/>
          </w:tcPr>
          <w:p>
            <w:pPr>
              <w:pStyle w:val="Compact"/>
              <w:spacing w:after="0" w:before="0" w:line="240" w:lineRule="auto"/>
              <w:jc w:val="left"/>
            </w:pPr>
            <w:r>
              <w:rPr>
                <w:rFonts w:ascii="Arial" w:hAnsi="Arial"/>
                <w:sz w:val="15"/>
              </w:rPr>
              <w:t xml:space="preserve">Market rebound; 3Q22 results (+4.4% on the day)</w:t>
            </w:r>
          </w:p>
        </w:tc>
        <w:tc>
          <w:tcPr>
            <w:tcW w:type="dxa" w:w="1781"/>
          </w:tcPr>
          <w:p>
            <w:pPr>
              <w:pStyle w:val="Compact"/>
              <w:spacing w:after="0" w:before="0" w:line="240" w:lineRule="auto"/>
              <w:jc w:val="left"/>
            </w:pPr>
            <w:r>
              <w:rPr>
                <w:rFonts w:ascii="Arial" w:hAnsi="Arial"/>
                <w:sz w:val="15"/>
              </w:rPr>
              <w:t xml:space="preserve">Market / event</w:t>
            </w:r>
          </w:p>
        </w:tc>
      </w:tr>
      <w:tr>
        <w:trPr>
          <w:cantSplit/>
        </w:trPr>
        <w:tc>
          <w:tcPr>
            <w:tcW w:type="dxa" w:w="1493"/>
            <w:shd w:val="clear" w:color="auto" w:fill="F1F2F5"/>
          </w:tcPr>
          <w:p>
            <w:pPr>
              <w:pStyle w:val="Compact"/>
              <w:spacing w:after="0" w:before="0" w:line="240" w:lineRule="auto"/>
              <w:jc w:val="left"/>
            </w:pPr>
            <w:r>
              <w:rPr>
                <w:rFonts w:ascii="Arial" w:hAnsi="Arial"/>
                <w:sz w:val="15"/>
              </w:rPr>
              <w:t xml:space="preserve">30-Nov-22 → 12-Jan-23</w:t>
            </w:r>
          </w:p>
        </w:tc>
        <w:tc>
          <w:tcPr>
            <w:tcW w:type="dxa" w:w="867"/>
            <w:shd w:val="clear" w:color="auto" w:fill="F1F2F5"/>
          </w:tcPr>
          <w:p>
            <w:pPr>
              <w:pStyle w:val="Compact"/>
              <w:spacing w:after="0" w:before="0" w:line="240" w:lineRule="auto"/>
              <w:jc w:val="right"/>
            </w:pPr>
            <w:r>
              <w:rPr>
                <w:rFonts w:ascii="Arial" w:hAnsi="Arial"/>
                <w:sz w:val="15"/>
              </w:rPr>
              <w:t xml:space="preserve">-11.6%</w:t>
            </w:r>
          </w:p>
        </w:tc>
        <w:tc>
          <w:tcPr>
            <w:tcW w:type="dxa" w:w="1091"/>
            <w:shd w:val="clear" w:color="auto" w:fill="F1F2F5"/>
          </w:tcPr>
          <w:p>
            <w:pPr>
              <w:pStyle w:val="Compact"/>
              <w:spacing w:after="0" w:before="0" w:line="240" w:lineRule="auto"/>
              <w:jc w:val="left"/>
            </w:pPr>
            <w:r>
              <w:rPr>
                <w:rFonts w:ascii="Arial" w:hAnsi="Arial"/>
                <w:sz w:val="15"/>
              </w:rPr>
              <w:t xml:space="preserve">12,100 → 10,700</w:t>
            </w:r>
          </w:p>
        </w:tc>
        <w:tc>
          <w:tcPr>
            <w:tcW w:type="dxa" w:w="955"/>
            <w:shd w:val="clear" w:color="auto" w:fill="F1F2F5"/>
          </w:tcPr>
          <w:p>
            <w:pPr>
              <w:pStyle w:val="Compact"/>
              <w:spacing w:after="0" w:before="0" w:line="240" w:lineRule="auto"/>
              <w:jc w:val="right"/>
            </w:pPr>
            <w:r>
              <w:rPr>
                <w:rFonts w:ascii="Arial" w:hAnsi="Arial"/>
                <w:sz w:val="15"/>
              </w:rPr>
              <w:t xml:space="preserve">+0.7%</w:t>
            </w:r>
          </w:p>
        </w:tc>
        <w:tc>
          <w:tcPr>
            <w:tcW w:type="dxa" w:w="3790"/>
            <w:shd w:val="clear" w:color="auto" w:fill="F1F2F5"/>
          </w:tcPr>
          <w:p>
            <w:pPr>
              <w:pStyle w:val="Compact"/>
              <w:spacing w:after="0" w:before="0" w:line="240" w:lineRule="auto"/>
              <w:jc w:val="left"/>
            </w:pPr>
            <w:r>
              <w:rPr>
                <w:rFonts w:ascii="Arial" w:hAnsi="Arial"/>
                <w:sz w:val="15"/>
              </w:rPr>
              <w:t xml:space="preserve">Ex-dividend (-4.6%), then the</w:t>
            </w:r>
            <w:r>
              <w:rPr>
                <w:rFonts w:ascii="Arial" w:hAnsi="Arial"/>
                <w:sz w:val="15"/>
              </w:rPr>
              <w:t xml:space="preserve"> </w:t>
            </w:r>
            <w:r>
              <w:rPr>
                <w:bCs/>
                <w:rFonts w:ascii="Arial" w:hAnsi="Arial"/>
                <w:b/>
                <w:sz w:val="15"/>
              </w:rPr>
              <w:t xml:space="preserve">Jan-2023 customer-data leak and DDoS outages</w:t>
            </w:r>
            <w:r>
              <w:rPr>
                <w:rFonts w:ascii="Arial" w:hAnsi="Arial"/>
                <w:sz w:val="15"/>
              </w:rPr>
              <w:t xml:space="preserve"> </w:t>
            </w:r>
            <w:r>
              <w:rPr>
                <w:rFonts w:ascii="Arial" w:hAnsi="Arial"/>
                <w:sz w:val="15"/>
              </w:rPr>
              <w:t xml:space="preserve">(KRW6.8bn PIPC fine)</w:t>
            </w:r>
          </w:p>
        </w:tc>
        <w:tc>
          <w:tcPr>
            <w:tcW w:type="dxa" w:w="1781"/>
            <w:shd w:val="clear" w:color="auto" w:fill="F1F2F5"/>
          </w:tcPr>
          <w:p>
            <w:pPr>
              <w:pStyle w:val="Compact"/>
              <w:spacing w:after="0" w:before="0" w:line="240" w:lineRule="auto"/>
              <w:jc w:val="left"/>
            </w:pPr>
            <w:r>
              <w:rPr>
                <w:bCs/>
                <w:rFonts w:ascii="Arial" w:hAnsi="Arial"/>
                <w:b/>
                <w:sz w:val="15"/>
              </w:rPr>
              <w:t xml:space="preserve">Event</w:t>
            </w:r>
          </w:p>
        </w:tc>
      </w:tr>
      <w:tr>
        <w:trPr>
          <w:cantSplit/>
        </w:trPr>
        <w:tc>
          <w:tcPr>
            <w:tcW w:type="dxa" w:w="1493"/>
          </w:tcPr>
          <w:p>
            <w:pPr>
              <w:pStyle w:val="Compact"/>
              <w:spacing w:after="0" w:before="0" w:line="240" w:lineRule="auto"/>
              <w:jc w:val="left"/>
            </w:pPr>
            <w:r>
              <w:rPr>
                <w:rFonts w:ascii="Arial" w:hAnsi="Arial"/>
                <w:sz w:val="15"/>
              </w:rPr>
              <w:t xml:space="preserve">8-Jun-23 → 26-Jul-23</w:t>
            </w:r>
          </w:p>
        </w:tc>
        <w:tc>
          <w:tcPr>
            <w:tcW w:type="dxa" w:w="867"/>
          </w:tcPr>
          <w:p>
            <w:pPr>
              <w:pStyle w:val="Compact"/>
              <w:spacing w:after="0" w:before="0" w:line="240" w:lineRule="auto"/>
              <w:jc w:val="right"/>
            </w:pPr>
            <w:r>
              <w:rPr>
                <w:rFonts w:ascii="Arial" w:hAnsi="Arial"/>
                <w:sz w:val="15"/>
              </w:rPr>
              <w:t xml:space="preserve">-12.3%</w:t>
            </w:r>
          </w:p>
        </w:tc>
        <w:tc>
          <w:tcPr>
            <w:tcW w:type="dxa" w:w="1091"/>
          </w:tcPr>
          <w:p>
            <w:pPr>
              <w:pStyle w:val="Compact"/>
              <w:spacing w:after="0" w:before="0" w:line="240" w:lineRule="auto"/>
              <w:jc w:val="left"/>
            </w:pPr>
            <w:r>
              <w:rPr>
                <w:rFonts w:ascii="Arial" w:hAnsi="Arial"/>
                <w:sz w:val="15"/>
              </w:rPr>
              <w:t xml:space="preserve">11,300 → 9,910</w:t>
            </w:r>
          </w:p>
        </w:tc>
        <w:tc>
          <w:tcPr>
            <w:tcW w:type="dxa" w:w="955"/>
          </w:tcPr>
          <w:p>
            <w:pPr>
              <w:pStyle w:val="Compact"/>
              <w:spacing w:after="0" w:before="0" w:line="240" w:lineRule="auto"/>
              <w:jc w:val="right"/>
            </w:pPr>
            <w:r>
              <w:rPr>
                <w:rFonts w:ascii="Arial" w:hAnsi="Arial"/>
                <w:sz w:val="15"/>
              </w:rPr>
              <w:t xml:space="preserve">+0.5%</w:t>
            </w:r>
          </w:p>
        </w:tc>
        <w:tc>
          <w:tcPr>
            <w:tcW w:type="dxa" w:w="3790"/>
          </w:tcPr>
          <w:p>
            <w:pPr>
              <w:pStyle w:val="Compact"/>
              <w:spacing w:after="0" w:before="0" w:line="240" w:lineRule="auto"/>
              <w:jc w:val="left"/>
            </w:pPr>
            <w:r>
              <w:rPr>
                <w:rFonts w:ascii="Arial" w:hAnsi="Arial"/>
                <w:sz w:val="15"/>
              </w:rPr>
              <w:t xml:space="preserve">MSIT</w:t>
            </w:r>
            <w:r>
              <w:rPr>
                <w:rFonts w:ascii="Arial" w:hAnsi="Arial"/>
                <w:sz w:val="15"/>
              </w:rPr>
              <w:t xml:space="preserve"> </w:t>
            </w:r>
            <w:r>
              <w:rPr>
                <w:rFonts w:ascii="Arial" w:hAnsi="Arial"/>
                <w:sz w:val="15"/>
              </w:rPr>
              <w:t xml:space="preserve">“</w:t>
            </w:r>
            <w:r>
              <w:rPr>
                <w:rFonts w:ascii="Arial" w:hAnsi="Arial"/>
                <w:sz w:val="15"/>
              </w:rPr>
              <w:t xml:space="preserve">competition promotion</w:t>
            </w:r>
            <w:r>
              <w:rPr>
                <w:rFonts w:ascii="Arial" w:hAnsi="Arial"/>
                <w:sz w:val="15"/>
              </w:rPr>
              <w:t xml:space="preserve">”</w:t>
            </w:r>
            <w:r>
              <w:rPr>
                <w:rFonts w:ascii="Arial" w:hAnsi="Arial"/>
                <w:sz w:val="15"/>
              </w:rPr>
              <w:t xml:space="preserve"> </w:t>
            </w:r>
            <w:r>
              <w:rPr>
                <w:rFonts w:ascii="Arial" w:hAnsi="Arial"/>
                <w:sz w:val="15"/>
              </w:rPr>
              <w:t xml:space="preserve">plan (4th carrier, tariffs) [u]; KFTC subsidy-collusion probe</w:t>
            </w:r>
          </w:p>
        </w:tc>
        <w:tc>
          <w:tcPr>
            <w:tcW w:type="dxa" w:w="1781"/>
          </w:tcPr>
          <w:p>
            <w:pPr>
              <w:pStyle w:val="Compact"/>
              <w:spacing w:after="0" w:before="0" w:line="240" w:lineRule="auto"/>
              <w:jc w:val="left"/>
            </w:pPr>
            <w:r>
              <w:rPr>
                <w:rFonts w:ascii="Arial" w:hAnsi="Arial"/>
                <w:sz w:val="15"/>
              </w:rPr>
              <w:t xml:space="preserve">Regulatory</w:t>
            </w:r>
          </w:p>
        </w:tc>
      </w:tr>
      <w:tr>
        <w:trPr>
          <w:cantSplit/>
        </w:trPr>
        <w:tc>
          <w:tcPr>
            <w:tcW w:type="dxa" w:w="1493"/>
            <w:shd w:val="clear" w:color="auto" w:fill="F1F2F5"/>
          </w:tcPr>
          <w:p>
            <w:pPr>
              <w:pStyle w:val="Compact"/>
              <w:spacing w:after="0" w:before="0" w:line="240" w:lineRule="auto"/>
              <w:jc w:val="left"/>
            </w:pPr>
            <w:r>
              <w:rPr>
                <w:rFonts w:ascii="Arial" w:hAnsi="Arial"/>
                <w:sz w:val="15"/>
              </w:rPr>
              <w:t xml:space="preserve">5-Oct-21 → 16-Apr-24</w:t>
            </w:r>
          </w:p>
        </w:tc>
        <w:tc>
          <w:tcPr>
            <w:tcW w:type="dxa" w:w="867"/>
            <w:shd w:val="clear" w:color="auto" w:fill="F1F2F5"/>
          </w:tcPr>
          <w:p>
            <w:pPr>
              <w:pStyle w:val="Compact"/>
              <w:spacing w:after="0" w:before="0" w:line="240" w:lineRule="auto"/>
              <w:jc w:val="right"/>
            </w:pPr>
            <w:r>
              <w:rPr>
                <w:bCs/>
                <w:rFonts w:ascii="Arial" w:hAnsi="Arial"/>
                <w:b/>
                <w:sz w:val="15"/>
              </w:rPr>
              <w:t xml:space="preserve">-37.0%</w:t>
            </w:r>
          </w:p>
        </w:tc>
        <w:tc>
          <w:tcPr>
            <w:tcW w:type="dxa" w:w="1091"/>
            <w:shd w:val="clear" w:color="auto" w:fill="F1F2F5"/>
          </w:tcPr>
          <w:p>
            <w:pPr>
              <w:pStyle w:val="Compact"/>
              <w:spacing w:after="0" w:before="0" w:line="240" w:lineRule="auto"/>
              <w:jc w:val="left"/>
            </w:pPr>
            <w:r>
              <w:rPr>
                <w:rFonts w:ascii="Arial" w:hAnsi="Arial"/>
                <w:sz w:val="15"/>
              </w:rPr>
              <w:t xml:space="preserve">15,100 → 9,510</w:t>
            </w:r>
          </w:p>
        </w:tc>
        <w:tc>
          <w:tcPr>
            <w:tcW w:type="dxa" w:w="955"/>
            <w:shd w:val="clear" w:color="auto" w:fill="F1F2F5"/>
          </w:tcPr>
          <w:p>
            <w:pPr>
              <w:pStyle w:val="Compact"/>
              <w:spacing w:after="0" w:before="0" w:line="240" w:lineRule="auto"/>
              <w:jc w:val="right"/>
            </w:pPr>
            <w:r>
              <w:rPr>
                <w:rFonts w:ascii="Arial" w:hAnsi="Arial"/>
                <w:sz w:val="15"/>
              </w:rPr>
              <w:t xml:space="preserve">-9.4%</w:t>
            </w:r>
          </w:p>
        </w:tc>
        <w:tc>
          <w:tcPr>
            <w:tcW w:type="dxa" w:w="3790"/>
            <w:shd w:val="clear" w:color="auto" w:fill="F1F2F5"/>
          </w:tcPr>
          <w:p>
            <w:pPr>
              <w:pStyle w:val="Compact"/>
              <w:spacing w:after="0" w:before="0" w:line="240" w:lineRule="auto"/>
              <w:jc w:val="left"/>
            </w:pPr>
            <w:r>
              <w:rPr>
                <w:rFonts w:ascii="Arial" w:hAnsi="Arial"/>
                <w:sz w:val="15"/>
              </w:rPr>
              <w:t xml:space="preserve">Structural de-rating: 5G ARPU maturity, tariff pressure, breach, rising rates</w:t>
            </w:r>
          </w:p>
        </w:tc>
        <w:tc>
          <w:tcPr>
            <w:tcW w:type="dxa" w:w="1781"/>
            <w:shd w:val="clear" w:color="auto" w:fill="F1F2F5"/>
          </w:tcPr>
          <w:p>
            <w:pPr>
              <w:pStyle w:val="Compact"/>
              <w:spacing w:after="0" w:before="0" w:line="240" w:lineRule="auto"/>
              <w:jc w:val="left"/>
            </w:pPr>
            <w:r>
              <w:rPr>
                <w:rFonts w:ascii="Arial" w:hAnsi="Arial"/>
                <w:sz w:val="15"/>
              </w:rPr>
              <w:t xml:space="preserve">Drawdown</w:t>
            </w:r>
          </w:p>
        </w:tc>
      </w:tr>
      <w:tr>
        <w:trPr>
          <w:cantSplit/>
        </w:trPr>
        <w:tc>
          <w:tcPr>
            <w:tcW w:type="dxa" w:w="1493"/>
          </w:tcPr>
          <w:p>
            <w:pPr>
              <w:pStyle w:val="Compact"/>
              <w:spacing w:after="0" w:before="0" w:line="240" w:lineRule="auto"/>
              <w:jc w:val="left"/>
            </w:pPr>
            <w:r>
              <w:rPr>
                <w:rFonts w:ascii="Arial" w:hAnsi="Arial"/>
                <w:sz w:val="15"/>
              </w:rPr>
              <w:t xml:space="preserve">8-Oct-24 → 27-Nov-24</w:t>
            </w:r>
          </w:p>
        </w:tc>
        <w:tc>
          <w:tcPr>
            <w:tcW w:type="dxa" w:w="867"/>
          </w:tcPr>
          <w:p>
            <w:pPr>
              <w:pStyle w:val="Compact"/>
              <w:spacing w:after="0" w:before="0" w:line="240" w:lineRule="auto"/>
              <w:jc w:val="right"/>
            </w:pPr>
            <w:r>
              <w:rPr>
                <w:bCs/>
                <w:rFonts w:ascii="Arial" w:hAnsi="Arial"/>
                <w:b/>
                <w:sz w:val="15"/>
              </w:rPr>
              <w:t xml:space="preserve">+22.9%</w:t>
            </w:r>
          </w:p>
        </w:tc>
        <w:tc>
          <w:tcPr>
            <w:tcW w:type="dxa" w:w="1091"/>
          </w:tcPr>
          <w:p>
            <w:pPr>
              <w:pStyle w:val="Compact"/>
              <w:spacing w:after="0" w:before="0" w:line="240" w:lineRule="auto"/>
              <w:jc w:val="left"/>
            </w:pPr>
            <w:r>
              <w:rPr>
                <w:rFonts w:ascii="Arial" w:hAnsi="Arial"/>
                <w:sz w:val="15"/>
              </w:rPr>
              <w:t xml:space="preserve">9,680 → 11,900</w:t>
            </w:r>
          </w:p>
        </w:tc>
        <w:tc>
          <w:tcPr>
            <w:tcW w:type="dxa" w:w="955"/>
          </w:tcPr>
          <w:p>
            <w:pPr>
              <w:pStyle w:val="Compact"/>
              <w:spacing w:after="0" w:before="0" w:line="240" w:lineRule="auto"/>
              <w:jc w:val="right"/>
            </w:pPr>
            <w:r>
              <w:rPr>
                <w:rFonts w:ascii="Arial" w:hAnsi="Arial"/>
                <w:sz w:val="15"/>
              </w:rPr>
              <w:t xml:space="preserve">-5.0%</w:t>
            </w:r>
          </w:p>
        </w:tc>
        <w:tc>
          <w:tcPr>
            <w:tcW w:type="dxa" w:w="3790"/>
          </w:tcPr>
          <w:p>
            <w:pPr>
              <w:pStyle w:val="Compact"/>
              <w:spacing w:after="0" w:before="0" w:line="240" w:lineRule="auto"/>
              <w:jc w:val="left"/>
            </w:pPr>
            <w:r>
              <w:rPr>
                <w:bCs/>
                <w:rFonts w:ascii="Arial" w:hAnsi="Arial"/>
                <w:b/>
                <w:sz w:val="15"/>
              </w:rPr>
              <w:t xml:space="preserve">Value-up plan and new CEO Hong Bum-shik (21–22 Nov 2024)</w:t>
            </w:r>
            <w:r>
              <w:rPr>
                <w:rFonts w:ascii="Arial" w:hAnsi="Arial"/>
                <w:sz w:val="15"/>
              </w:rPr>
              <w:t xml:space="preserve">: cancellation of the KRW100bn of treasury shares, shareholder return up to 60%, ROE target 8–10%</w:t>
            </w:r>
          </w:p>
        </w:tc>
        <w:tc>
          <w:tcPr>
            <w:tcW w:type="dxa" w:w="1781"/>
          </w:tcPr>
          <w:p>
            <w:pPr>
              <w:pStyle w:val="Compact"/>
              <w:spacing w:after="0" w:before="0" w:line="240" w:lineRule="auto"/>
              <w:jc w:val="left"/>
            </w:pPr>
            <w:r>
              <w:rPr>
                <w:bCs/>
                <w:rFonts w:ascii="Arial" w:hAnsi="Arial"/>
                <w:b/>
                <w:sz w:val="15"/>
              </w:rPr>
              <w:t xml:space="preserve">Event</w:t>
            </w:r>
          </w:p>
        </w:tc>
      </w:tr>
      <w:tr>
        <w:trPr>
          <w:cantSplit/>
        </w:trPr>
        <w:tc>
          <w:tcPr>
            <w:tcW w:type="dxa" w:w="1493"/>
            <w:shd w:val="clear" w:color="auto" w:fill="F1F2F5"/>
          </w:tcPr>
          <w:p>
            <w:pPr>
              <w:pStyle w:val="Compact"/>
              <w:spacing w:after="0" w:before="0" w:line="240" w:lineRule="auto"/>
              <w:jc w:val="left"/>
            </w:pPr>
            <w:r>
              <w:rPr>
                <w:rFonts w:ascii="Arial" w:hAnsi="Arial"/>
                <w:sz w:val="15"/>
              </w:rPr>
              <w:t xml:space="preserve">28-Nov-24 → 23-Jan-25</w:t>
            </w:r>
          </w:p>
        </w:tc>
        <w:tc>
          <w:tcPr>
            <w:tcW w:type="dxa" w:w="867"/>
            <w:shd w:val="clear" w:color="auto" w:fill="F1F2F5"/>
          </w:tcPr>
          <w:p>
            <w:pPr>
              <w:pStyle w:val="Compact"/>
              <w:spacing w:after="0" w:before="0" w:line="240" w:lineRule="auto"/>
              <w:jc w:val="right"/>
            </w:pPr>
            <w:r>
              <w:rPr>
                <w:rFonts w:ascii="Arial" w:hAnsi="Arial"/>
                <w:sz w:val="15"/>
              </w:rPr>
              <w:t xml:space="preserve">-16.4%</w:t>
            </w:r>
          </w:p>
        </w:tc>
        <w:tc>
          <w:tcPr>
            <w:tcW w:type="dxa" w:w="1091"/>
            <w:shd w:val="clear" w:color="auto" w:fill="F1F2F5"/>
          </w:tcPr>
          <w:p>
            <w:pPr>
              <w:pStyle w:val="Compact"/>
              <w:spacing w:after="0" w:before="0" w:line="240" w:lineRule="auto"/>
              <w:jc w:val="left"/>
            </w:pPr>
            <w:r>
              <w:rPr>
                <w:rFonts w:ascii="Arial" w:hAnsi="Arial"/>
                <w:sz w:val="15"/>
              </w:rPr>
              <w:t xml:space="preserve">11,800 → 9,870</w:t>
            </w:r>
          </w:p>
        </w:tc>
        <w:tc>
          <w:tcPr>
            <w:tcW w:type="dxa" w:w="955"/>
            <w:shd w:val="clear" w:color="auto" w:fill="F1F2F5"/>
          </w:tcPr>
          <w:p>
            <w:pPr>
              <w:pStyle w:val="Compact"/>
              <w:spacing w:after="0" w:before="0" w:line="240" w:lineRule="auto"/>
              <w:jc w:val="right"/>
            </w:pPr>
            <w:r>
              <w:rPr>
                <w:rFonts w:ascii="Arial" w:hAnsi="Arial"/>
                <w:sz w:val="15"/>
              </w:rPr>
              <w:t xml:space="preserve">+1.3%</w:t>
            </w:r>
          </w:p>
        </w:tc>
        <w:tc>
          <w:tcPr>
            <w:tcW w:type="dxa" w:w="3790"/>
            <w:shd w:val="clear" w:color="auto" w:fill="F1F2F5"/>
          </w:tcPr>
          <w:p>
            <w:pPr>
              <w:pStyle w:val="Compact"/>
              <w:spacing w:after="0" w:before="0" w:line="240" w:lineRule="auto"/>
              <w:jc w:val="left"/>
            </w:pPr>
            <w:r>
              <w:rPr>
                <w:rFonts w:ascii="Arial" w:hAnsi="Arial"/>
                <w:sz w:val="15"/>
              </w:rPr>
              <w:t xml:space="preserve">Value-up rally faded; 3-Dec-24 martial-law shock</w:t>
            </w:r>
          </w:p>
        </w:tc>
        <w:tc>
          <w:tcPr>
            <w:tcW w:type="dxa" w:w="1781"/>
            <w:shd w:val="clear" w:color="auto" w:fill="F1F2F5"/>
          </w:tcPr>
          <w:p>
            <w:pPr>
              <w:pStyle w:val="Compact"/>
              <w:spacing w:after="0" w:before="0" w:line="240" w:lineRule="auto"/>
              <w:jc w:val="left"/>
            </w:pPr>
            <w:r>
              <w:rPr>
                <w:rFonts w:ascii="Arial" w:hAnsi="Arial"/>
                <w:sz w:val="15"/>
              </w:rPr>
              <w:t xml:space="preserve">Market / politics</w:t>
            </w:r>
          </w:p>
        </w:tc>
      </w:tr>
      <w:tr>
        <w:trPr>
          <w:cantSplit/>
        </w:trPr>
        <w:tc>
          <w:tcPr>
            <w:tcW w:type="dxa" w:w="1493"/>
          </w:tcPr>
          <w:p>
            <w:pPr>
              <w:pStyle w:val="Compact"/>
              <w:spacing w:after="0" w:before="0" w:line="240" w:lineRule="auto"/>
              <w:jc w:val="left"/>
            </w:pPr>
            <w:r>
              <w:rPr>
                <w:rFonts w:ascii="Arial" w:hAnsi="Arial"/>
                <w:sz w:val="15"/>
              </w:rPr>
              <w:t xml:space="preserve">3-Apr-25 → 4-Jun-25</w:t>
            </w:r>
          </w:p>
        </w:tc>
        <w:tc>
          <w:tcPr>
            <w:tcW w:type="dxa" w:w="867"/>
          </w:tcPr>
          <w:p>
            <w:pPr>
              <w:pStyle w:val="Compact"/>
              <w:spacing w:after="0" w:before="0" w:line="240" w:lineRule="auto"/>
              <w:jc w:val="right"/>
            </w:pPr>
            <w:r>
              <w:rPr>
                <w:bCs/>
                <w:rFonts w:ascii="Arial" w:hAnsi="Arial"/>
                <w:b/>
                <w:sz w:val="15"/>
              </w:rPr>
              <w:t xml:space="preserve">+27.6%</w:t>
            </w:r>
          </w:p>
        </w:tc>
        <w:tc>
          <w:tcPr>
            <w:tcW w:type="dxa" w:w="1091"/>
          </w:tcPr>
          <w:p>
            <w:pPr>
              <w:pStyle w:val="Compact"/>
              <w:spacing w:after="0" w:before="0" w:line="240" w:lineRule="auto"/>
              <w:jc w:val="left"/>
            </w:pPr>
            <w:r>
              <w:rPr>
                <w:rFonts w:ascii="Arial" w:hAnsi="Arial"/>
                <w:sz w:val="15"/>
              </w:rPr>
              <w:t xml:space="preserve">10,310 → 13,160</w:t>
            </w:r>
          </w:p>
        </w:tc>
        <w:tc>
          <w:tcPr>
            <w:tcW w:type="dxa" w:w="955"/>
          </w:tcPr>
          <w:p>
            <w:pPr>
              <w:pStyle w:val="Compact"/>
              <w:spacing w:after="0" w:before="0" w:line="240" w:lineRule="auto"/>
              <w:jc w:val="right"/>
            </w:pPr>
            <w:r>
              <w:rPr>
                <w:rFonts w:ascii="Arial" w:hAnsi="Arial"/>
                <w:sz w:val="15"/>
              </w:rPr>
              <w:t xml:space="preserve">+8.5%</w:t>
            </w:r>
          </w:p>
        </w:tc>
        <w:tc>
          <w:tcPr>
            <w:tcW w:type="dxa" w:w="3790"/>
          </w:tcPr>
          <w:p>
            <w:pPr>
              <w:pStyle w:val="Compact"/>
              <w:spacing w:after="0" w:before="0" w:line="240" w:lineRule="auto"/>
              <w:jc w:val="left"/>
            </w:pPr>
            <w:r>
              <w:rPr>
                <w:bCs/>
                <w:rFonts w:ascii="Arial" w:hAnsi="Arial"/>
                <w:b/>
                <w:sz w:val="15"/>
              </w:rPr>
              <w:t xml:space="preserve">SK Telecom USIM hack (22-Apr-25)</w:t>
            </w:r>
            <w:r>
              <w:rPr>
                <w:rFonts w:ascii="Arial" w:hAnsi="Arial"/>
                <w:sz w:val="15"/>
              </w:rPr>
              <w:t xml:space="preserve"> </w:t>
            </w:r>
            <w:r>
              <w:rPr>
                <w:rFonts w:ascii="Arial" w:hAnsi="Arial"/>
                <w:sz w:val="15"/>
              </w:rPr>
              <w:t xml:space="preserve">and subscriber migration; 52-week high on 9-May</w:t>
            </w:r>
          </w:p>
        </w:tc>
        <w:tc>
          <w:tcPr>
            <w:tcW w:type="dxa" w:w="1781"/>
          </w:tcPr>
          <w:p>
            <w:pPr>
              <w:pStyle w:val="Compact"/>
              <w:spacing w:after="0" w:before="0" w:line="240" w:lineRule="auto"/>
              <w:jc w:val="left"/>
            </w:pPr>
            <w:r>
              <w:rPr>
                <w:bCs/>
                <w:rFonts w:ascii="Arial" w:hAnsi="Arial"/>
                <w:b/>
                <w:sz w:val="15"/>
              </w:rPr>
              <w:t xml:space="preserve">Event</w:t>
            </w:r>
          </w:p>
        </w:tc>
      </w:tr>
      <w:tr>
        <w:trPr>
          <w:cantSplit/>
        </w:trPr>
        <w:tc>
          <w:tcPr>
            <w:tcW w:type="dxa" w:w="1493"/>
            <w:shd w:val="clear" w:color="auto" w:fill="F1F2F5"/>
          </w:tcPr>
          <w:p>
            <w:pPr>
              <w:pStyle w:val="Compact"/>
              <w:spacing w:after="0" w:before="0" w:line="240" w:lineRule="auto"/>
              <w:jc w:val="left"/>
            </w:pPr>
            <w:r>
              <w:rPr>
                <w:rFonts w:ascii="Arial" w:hAnsi="Arial"/>
                <w:sz w:val="15"/>
              </w:rPr>
              <w:t xml:space="preserve">5-Jun-25 → 22-Jul-25</w:t>
            </w:r>
          </w:p>
        </w:tc>
        <w:tc>
          <w:tcPr>
            <w:tcW w:type="dxa" w:w="867"/>
            <w:shd w:val="clear" w:color="auto" w:fill="F1F2F5"/>
          </w:tcPr>
          <w:p>
            <w:pPr>
              <w:pStyle w:val="Compact"/>
              <w:spacing w:after="0" w:before="0" w:line="240" w:lineRule="auto"/>
              <w:jc w:val="right"/>
            </w:pPr>
            <w:r>
              <w:rPr>
                <w:rFonts w:ascii="Arial" w:hAnsi="Arial"/>
                <w:sz w:val="15"/>
              </w:rPr>
              <w:t xml:space="preserve">+17.7%</w:t>
            </w:r>
          </w:p>
        </w:tc>
        <w:tc>
          <w:tcPr>
            <w:tcW w:type="dxa" w:w="1091"/>
            <w:shd w:val="clear" w:color="auto" w:fill="F1F2F5"/>
          </w:tcPr>
          <w:p>
            <w:pPr>
              <w:pStyle w:val="Compact"/>
              <w:spacing w:after="0" w:before="0" w:line="240" w:lineRule="auto"/>
              <w:jc w:val="left"/>
            </w:pPr>
            <w:r>
              <w:rPr>
                <w:rFonts w:ascii="Arial" w:hAnsi="Arial"/>
                <w:sz w:val="15"/>
              </w:rPr>
              <w:t xml:space="preserve">12,850 → 15,120</w:t>
            </w:r>
          </w:p>
        </w:tc>
        <w:tc>
          <w:tcPr>
            <w:tcW w:type="dxa" w:w="955"/>
            <w:shd w:val="clear" w:color="auto" w:fill="F1F2F5"/>
          </w:tcPr>
          <w:p>
            <w:pPr>
              <w:pStyle w:val="Compact"/>
              <w:spacing w:after="0" w:before="0" w:line="240" w:lineRule="auto"/>
              <w:jc w:val="right"/>
            </w:pPr>
            <w:r>
              <w:rPr>
                <w:rFonts w:ascii="Arial" w:hAnsi="Arial"/>
                <w:sz w:val="15"/>
              </w:rPr>
              <w:t xml:space="preserve">+19.8%</w:t>
            </w:r>
          </w:p>
        </w:tc>
        <w:tc>
          <w:tcPr>
            <w:tcW w:type="dxa" w:w="3790"/>
            <w:shd w:val="clear" w:color="auto" w:fill="F1F2F5"/>
          </w:tcPr>
          <w:p>
            <w:pPr>
              <w:pStyle w:val="Compact"/>
              <w:spacing w:after="0" w:before="0" w:line="240" w:lineRule="auto"/>
              <w:jc w:val="left"/>
            </w:pPr>
            <w:r>
              <w:rPr>
                <w:rFonts w:ascii="Arial" w:hAnsi="Arial"/>
                <w:sz w:val="15"/>
              </w:rPr>
              <w:t xml:space="preserve">Post-election rally; Commercial Act revision; dividend-tax reform push; Dansuobeop repeal; KRW80bn buyback (21-Jul)</w:t>
            </w:r>
          </w:p>
        </w:tc>
        <w:tc>
          <w:tcPr>
            <w:tcW w:type="dxa" w:w="1781"/>
            <w:shd w:val="clear" w:color="auto" w:fill="F1F2F5"/>
          </w:tcPr>
          <w:p>
            <w:pPr>
              <w:pStyle w:val="Compact"/>
              <w:spacing w:after="0" w:before="0" w:line="240" w:lineRule="auto"/>
              <w:jc w:val="left"/>
            </w:pPr>
            <w:r>
              <w:rPr>
                <w:rFonts w:ascii="Arial" w:hAnsi="Arial"/>
                <w:sz w:val="15"/>
              </w:rPr>
              <w:t xml:space="preserve">Policy / event</w:t>
            </w:r>
          </w:p>
        </w:tc>
      </w:tr>
      <w:tr>
        <w:trPr>
          <w:cantSplit/>
        </w:trPr>
        <w:tc>
          <w:tcPr>
            <w:tcW w:type="dxa" w:w="1493"/>
          </w:tcPr>
          <w:p>
            <w:pPr>
              <w:pStyle w:val="Compact"/>
              <w:spacing w:after="0" w:before="0" w:line="240" w:lineRule="auto"/>
              <w:jc w:val="left"/>
            </w:pPr>
            <w:r>
              <w:rPr>
                <w:rFonts w:ascii="Arial" w:hAnsi="Arial"/>
                <w:sz w:val="15"/>
              </w:rPr>
              <w:t xml:space="preserve">9-Sep-25 → 10-Nov-25</w:t>
            </w:r>
          </w:p>
        </w:tc>
        <w:tc>
          <w:tcPr>
            <w:tcW w:type="dxa" w:w="867"/>
          </w:tcPr>
          <w:p>
            <w:pPr>
              <w:pStyle w:val="Compact"/>
              <w:spacing w:after="0" w:before="0" w:line="240" w:lineRule="auto"/>
              <w:jc w:val="right"/>
            </w:pPr>
            <w:r>
              <w:rPr>
                <w:rFonts w:ascii="Arial" w:hAnsi="Arial"/>
                <w:sz w:val="15"/>
              </w:rPr>
              <w:t xml:space="preserve">+12.9%</w:t>
            </w:r>
          </w:p>
        </w:tc>
        <w:tc>
          <w:tcPr>
            <w:tcW w:type="dxa" w:w="1091"/>
          </w:tcPr>
          <w:p>
            <w:pPr>
              <w:pStyle w:val="Compact"/>
              <w:spacing w:after="0" w:before="0" w:line="240" w:lineRule="auto"/>
              <w:jc w:val="left"/>
            </w:pPr>
            <w:r>
              <w:rPr>
                <w:rFonts w:ascii="Arial" w:hAnsi="Arial"/>
                <w:sz w:val="15"/>
              </w:rPr>
              <w:t xml:space="preserve">14,360 → 16,210</w:t>
            </w:r>
          </w:p>
        </w:tc>
        <w:tc>
          <w:tcPr>
            <w:tcW w:type="dxa" w:w="955"/>
          </w:tcPr>
          <w:p>
            <w:pPr>
              <w:pStyle w:val="Compact"/>
              <w:spacing w:after="0" w:before="0" w:line="240" w:lineRule="auto"/>
              <w:jc w:val="right"/>
            </w:pPr>
            <w:r>
              <w:rPr>
                <w:rFonts w:ascii="Arial" w:hAnsi="Arial"/>
                <w:sz w:val="15"/>
              </w:rPr>
              <w:t xml:space="preserve">+30.0%</w:t>
            </w:r>
          </w:p>
        </w:tc>
        <w:tc>
          <w:tcPr>
            <w:tcW w:type="dxa" w:w="3790"/>
          </w:tcPr>
          <w:p>
            <w:pPr>
              <w:pStyle w:val="Compact"/>
              <w:spacing w:after="0" w:before="0" w:line="240" w:lineRule="auto"/>
              <w:jc w:val="left"/>
            </w:pPr>
            <w:r>
              <w:rPr>
                <w:rFonts w:ascii="Arial" w:hAnsi="Arial"/>
                <w:sz w:val="15"/>
              </w:rPr>
              <w:t xml:space="preserve">3Q25 results: ex-ERP beat and dividend-growth guidance (+11.4% over 4–10 Nov)</w:t>
            </w:r>
          </w:p>
        </w:tc>
        <w:tc>
          <w:tcPr>
            <w:tcW w:type="dxa" w:w="1781"/>
          </w:tcPr>
          <w:p>
            <w:pPr>
              <w:pStyle w:val="Compact"/>
              <w:spacing w:after="0" w:before="0" w:line="240" w:lineRule="auto"/>
              <w:jc w:val="left"/>
            </w:pPr>
            <w:r>
              <w:rPr>
                <w:rFonts w:ascii="Arial" w:hAnsi="Arial"/>
                <w:sz w:val="15"/>
              </w:rPr>
              <w:t xml:space="preserve">Event</w:t>
            </w:r>
          </w:p>
        </w:tc>
      </w:tr>
      <w:tr>
        <w:trPr>
          <w:cantSplit/>
        </w:trPr>
        <w:tc>
          <w:tcPr>
            <w:tcW w:type="dxa" w:w="1493"/>
            <w:shd w:val="clear" w:color="auto" w:fill="F1F2F5"/>
          </w:tcPr>
          <w:p>
            <w:pPr>
              <w:pStyle w:val="Compact"/>
              <w:spacing w:after="0" w:before="0" w:line="240" w:lineRule="auto"/>
              <w:jc w:val="left"/>
            </w:pPr>
            <w:r>
              <w:rPr>
                <w:rFonts w:ascii="Arial" w:hAnsi="Arial"/>
                <w:sz w:val="15"/>
              </w:rPr>
              <w:t xml:space="preserve">9-Jan-26 → 26-Feb-26</w:t>
            </w:r>
          </w:p>
        </w:tc>
        <w:tc>
          <w:tcPr>
            <w:tcW w:type="dxa" w:w="867"/>
            <w:shd w:val="clear" w:color="auto" w:fill="F1F2F5"/>
          </w:tcPr>
          <w:p>
            <w:pPr>
              <w:pStyle w:val="Compact"/>
              <w:spacing w:after="0" w:before="0" w:line="240" w:lineRule="auto"/>
              <w:jc w:val="right"/>
            </w:pPr>
            <w:r>
              <w:rPr>
                <w:bCs/>
                <w:rFonts w:ascii="Arial" w:hAnsi="Arial"/>
                <w:b/>
                <w:sz w:val="15"/>
              </w:rPr>
              <w:t xml:space="preserve">+24.1%</w:t>
            </w:r>
          </w:p>
        </w:tc>
        <w:tc>
          <w:tcPr>
            <w:tcW w:type="dxa" w:w="1091"/>
            <w:shd w:val="clear" w:color="auto" w:fill="F1F2F5"/>
          </w:tcPr>
          <w:p>
            <w:pPr>
              <w:pStyle w:val="Compact"/>
              <w:spacing w:after="0" w:before="0" w:line="240" w:lineRule="auto"/>
              <w:jc w:val="left"/>
            </w:pPr>
            <w:r>
              <w:rPr>
                <w:rFonts w:ascii="Arial" w:hAnsi="Arial"/>
                <w:sz w:val="15"/>
              </w:rPr>
              <w:t xml:space="preserve">14,350 → 17,810</w:t>
            </w:r>
          </w:p>
        </w:tc>
        <w:tc>
          <w:tcPr>
            <w:tcW w:type="dxa" w:w="955"/>
            <w:shd w:val="clear" w:color="auto" w:fill="F1F2F5"/>
          </w:tcPr>
          <w:p>
            <w:pPr>
              <w:pStyle w:val="Compact"/>
              <w:spacing w:after="0" w:before="0" w:line="240" w:lineRule="auto"/>
              <w:jc w:val="right"/>
            </w:pPr>
            <w:r>
              <w:rPr>
                <w:rFonts w:ascii="Arial" w:hAnsi="Arial"/>
                <w:sz w:val="15"/>
              </w:rPr>
              <w:t xml:space="preserve">+40.1%</w:t>
            </w:r>
          </w:p>
        </w:tc>
        <w:tc>
          <w:tcPr>
            <w:tcW w:type="dxa" w:w="3790"/>
            <w:shd w:val="clear" w:color="auto" w:fill="F1F2F5"/>
          </w:tcPr>
          <w:p>
            <w:pPr>
              <w:pStyle w:val="Compact"/>
              <w:spacing w:after="0" w:before="0" w:line="240" w:lineRule="auto"/>
              <w:jc w:val="left"/>
            </w:pPr>
            <w:r>
              <w:rPr>
                <w:rFonts w:ascii="Arial" w:hAnsi="Arial"/>
                <w:sz w:val="15"/>
              </w:rPr>
              <w:t xml:space="preserve">Telecom sector rally; FY25 final DPS KRW410 (26-Jan); buyback completed.</w:t>
            </w:r>
            <w:r>
              <w:rPr>
                <w:rFonts w:ascii="Arial" w:hAnsi="Arial"/>
                <w:sz w:val="15"/>
              </w:rPr>
              <w:t xml:space="preserve"> </w:t>
            </w:r>
            <w:r>
              <w:rPr>
                <w:bCs/>
                <w:rFonts w:ascii="Arial" w:hAnsi="Arial"/>
                <w:b/>
                <w:sz w:val="15"/>
              </w:rPr>
              <w:t xml:space="preserve">5-year high</w:t>
            </w:r>
          </w:p>
        </w:tc>
        <w:tc>
          <w:tcPr>
            <w:tcW w:type="dxa" w:w="1781"/>
            <w:shd w:val="clear" w:color="auto" w:fill="F1F2F5"/>
          </w:tcPr>
          <w:p>
            <w:pPr>
              <w:pStyle w:val="Compact"/>
              <w:spacing w:after="0" w:before="0" w:line="240" w:lineRule="auto"/>
              <w:jc w:val="left"/>
            </w:pPr>
            <w:r>
              <w:rPr>
                <w:rFonts w:ascii="Arial" w:hAnsi="Arial"/>
                <w:sz w:val="15"/>
              </w:rPr>
              <w:t xml:space="preserve">Event / market</w:t>
            </w:r>
          </w:p>
        </w:tc>
      </w:tr>
      <w:tr>
        <w:trPr>
          <w:cantSplit/>
        </w:trPr>
        <w:tc>
          <w:tcPr>
            <w:tcW w:type="dxa" w:w="1493"/>
          </w:tcPr>
          <w:p>
            <w:pPr>
              <w:pStyle w:val="Compact"/>
              <w:spacing w:after="0" w:before="0" w:line="240" w:lineRule="auto"/>
              <w:jc w:val="left"/>
            </w:pPr>
            <w:r>
              <w:rPr>
                <w:rFonts w:ascii="Arial" w:hAnsi="Arial"/>
                <w:sz w:val="15"/>
              </w:rPr>
              <w:t xml:space="preserve">26-Feb-26 → 4-Mar-26</w:t>
            </w:r>
          </w:p>
        </w:tc>
        <w:tc>
          <w:tcPr>
            <w:tcW w:type="dxa" w:w="867"/>
          </w:tcPr>
          <w:p>
            <w:pPr>
              <w:pStyle w:val="Compact"/>
              <w:spacing w:after="0" w:before="0" w:line="240" w:lineRule="auto"/>
              <w:jc w:val="right"/>
            </w:pPr>
            <w:r>
              <w:rPr>
                <w:bCs/>
                <w:rFonts w:ascii="Arial" w:hAnsi="Arial"/>
                <w:b/>
                <w:sz w:val="15"/>
              </w:rPr>
              <w:t xml:space="preserve">-18.1%</w:t>
            </w:r>
          </w:p>
        </w:tc>
        <w:tc>
          <w:tcPr>
            <w:tcW w:type="dxa" w:w="1091"/>
          </w:tcPr>
          <w:p>
            <w:pPr>
              <w:pStyle w:val="Compact"/>
              <w:spacing w:after="0" w:before="0" w:line="240" w:lineRule="auto"/>
              <w:jc w:val="left"/>
            </w:pPr>
            <w:r>
              <w:rPr>
                <w:rFonts w:ascii="Arial" w:hAnsi="Arial"/>
                <w:sz w:val="15"/>
              </w:rPr>
              <w:t xml:space="preserve">17,810 → 14,580</w:t>
            </w:r>
          </w:p>
        </w:tc>
        <w:tc>
          <w:tcPr>
            <w:tcW w:type="dxa" w:w="955"/>
          </w:tcPr>
          <w:p>
            <w:pPr>
              <w:pStyle w:val="Compact"/>
              <w:spacing w:after="0" w:before="0" w:line="240" w:lineRule="auto"/>
              <w:jc w:val="right"/>
            </w:pPr>
            <w:r>
              <w:rPr>
                <w:rFonts w:ascii="Arial" w:hAnsi="Arial"/>
                <w:sz w:val="15"/>
              </w:rPr>
              <w:t xml:space="preserve">-20.1%</w:t>
            </w:r>
          </w:p>
        </w:tc>
        <w:tc>
          <w:tcPr>
            <w:tcW w:type="dxa" w:w="3790"/>
          </w:tcPr>
          <w:p>
            <w:pPr>
              <w:pStyle w:val="Compact"/>
              <w:spacing w:after="0" w:before="0" w:line="240" w:lineRule="auto"/>
              <w:jc w:val="left"/>
            </w:pPr>
            <w:r>
              <w:rPr>
                <w:rFonts w:ascii="Arial" w:hAnsi="Arial"/>
                <w:sz w:val="15"/>
              </w:rPr>
              <w:t xml:space="preserve">-7.1% on 27-Feb on ~10x volume (MSCI review implementation; foreign-room</w:t>
            </w:r>
            <w:r>
              <w:rPr>
                <w:rFonts w:ascii="Arial" w:hAnsi="Arial"/>
                <w:sz w:val="15"/>
              </w:rPr>
              <w:t xml:space="preserve"> </w:t>
            </w:r>
            <w:r>
              <w:rPr>
                <w:rFonts w:ascii="Arial" w:hAnsi="Arial"/>
                <w:sz w:val="15"/>
              </w:rPr>
              <w:t xml:space="preserve">“</w:t>
            </w:r>
            <w:r>
              <w:rPr>
                <w:rFonts w:ascii="Arial" w:hAnsi="Arial"/>
                <w:sz w:val="15"/>
              </w:rPr>
              <w:t xml:space="preserve">weight reduction</w:t>
            </w:r>
            <w:r>
              <w:rPr>
                <w:rFonts w:ascii="Arial" w:hAnsi="Arial"/>
                <w:sz w:val="15"/>
              </w:rPr>
              <w:t xml:space="preserve">”</w:t>
            </w:r>
            <w:r>
              <w:rPr>
                <w:rFonts w:ascii="Arial" w:hAnsi="Arial"/>
                <w:sz w:val="15"/>
              </w:rPr>
              <w:t xml:space="preserve"> </w:t>
            </w:r>
            <w:r>
              <w:rPr>
                <w:rFonts w:ascii="Arial" w:hAnsi="Arial"/>
                <w:sz w:val="15"/>
              </w:rPr>
              <w:t xml:space="preserve">[u]), then the 3–4 Mar market crash</w:t>
            </w:r>
          </w:p>
        </w:tc>
        <w:tc>
          <w:tcPr>
            <w:tcW w:type="dxa" w:w="1781"/>
          </w:tcPr>
          <w:p>
            <w:pPr>
              <w:pStyle w:val="Compact"/>
              <w:spacing w:after="0" w:before="0" w:line="240" w:lineRule="auto"/>
              <w:jc w:val="left"/>
            </w:pPr>
            <w:r>
              <w:rPr>
                <w:rFonts w:ascii="Arial" w:hAnsi="Arial"/>
                <w:sz w:val="15"/>
              </w:rPr>
              <w:t xml:space="preserve">Index flow / market</w:t>
            </w:r>
          </w:p>
        </w:tc>
      </w:tr>
      <w:tr>
        <w:trPr>
          <w:cantSplit/>
        </w:trPr>
        <w:tc>
          <w:tcPr>
            <w:tcW w:type="dxa" w:w="1493"/>
            <w:shd w:val="clear" w:color="auto" w:fill="F1F2F5"/>
          </w:tcPr>
          <w:p>
            <w:pPr>
              <w:pStyle w:val="Compact"/>
              <w:spacing w:after="0" w:before="0" w:line="240" w:lineRule="auto"/>
              <w:jc w:val="left"/>
            </w:pPr>
            <w:r>
              <w:rPr>
                <w:rFonts w:ascii="Arial" w:hAnsi="Arial"/>
                <w:sz w:val="15"/>
              </w:rPr>
              <w:t xml:space="preserve">4-Mar-26 → 17-Apr-26</w:t>
            </w:r>
          </w:p>
        </w:tc>
        <w:tc>
          <w:tcPr>
            <w:tcW w:type="dxa" w:w="867"/>
            <w:shd w:val="clear" w:color="auto" w:fill="F1F2F5"/>
          </w:tcPr>
          <w:p>
            <w:pPr>
              <w:pStyle w:val="Compact"/>
              <w:spacing w:after="0" w:before="0" w:line="240" w:lineRule="auto"/>
              <w:jc w:val="right"/>
            </w:pPr>
            <w:r>
              <w:rPr>
                <w:rFonts w:ascii="Arial" w:hAnsi="Arial"/>
                <w:sz w:val="15"/>
              </w:rPr>
              <w:t xml:space="preserve">+20.7%</w:t>
            </w:r>
          </w:p>
        </w:tc>
        <w:tc>
          <w:tcPr>
            <w:tcW w:type="dxa" w:w="1091"/>
            <w:shd w:val="clear" w:color="auto" w:fill="F1F2F5"/>
          </w:tcPr>
          <w:p>
            <w:pPr>
              <w:pStyle w:val="Compact"/>
              <w:spacing w:after="0" w:before="0" w:line="240" w:lineRule="auto"/>
              <w:jc w:val="left"/>
            </w:pPr>
            <w:r>
              <w:rPr>
                <w:rFonts w:ascii="Arial" w:hAnsi="Arial"/>
                <w:sz w:val="15"/>
              </w:rPr>
              <w:t xml:space="preserve">14,580 → 17,600</w:t>
            </w:r>
          </w:p>
        </w:tc>
        <w:tc>
          <w:tcPr>
            <w:tcW w:type="dxa" w:w="955"/>
            <w:shd w:val="clear" w:color="auto" w:fill="F1F2F5"/>
          </w:tcPr>
          <w:p>
            <w:pPr>
              <w:pStyle w:val="Compact"/>
              <w:spacing w:after="0" w:before="0" w:line="240" w:lineRule="auto"/>
              <w:jc w:val="right"/>
            </w:pPr>
            <w:r>
              <w:rPr>
                <w:rFonts w:ascii="Arial" w:hAnsi="Arial"/>
                <w:sz w:val="15"/>
              </w:rPr>
              <w:t xml:space="preserve">-0.1%</w:t>
            </w:r>
          </w:p>
        </w:tc>
        <w:tc>
          <w:tcPr>
            <w:tcW w:type="dxa" w:w="3790"/>
            <w:shd w:val="clear" w:color="auto" w:fill="F1F2F5"/>
          </w:tcPr>
          <w:p>
            <w:pPr>
              <w:pStyle w:val="Compact"/>
              <w:spacing w:after="0" w:before="0" w:line="240" w:lineRule="auto"/>
              <w:jc w:val="left"/>
            </w:pPr>
            <w:r>
              <w:rPr>
                <w:rFonts w:ascii="Arial" w:hAnsi="Arial"/>
                <w:sz w:val="15"/>
              </w:rPr>
              <w:t xml:space="preserve">Rebound; ex-dividend 30-Mar; unexplained +7.5% on 10-Apr [u]</w:t>
            </w:r>
          </w:p>
        </w:tc>
        <w:tc>
          <w:tcPr>
            <w:tcW w:type="dxa" w:w="1781"/>
            <w:shd w:val="clear" w:color="auto" w:fill="F1F2F5"/>
          </w:tcPr>
          <w:p>
            <w:pPr>
              <w:pStyle w:val="Compact"/>
              <w:spacing w:after="0" w:before="0" w:line="240" w:lineRule="auto"/>
              <w:jc w:val="left"/>
            </w:pPr>
            <w:r>
              <w:rPr>
                <w:rFonts w:ascii="Arial" w:hAnsi="Arial"/>
                <w:sz w:val="15"/>
              </w:rPr>
              <w:t xml:space="preserve">Rebound</w:t>
            </w:r>
          </w:p>
        </w:tc>
      </w:tr>
      <w:tr>
        <w:trPr>
          <w:cantSplit/>
        </w:trPr>
        <w:tc>
          <w:tcPr>
            <w:tcW w:type="dxa" w:w="1493"/>
          </w:tcPr>
          <w:p>
            <w:pPr>
              <w:pStyle w:val="Compact"/>
              <w:spacing w:after="0" w:before="0" w:line="240" w:lineRule="auto"/>
              <w:jc w:val="left"/>
            </w:pPr>
            <w:r>
              <w:rPr>
                <w:rFonts w:ascii="Arial" w:hAnsi="Arial"/>
                <w:sz w:val="15"/>
              </w:rPr>
              <w:t xml:space="preserve">21-Apr-26 → 24-Jun-26</w:t>
            </w:r>
          </w:p>
        </w:tc>
        <w:tc>
          <w:tcPr>
            <w:tcW w:type="dxa" w:w="867"/>
          </w:tcPr>
          <w:p>
            <w:pPr>
              <w:pStyle w:val="Compact"/>
              <w:spacing w:after="0" w:before="0" w:line="240" w:lineRule="auto"/>
              <w:jc w:val="right"/>
            </w:pPr>
            <w:r>
              <w:rPr>
                <w:bCs/>
                <w:rFonts w:ascii="Arial" w:hAnsi="Arial"/>
                <w:b/>
                <w:sz w:val="15"/>
              </w:rPr>
              <w:t xml:space="preserve">-19.6%</w:t>
            </w:r>
          </w:p>
        </w:tc>
        <w:tc>
          <w:tcPr>
            <w:tcW w:type="dxa" w:w="1091"/>
          </w:tcPr>
          <w:p>
            <w:pPr>
              <w:pStyle w:val="Compact"/>
              <w:spacing w:after="0" w:before="0" w:line="240" w:lineRule="auto"/>
              <w:jc w:val="left"/>
            </w:pPr>
            <w:r>
              <w:rPr>
                <w:rFonts w:ascii="Arial" w:hAnsi="Arial"/>
                <w:sz w:val="15"/>
              </w:rPr>
              <w:t xml:space="preserve">17,410 → 14,000</w:t>
            </w:r>
          </w:p>
        </w:tc>
        <w:tc>
          <w:tcPr>
            <w:tcW w:type="dxa" w:w="955"/>
          </w:tcPr>
          <w:p>
            <w:pPr>
              <w:pStyle w:val="Compact"/>
              <w:spacing w:after="0" w:before="0" w:line="240" w:lineRule="auto"/>
              <w:jc w:val="right"/>
            </w:pPr>
            <w:r>
              <w:rPr>
                <w:bCs/>
                <w:rFonts w:ascii="Arial" w:hAnsi="Arial"/>
                <w:b/>
                <w:sz w:val="15"/>
              </w:rPr>
              <w:t xml:space="preserve">+46%</w:t>
            </w:r>
          </w:p>
        </w:tc>
        <w:tc>
          <w:tcPr>
            <w:tcW w:type="dxa" w:w="3790"/>
          </w:tcPr>
          <w:p>
            <w:pPr>
              <w:pStyle w:val="Compact"/>
              <w:spacing w:after="0" w:before="0" w:line="240" w:lineRule="auto"/>
              <w:jc w:val="left"/>
            </w:pPr>
            <w:r>
              <w:rPr>
                <w:rFonts w:ascii="Arial" w:hAnsi="Arial"/>
                <w:sz w:val="15"/>
              </w:rPr>
              <w:t xml:space="preserve">Rotation out of defensives into a speculative KOSPI rally; 52-week low</w:t>
            </w:r>
          </w:p>
        </w:tc>
        <w:tc>
          <w:tcPr>
            <w:tcW w:type="dxa" w:w="1781"/>
          </w:tcPr>
          <w:p>
            <w:pPr>
              <w:pStyle w:val="Compact"/>
              <w:spacing w:after="0" w:before="0" w:line="240" w:lineRule="auto"/>
              <w:jc w:val="left"/>
            </w:pPr>
            <w:r>
              <w:rPr>
                <w:rFonts w:ascii="Arial" w:hAnsi="Arial"/>
                <w:sz w:val="15"/>
              </w:rPr>
              <w:t xml:space="preserve">Market (inverse)</w:t>
            </w:r>
          </w:p>
        </w:tc>
      </w:tr>
      <w:tr>
        <w:trPr>
          <w:cantSplit/>
        </w:trPr>
        <w:tc>
          <w:tcPr>
            <w:tcW w:type="dxa" w:w="1493"/>
            <w:shd w:val="clear" w:color="auto" w:fill="F1F2F5"/>
          </w:tcPr>
          <w:p>
            <w:pPr>
              <w:pStyle w:val="Compact"/>
              <w:spacing w:after="0" w:before="0" w:line="240" w:lineRule="auto"/>
              <w:jc w:val="left"/>
            </w:pPr>
            <w:r>
              <w:rPr>
                <w:rFonts w:ascii="Arial" w:hAnsi="Arial"/>
                <w:sz w:val="15"/>
              </w:rPr>
              <w:t xml:space="preserve">24-Jun-26 → 11-Aug-26</w:t>
            </w:r>
          </w:p>
        </w:tc>
        <w:tc>
          <w:tcPr>
            <w:tcW w:type="dxa" w:w="867"/>
            <w:shd w:val="clear" w:color="auto" w:fill="F1F2F5"/>
          </w:tcPr>
          <w:p>
            <w:pPr>
              <w:pStyle w:val="Compact"/>
              <w:spacing w:after="0" w:before="0" w:line="240" w:lineRule="auto"/>
              <w:jc w:val="right"/>
            </w:pPr>
            <w:r>
              <w:rPr>
                <w:rFonts w:ascii="Arial" w:hAnsi="Arial"/>
                <w:sz w:val="15"/>
              </w:rPr>
              <w:t xml:space="preserve">+11.4%</w:t>
            </w:r>
          </w:p>
        </w:tc>
        <w:tc>
          <w:tcPr>
            <w:tcW w:type="dxa" w:w="1091"/>
            <w:shd w:val="clear" w:color="auto" w:fill="F1F2F5"/>
          </w:tcPr>
          <w:p>
            <w:pPr>
              <w:pStyle w:val="Compact"/>
              <w:spacing w:after="0" w:before="0" w:line="240" w:lineRule="auto"/>
              <w:jc w:val="left"/>
            </w:pPr>
            <w:r>
              <w:rPr>
                <w:rFonts w:ascii="Arial" w:hAnsi="Arial"/>
                <w:sz w:val="15"/>
              </w:rPr>
              <w:t xml:space="preserve">14,000 → 15,590</w:t>
            </w:r>
          </w:p>
        </w:tc>
        <w:tc>
          <w:tcPr>
            <w:tcW w:type="dxa" w:w="955"/>
            <w:shd w:val="clear" w:color="auto" w:fill="F1F2F5"/>
          </w:tcPr>
          <w:p>
            <w:pPr>
              <w:pStyle w:val="Compact"/>
              <w:spacing w:after="0" w:before="0" w:line="240" w:lineRule="auto"/>
              <w:jc w:val="right"/>
            </w:pPr>
            <w:r>
              <w:rPr>
                <w:rFonts w:ascii="Arial" w:hAnsi="Arial"/>
                <w:sz w:val="15"/>
              </w:rPr>
              <w:t xml:space="preserve">-25.1%</w:t>
            </w:r>
          </w:p>
        </w:tc>
        <w:tc>
          <w:tcPr>
            <w:tcW w:type="dxa" w:w="3790"/>
            <w:shd w:val="clear" w:color="auto" w:fill="F1F2F5"/>
          </w:tcPr>
          <w:p>
            <w:pPr>
              <w:pStyle w:val="Compact"/>
              <w:spacing w:after="0" w:before="0" w:line="240" w:lineRule="auto"/>
              <w:jc w:val="left"/>
            </w:pPr>
            <w:r>
              <w:rPr>
                <w:rFonts w:ascii="Arial" w:hAnsi="Arial"/>
                <w:sz w:val="15"/>
              </w:rPr>
              <w:t xml:space="preserve">Defensive bid in the KOSPI correction;</w:t>
            </w:r>
            <w:r>
              <w:rPr>
                <w:rFonts w:ascii="Arial" w:hAnsi="Arial"/>
                <w:sz w:val="15"/>
              </w:rPr>
              <w:t xml:space="preserve"> </w:t>
            </w:r>
            <w:r>
              <w:rPr>
                <w:bCs/>
                <w:rFonts w:ascii="Arial" w:hAnsi="Arial"/>
                <w:b/>
                <w:sz w:val="15"/>
              </w:rPr>
              <w:t xml:space="preserve">KRW90bn buyback + interim DPS +8% (29-Jul; +6.6% next day)</w:t>
            </w:r>
            <w:r>
              <w:rPr>
                <w:rFonts w:ascii="Arial" w:hAnsi="Arial"/>
                <w:sz w:val="15"/>
              </w:rPr>
              <w:t xml:space="preserve">; record 2Q26 OP</w:t>
            </w:r>
          </w:p>
        </w:tc>
        <w:tc>
          <w:tcPr>
            <w:tcW w:type="dxa" w:w="1781"/>
            <w:shd w:val="clear" w:color="auto" w:fill="F1F2F5"/>
          </w:tcPr>
          <w:p>
            <w:pPr>
              <w:pStyle w:val="Compact"/>
              <w:spacing w:after="0" w:before="0" w:line="240" w:lineRule="auto"/>
              <w:jc w:val="left"/>
            </w:pPr>
            <w:r>
              <w:rPr>
                <w:rFonts w:ascii="Arial" w:hAnsi="Arial"/>
                <w:sz w:val="15"/>
              </w:rPr>
              <w:t xml:space="preserve">Event / market</w:t>
            </w:r>
          </w:p>
        </w:tc>
      </w:tr>
      <w:tr>
        <w:trPr>
          <w:cantSplit/>
        </w:trPr>
        <w:tc>
          <w:tcPr>
            <w:tcW w:type="dxa" w:w="1493"/>
          </w:tcPr>
          <w:p>
            <w:pPr>
              <w:pStyle w:val="Compact"/>
              <w:spacing w:after="0" w:before="0" w:line="240" w:lineRule="auto"/>
              <w:jc w:val="left"/>
            </w:pPr>
            <w:r>
              <w:rPr>
                <w:rFonts w:ascii="Arial" w:hAnsi="Arial"/>
                <w:sz w:val="15"/>
              </w:rPr>
              <w:t xml:space="preserve">18-Sep-26 → 16-Oct-26</w:t>
            </w:r>
          </w:p>
        </w:tc>
        <w:tc>
          <w:tcPr>
            <w:tcW w:type="dxa" w:w="867"/>
          </w:tcPr>
          <w:p>
            <w:pPr>
              <w:pStyle w:val="Compact"/>
              <w:spacing w:after="0" w:before="0" w:line="240" w:lineRule="auto"/>
              <w:jc w:val="right"/>
            </w:pPr>
            <w:r>
              <w:rPr>
                <w:rFonts w:ascii="Arial" w:hAnsi="Arial"/>
                <w:sz w:val="15"/>
              </w:rPr>
              <w:t xml:space="preserve">+10.4%</w:t>
            </w:r>
          </w:p>
        </w:tc>
        <w:tc>
          <w:tcPr>
            <w:tcW w:type="dxa" w:w="1091"/>
          </w:tcPr>
          <w:p>
            <w:pPr>
              <w:pStyle w:val="Compact"/>
              <w:spacing w:after="0" w:before="0" w:line="240" w:lineRule="auto"/>
              <w:jc w:val="left"/>
            </w:pPr>
            <w:r>
              <w:rPr>
                <w:rFonts w:ascii="Arial" w:hAnsi="Arial"/>
                <w:sz w:val="15"/>
              </w:rPr>
              <w:t xml:space="preserve">14,050 → 15,510</w:t>
            </w:r>
          </w:p>
        </w:tc>
        <w:tc>
          <w:tcPr>
            <w:tcW w:type="dxa" w:w="955"/>
          </w:tcPr>
          <w:p>
            <w:pPr>
              <w:pStyle w:val="Compact"/>
              <w:spacing w:after="0" w:before="0" w:line="240" w:lineRule="auto"/>
              <w:jc w:val="right"/>
            </w:pPr>
            <w:r>
              <w:rPr>
                <w:rFonts w:ascii="Arial" w:hAnsi="Arial"/>
                <w:sz w:val="15"/>
              </w:rPr>
              <w:t xml:space="preserve">-18.8%</w:t>
            </w:r>
          </w:p>
        </w:tc>
        <w:tc>
          <w:tcPr>
            <w:tcW w:type="dxa" w:w="3790"/>
          </w:tcPr>
          <w:p>
            <w:pPr>
              <w:pStyle w:val="Compact"/>
              <w:spacing w:after="0" w:before="0" w:line="240" w:lineRule="auto"/>
              <w:jc w:val="left"/>
            </w:pPr>
            <w:r>
              <w:rPr>
                <w:rFonts w:ascii="Arial" w:hAnsi="Arial"/>
                <w:sz w:val="15"/>
              </w:rPr>
              <w:t xml:space="preserve">End of S&amp;P Global BMI deletion selling (-4.3% on 18-Sep); defensive bid in the October 2026 KOSPI crash</w:t>
            </w:r>
          </w:p>
        </w:tc>
        <w:tc>
          <w:tcPr>
            <w:tcW w:type="dxa" w:w="1781"/>
          </w:tcPr>
          <w:p>
            <w:pPr>
              <w:pStyle w:val="Compact"/>
              <w:spacing w:after="0" w:before="0" w:line="240" w:lineRule="auto"/>
              <w:jc w:val="left"/>
            </w:pPr>
            <w:r>
              <w:rPr>
                <w:rFonts w:ascii="Arial" w:hAnsi="Arial"/>
                <w:sz w:val="15"/>
              </w:rPr>
              <w:t xml:space="preserve">Index flow / market</w:t>
            </w:r>
          </w:p>
        </w:tc>
      </w:tr>
    </w:tbl>
    <w:p>
      <w:pPr>
        <w:pStyle w:val="BodyText"/>
      </w:pPr>
      <w:r>
        <w:rPr>
          <w:iCs/>
          <w:i/>
        </w:rPr>
        <w:t xml:space="preserve">Source: S&amp;P Capital IQ daily and weekly prices; KODEX 200 ETF used as the KOSPI 200 proxy; event attribution from S&amp;P Key Developments, company calls and press. [u] = attribution not confirmed by a primary source.</w:t>
      </w:r>
    </w:p>
    <w:p>
      <w:pPr>
        <w:pStyle w:val="CaptionedFigure"/>
      </w:pPr>
      <w:r>
        <w:drawing>
          <wp:inline>
            <wp:extent cx="6261100" cy="2265482"/>
            <wp:effectExtent b="0" l="0" r="0" t="0"/>
            <wp:docPr descr="Five-year relative performance" title="" id="64" name="Picture"/>
            <a:graphic>
              <a:graphicData uri="http://schemas.openxmlformats.org/drawingml/2006/picture">
                <pic:pic>
                  <pic:nvPicPr>
                    <pic:cNvPr descr="../charts/price_rel.png" id="65" name="Picture"/>
                    <pic:cNvPicPr>
                      <a:picLocks noChangeArrowheads="1" noChangeAspect="1"/>
                    </pic:cNvPicPr>
                  </pic:nvPicPr>
                  <pic:blipFill>
                    <a:blip r:embed="rId63"/>
                    <a:stretch>
                      <a:fillRect/>
                    </a:stretch>
                  </pic:blipFill>
                  <pic:spPr bwMode="auto">
                    <a:xfrm>
                      <a:off x="0" y="0"/>
                      <a:ext cx="6261100" cy="2265482"/>
                    </a:xfrm>
                    <a:prstGeom prst="rect">
                      <a:avLst/>
                    </a:prstGeom>
                    <a:noFill/>
                    <a:ln w="9525">
                      <a:noFill/>
                      <a:headEnd/>
                      <a:tailEnd/>
                    </a:ln>
                  </pic:spPr>
                </pic:pic>
              </a:graphicData>
            </a:graphic>
          </wp:inline>
        </w:drawing>
      </w:r>
    </w:p>
    <w:p>
      <w:pPr>
        <w:pStyle w:val="ImageCaption"/>
      </w:pPr>
      <w:r>
        <w:t xml:space="preserve">Five-year relative performance</w:t>
      </w:r>
    </w:p>
    <w:p>
      <w:pPr>
        <w:pStyle w:val="BodyText"/>
      </w:pPr>
      <w:r>
        <w:rPr>
          <w:bCs/>
          <w:b/>
        </w:rPr>
        <w:t xml:space="preserve">Takeaways.</w:t>
      </w:r>
    </w:p>
    <w:p>
      <w:pPr>
        <w:numPr>
          <w:ilvl w:val="0"/>
          <w:numId w:val="1016"/>
        </w:numPr>
        <w:pStyle w:val="Compact"/>
      </w:pPr>
      <w:r>
        <w:t xml:space="preserve">The stock reacts most to capital returns (Nov-24, Jul-25, Jul-26), to competitor breaches (Apr-25) and to index flows (Feb-26, Sep-26), and much less to earnings.</w:t>
      </w:r>
    </w:p>
    <w:p>
      <w:pPr>
        <w:numPr>
          <w:ilvl w:val="0"/>
          <w:numId w:val="1016"/>
        </w:numPr>
        <w:pStyle w:val="Compact"/>
      </w:pPr>
      <w:r>
        <w:t xml:space="preserve">Since 2025 it has traded as a low-beta defensive that is negatively correlated with KOSPI swings. Over five years it is up only ~6% against ~+125% for the KOSPI 200 proxy. That makes it a useful funding or hedge leg in a Korea book.</w:t>
      </w:r>
    </w:p>
    <w:p>
      <w:pPr>
        <w:numPr>
          <w:ilvl w:val="0"/>
          <w:numId w:val="1016"/>
        </w:numPr>
        <w:pStyle w:val="Compact"/>
      </w:pPr>
      <w:r>
        <w:t xml:space="preserve">Index events are a recurring technical catalyst because foreign room under the 49% cap is tight. One press analysis flags possible deletion from MSCI Korea in the November 2026 review (effective 30-Nov-2026) [u].</w:t>
      </w:r>
    </w:p>
    <w:bookmarkEnd w:id="66"/>
    <w:bookmarkStart w:id="72" w:name="Xe6e5cd6656a5ffd1fe61dd3f109da72e431eeff"/>
    <w:p>
      <w:pPr>
        <w:pStyle w:val="Heading1"/>
      </w:pPr>
      <w:r>
        <w:t xml:space="preserve">Earnings calls: management focus and sentiment</w:t>
      </w:r>
    </w:p>
    <w:bookmarkStart w:id="67" w:name="what-management-is-focused-on"/>
    <w:p>
      <w:pPr>
        <w:pStyle w:val="Heading2"/>
      </w:pPr>
      <w:r>
        <w:t xml:space="preserve">What management is focused on</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1524"/>
        <w:gridCol w:w="2513"/>
        <w:gridCol w:w="3698"/>
        <w:gridCol w:w="2241"/>
      </w:tblGrid>
      <w:tr>
        <w:trPr>
          <w:tblHeader w:val="true"/>
          <w:tblHeader w:val="true"/>
          <w:cantSplit/>
        </w:trPr>
        <w:tc>
          <w:tcPr>
            <w:tcW w:type="dxa" w:w="1525"/>
            <w:shd w:val="clear" w:color="auto" w:fill="13213F"/>
          </w:tcPr>
          <w:p>
            <w:pPr>
              <w:pStyle w:val="Compact"/>
              <w:spacing w:after="0" w:before="0" w:line="240" w:lineRule="auto"/>
              <w:jc w:val="left"/>
            </w:pPr>
            <w:r>
              <w:rPr>
                <w:rFonts w:ascii="Arial" w:hAnsi="Arial"/>
                <w:b/>
                <w:color w:val="FFFFFF"/>
                <w:sz w:val="15"/>
              </w:rPr>
              <w:t xml:space="preserve">Quarter (call date)</w:t>
            </w:r>
          </w:p>
        </w:tc>
        <w:tc>
          <w:tcPr>
            <w:tcW w:type="dxa" w:w="2514"/>
            <w:shd w:val="clear" w:color="auto" w:fill="13213F"/>
          </w:tcPr>
          <w:p>
            <w:pPr>
              <w:pStyle w:val="Compact"/>
              <w:spacing w:after="0" w:before="0" w:line="240" w:lineRule="auto"/>
              <w:jc w:val="left"/>
            </w:pPr>
            <w:r>
              <w:rPr>
                <w:rFonts w:ascii="Arial" w:hAnsi="Arial"/>
                <w:b/>
                <w:color w:val="FFFFFF"/>
                <w:sz w:val="15"/>
              </w:rPr>
              <w:t xml:space="preserve">Headline numbers</w:t>
            </w:r>
          </w:p>
        </w:tc>
        <w:tc>
          <w:tcPr>
            <w:tcW w:type="dxa" w:w="3698"/>
            <w:shd w:val="clear" w:color="auto" w:fill="13213F"/>
          </w:tcPr>
          <w:p>
            <w:pPr>
              <w:pStyle w:val="Compact"/>
              <w:spacing w:after="0" w:before="0" w:line="240" w:lineRule="auto"/>
              <w:jc w:val="left"/>
            </w:pPr>
            <w:r>
              <w:rPr>
                <w:rFonts w:ascii="Arial" w:hAnsi="Arial"/>
                <w:b/>
                <w:color w:val="FFFFFF"/>
                <w:sz w:val="15"/>
              </w:rPr>
              <w:t xml:space="preserve">Management focus</w:t>
            </w:r>
          </w:p>
        </w:tc>
        <w:tc>
          <w:tcPr>
            <w:tcW w:type="dxa" w:w="2241"/>
            <w:shd w:val="clear" w:color="auto" w:fill="13213F"/>
          </w:tcPr>
          <w:p>
            <w:pPr>
              <w:pStyle w:val="Compact"/>
              <w:spacing w:after="0" w:before="0" w:line="240" w:lineRule="auto"/>
              <w:jc w:val="left"/>
            </w:pPr>
            <w:r>
              <w:rPr>
                <w:rFonts w:ascii="Arial" w:hAnsi="Arial"/>
                <w:b/>
                <w:color w:val="FFFFFF"/>
                <w:sz w:val="15"/>
              </w:rPr>
              <w:t xml:space="preserve">Tone</w:t>
            </w:r>
          </w:p>
        </w:tc>
      </w:tr>
      <w:tr>
        <w:trPr>
          <w:cantSplit/>
        </w:trPr>
        <w:tc>
          <w:tcPr>
            <w:tcW w:type="dxa" w:w="1525"/>
          </w:tcPr>
          <w:p>
            <w:pPr>
              <w:pStyle w:val="Compact"/>
              <w:spacing w:after="0" w:before="0" w:line="240" w:lineRule="auto"/>
              <w:jc w:val="left"/>
            </w:pPr>
            <w:r>
              <w:rPr>
                <w:rFonts w:ascii="Arial" w:hAnsi="Arial"/>
                <w:sz w:val="15"/>
              </w:rPr>
              <w:t xml:space="preserve">3Q24 (8-Nov-24)</w:t>
            </w:r>
          </w:p>
        </w:tc>
        <w:tc>
          <w:tcPr>
            <w:tcW w:type="dxa" w:w="2514"/>
          </w:tcPr>
          <w:p>
            <w:pPr>
              <w:pStyle w:val="Compact"/>
              <w:spacing w:after="0" w:before="0" w:line="240" w:lineRule="auto"/>
              <w:jc w:val="left"/>
            </w:pPr>
            <w:r>
              <w:rPr>
                <w:rFonts w:ascii="Arial" w:hAnsi="Arial"/>
                <w:sz w:val="15"/>
              </w:rPr>
              <w:t xml:space="preserve">OP 246.0bn (-3.2%); service revenue +2.9%</w:t>
            </w:r>
          </w:p>
        </w:tc>
        <w:tc>
          <w:tcPr>
            <w:tcW w:type="dxa" w:w="3698"/>
          </w:tcPr>
          <w:p>
            <w:pPr>
              <w:pStyle w:val="Compact"/>
              <w:spacing w:after="0" w:before="0" w:line="240" w:lineRule="auto"/>
              <w:jc w:val="left"/>
            </w:pPr>
            <w:r>
              <w:rPr>
                <w:rFonts w:ascii="Arial" w:hAnsi="Arial"/>
                <w:sz w:val="15"/>
              </w:rPr>
              <w:t xml:space="preserve">“</w:t>
            </w:r>
            <w:r>
              <w:rPr>
                <w:rFonts w:ascii="Arial" w:hAnsi="Arial"/>
                <w:sz w:val="15"/>
              </w:rPr>
              <w:t xml:space="preserve">AX company</w:t>
            </w:r>
            <w:r>
              <w:rPr>
                <w:rFonts w:ascii="Arial" w:hAnsi="Arial"/>
                <w:sz w:val="15"/>
              </w:rPr>
              <w:t xml:space="preserve">”</w:t>
            </w:r>
            <w:r>
              <w:rPr>
                <w:rFonts w:ascii="Arial" w:hAnsi="Arial"/>
                <w:sz w:val="15"/>
              </w:rPr>
              <w:t xml:space="preserve"> </w:t>
            </w:r>
            <w:r>
              <w:rPr>
                <w:rFonts w:ascii="Arial" w:hAnsi="Arial"/>
                <w:sz w:val="15"/>
              </w:rPr>
              <w:t xml:space="preserve">pivot; ixi-O launch; value-up plan promised</w:t>
            </w:r>
          </w:p>
        </w:tc>
        <w:tc>
          <w:tcPr>
            <w:tcW w:type="dxa" w:w="2241"/>
          </w:tcPr>
          <w:p>
            <w:pPr>
              <w:pStyle w:val="Compact"/>
              <w:spacing w:after="0" w:before="0" w:line="240" w:lineRule="auto"/>
              <w:jc w:val="left"/>
            </w:pPr>
            <w:r>
              <w:rPr>
                <w:rFonts w:ascii="Arial" w:hAnsi="Arial"/>
                <w:sz w:val="15"/>
              </w:rPr>
              <w:t xml:space="preserve">Cautiously constructive; CFO calls 2024</w:t>
            </w:r>
            <w:r>
              <w:rPr>
                <w:rFonts w:ascii="Arial" w:hAnsi="Arial"/>
                <w:sz w:val="15"/>
              </w:rPr>
              <w:t xml:space="preserve"> </w:t>
            </w:r>
            <w:r>
              <w:rPr>
                <w:rFonts w:ascii="Arial" w:hAnsi="Arial"/>
                <w:sz w:val="15"/>
              </w:rPr>
              <w:t xml:space="preserve">“</w:t>
            </w:r>
            <w:r>
              <w:rPr>
                <w:rFonts w:ascii="Arial" w:hAnsi="Arial"/>
                <w:sz w:val="15"/>
              </w:rPr>
              <w:t xml:space="preserve">the bottom</w:t>
            </w:r>
            <w:r>
              <w:rPr>
                <w:rFonts w:ascii="Arial" w:hAnsi="Arial"/>
                <w:sz w:val="15"/>
              </w:rPr>
              <w:t xml:space="preserve">”</w:t>
            </w:r>
          </w:p>
        </w:tc>
      </w:tr>
      <w:tr>
        <w:trPr>
          <w:cantSplit/>
        </w:trPr>
        <w:tc>
          <w:tcPr>
            <w:tcW w:type="dxa" w:w="1525"/>
            <w:shd w:val="clear" w:color="auto" w:fill="F1F2F5"/>
          </w:tcPr>
          <w:p>
            <w:pPr>
              <w:pStyle w:val="Compact"/>
              <w:spacing w:after="0" w:before="0" w:line="240" w:lineRule="auto"/>
              <w:jc w:val="left"/>
            </w:pPr>
            <w:r>
              <w:rPr>
                <w:rFonts w:ascii="Arial" w:hAnsi="Arial"/>
                <w:sz w:val="15"/>
              </w:rPr>
              <w:t xml:space="preserve">4Q24 (6-Feb-25)</w:t>
            </w:r>
          </w:p>
        </w:tc>
        <w:tc>
          <w:tcPr>
            <w:tcW w:type="dxa" w:w="2514"/>
            <w:shd w:val="clear" w:color="auto" w:fill="F1F2F5"/>
          </w:tcPr>
          <w:p>
            <w:pPr>
              <w:pStyle w:val="Compact"/>
              <w:spacing w:after="0" w:before="0" w:line="240" w:lineRule="auto"/>
              <w:jc w:val="left"/>
            </w:pPr>
            <w:r>
              <w:rPr>
                <w:rFonts w:ascii="Arial" w:hAnsi="Arial"/>
                <w:sz w:val="15"/>
              </w:rPr>
              <w:t xml:space="preserve">FY24 OP 863.1bn (-13.5%); NI -44% (LGHV impairment)</w:t>
            </w:r>
          </w:p>
        </w:tc>
        <w:tc>
          <w:tcPr>
            <w:tcW w:type="dxa" w:w="3698"/>
            <w:shd w:val="clear" w:color="auto" w:fill="F1F2F5"/>
          </w:tcPr>
          <w:p>
            <w:pPr>
              <w:pStyle w:val="Compact"/>
              <w:spacing w:after="0" w:before="0" w:line="240" w:lineRule="auto"/>
              <w:jc w:val="left"/>
            </w:pPr>
            <w:r>
              <w:rPr>
                <w:rFonts w:ascii="Arial" w:hAnsi="Arial"/>
                <w:sz w:val="15"/>
              </w:rPr>
              <w:t xml:space="preserve">Value-up (40–60% return, ROE 8–10%); exit from loss-making platforms (Idol Plus, Sporki, smart factory, metaverse); Dansuobeop repeal</w:t>
            </w:r>
          </w:p>
        </w:tc>
        <w:tc>
          <w:tcPr>
            <w:tcW w:type="dxa" w:w="2241"/>
            <w:shd w:val="clear" w:color="auto" w:fill="F1F2F5"/>
          </w:tcPr>
          <w:p>
            <w:pPr>
              <w:pStyle w:val="Compact"/>
              <w:spacing w:after="0" w:before="0" w:line="240" w:lineRule="auto"/>
              <w:jc w:val="left"/>
            </w:pPr>
            <w:r>
              <w:rPr>
                <w:bCs/>
                <w:rFonts w:ascii="Arial" w:hAnsi="Arial"/>
                <w:b/>
                <w:sz w:val="15"/>
              </w:rPr>
              <w:t xml:space="preserve">Most defensive</w:t>
            </w:r>
            <w:r>
              <w:rPr>
                <w:rFonts w:ascii="Arial" w:hAnsi="Arial"/>
                <w:sz w:val="15"/>
              </w:rPr>
              <w:t xml:space="preserve"> </w:t>
            </w:r>
            <w:r>
              <w:rPr>
                <w:rFonts w:ascii="Arial" w:hAnsi="Arial"/>
                <w:sz w:val="15"/>
              </w:rPr>
              <w:t xml:space="preserve">of the eight calls</w:t>
            </w:r>
          </w:p>
        </w:tc>
      </w:tr>
      <w:tr>
        <w:trPr>
          <w:cantSplit/>
        </w:trPr>
        <w:tc>
          <w:tcPr>
            <w:tcW w:type="dxa" w:w="1525"/>
          </w:tcPr>
          <w:p>
            <w:pPr>
              <w:pStyle w:val="Compact"/>
              <w:spacing w:after="0" w:before="0" w:line="240" w:lineRule="auto"/>
              <w:jc w:val="left"/>
            </w:pPr>
            <w:r>
              <w:rPr>
                <w:rFonts w:ascii="Arial" w:hAnsi="Arial"/>
                <w:sz w:val="15"/>
              </w:rPr>
              <w:t xml:space="preserve">1Q25 (8-May-25)</w:t>
            </w:r>
          </w:p>
        </w:tc>
        <w:tc>
          <w:tcPr>
            <w:tcW w:type="dxa" w:w="2514"/>
          </w:tcPr>
          <w:p>
            <w:pPr>
              <w:pStyle w:val="Compact"/>
              <w:spacing w:after="0" w:before="0" w:line="240" w:lineRule="auto"/>
              <w:jc w:val="left"/>
            </w:pPr>
            <w:r>
              <w:rPr>
                <w:rFonts w:ascii="Arial" w:hAnsi="Arial"/>
                <w:sz w:val="15"/>
              </w:rPr>
              <w:t xml:space="preserve">OP 255.4bn (+15.6%)</w:t>
            </w:r>
          </w:p>
        </w:tc>
        <w:tc>
          <w:tcPr>
            <w:tcW w:type="dxa" w:w="3698"/>
          </w:tcPr>
          <w:p>
            <w:pPr>
              <w:pStyle w:val="Compact"/>
              <w:spacing w:after="0" w:before="0" w:line="240" w:lineRule="auto"/>
              <w:jc w:val="left"/>
            </w:pPr>
            <w:r>
              <w:rPr>
                <w:rFonts w:ascii="Arial" w:hAnsi="Arial"/>
                <w:sz w:val="15"/>
              </w:rPr>
              <w:t xml:space="preserve">Turnaround; Paju AIDC building 1 (50MW, KRW620bn); cancellation of all 6.78m treasury shares; SKT breach and own USIM security</w:t>
            </w:r>
          </w:p>
        </w:tc>
        <w:tc>
          <w:tcPr>
            <w:tcW w:type="dxa" w:w="2241"/>
          </w:tcPr>
          <w:p>
            <w:pPr>
              <w:pStyle w:val="Compact"/>
              <w:spacing w:after="0" w:before="0" w:line="240" w:lineRule="auto"/>
              <w:jc w:val="left"/>
            </w:pPr>
            <w:r>
              <w:rPr>
                <w:rFonts w:ascii="Arial" w:hAnsi="Arial"/>
                <w:sz w:val="15"/>
              </w:rPr>
              <w:t xml:space="preserve">Relief</w:t>
            </w:r>
          </w:p>
        </w:tc>
      </w:tr>
      <w:tr>
        <w:trPr>
          <w:cantSplit/>
        </w:trPr>
        <w:tc>
          <w:tcPr>
            <w:tcW w:type="dxa" w:w="1525"/>
            <w:shd w:val="clear" w:color="auto" w:fill="F1F2F5"/>
          </w:tcPr>
          <w:p>
            <w:pPr>
              <w:pStyle w:val="Compact"/>
              <w:spacing w:after="0" w:before="0" w:line="240" w:lineRule="auto"/>
              <w:jc w:val="left"/>
            </w:pPr>
            <w:r>
              <w:rPr>
                <w:rFonts w:ascii="Arial" w:hAnsi="Arial"/>
                <w:sz w:val="15"/>
              </w:rPr>
              <w:t xml:space="preserve">2Q25 (8-Aug-25)</w:t>
            </w:r>
          </w:p>
        </w:tc>
        <w:tc>
          <w:tcPr>
            <w:tcW w:type="dxa" w:w="2514"/>
            <w:shd w:val="clear" w:color="auto" w:fill="F1F2F5"/>
          </w:tcPr>
          <w:p>
            <w:pPr>
              <w:pStyle w:val="Compact"/>
              <w:spacing w:after="0" w:before="0" w:line="240" w:lineRule="auto"/>
              <w:jc w:val="left"/>
            </w:pPr>
            <w:r>
              <w:rPr>
                <w:rFonts w:ascii="Arial" w:hAnsi="Arial"/>
                <w:sz w:val="15"/>
              </w:rPr>
              <w:t xml:space="preserve">OP 304.5bn (+19.9%), first quarter above KRW300bn</w:t>
            </w:r>
          </w:p>
        </w:tc>
        <w:tc>
          <w:tcPr>
            <w:tcW w:type="dxa" w:w="3698"/>
            <w:shd w:val="clear" w:color="auto" w:fill="F1F2F5"/>
          </w:tcPr>
          <w:p>
            <w:pPr>
              <w:pStyle w:val="Compact"/>
              <w:spacing w:after="0" w:before="0" w:line="240" w:lineRule="auto"/>
              <w:jc w:val="left"/>
            </w:pPr>
            <w:r>
              <w:rPr>
                <w:rFonts w:ascii="Arial" w:hAnsi="Arial"/>
                <w:sz w:val="15"/>
              </w:rPr>
              <w:t xml:space="preserve">SKT spillover; KRW80bn buyback; OpenAI AICC partnership; LG sovereign-AI consortium</w:t>
            </w:r>
          </w:p>
        </w:tc>
        <w:tc>
          <w:tcPr>
            <w:tcW w:type="dxa" w:w="2241"/>
            <w:shd w:val="clear" w:color="auto" w:fill="F1F2F5"/>
          </w:tcPr>
          <w:p>
            <w:pPr>
              <w:pStyle w:val="Compact"/>
              <w:spacing w:after="0" w:before="0" w:line="240" w:lineRule="auto"/>
              <w:jc w:val="left"/>
            </w:pPr>
            <w:r>
              <w:rPr>
                <w:rFonts w:ascii="Arial" w:hAnsi="Arial"/>
                <w:sz w:val="15"/>
              </w:rPr>
              <w:t xml:space="preserve">Confident</w:t>
            </w:r>
          </w:p>
        </w:tc>
      </w:tr>
      <w:tr>
        <w:trPr>
          <w:cantSplit/>
        </w:trPr>
        <w:tc>
          <w:tcPr>
            <w:tcW w:type="dxa" w:w="1525"/>
          </w:tcPr>
          <w:p>
            <w:pPr>
              <w:pStyle w:val="Compact"/>
              <w:spacing w:after="0" w:before="0" w:line="240" w:lineRule="auto"/>
              <w:jc w:val="left"/>
            </w:pPr>
            <w:r>
              <w:rPr>
                <w:rFonts w:ascii="Arial" w:hAnsi="Arial"/>
                <w:sz w:val="15"/>
              </w:rPr>
              <w:t xml:space="preserve">3Q25 (5-Nov-25)</w:t>
            </w:r>
          </w:p>
        </w:tc>
        <w:tc>
          <w:tcPr>
            <w:tcW w:type="dxa" w:w="2514"/>
          </w:tcPr>
          <w:p>
            <w:pPr>
              <w:pStyle w:val="Compact"/>
              <w:spacing w:after="0" w:before="0" w:line="240" w:lineRule="auto"/>
              <w:jc w:val="left"/>
            </w:pPr>
            <w:r>
              <w:rPr>
                <w:rFonts w:ascii="Arial" w:hAnsi="Arial"/>
                <w:sz w:val="15"/>
              </w:rPr>
              <w:t xml:space="preserve">OP 161.7bn incl. KRW150bn ERP; 311.7bn ex-ERP (+26.7%)</w:t>
            </w:r>
          </w:p>
        </w:tc>
        <w:tc>
          <w:tcPr>
            <w:tcW w:type="dxa" w:w="3698"/>
          </w:tcPr>
          <w:p>
            <w:pPr>
              <w:pStyle w:val="Compact"/>
              <w:spacing w:after="0" w:before="0" w:line="240" w:lineRule="auto"/>
              <w:jc w:val="left"/>
            </w:pPr>
            <w:r>
              <w:rPr>
                <w:rFonts w:ascii="Arial" w:hAnsi="Arial"/>
                <w:sz w:val="15"/>
              </w:rPr>
              <w:t xml:space="preserve">ERP savings in 2026; FY25 guidance on track;</w:t>
            </w:r>
            <w:r>
              <w:rPr>
                <w:rFonts w:ascii="Arial" w:hAnsi="Arial"/>
                <w:sz w:val="15"/>
              </w:rPr>
              <w:t xml:space="preserve"> </w:t>
            </w:r>
            <w:r>
              <w:rPr>
                <w:rFonts w:ascii="Arial" w:hAnsi="Arial"/>
                <w:sz w:val="15"/>
              </w:rPr>
              <w:t xml:space="preserve">“</w:t>
            </w:r>
            <w:r>
              <w:rPr>
                <w:rFonts w:ascii="Arial" w:hAnsi="Arial"/>
                <w:sz w:val="15"/>
              </w:rPr>
              <w:t xml:space="preserve">progressive</w:t>
            </w:r>
            <w:r>
              <w:rPr>
                <w:rFonts w:ascii="Arial" w:hAnsi="Arial"/>
                <w:sz w:val="15"/>
              </w:rPr>
              <w:t xml:space="preserve">”</w:t>
            </w:r>
            <w:r>
              <w:rPr>
                <w:rFonts w:ascii="Arial" w:hAnsi="Arial"/>
                <w:sz w:val="15"/>
              </w:rPr>
              <w:t xml:space="preserve"> </w:t>
            </w:r>
            <w:r>
              <w:rPr>
                <w:rFonts w:ascii="Arial" w:hAnsi="Arial"/>
                <w:sz w:val="15"/>
              </w:rPr>
              <w:t xml:space="preserve">returns; security basics</w:t>
            </w:r>
          </w:p>
        </w:tc>
        <w:tc>
          <w:tcPr>
            <w:tcW w:type="dxa" w:w="2241"/>
          </w:tcPr>
          <w:p>
            <w:pPr>
              <w:pStyle w:val="Compact"/>
              <w:spacing w:after="0" w:before="0" w:line="240" w:lineRule="auto"/>
              <w:jc w:val="left"/>
            </w:pPr>
            <w:r>
              <w:rPr>
                <w:rFonts w:ascii="Arial" w:hAnsi="Arial"/>
                <w:sz w:val="15"/>
              </w:rPr>
              <w:t xml:space="preserve">Second-lowest (one-off charge)</w:t>
            </w:r>
          </w:p>
        </w:tc>
      </w:tr>
      <w:tr>
        <w:trPr>
          <w:cantSplit/>
        </w:trPr>
        <w:tc>
          <w:tcPr>
            <w:tcW w:type="dxa" w:w="1525"/>
            <w:shd w:val="clear" w:color="auto" w:fill="F1F2F5"/>
          </w:tcPr>
          <w:p>
            <w:pPr>
              <w:pStyle w:val="Compact"/>
              <w:spacing w:after="0" w:before="0" w:line="240" w:lineRule="auto"/>
              <w:jc w:val="left"/>
            </w:pPr>
            <w:r>
              <w:rPr>
                <w:rFonts w:ascii="Arial" w:hAnsi="Arial"/>
                <w:sz w:val="15"/>
              </w:rPr>
              <w:t xml:space="preserve">4Q25 (5-Feb-26)</w:t>
            </w:r>
          </w:p>
        </w:tc>
        <w:tc>
          <w:tcPr>
            <w:tcW w:type="dxa" w:w="2514"/>
            <w:shd w:val="clear" w:color="auto" w:fill="F1F2F5"/>
          </w:tcPr>
          <w:p>
            <w:pPr>
              <w:pStyle w:val="Compact"/>
              <w:spacing w:after="0" w:before="0" w:line="240" w:lineRule="auto"/>
              <w:jc w:val="left"/>
            </w:pPr>
            <w:r>
              <w:rPr>
                <w:rFonts w:ascii="Arial" w:hAnsi="Arial"/>
                <w:sz w:val="15"/>
              </w:rPr>
              <w:t xml:space="preserve">FY25 OP 892.1bn; service revenue +3.5% vs 2% guidance; DPS 660</w:t>
            </w:r>
          </w:p>
        </w:tc>
        <w:tc>
          <w:tcPr>
            <w:tcW w:type="dxa" w:w="3698"/>
            <w:shd w:val="clear" w:color="auto" w:fill="F1F2F5"/>
          </w:tcPr>
          <w:p>
            <w:pPr>
              <w:pStyle w:val="Compact"/>
              <w:spacing w:after="0" w:before="0" w:line="240" w:lineRule="auto"/>
              <w:jc w:val="left"/>
            </w:pPr>
            <w:r>
              <w:rPr>
                <w:rFonts w:ascii="Arial" w:hAnsi="Arial"/>
                <w:sz w:val="15"/>
              </w:rPr>
              <w:t xml:space="preserve">FY26 guidance ≥2% service growth; 5G standalone (SA) by end-2026; AICC +50%; Paju phase 2 under review</w:t>
            </w:r>
          </w:p>
        </w:tc>
        <w:tc>
          <w:tcPr>
            <w:tcW w:type="dxa" w:w="2241"/>
            <w:shd w:val="clear" w:color="auto" w:fill="F1F2F5"/>
          </w:tcPr>
          <w:p>
            <w:pPr>
              <w:pStyle w:val="Compact"/>
              <w:spacing w:after="0" w:before="0" w:line="240" w:lineRule="auto"/>
              <w:jc w:val="left"/>
            </w:pPr>
            <w:r>
              <w:rPr>
                <w:rFonts w:ascii="Arial" w:hAnsi="Arial"/>
                <w:sz w:val="15"/>
              </w:rPr>
              <w:t xml:space="preserve">Positive</w:t>
            </w:r>
          </w:p>
        </w:tc>
      </w:tr>
      <w:tr>
        <w:trPr>
          <w:cantSplit/>
        </w:trPr>
        <w:tc>
          <w:tcPr>
            <w:tcW w:type="dxa" w:w="1525"/>
          </w:tcPr>
          <w:p>
            <w:pPr>
              <w:pStyle w:val="Compact"/>
              <w:spacing w:after="0" w:before="0" w:line="240" w:lineRule="auto"/>
              <w:jc w:val="left"/>
            </w:pPr>
            <w:r>
              <w:rPr>
                <w:rFonts w:ascii="Arial" w:hAnsi="Arial"/>
                <w:sz w:val="15"/>
              </w:rPr>
              <w:t xml:space="preserve">1Q26 (7-May-26)</w:t>
            </w:r>
          </w:p>
        </w:tc>
        <w:tc>
          <w:tcPr>
            <w:tcW w:type="dxa" w:w="2514"/>
          </w:tcPr>
          <w:p>
            <w:pPr>
              <w:pStyle w:val="Compact"/>
              <w:spacing w:after="0" w:before="0" w:line="240" w:lineRule="auto"/>
              <w:jc w:val="left"/>
            </w:pPr>
            <w:r>
              <w:rPr>
                <w:rFonts w:ascii="Arial" w:hAnsi="Arial"/>
                <w:sz w:val="15"/>
              </w:rPr>
              <w:t xml:space="preserve">OP 272.3bn (+6.6%); marketing +11.7% (KT fee-waiver war)</w:t>
            </w:r>
          </w:p>
        </w:tc>
        <w:tc>
          <w:tcPr>
            <w:tcW w:type="dxa" w:w="3698"/>
          </w:tcPr>
          <w:p>
            <w:pPr>
              <w:pStyle w:val="Compact"/>
              <w:spacing w:after="0" w:before="0" w:line="240" w:lineRule="auto"/>
              <w:jc w:val="left"/>
            </w:pPr>
            <w:r>
              <w:rPr>
                <w:rFonts w:ascii="Arial" w:hAnsi="Arial"/>
                <w:sz w:val="15"/>
              </w:rPr>
              <w:t xml:space="preserve">“</w:t>
            </w:r>
            <w:r>
              <w:rPr>
                <w:rFonts w:ascii="Arial" w:hAnsi="Arial"/>
                <w:sz w:val="15"/>
              </w:rPr>
              <w:t xml:space="preserve">Balanced growth</w:t>
            </w:r>
            <w:r>
              <w:rPr>
                <w:rFonts w:ascii="Arial" w:hAnsi="Arial"/>
                <w:sz w:val="15"/>
              </w:rPr>
              <w:t xml:space="preserve">”</w:t>
            </w:r>
            <w:r>
              <w:rPr>
                <w:rFonts w:ascii="Arial" w:hAnsi="Arial"/>
                <w:sz w:val="15"/>
              </w:rPr>
              <w:t xml:space="preserve">; AX cost structure; Paju at MWC; cancellation of 5.4m shares</w:t>
            </w:r>
          </w:p>
        </w:tc>
        <w:tc>
          <w:tcPr>
            <w:tcW w:type="dxa" w:w="2241"/>
          </w:tcPr>
          <w:p>
            <w:pPr>
              <w:pStyle w:val="Compact"/>
              <w:spacing w:after="0" w:before="0" w:line="240" w:lineRule="auto"/>
              <w:jc w:val="left"/>
            </w:pPr>
            <w:r>
              <w:rPr>
                <w:bCs/>
                <w:rFonts w:ascii="Arial" w:hAnsi="Arial"/>
                <w:b/>
                <w:sz w:val="15"/>
              </w:rPr>
              <w:t xml:space="preserve">Peak tone</w:t>
            </w:r>
          </w:p>
        </w:tc>
      </w:tr>
      <w:tr>
        <w:trPr>
          <w:cantSplit/>
        </w:trPr>
        <w:tc>
          <w:tcPr>
            <w:tcW w:type="dxa" w:w="1525"/>
            <w:shd w:val="clear" w:color="auto" w:fill="F1F2F5"/>
          </w:tcPr>
          <w:p>
            <w:pPr>
              <w:pStyle w:val="Compact"/>
              <w:spacing w:after="0" w:before="0" w:line="240" w:lineRule="auto"/>
              <w:jc w:val="left"/>
            </w:pPr>
            <w:r>
              <w:rPr>
                <w:rFonts w:ascii="Arial" w:hAnsi="Arial"/>
                <w:sz w:val="15"/>
              </w:rPr>
              <w:t xml:space="preserve">2Q26 (6-Aug-26)</w:t>
            </w:r>
          </w:p>
        </w:tc>
        <w:tc>
          <w:tcPr>
            <w:tcW w:type="dxa" w:w="2514"/>
            <w:shd w:val="clear" w:color="auto" w:fill="F1F2F5"/>
          </w:tcPr>
          <w:p>
            <w:pPr>
              <w:pStyle w:val="Compact"/>
              <w:spacing w:after="0" w:before="0" w:line="240" w:lineRule="auto"/>
              <w:jc w:val="left"/>
            </w:pPr>
            <w:r>
              <w:rPr>
                <w:rFonts w:ascii="Arial" w:hAnsi="Arial"/>
                <w:sz w:val="15"/>
              </w:rPr>
              <w:t xml:space="preserve">Record OP 344.5bn (+13.1%); revenue -3.9%</w:t>
            </w:r>
          </w:p>
        </w:tc>
        <w:tc>
          <w:tcPr>
            <w:tcW w:type="dxa" w:w="3698"/>
            <w:shd w:val="clear" w:color="auto" w:fill="F1F2F5"/>
          </w:tcPr>
          <w:p>
            <w:pPr>
              <w:pStyle w:val="Compact"/>
              <w:spacing w:after="0" w:before="0" w:line="240" w:lineRule="auto"/>
              <w:jc w:val="left"/>
            </w:pPr>
            <w:r>
              <w:rPr>
                <w:rFonts w:ascii="Arial" w:hAnsi="Arial"/>
                <w:sz w:val="15"/>
              </w:rPr>
              <w:t xml:space="preserve">Paju brought forward to 200MW (~KRW2tn); capex</w:t>
            </w:r>
            <w:r>
              <w:rPr>
                <w:rFonts w:ascii="Arial" w:hAnsi="Arial"/>
                <w:sz w:val="15"/>
              </w:rPr>
              <w:t xml:space="preserve"> </w:t>
            </w:r>
            <w:r>
              <w:rPr>
                <w:rFonts w:ascii="Arial" w:hAnsi="Arial"/>
                <w:sz w:val="15"/>
              </w:rPr>
              <w:t xml:space="preserve">“</w:t>
            </w:r>
            <w:r>
              <w:rPr>
                <w:rFonts w:ascii="Arial" w:hAnsi="Arial"/>
                <w:sz w:val="15"/>
              </w:rPr>
              <w:t xml:space="preserve">within EBITDA</w:t>
            </w:r>
            <w:r>
              <w:rPr>
                <w:rFonts w:ascii="Arial" w:hAnsi="Arial"/>
                <w:sz w:val="15"/>
              </w:rPr>
              <w:t xml:space="preserve">”</w:t>
            </w:r>
            <w:r>
              <w:rPr>
                <w:rFonts w:ascii="Arial" w:hAnsi="Arial"/>
                <w:sz w:val="15"/>
              </w:rPr>
              <w:t xml:space="preserve">; KRW90bn buyback; PAGO security deal;</w:t>
            </w:r>
            <w:r>
              <w:rPr>
                <w:rFonts w:ascii="Arial" w:hAnsi="Arial"/>
                <w:sz w:val="15"/>
              </w:rPr>
              <w:t xml:space="preserve"> </w:t>
            </w:r>
            <w:r>
              <w:rPr>
                <w:rFonts w:ascii="Arial" w:hAnsi="Arial"/>
                <w:sz w:val="15"/>
              </w:rPr>
              <w:t xml:space="preserve">“</w:t>
            </w:r>
            <w:r>
              <w:rPr>
                <w:rFonts w:ascii="Arial" w:hAnsi="Arial"/>
                <w:sz w:val="15"/>
              </w:rPr>
              <w:t xml:space="preserve">One LG</w:t>
            </w:r>
            <w:r>
              <w:rPr>
                <w:rFonts w:ascii="Arial" w:hAnsi="Arial"/>
                <w:sz w:val="15"/>
              </w:rPr>
              <w:t xml:space="preserve">”</w:t>
            </w:r>
            <w:r>
              <w:rPr>
                <w:rFonts w:ascii="Arial" w:hAnsi="Arial"/>
                <w:sz w:val="15"/>
              </w:rPr>
              <w:t xml:space="preserve"> </w:t>
            </w:r>
            <w:r>
              <w:rPr>
                <w:rFonts w:ascii="Arial" w:hAnsi="Arial"/>
                <w:sz w:val="15"/>
              </w:rPr>
              <w:t xml:space="preserve">AI</w:t>
            </w:r>
          </w:p>
        </w:tc>
        <w:tc>
          <w:tcPr>
            <w:tcW w:type="dxa" w:w="2241"/>
            <w:shd w:val="clear" w:color="auto" w:fill="F1F2F5"/>
          </w:tcPr>
          <w:p>
            <w:pPr>
              <w:pStyle w:val="Compact"/>
              <w:spacing w:after="0" w:before="0" w:line="240" w:lineRule="auto"/>
              <w:jc w:val="left"/>
            </w:pPr>
            <w:r>
              <w:rPr>
                <w:rFonts w:ascii="Arial" w:hAnsi="Arial"/>
                <w:sz w:val="15"/>
              </w:rPr>
              <w:t xml:space="preserve">High, with caution on 2H wireless and capex</w:t>
            </w:r>
          </w:p>
        </w:tc>
      </w:tr>
    </w:tbl>
    <w:p>
      <w:pPr>
        <w:pStyle w:val="BodyText"/>
      </w:pPr>
      <w:r>
        <w:rPr>
          <w:iCs/>
          <w:i/>
        </w:rPr>
        <w:t xml:space="preserve">Source: ProntoNLP and S&amp;P Capital IQ transcripts.</w:t>
      </w:r>
    </w:p>
    <w:p>
      <w:pPr>
        <w:pStyle w:val="BodyText"/>
      </w:pPr>
      <w:r>
        <w:rPr>
          <w:bCs/>
          <w:b/>
        </w:rPr>
        <w:t xml:space="preserve">Recurring analyst questions.</w:t>
      </w:r>
    </w:p>
    <w:p>
      <w:pPr>
        <w:numPr>
          <w:ilvl w:val="0"/>
          <w:numId w:val="1017"/>
        </w:numPr>
        <w:pStyle w:val="Compact"/>
      </w:pPr>
      <w:r>
        <w:t xml:space="preserve">Sustainability of the subscriber gains from rival breaches.</w:t>
      </w:r>
    </w:p>
    <w:p>
      <w:pPr>
        <w:numPr>
          <w:ilvl w:val="0"/>
          <w:numId w:val="1017"/>
        </w:numPr>
        <w:pStyle w:val="Compact"/>
      </w:pPr>
      <w:r>
        <w:t xml:space="preserve">Size of buybacks and cancellations, and DPS progression.</w:t>
      </w:r>
    </w:p>
    <w:p>
      <w:pPr>
        <w:numPr>
          <w:ilvl w:val="0"/>
          <w:numId w:val="1017"/>
        </w:numPr>
        <w:pStyle w:val="Compact"/>
      </w:pPr>
      <w:r>
        <w:t xml:space="preserve">AIDC funding, returns and overlap with LG CNS.</w:t>
      </w:r>
    </w:p>
    <w:p>
      <w:pPr>
        <w:numPr>
          <w:ilvl w:val="0"/>
          <w:numId w:val="1017"/>
        </w:numPr>
        <w:pStyle w:val="Compact"/>
      </w:pPr>
      <w:r>
        <w:t xml:space="preserve">Post-Dansuobeop competition.</w:t>
      </w:r>
    </w:p>
    <w:p>
      <w:pPr>
        <w:numPr>
          <w:ilvl w:val="0"/>
          <w:numId w:val="1017"/>
        </w:numPr>
        <w:pStyle w:val="Compact"/>
      </w:pPr>
      <w:r>
        <w:t xml:space="preserve">Q&amp;A participation is thinning: only two analysts asked questions on the 2Q26 call.</w:t>
      </w:r>
    </w:p>
    <w:bookmarkEnd w:id="67"/>
    <w:bookmarkStart w:id="71" w:name="sentiment-analysis-prontonlp"/>
    <w:p>
      <w:pPr>
        <w:pStyle w:val="Heading2"/>
      </w:pPr>
      <w:r>
        <w:t xml:space="preserve">Sentiment analysis (ProntoNLP)</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947"/>
        <w:gridCol w:w="1365"/>
        <w:gridCol w:w="1409"/>
        <w:gridCol w:w="1107"/>
        <w:gridCol w:w="1106"/>
        <w:gridCol w:w="2466"/>
        <w:gridCol w:w="1574"/>
      </w:tblGrid>
      <w:tr>
        <w:trPr>
          <w:tblHeader w:val="true"/>
          <w:tblHeader w:val="true"/>
          <w:cantSplit/>
        </w:trPr>
        <w:tc>
          <w:tcPr>
            <w:tcW w:type="dxa" w:w="947"/>
            <w:shd w:val="clear" w:color="auto" w:fill="13213F"/>
          </w:tcPr>
          <w:p>
            <w:pPr>
              <w:pStyle w:val="Compact"/>
              <w:spacing w:after="0" w:before="0" w:line="240" w:lineRule="auto"/>
              <w:jc w:val="left"/>
            </w:pPr>
            <w:r>
              <w:rPr>
                <w:rFonts w:ascii="Arial" w:hAnsi="Arial"/>
                <w:b/>
                <w:color w:val="FFFFFF"/>
                <w:sz w:val="15"/>
              </w:rPr>
              <w:t xml:space="preserve">Quarter</w:t>
            </w:r>
          </w:p>
        </w:tc>
        <w:tc>
          <w:tcPr>
            <w:tcW w:type="dxa" w:w="1366"/>
            <w:shd w:val="clear" w:color="auto" w:fill="13213F"/>
          </w:tcPr>
          <w:p>
            <w:pPr>
              <w:pStyle w:val="Compact"/>
              <w:spacing w:after="0" w:before="0" w:line="240" w:lineRule="auto"/>
              <w:jc w:val="center"/>
            </w:pPr>
            <w:r>
              <w:rPr>
                <w:rFonts w:ascii="Arial" w:hAnsi="Arial"/>
                <w:b/>
                <w:color w:val="FFFFFF"/>
                <w:sz w:val="15"/>
              </w:rPr>
              <w:t xml:space="preserve">Pronto sentiment (-1 to +1)</w:t>
            </w:r>
          </w:p>
        </w:tc>
        <w:tc>
          <w:tcPr>
            <w:tcW w:type="dxa" w:w="1409"/>
            <w:shd w:val="clear" w:color="auto" w:fill="13213F"/>
          </w:tcPr>
          <w:p>
            <w:pPr>
              <w:pStyle w:val="Compact"/>
              <w:spacing w:after="0" w:before="0" w:line="240" w:lineRule="auto"/>
              <w:jc w:val="center"/>
            </w:pPr>
            <w:r>
              <w:rPr>
                <w:rFonts w:ascii="Arial" w:hAnsi="Arial"/>
                <w:b/>
                <w:color w:val="FFFFFF"/>
                <w:sz w:val="15"/>
              </w:rPr>
              <w:t xml:space="preserve">Pronto investment score</w:t>
            </w:r>
          </w:p>
        </w:tc>
        <w:tc>
          <w:tcPr>
            <w:tcW w:type="dxa" w:w="1107"/>
            <w:shd w:val="clear" w:color="auto" w:fill="13213F"/>
          </w:tcPr>
          <w:p>
            <w:pPr>
              <w:pStyle w:val="Compact"/>
              <w:spacing w:after="0" w:before="0" w:line="240" w:lineRule="auto"/>
              <w:jc w:val="center"/>
            </w:pPr>
            <w:r>
              <w:rPr>
                <w:rFonts w:ascii="Arial" w:hAnsi="Arial"/>
                <w:b/>
                <w:color w:val="FFFFFF"/>
                <w:sz w:val="15"/>
              </w:rPr>
              <w:t xml:space="preserve">Events (+ / 0 / -)</w:t>
            </w:r>
          </w:p>
        </w:tc>
        <w:tc>
          <w:tcPr>
            <w:tcW w:type="dxa" w:w="1107"/>
            <w:shd w:val="clear" w:color="auto" w:fill="13213F"/>
          </w:tcPr>
          <w:p>
            <w:pPr>
              <w:pStyle w:val="Compact"/>
              <w:spacing w:after="0" w:before="0" w:line="240" w:lineRule="auto"/>
              <w:jc w:val="center"/>
            </w:pPr>
            <w:r>
              <w:rPr>
                <w:rFonts w:ascii="Arial" w:hAnsi="Arial"/>
                <w:b/>
                <w:color w:val="FFFFFF"/>
                <w:sz w:val="15"/>
              </w:rPr>
              <w:t xml:space="preserve">Positive share</w:t>
            </w:r>
          </w:p>
        </w:tc>
        <w:tc>
          <w:tcPr>
            <w:tcW w:type="dxa" w:w="2467"/>
            <w:shd w:val="clear" w:color="auto" w:fill="13213F"/>
          </w:tcPr>
          <w:p>
            <w:pPr>
              <w:pStyle w:val="Compact"/>
              <w:spacing w:after="0" w:before="0" w:line="240" w:lineRule="auto"/>
              <w:jc w:val="left"/>
            </w:pPr>
            <w:r>
              <w:rPr>
                <w:rFonts w:ascii="Arial" w:hAnsi="Arial"/>
                <w:b/>
                <w:color w:val="FFFFFF"/>
                <w:sz w:val="15"/>
              </w:rPr>
              <w:t xml:space="preserve">Key topics</w:t>
            </w:r>
          </w:p>
        </w:tc>
        <w:tc>
          <w:tcPr>
            <w:tcW w:type="dxa" w:w="1575"/>
            <w:shd w:val="clear" w:color="auto" w:fill="13213F"/>
          </w:tcPr>
          <w:p>
            <w:pPr>
              <w:pStyle w:val="Compact"/>
              <w:spacing w:after="0" w:before="0" w:line="240" w:lineRule="auto"/>
              <w:jc w:val="left"/>
            </w:pPr>
            <w:r>
              <w:rPr>
                <w:rFonts w:ascii="Arial" w:hAnsi="Arial"/>
                <w:b/>
                <w:color w:val="FFFFFF"/>
                <w:sz w:val="15"/>
              </w:rPr>
              <w:t xml:space="preserve">Shift</w:t>
            </w:r>
          </w:p>
        </w:tc>
      </w:tr>
      <w:tr>
        <w:trPr>
          <w:cantSplit/>
        </w:trPr>
        <w:tc>
          <w:tcPr>
            <w:tcW w:type="dxa" w:w="947"/>
          </w:tcPr>
          <w:p>
            <w:pPr>
              <w:pStyle w:val="Compact"/>
              <w:spacing w:after="0" w:before="0" w:line="240" w:lineRule="auto"/>
              <w:jc w:val="left"/>
            </w:pPr>
            <w:r>
              <w:rPr>
                <w:rFonts w:ascii="Arial" w:hAnsi="Arial"/>
                <w:sz w:val="15"/>
              </w:rPr>
              <w:t xml:space="preserve">3Q24</w:t>
            </w:r>
          </w:p>
        </w:tc>
        <w:tc>
          <w:tcPr>
            <w:tcW w:type="dxa" w:w="1366"/>
          </w:tcPr>
          <w:p>
            <w:pPr>
              <w:pStyle w:val="Compact"/>
              <w:spacing w:after="0" w:before="0" w:line="240" w:lineRule="auto"/>
              <w:jc w:val="center"/>
            </w:pPr>
            <w:r>
              <w:rPr>
                <w:rFonts w:ascii="Arial" w:hAnsi="Arial"/>
                <w:sz w:val="15"/>
              </w:rPr>
              <w:t xml:space="preserve">0.86</w:t>
            </w:r>
          </w:p>
        </w:tc>
        <w:tc>
          <w:tcPr>
            <w:tcW w:type="dxa" w:w="1409"/>
          </w:tcPr>
          <w:p>
            <w:pPr>
              <w:pStyle w:val="Compact"/>
              <w:spacing w:after="0" w:before="0" w:line="240" w:lineRule="auto"/>
              <w:jc w:val="center"/>
            </w:pPr>
            <w:r>
              <w:rPr>
                <w:rFonts w:ascii="Arial" w:hAnsi="Arial"/>
                <w:sz w:val="15"/>
              </w:rPr>
              <w:t xml:space="preserve">0.55</w:t>
            </w:r>
          </w:p>
        </w:tc>
        <w:tc>
          <w:tcPr>
            <w:tcW w:type="dxa" w:w="1107"/>
          </w:tcPr>
          <w:p>
            <w:pPr>
              <w:pStyle w:val="Compact"/>
              <w:spacing w:after="0" w:before="0" w:line="240" w:lineRule="auto"/>
              <w:jc w:val="center"/>
            </w:pPr>
            <w:r>
              <w:rPr>
                <w:rFonts w:ascii="Arial" w:hAnsi="Arial"/>
                <w:sz w:val="15"/>
              </w:rPr>
              <w:t xml:space="preserve">152 / 75 / 9</w:t>
            </w:r>
          </w:p>
        </w:tc>
        <w:tc>
          <w:tcPr>
            <w:tcW w:type="dxa" w:w="1107"/>
          </w:tcPr>
          <w:p>
            <w:pPr>
              <w:pStyle w:val="Compact"/>
              <w:spacing w:after="0" w:before="0" w:line="240" w:lineRule="auto"/>
              <w:jc w:val="center"/>
            </w:pPr>
            <w:r>
              <w:rPr>
                <w:rFonts w:ascii="Arial" w:hAnsi="Arial"/>
                <w:sz w:val="15"/>
              </w:rPr>
              <w:t xml:space="preserve">94%</w:t>
            </w:r>
          </w:p>
        </w:tc>
        <w:tc>
          <w:tcPr>
            <w:tcW w:type="dxa" w:w="2467"/>
          </w:tcPr>
          <w:p>
            <w:pPr>
              <w:pStyle w:val="Compact"/>
              <w:spacing w:after="0" w:before="0" w:line="240" w:lineRule="auto"/>
              <w:jc w:val="left"/>
            </w:pPr>
            <w:r>
              <w:rPr>
                <w:rFonts w:ascii="Arial" w:hAnsi="Arial"/>
                <w:sz w:val="15"/>
              </w:rPr>
              <w:t xml:space="preserve">ixi-O, AX, IDC, value-up pending</w:t>
            </w:r>
          </w:p>
        </w:tc>
        <w:tc>
          <w:tcPr>
            <w:tcW w:type="dxa" w:w="1575"/>
          </w:tcPr>
          <w:p>
            <w:pPr>
              <w:pStyle w:val="Compact"/>
              <w:spacing w:after="0" w:before="0" w:line="240" w:lineRule="auto"/>
              <w:jc w:val="left"/>
            </w:pPr>
            <w:r>
              <w:rPr>
                <w:rFonts w:ascii="Arial" w:hAnsi="Arial"/>
                <w:sz w:val="15"/>
              </w:rPr>
              <w:t xml:space="preserve">Baseline</w:t>
            </w:r>
          </w:p>
        </w:tc>
      </w:tr>
      <w:tr>
        <w:trPr>
          <w:cantSplit/>
        </w:trPr>
        <w:tc>
          <w:tcPr>
            <w:tcW w:type="dxa" w:w="947"/>
            <w:shd w:val="clear" w:color="auto" w:fill="F1F2F5"/>
          </w:tcPr>
          <w:p>
            <w:pPr>
              <w:pStyle w:val="Compact"/>
              <w:spacing w:after="0" w:before="0" w:line="240" w:lineRule="auto"/>
              <w:jc w:val="left"/>
            </w:pPr>
            <w:r>
              <w:rPr>
                <w:rFonts w:ascii="Arial" w:hAnsi="Arial"/>
                <w:sz w:val="15"/>
              </w:rPr>
              <w:t xml:space="preserve">4Q24</w:t>
            </w:r>
          </w:p>
        </w:tc>
        <w:tc>
          <w:tcPr>
            <w:tcW w:type="dxa" w:w="1366"/>
            <w:shd w:val="clear" w:color="auto" w:fill="F1F2F5"/>
          </w:tcPr>
          <w:p>
            <w:pPr>
              <w:pStyle w:val="Compact"/>
              <w:spacing w:after="0" w:before="0" w:line="240" w:lineRule="auto"/>
              <w:jc w:val="center"/>
            </w:pPr>
            <w:r>
              <w:rPr>
                <w:bCs/>
                <w:rFonts w:ascii="Arial" w:hAnsi="Arial"/>
                <w:b/>
                <w:sz w:val="15"/>
              </w:rPr>
              <w:t xml:space="preserve">0.62</w:t>
            </w:r>
          </w:p>
        </w:tc>
        <w:tc>
          <w:tcPr>
            <w:tcW w:type="dxa" w:w="1409"/>
            <w:shd w:val="clear" w:color="auto" w:fill="F1F2F5"/>
          </w:tcPr>
          <w:p>
            <w:pPr>
              <w:pStyle w:val="Compact"/>
              <w:spacing w:after="0" w:before="0" w:line="240" w:lineRule="auto"/>
              <w:jc w:val="center"/>
            </w:pPr>
            <w:r>
              <w:rPr>
                <w:rFonts w:ascii="Arial" w:hAnsi="Arial"/>
                <w:sz w:val="15"/>
              </w:rPr>
              <w:t xml:space="preserve">-1.00</w:t>
            </w:r>
          </w:p>
        </w:tc>
        <w:tc>
          <w:tcPr>
            <w:tcW w:type="dxa" w:w="1107"/>
            <w:shd w:val="clear" w:color="auto" w:fill="F1F2F5"/>
          </w:tcPr>
          <w:p>
            <w:pPr>
              <w:pStyle w:val="Compact"/>
              <w:spacing w:after="0" w:before="0" w:line="240" w:lineRule="auto"/>
              <w:jc w:val="center"/>
            </w:pPr>
            <w:r>
              <w:rPr>
                <w:rFonts w:ascii="Arial" w:hAnsi="Arial"/>
                <w:sz w:val="15"/>
              </w:rPr>
              <w:t xml:space="preserve">132 / 114 / 25</w:t>
            </w:r>
          </w:p>
        </w:tc>
        <w:tc>
          <w:tcPr>
            <w:tcW w:type="dxa" w:w="1107"/>
            <w:shd w:val="clear" w:color="auto" w:fill="F1F2F5"/>
          </w:tcPr>
          <w:p>
            <w:pPr>
              <w:pStyle w:val="Compact"/>
              <w:spacing w:after="0" w:before="0" w:line="240" w:lineRule="auto"/>
              <w:jc w:val="center"/>
            </w:pPr>
            <w:r>
              <w:rPr>
                <w:rFonts w:ascii="Arial" w:hAnsi="Arial"/>
                <w:sz w:val="15"/>
              </w:rPr>
              <w:t xml:space="preserve">84%</w:t>
            </w:r>
          </w:p>
        </w:tc>
        <w:tc>
          <w:tcPr>
            <w:tcW w:type="dxa" w:w="2467"/>
            <w:shd w:val="clear" w:color="auto" w:fill="F1F2F5"/>
          </w:tcPr>
          <w:p>
            <w:pPr>
              <w:pStyle w:val="Compact"/>
              <w:spacing w:after="0" w:before="0" w:line="240" w:lineRule="auto"/>
              <w:jc w:val="left"/>
            </w:pPr>
            <w:r>
              <w:rPr>
                <w:rFonts w:ascii="Arial" w:hAnsi="Arial"/>
                <w:sz w:val="15"/>
              </w:rPr>
              <w:t xml:space="preserve">OP -13.5%, wage charge, LGHV impairment, restructuring</w:t>
            </w:r>
          </w:p>
        </w:tc>
        <w:tc>
          <w:tcPr>
            <w:tcW w:type="dxa" w:w="1575"/>
            <w:shd w:val="clear" w:color="auto" w:fill="F1F2F5"/>
          </w:tcPr>
          <w:p>
            <w:pPr>
              <w:pStyle w:val="Compact"/>
              <w:spacing w:after="0" w:before="0" w:line="240" w:lineRule="auto"/>
              <w:jc w:val="left"/>
            </w:pPr>
            <w:r>
              <w:rPr>
                <w:bCs/>
                <w:rFonts w:ascii="Arial" w:hAnsi="Arial"/>
                <w:b/>
                <w:sz w:val="15"/>
              </w:rPr>
              <w:t xml:space="preserve">Trough</w:t>
            </w:r>
          </w:p>
        </w:tc>
      </w:tr>
      <w:tr>
        <w:trPr>
          <w:cantSplit/>
        </w:trPr>
        <w:tc>
          <w:tcPr>
            <w:tcW w:type="dxa" w:w="947"/>
          </w:tcPr>
          <w:p>
            <w:pPr>
              <w:pStyle w:val="Compact"/>
              <w:spacing w:after="0" w:before="0" w:line="240" w:lineRule="auto"/>
              <w:jc w:val="left"/>
            </w:pPr>
            <w:r>
              <w:rPr>
                <w:rFonts w:ascii="Arial" w:hAnsi="Arial"/>
                <w:sz w:val="15"/>
              </w:rPr>
              <w:t xml:space="preserve">1Q25</w:t>
            </w:r>
          </w:p>
        </w:tc>
        <w:tc>
          <w:tcPr>
            <w:tcW w:type="dxa" w:w="1366"/>
          </w:tcPr>
          <w:p>
            <w:pPr>
              <w:pStyle w:val="Compact"/>
              <w:spacing w:after="0" w:before="0" w:line="240" w:lineRule="auto"/>
              <w:jc w:val="center"/>
            </w:pPr>
            <w:r>
              <w:rPr>
                <w:rFonts w:ascii="Arial" w:hAnsi="Arial"/>
                <w:sz w:val="15"/>
              </w:rPr>
              <w:t xml:space="preserve">0.89</w:t>
            </w:r>
          </w:p>
        </w:tc>
        <w:tc>
          <w:tcPr>
            <w:tcW w:type="dxa" w:w="1409"/>
          </w:tcPr>
          <w:p>
            <w:pPr>
              <w:pStyle w:val="Compact"/>
              <w:spacing w:after="0" w:before="0" w:line="240" w:lineRule="auto"/>
              <w:jc w:val="center"/>
            </w:pPr>
            <w:r>
              <w:rPr>
                <w:rFonts w:ascii="Arial" w:hAnsi="Arial"/>
                <w:sz w:val="15"/>
              </w:rPr>
              <w:t xml:space="preserve">0.89</w:t>
            </w:r>
          </w:p>
        </w:tc>
        <w:tc>
          <w:tcPr>
            <w:tcW w:type="dxa" w:w="1107"/>
          </w:tcPr>
          <w:p>
            <w:pPr>
              <w:pStyle w:val="Compact"/>
              <w:spacing w:after="0" w:before="0" w:line="240" w:lineRule="auto"/>
              <w:jc w:val="center"/>
            </w:pPr>
            <w:r>
              <w:rPr>
                <w:rFonts w:ascii="Arial" w:hAnsi="Arial"/>
                <w:sz w:val="15"/>
              </w:rPr>
              <w:t xml:space="preserve">156 / 95 / 10</w:t>
            </w:r>
          </w:p>
        </w:tc>
        <w:tc>
          <w:tcPr>
            <w:tcW w:type="dxa" w:w="1107"/>
          </w:tcPr>
          <w:p>
            <w:pPr>
              <w:pStyle w:val="Compact"/>
              <w:spacing w:after="0" w:before="0" w:line="240" w:lineRule="auto"/>
              <w:jc w:val="center"/>
            </w:pPr>
            <w:r>
              <w:rPr>
                <w:rFonts w:ascii="Arial" w:hAnsi="Arial"/>
                <w:sz w:val="15"/>
              </w:rPr>
              <w:t xml:space="preserve">94%</w:t>
            </w:r>
          </w:p>
        </w:tc>
        <w:tc>
          <w:tcPr>
            <w:tcW w:type="dxa" w:w="2467"/>
          </w:tcPr>
          <w:p>
            <w:pPr>
              <w:pStyle w:val="Compact"/>
              <w:spacing w:after="0" w:before="0" w:line="240" w:lineRule="auto"/>
              <w:jc w:val="left"/>
            </w:pPr>
            <w:r>
              <w:rPr>
                <w:rFonts w:ascii="Arial" w:hAnsi="Arial"/>
                <w:sz w:val="15"/>
              </w:rPr>
              <w:t xml:space="preserve">Turnaround, Paju, cancellation, SKT breach</w:t>
            </w:r>
          </w:p>
        </w:tc>
        <w:tc>
          <w:tcPr>
            <w:tcW w:type="dxa" w:w="1575"/>
          </w:tcPr>
          <w:p>
            <w:pPr>
              <w:pStyle w:val="Compact"/>
              <w:spacing w:after="0" w:before="0" w:line="240" w:lineRule="auto"/>
              <w:jc w:val="left"/>
            </w:pPr>
            <w:r>
              <w:rPr>
                <w:rFonts w:ascii="Arial" w:hAnsi="Arial"/>
                <w:sz w:val="15"/>
              </w:rPr>
              <w:t xml:space="preserve">Sharp rebound</w:t>
            </w:r>
          </w:p>
        </w:tc>
      </w:tr>
      <w:tr>
        <w:trPr>
          <w:cantSplit/>
        </w:trPr>
        <w:tc>
          <w:tcPr>
            <w:tcW w:type="dxa" w:w="947"/>
            <w:shd w:val="clear" w:color="auto" w:fill="F1F2F5"/>
          </w:tcPr>
          <w:p>
            <w:pPr>
              <w:pStyle w:val="Compact"/>
              <w:spacing w:after="0" w:before="0" w:line="240" w:lineRule="auto"/>
              <w:jc w:val="left"/>
            </w:pPr>
            <w:r>
              <w:rPr>
                <w:rFonts w:ascii="Arial" w:hAnsi="Arial"/>
                <w:sz w:val="15"/>
              </w:rPr>
              <w:t xml:space="preserve">2Q25</w:t>
            </w:r>
          </w:p>
        </w:tc>
        <w:tc>
          <w:tcPr>
            <w:tcW w:type="dxa" w:w="1366"/>
            <w:shd w:val="clear" w:color="auto" w:fill="F1F2F5"/>
          </w:tcPr>
          <w:p>
            <w:pPr>
              <w:pStyle w:val="Compact"/>
              <w:spacing w:after="0" w:before="0" w:line="240" w:lineRule="auto"/>
              <w:jc w:val="center"/>
            </w:pPr>
            <w:r>
              <w:rPr>
                <w:rFonts w:ascii="Arial" w:hAnsi="Arial"/>
                <w:sz w:val="15"/>
              </w:rPr>
              <w:t xml:space="preserve">0.90</w:t>
            </w:r>
          </w:p>
        </w:tc>
        <w:tc>
          <w:tcPr>
            <w:tcW w:type="dxa" w:w="1409"/>
            <w:shd w:val="clear" w:color="auto" w:fill="F1F2F5"/>
          </w:tcPr>
          <w:p>
            <w:pPr>
              <w:pStyle w:val="Compact"/>
              <w:spacing w:after="0" w:before="0" w:line="240" w:lineRule="auto"/>
              <w:jc w:val="center"/>
            </w:pPr>
            <w:r>
              <w:rPr>
                <w:rFonts w:ascii="Arial" w:hAnsi="Arial"/>
                <w:sz w:val="15"/>
              </w:rPr>
              <w:t xml:space="preserve">0.94</w:t>
            </w:r>
          </w:p>
        </w:tc>
        <w:tc>
          <w:tcPr>
            <w:tcW w:type="dxa" w:w="1107"/>
            <w:shd w:val="clear" w:color="auto" w:fill="F1F2F5"/>
          </w:tcPr>
          <w:p>
            <w:pPr>
              <w:pStyle w:val="Compact"/>
              <w:spacing w:after="0" w:before="0" w:line="240" w:lineRule="auto"/>
              <w:jc w:val="center"/>
            </w:pPr>
            <w:r>
              <w:rPr>
                <w:rFonts w:ascii="Arial" w:hAnsi="Arial"/>
                <w:sz w:val="15"/>
              </w:rPr>
              <w:t xml:space="preserve">186 / 88 / 12</w:t>
            </w:r>
          </w:p>
        </w:tc>
        <w:tc>
          <w:tcPr>
            <w:tcW w:type="dxa" w:w="1107"/>
            <w:shd w:val="clear" w:color="auto" w:fill="F1F2F5"/>
          </w:tcPr>
          <w:p>
            <w:pPr>
              <w:pStyle w:val="Compact"/>
              <w:spacing w:after="0" w:before="0" w:line="240" w:lineRule="auto"/>
              <w:jc w:val="center"/>
            </w:pPr>
            <w:r>
              <w:rPr>
                <w:rFonts w:ascii="Arial" w:hAnsi="Arial"/>
                <w:sz w:val="15"/>
              </w:rPr>
              <w:t xml:space="preserve">94%</w:t>
            </w:r>
          </w:p>
        </w:tc>
        <w:tc>
          <w:tcPr>
            <w:tcW w:type="dxa" w:w="2467"/>
            <w:shd w:val="clear" w:color="auto" w:fill="F1F2F5"/>
          </w:tcPr>
          <w:p>
            <w:pPr>
              <w:pStyle w:val="Compact"/>
              <w:spacing w:after="0" w:before="0" w:line="240" w:lineRule="auto"/>
              <w:jc w:val="left"/>
            </w:pPr>
            <w:r>
              <w:rPr>
                <w:rFonts w:ascii="Arial" w:hAnsi="Arial"/>
                <w:sz w:val="15"/>
              </w:rPr>
              <w:t xml:space="preserve">Record OP, SKT spillover, buyback, AICC</w:t>
            </w:r>
          </w:p>
        </w:tc>
        <w:tc>
          <w:tcPr>
            <w:tcW w:type="dxa" w:w="1575"/>
            <w:shd w:val="clear" w:color="auto" w:fill="F1F2F5"/>
          </w:tcPr>
          <w:p>
            <w:pPr>
              <w:pStyle w:val="Compact"/>
              <w:spacing w:after="0" w:before="0" w:line="240" w:lineRule="auto"/>
              <w:jc w:val="left"/>
            </w:pPr>
            <w:r>
              <w:rPr>
                <w:rFonts w:ascii="Arial" w:hAnsi="Arial"/>
                <w:sz w:val="15"/>
              </w:rPr>
              <w:t xml:space="preserve">Confident</w:t>
            </w:r>
          </w:p>
        </w:tc>
      </w:tr>
      <w:tr>
        <w:trPr>
          <w:cantSplit/>
        </w:trPr>
        <w:tc>
          <w:tcPr>
            <w:tcW w:type="dxa" w:w="947"/>
          </w:tcPr>
          <w:p>
            <w:pPr>
              <w:pStyle w:val="Compact"/>
              <w:spacing w:after="0" w:before="0" w:line="240" w:lineRule="auto"/>
              <w:jc w:val="left"/>
            </w:pPr>
            <w:r>
              <w:rPr>
                <w:rFonts w:ascii="Arial" w:hAnsi="Arial"/>
                <w:sz w:val="15"/>
              </w:rPr>
              <w:t xml:space="preserve">3Q25</w:t>
            </w:r>
          </w:p>
        </w:tc>
        <w:tc>
          <w:tcPr>
            <w:tcW w:type="dxa" w:w="1366"/>
          </w:tcPr>
          <w:p>
            <w:pPr>
              <w:pStyle w:val="Compact"/>
              <w:spacing w:after="0" w:before="0" w:line="240" w:lineRule="auto"/>
              <w:jc w:val="center"/>
            </w:pPr>
            <w:r>
              <w:rPr>
                <w:bCs/>
                <w:rFonts w:ascii="Arial" w:hAnsi="Arial"/>
                <w:b/>
                <w:sz w:val="15"/>
              </w:rPr>
              <w:t xml:space="preserve">0.74</w:t>
            </w:r>
          </w:p>
        </w:tc>
        <w:tc>
          <w:tcPr>
            <w:tcW w:type="dxa" w:w="1409"/>
          </w:tcPr>
          <w:p>
            <w:pPr>
              <w:pStyle w:val="Compact"/>
              <w:spacing w:after="0" w:before="0" w:line="240" w:lineRule="auto"/>
              <w:jc w:val="center"/>
            </w:pPr>
            <w:r>
              <w:rPr>
                <w:rFonts w:ascii="Arial" w:hAnsi="Arial"/>
                <w:sz w:val="15"/>
              </w:rPr>
              <w:t xml:space="preserve">0.34</w:t>
            </w:r>
          </w:p>
        </w:tc>
        <w:tc>
          <w:tcPr>
            <w:tcW w:type="dxa" w:w="1107"/>
          </w:tcPr>
          <w:p>
            <w:pPr>
              <w:pStyle w:val="Compact"/>
              <w:spacing w:after="0" w:before="0" w:line="240" w:lineRule="auto"/>
              <w:jc w:val="center"/>
            </w:pPr>
            <w:r>
              <w:rPr>
                <w:rFonts w:ascii="Arial" w:hAnsi="Arial"/>
                <w:sz w:val="15"/>
              </w:rPr>
              <w:t xml:space="preserve">143 / 70 / 19</w:t>
            </w:r>
          </w:p>
        </w:tc>
        <w:tc>
          <w:tcPr>
            <w:tcW w:type="dxa" w:w="1107"/>
          </w:tcPr>
          <w:p>
            <w:pPr>
              <w:pStyle w:val="Compact"/>
              <w:spacing w:after="0" w:before="0" w:line="240" w:lineRule="auto"/>
              <w:jc w:val="center"/>
            </w:pPr>
            <w:r>
              <w:rPr>
                <w:rFonts w:ascii="Arial" w:hAnsi="Arial"/>
                <w:sz w:val="15"/>
              </w:rPr>
              <w:t xml:space="preserve">88%</w:t>
            </w:r>
          </w:p>
        </w:tc>
        <w:tc>
          <w:tcPr>
            <w:tcW w:type="dxa" w:w="2467"/>
          </w:tcPr>
          <w:p>
            <w:pPr>
              <w:pStyle w:val="Compact"/>
              <w:spacing w:after="0" w:before="0" w:line="240" w:lineRule="auto"/>
              <w:jc w:val="left"/>
            </w:pPr>
            <w:r>
              <w:rPr>
                <w:rFonts w:ascii="Arial" w:hAnsi="Arial"/>
                <w:sz w:val="15"/>
              </w:rPr>
              <w:t xml:space="preserve">ERP charge, regulatory uncertainty, AI vs cost</w:t>
            </w:r>
          </w:p>
        </w:tc>
        <w:tc>
          <w:tcPr>
            <w:tcW w:type="dxa" w:w="1575"/>
          </w:tcPr>
          <w:p>
            <w:pPr>
              <w:pStyle w:val="Compact"/>
              <w:spacing w:after="0" w:before="0" w:line="240" w:lineRule="auto"/>
              <w:jc w:val="left"/>
            </w:pPr>
            <w:r>
              <w:rPr>
                <w:bCs/>
                <w:rFonts w:ascii="Arial" w:hAnsi="Arial"/>
                <w:b/>
                <w:sz w:val="15"/>
              </w:rPr>
              <w:t xml:space="preserve">Second dip</w:t>
            </w:r>
          </w:p>
        </w:tc>
      </w:tr>
      <w:tr>
        <w:trPr>
          <w:cantSplit/>
        </w:trPr>
        <w:tc>
          <w:tcPr>
            <w:tcW w:type="dxa" w:w="947"/>
            <w:shd w:val="clear" w:color="auto" w:fill="F1F2F5"/>
          </w:tcPr>
          <w:p>
            <w:pPr>
              <w:pStyle w:val="Compact"/>
              <w:spacing w:after="0" w:before="0" w:line="240" w:lineRule="auto"/>
              <w:jc w:val="left"/>
            </w:pPr>
            <w:r>
              <w:rPr>
                <w:rFonts w:ascii="Arial" w:hAnsi="Arial"/>
                <w:sz w:val="15"/>
              </w:rPr>
              <w:t xml:space="preserve">4Q25</w:t>
            </w:r>
          </w:p>
        </w:tc>
        <w:tc>
          <w:tcPr>
            <w:tcW w:type="dxa" w:w="1366"/>
            <w:shd w:val="clear" w:color="auto" w:fill="F1F2F5"/>
          </w:tcPr>
          <w:p>
            <w:pPr>
              <w:pStyle w:val="Compact"/>
              <w:spacing w:after="0" w:before="0" w:line="240" w:lineRule="auto"/>
              <w:jc w:val="center"/>
            </w:pPr>
            <w:r>
              <w:rPr>
                <w:rFonts w:ascii="Arial" w:hAnsi="Arial"/>
                <w:sz w:val="15"/>
              </w:rPr>
              <w:t xml:space="preserve">0.89</w:t>
            </w:r>
          </w:p>
        </w:tc>
        <w:tc>
          <w:tcPr>
            <w:tcW w:type="dxa" w:w="1409"/>
            <w:shd w:val="clear" w:color="auto" w:fill="F1F2F5"/>
          </w:tcPr>
          <w:p>
            <w:pPr>
              <w:pStyle w:val="Compact"/>
              <w:spacing w:after="0" w:before="0" w:line="240" w:lineRule="auto"/>
              <w:jc w:val="center"/>
            </w:pPr>
            <w:r>
              <w:rPr>
                <w:rFonts w:ascii="Arial" w:hAnsi="Arial"/>
                <w:sz w:val="15"/>
              </w:rPr>
              <w:t xml:space="preserve">0.96</w:t>
            </w:r>
          </w:p>
        </w:tc>
        <w:tc>
          <w:tcPr>
            <w:tcW w:type="dxa" w:w="1107"/>
            <w:shd w:val="clear" w:color="auto" w:fill="F1F2F5"/>
          </w:tcPr>
          <w:p>
            <w:pPr>
              <w:pStyle w:val="Compact"/>
              <w:spacing w:after="0" w:before="0" w:line="240" w:lineRule="auto"/>
              <w:jc w:val="center"/>
            </w:pPr>
            <w:r>
              <w:rPr>
                <w:rFonts w:ascii="Arial" w:hAnsi="Arial"/>
                <w:sz w:val="15"/>
              </w:rPr>
              <w:t xml:space="preserve">180 / 78 / 9</w:t>
            </w:r>
          </w:p>
        </w:tc>
        <w:tc>
          <w:tcPr>
            <w:tcW w:type="dxa" w:w="1107"/>
            <w:shd w:val="clear" w:color="auto" w:fill="F1F2F5"/>
          </w:tcPr>
          <w:p>
            <w:pPr>
              <w:pStyle w:val="Compact"/>
              <w:spacing w:after="0" w:before="0" w:line="240" w:lineRule="auto"/>
              <w:jc w:val="center"/>
            </w:pPr>
            <w:r>
              <w:rPr>
                <w:rFonts w:ascii="Arial" w:hAnsi="Arial"/>
                <w:sz w:val="15"/>
              </w:rPr>
              <w:t xml:space="preserve">95%</w:t>
            </w:r>
          </w:p>
        </w:tc>
        <w:tc>
          <w:tcPr>
            <w:tcW w:type="dxa" w:w="2467"/>
            <w:shd w:val="clear" w:color="auto" w:fill="F1F2F5"/>
          </w:tcPr>
          <w:p>
            <w:pPr>
              <w:pStyle w:val="Compact"/>
              <w:spacing w:after="0" w:before="0" w:line="240" w:lineRule="auto"/>
              <w:jc w:val="left"/>
            </w:pPr>
            <w:r>
              <w:rPr>
                <w:rFonts w:ascii="Arial" w:hAnsi="Arial"/>
                <w:sz w:val="15"/>
              </w:rPr>
              <w:t xml:space="preserve">Guidance beat, AICC +50%, 5G SA, DPS</w:t>
            </w:r>
          </w:p>
        </w:tc>
        <w:tc>
          <w:tcPr>
            <w:tcW w:type="dxa" w:w="1575"/>
            <w:shd w:val="clear" w:color="auto" w:fill="F1F2F5"/>
          </w:tcPr>
          <w:p>
            <w:pPr>
              <w:pStyle w:val="Compact"/>
              <w:spacing w:after="0" w:before="0" w:line="240" w:lineRule="auto"/>
              <w:jc w:val="left"/>
            </w:pPr>
            <w:r>
              <w:rPr>
                <w:rFonts w:ascii="Arial" w:hAnsi="Arial"/>
                <w:sz w:val="15"/>
              </w:rPr>
              <w:t xml:space="preserve">Recovery</w:t>
            </w:r>
          </w:p>
        </w:tc>
      </w:tr>
      <w:tr>
        <w:trPr>
          <w:cantSplit/>
        </w:trPr>
        <w:tc>
          <w:tcPr>
            <w:tcW w:type="dxa" w:w="947"/>
          </w:tcPr>
          <w:p>
            <w:pPr>
              <w:pStyle w:val="Compact"/>
              <w:spacing w:after="0" w:before="0" w:line="240" w:lineRule="auto"/>
              <w:jc w:val="left"/>
            </w:pPr>
            <w:r>
              <w:rPr>
                <w:rFonts w:ascii="Arial" w:hAnsi="Arial"/>
                <w:sz w:val="15"/>
              </w:rPr>
              <w:t xml:space="preserve">1Q26</w:t>
            </w:r>
          </w:p>
        </w:tc>
        <w:tc>
          <w:tcPr>
            <w:tcW w:type="dxa" w:w="1366"/>
          </w:tcPr>
          <w:p>
            <w:pPr>
              <w:pStyle w:val="Compact"/>
              <w:spacing w:after="0" w:before="0" w:line="240" w:lineRule="auto"/>
              <w:jc w:val="center"/>
            </w:pPr>
            <w:r>
              <w:rPr>
                <w:bCs/>
                <w:rFonts w:ascii="Arial" w:hAnsi="Arial"/>
                <w:b/>
                <w:sz w:val="15"/>
              </w:rPr>
              <w:t xml:space="preserve">0.98</w:t>
            </w:r>
          </w:p>
        </w:tc>
        <w:tc>
          <w:tcPr>
            <w:tcW w:type="dxa" w:w="1409"/>
          </w:tcPr>
          <w:p>
            <w:pPr>
              <w:pStyle w:val="Compact"/>
              <w:spacing w:after="0" w:before="0" w:line="240" w:lineRule="auto"/>
              <w:jc w:val="center"/>
            </w:pPr>
            <w:r>
              <w:rPr>
                <w:rFonts w:ascii="Arial" w:hAnsi="Arial"/>
                <w:sz w:val="15"/>
              </w:rPr>
              <w:t xml:space="preserve">1.00</w:t>
            </w:r>
          </w:p>
        </w:tc>
        <w:tc>
          <w:tcPr>
            <w:tcW w:type="dxa" w:w="1107"/>
          </w:tcPr>
          <w:p>
            <w:pPr>
              <w:pStyle w:val="Compact"/>
              <w:spacing w:after="0" w:before="0" w:line="240" w:lineRule="auto"/>
              <w:jc w:val="center"/>
            </w:pPr>
            <w:r>
              <w:rPr>
                <w:rFonts w:ascii="Arial" w:hAnsi="Arial"/>
                <w:sz w:val="15"/>
              </w:rPr>
              <w:t xml:space="preserve">167 / 74 / 2</w:t>
            </w:r>
          </w:p>
        </w:tc>
        <w:tc>
          <w:tcPr>
            <w:tcW w:type="dxa" w:w="1107"/>
          </w:tcPr>
          <w:p>
            <w:pPr>
              <w:pStyle w:val="Compact"/>
              <w:spacing w:after="0" w:before="0" w:line="240" w:lineRule="auto"/>
              <w:jc w:val="center"/>
            </w:pPr>
            <w:r>
              <w:rPr>
                <w:rFonts w:ascii="Arial" w:hAnsi="Arial"/>
                <w:sz w:val="15"/>
              </w:rPr>
              <w:t xml:space="preserve">99%</w:t>
            </w:r>
          </w:p>
        </w:tc>
        <w:tc>
          <w:tcPr>
            <w:tcW w:type="dxa" w:w="2467"/>
          </w:tcPr>
          <w:p>
            <w:pPr>
              <w:pStyle w:val="Compact"/>
              <w:spacing w:after="0" w:before="0" w:line="240" w:lineRule="auto"/>
              <w:jc w:val="left"/>
            </w:pPr>
            <w:r>
              <w:rPr>
                <w:rFonts w:ascii="Arial" w:hAnsi="Arial"/>
                <w:sz w:val="15"/>
              </w:rPr>
              <w:t xml:space="preserve">Balanced growth, Paju, cancellation</w:t>
            </w:r>
          </w:p>
        </w:tc>
        <w:tc>
          <w:tcPr>
            <w:tcW w:type="dxa" w:w="1575"/>
          </w:tcPr>
          <w:p>
            <w:pPr>
              <w:pStyle w:val="Compact"/>
              <w:spacing w:after="0" w:before="0" w:line="240" w:lineRule="auto"/>
              <w:jc w:val="left"/>
            </w:pPr>
            <w:r>
              <w:rPr>
                <w:bCs/>
                <w:rFonts w:ascii="Arial" w:hAnsi="Arial"/>
                <w:b/>
                <w:sz w:val="15"/>
              </w:rPr>
              <w:t xml:space="preserve">Peak</w:t>
            </w:r>
          </w:p>
        </w:tc>
      </w:tr>
      <w:tr>
        <w:trPr>
          <w:cantSplit/>
        </w:trPr>
        <w:tc>
          <w:tcPr>
            <w:tcW w:type="dxa" w:w="947"/>
            <w:shd w:val="clear" w:color="auto" w:fill="F1F2F5"/>
          </w:tcPr>
          <w:p>
            <w:pPr>
              <w:pStyle w:val="Compact"/>
              <w:spacing w:after="0" w:before="0" w:line="240" w:lineRule="auto"/>
              <w:jc w:val="left"/>
            </w:pPr>
            <w:r>
              <w:rPr>
                <w:rFonts w:ascii="Arial" w:hAnsi="Arial"/>
                <w:sz w:val="15"/>
              </w:rPr>
              <w:t xml:space="preserve">2Q26</w:t>
            </w:r>
          </w:p>
        </w:tc>
        <w:tc>
          <w:tcPr>
            <w:tcW w:type="dxa" w:w="1366"/>
            <w:shd w:val="clear" w:color="auto" w:fill="F1F2F5"/>
          </w:tcPr>
          <w:p>
            <w:pPr>
              <w:pStyle w:val="Compact"/>
              <w:spacing w:after="0" w:before="0" w:line="240" w:lineRule="auto"/>
              <w:jc w:val="center"/>
            </w:pPr>
            <w:r>
              <w:rPr>
                <w:rFonts w:ascii="Arial" w:hAnsi="Arial"/>
                <w:sz w:val="15"/>
              </w:rPr>
              <w:t xml:space="preserve">0.94</w:t>
            </w:r>
          </w:p>
        </w:tc>
        <w:tc>
          <w:tcPr>
            <w:tcW w:type="dxa" w:w="1409"/>
            <w:shd w:val="clear" w:color="auto" w:fill="F1F2F5"/>
          </w:tcPr>
          <w:p>
            <w:pPr>
              <w:pStyle w:val="Compact"/>
              <w:spacing w:after="0" w:before="0" w:line="240" w:lineRule="auto"/>
              <w:jc w:val="center"/>
            </w:pPr>
            <w:r>
              <w:rPr>
                <w:rFonts w:ascii="Arial" w:hAnsi="Arial"/>
                <w:sz w:val="15"/>
              </w:rPr>
              <w:t xml:space="preserve">0.91</w:t>
            </w:r>
          </w:p>
        </w:tc>
        <w:tc>
          <w:tcPr>
            <w:tcW w:type="dxa" w:w="1107"/>
            <w:shd w:val="clear" w:color="auto" w:fill="F1F2F5"/>
          </w:tcPr>
          <w:p>
            <w:pPr>
              <w:pStyle w:val="Compact"/>
              <w:spacing w:after="0" w:before="0" w:line="240" w:lineRule="auto"/>
              <w:jc w:val="center"/>
            </w:pPr>
            <w:r>
              <w:rPr>
                <w:rFonts w:ascii="Arial" w:hAnsi="Arial"/>
                <w:sz w:val="15"/>
              </w:rPr>
              <w:t xml:space="preserve">160 / 69 / 7</w:t>
            </w:r>
          </w:p>
        </w:tc>
        <w:tc>
          <w:tcPr>
            <w:tcW w:type="dxa" w:w="1107"/>
            <w:shd w:val="clear" w:color="auto" w:fill="F1F2F5"/>
          </w:tcPr>
          <w:p>
            <w:pPr>
              <w:pStyle w:val="Compact"/>
              <w:spacing w:after="0" w:before="0" w:line="240" w:lineRule="auto"/>
              <w:jc w:val="center"/>
            </w:pPr>
            <w:r>
              <w:rPr>
                <w:rFonts w:ascii="Arial" w:hAnsi="Arial"/>
                <w:sz w:val="15"/>
              </w:rPr>
              <w:t xml:space="preserve">96%</w:t>
            </w:r>
          </w:p>
        </w:tc>
        <w:tc>
          <w:tcPr>
            <w:tcW w:type="dxa" w:w="2467"/>
            <w:shd w:val="clear" w:color="auto" w:fill="F1F2F5"/>
          </w:tcPr>
          <w:p>
            <w:pPr>
              <w:pStyle w:val="Compact"/>
              <w:spacing w:after="0" w:before="0" w:line="240" w:lineRule="auto"/>
              <w:jc w:val="left"/>
            </w:pPr>
            <w:r>
              <w:rPr>
                <w:rFonts w:ascii="Arial" w:hAnsi="Arial"/>
                <w:sz w:val="15"/>
              </w:rPr>
              <w:t xml:space="preserve">Record OP, Paju 200MW, capex, buyback</w:t>
            </w:r>
          </w:p>
        </w:tc>
        <w:tc>
          <w:tcPr>
            <w:tcW w:type="dxa" w:w="1575"/>
            <w:shd w:val="clear" w:color="auto" w:fill="F1F2F5"/>
          </w:tcPr>
          <w:p>
            <w:pPr>
              <w:pStyle w:val="Compact"/>
              <w:spacing w:after="0" w:before="0" w:line="240" w:lineRule="auto"/>
              <w:jc w:val="left"/>
            </w:pPr>
            <w:r>
              <w:rPr>
                <w:rFonts w:ascii="Arial" w:hAnsi="Arial"/>
                <w:sz w:val="15"/>
              </w:rPr>
              <w:t xml:space="preserve">Edging down; forecast events net to zero</w:t>
            </w:r>
          </w:p>
        </w:tc>
      </w:tr>
    </w:tbl>
    <w:p>
      <w:pPr>
        <w:pStyle w:val="CaptionedFigure"/>
      </w:pPr>
      <w:r>
        <w:drawing>
          <wp:inline>
            <wp:extent cx="6261100" cy="2407285"/>
            <wp:effectExtent b="0" l="0" r="0" t="0"/>
            <wp:docPr descr="Sentiment score and topic mix" title="" id="69" name="Picture"/>
            <a:graphic>
              <a:graphicData uri="http://schemas.openxmlformats.org/drawingml/2006/picture">
                <pic:pic>
                  <pic:nvPicPr>
                    <pic:cNvPr descr="../charts/sentiment.png" id="70" name="Picture"/>
                    <pic:cNvPicPr>
                      <a:picLocks noChangeArrowheads="1" noChangeAspect="1"/>
                    </pic:cNvPicPr>
                  </pic:nvPicPr>
                  <pic:blipFill>
                    <a:blip r:embed="rId68"/>
                    <a:stretch>
                      <a:fillRect/>
                    </a:stretch>
                  </pic:blipFill>
                  <pic:spPr bwMode="auto">
                    <a:xfrm>
                      <a:off x="0" y="0"/>
                      <a:ext cx="6261100" cy="2407285"/>
                    </a:xfrm>
                    <a:prstGeom prst="rect">
                      <a:avLst/>
                    </a:prstGeom>
                    <a:noFill/>
                    <a:ln w="9525">
                      <a:noFill/>
                      <a:headEnd/>
                      <a:tailEnd/>
                    </a:ln>
                  </pic:spPr>
                </pic:pic>
              </a:graphicData>
            </a:graphic>
          </wp:inline>
        </w:drawing>
      </w:r>
    </w:p>
    <w:p>
      <w:pPr>
        <w:pStyle w:val="ImageCaption"/>
      </w:pPr>
      <w:r>
        <w:t xml:space="preserve">Sentiment score and topic mix</w:t>
      </w:r>
    </w:p>
    <w:p>
      <w:pPr>
        <w:pStyle w:val="BodyText"/>
      </w:pPr>
      <w:r>
        <w:rPr>
          <w:bCs/>
          <w:b/>
        </w:rPr>
        <w:t xml:space="preserve">How sentiment has shifted.</w:t>
      </w:r>
    </w:p>
    <w:p>
      <w:pPr>
        <w:numPr>
          <w:ilvl w:val="0"/>
          <w:numId w:val="1018"/>
        </w:numPr>
        <w:pStyle w:val="Compact"/>
      </w:pPr>
      <w:r>
        <w:t xml:space="preserve">Both troughs (4Q24 and 3Q25) coincide with large one-off labour charges, not with deterioration in the core business, and each rebounded the following quarter.</w:t>
      </w:r>
    </w:p>
    <w:p>
      <w:pPr>
        <w:numPr>
          <w:ilvl w:val="0"/>
          <w:numId w:val="1018"/>
        </w:numPr>
        <w:pStyle w:val="Compact"/>
      </w:pPr>
      <w:r>
        <w:t xml:space="preserve">Since 4Q25 negative events have stayed in single digits (9, 2, 7), the most consistently positive stretch in the sample.</w:t>
      </w:r>
    </w:p>
    <w:p>
      <w:pPr>
        <w:numPr>
          <w:ilvl w:val="0"/>
          <w:numId w:val="1018"/>
        </w:numPr>
        <w:pStyle w:val="Compact"/>
      </w:pPr>
      <w:r>
        <w:rPr>
          <w:bCs/>
          <w:b/>
        </w:rPr>
        <w:t xml:space="preserve">Topic mix is more informative than tone.</w:t>
      </w:r>
    </w:p>
    <w:p>
      <w:pPr>
        <w:numPr>
          <w:ilvl w:val="1"/>
          <w:numId w:val="1019"/>
        </w:numPr>
        <w:pStyle w:val="Compact"/>
      </w:pPr>
      <w:r>
        <w:t xml:space="preserve">AIDC/data-centre mentions rose from 6 (3Q24) to 41 (2Q26).</w:t>
      </w:r>
    </w:p>
    <w:p>
      <w:pPr>
        <w:numPr>
          <w:ilvl w:val="1"/>
          <w:numId w:val="1019"/>
        </w:numPr>
        <w:pStyle w:val="Compact"/>
      </w:pPr>
      <w:r>
        <w:t xml:space="preserve">Cost and efficiency mentions collapsed from 52–59 to 15 once the savings appeared in the numbers.</w:t>
      </w:r>
    </w:p>
    <w:p>
      <w:pPr>
        <w:numPr>
          <w:ilvl w:val="1"/>
          <w:numId w:val="1019"/>
        </w:numPr>
        <w:pStyle w:val="Compact"/>
      </w:pPr>
      <w:r>
        <w:t xml:space="preserve">Capex mentions jumped to 17 in 2Q26.</w:t>
      </w:r>
    </w:p>
    <w:p>
      <w:pPr>
        <w:numPr>
          <w:ilvl w:val="1"/>
          <w:numId w:val="1019"/>
        </w:numPr>
        <w:pStyle w:val="Compact"/>
      </w:pPr>
      <w:r>
        <w:t xml:space="preserve">Management is now selling an investment story, not a cost story.</w:t>
      </w:r>
    </w:p>
    <w:p>
      <w:pPr>
        <w:numPr>
          <w:ilvl w:val="0"/>
          <w:numId w:val="1018"/>
        </w:numPr>
        <w:pStyle w:val="Compact"/>
      </w:pPr>
      <w:r>
        <w:t xml:space="preserve">In the 2Q26 event breakdown,</w:t>
      </w:r>
      <w:r>
        <w:t xml:space="preserve"> </w:t>
      </w:r>
      <w:r>
        <w:t xml:space="preserve">“</w:t>
      </w:r>
      <w:r>
        <w:t xml:space="preserve">Forecast</w:t>
      </w:r>
      <w:r>
        <w:t xml:space="preserve">”</w:t>
      </w:r>
      <w:r>
        <w:t xml:space="preserve"> </w:t>
      </w:r>
      <w:r>
        <w:t xml:space="preserve">events net to zero, cost-challenge scores -0.67 and customer retention -0.5. These map to the guided 2H wireless slowdown and rising data-centre power costs, and are the first early-caution markers in a year.</w:t>
      </w:r>
    </w:p>
    <w:p>
      <w:pPr>
        <w:numPr>
          <w:ilvl w:val="0"/>
          <w:numId w:val="1018"/>
        </w:numPr>
        <w:pStyle w:val="Compact"/>
      </w:pPr>
      <w:r>
        <w:t xml:space="preserve">Tone does not track beats. The best-toned call (1Q26) missed OP by ~3%; the record 2Q26 beat came with slightly lower tone.</w:t>
      </w:r>
    </w:p>
    <w:bookmarkEnd w:id="71"/>
    <w:bookmarkEnd w:id="72"/>
    <w:bookmarkStart w:id="80" w:name="latest-result-2q26-reported-6-aug-2026"/>
    <w:p>
      <w:pPr>
        <w:pStyle w:val="Heading1"/>
      </w:pPr>
      <w:r>
        <w:t xml:space="preserve">Latest result: 2Q26 (reported 6-Aug-2026)</w:t>
      </w:r>
    </w:p>
    <w:bookmarkStart w:id="73" w:name="revenue-and-profit-vs-expectations"/>
    <w:p>
      <w:pPr>
        <w:pStyle w:val="Heading2"/>
      </w:pPr>
      <w:r>
        <w:t xml:space="preserve">Revenue and profit vs expectations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2250"/>
        <w:gridCol w:w="1121"/>
        <w:gridCol w:w="900"/>
        <w:gridCol w:w="1944"/>
        <w:gridCol w:w="1601"/>
        <w:gridCol w:w="2159"/>
      </w:tblGrid>
      <w:tr>
        <w:trPr>
          <w:tblHeader w:val="true"/>
          <w:tblHeader w:val="true"/>
          <w:cantSplit/>
        </w:trPr>
        <w:tc>
          <w:tcPr>
            <w:tcW w:type="dxa" w:w="2251"/>
            <w:shd w:val="clear" w:color="auto" w:fill="13213F"/>
          </w:tcPr>
          <w:p>
            <w:pPr>
              <w:pStyle w:val="Compact"/>
              <w:spacing w:after="0" w:before="0" w:line="240" w:lineRule="auto"/>
              <w:jc w:val="left"/>
            </w:pPr>
            <w:r>
              <w:rPr>
                <w:rFonts w:ascii="Arial" w:hAnsi="Arial"/>
                <w:b/>
                <w:color w:val="FFFFFF"/>
                <w:sz w:val="15"/>
              </w:rPr>
              <w:t xml:space="preserve">KRW bn</w:t>
            </w:r>
          </w:p>
        </w:tc>
        <w:tc>
          <w:tcPr>
            <w:tcW w:type="dxa" w:w="1121"/>
            <w:shd w:val="clear" w:color="auto" w:fill="13213F"/>
          </w:tcPr>
          <w:p>
            <w:pPr>
              <w:pStyle w:val="Compact"/>
              <w:spacing w:after="0" w:before="0" w:line="240" w:lineRule="auto"/>
              <w:jc w:val="right"/>
            </w:pPr>
            <w:r>
              <w:rPr>
                <w:rFonts w:ascii="Arial" w:hAnsi="Arial"/>
                <w:b/>
                <w:color w:val="FFFFFF"/>
                <w:sz w:val="15"/>
              </w:rPr>
              <w:t xml:space="preserve">2Q26 actual</w:t>
            </w:r>
          </w:p>
        </w:tc>
        <w:tc>
          <w:tcPr>
            <w:tcW w:type="dxa" w:w="901"/>
            <w:shd w:val="clear" w:color="auto" w:fill="13213F"/>
          </w:tcPr>
          <w:p>
            <w:pPr>
              <w:pStyle w:val="Compact"/>
              <w:spacing w:after="0" w:before="0" w:line="240" w:lineRule="auto"/>
              <w:jc w:val="right"/>
            </w:pPr>
            <w:r>
              <w:rPr>
                <w:rFonts w:ascii="Arial" w:hAnsi="Arial"/>
                <w:b/>
                <w:color w:val="FFFFFF"/>
                <w:sz w:val="15"/>
              </w:rPr>
              <w:t xml:space="preserve">YoY</w:t>
            </w:r>
          </w:p>
        </w:tc>
        <w:tc>
          <w:tcPr>
            <w:tcW w:type="dxa" w:w="1944"/>
            <w:shd w:val="clear" w:color="auto" w:fill="13213F"/>
          </w:tcPr>
          <w:p>
            <w:pPr>
              <w:pStyle w:val="Compact"/>
              <w:spacing w:after="0" w:before="0" w:line="240" w:lineRule="auto"/>
              <w:jc w:val="right"/>
            </w:pPr>
            <w:r>
              <w:rPr>
                <w:rFonts w:ascii="Arial" w:hAnsi="Arial"/>
                <w:b/>
                <w:color w:val="FFFFFF"/>
                <w:sz w:val="15"/>
              </w:rPr>
              <w:t xml:space="preserve">Capital IQ consensus</w:t>
            </w:r>
          </w:p>
        </w:tc>
        <w:tc>
          <w:tcPr>
            <w:tcW w:type="dxa" w:w="1602"/>
            <w:shd w:val="clear" w:color="auto" w:fill="13213F"/>
          </w:tcPr>
          <w:p>
            <w:pPr>
              <w:pStyle w:val="Compact"/>
              <w:spacing w:after="0" w:before="0" w:line="240" w:lineRule="auto"/>
              <w:jc w:val="right"/>
            </w:pPr>
            <w:r>
              <w:rPr>
                <w:rFonts w:ascii="Arial" w:hAnsi="Arial"/>
                <w:b/>
                <w:color w:val="FFFFFF"/>
                <w:sz w:val="15"/>
              </w:rPr>
              <w:t xml:space="preserve">Beat / miss</w:t>
            </w:r>
          </w:p>
        </w:tc>
        <w:tc>
          <w:tcPr>
            <w:tcW w:type="dxa" w:w="2159"/>
            <w:shd w:val="clear" w:color="auto" w:fill="13213F"/>
          </w:tcPr>
          <w:p>
            <w:pPr>
              <w:pStyle w:val="Compact"/>
              <w:spacing w:after="0" w:before="0" w:line="240" w:lineRule="auto"/>
              <w:jc w:val="left"/>
            </w:pPr>
            <w:r>
              <w:rPr>
                <w:rFonts w:ascii="Arial" w:hAnsi="Arial"/>
                <w:b/>
                <w:color w:val="FFFFFF"/>
                <w:sz w:val="15"/>
              </w:rPr>
              <w:t xml:space="preserve">Other consensus</w:t>
            </w:r>
          </w:p>
        </w:tc>
      </w:tr>
      <w:tr>
        <w:trPr>
          <w:cantSplit/>
        </w:trPr>
        <w:tc>
          <w:tcPr>
            <w:tcW w:type="dxa" w:w="2251"/>
          </w:tcPr>
          <w:p>
            <w:pPr>
              <w:pStyle w:val="Compact"/>
              <w:spacing w:after="0" w:before="0" w:line="240" w:lineRule="auto"/>
              <w:jc w:val="left"/>
            </w:pPr>
            <w:r>
              <w:rPr>
                <w:rFonts w:ascii="Arial" w:hAnsi="Arial"/>
                <w:sz w:val="15"/>
              </w:rPr>
              <w:t xml:space="preserve">Revenue</w:t>
            </w:r>
          </w:p>
        </w:tc>
        <w:tc>
          <w:tcPr>
            <w:tcW w:type="dxa" w:w="1121"/>
          </w:tcPr>
          <w:p>
            <w:pPr>
              <w:pStyle w:val="Compact"/>
              <w:spacing w:after="0" w:before="0" w:line="240" w:lineRule="auto"/>
              <w:jc w:val="right"/>
            </w:pPr>
            <w:r>
              <w:rPr>
                <w:rFonts w:ascii="Arial" w:hAnsi="Arial"/>
                <w:sz w:val="15"/>
              </w:rPr>
              <w:t xml:space="preserve">3,694.9</w:t>
            </w:r>
          </w:p>
        </w:tc>
        <w:tc>
          <w:tcPr>
            <w:tcW w:type="dxa" w:w="901"/>
          </w:tcPr>
          <w:p>
            <w:pPr>
              <w:pStyle w:val="Compact"/>
              <w:spacing w:after="0" w:before="0" w:line="240" w:lineRule="auto"/>
              <w:jc w:val="right"/>
            </w:pPr>
            <w:r>
              <w:rPr>
                <w:rFonts w:ascii="Arial" w:hAnsi="Arial"/>
                <w:sz w:val="15"/>
              </w:rPr>
              <w:t xml:space="preserve">-3.9%</w:t>
            </w:r>
          </w:p>
        </w:tc>
        <w:tc>
          <w:tcPr>
            <w:tcW w:type="dxa" w:w="1944"/>
          </w:tcPr>
          <w:p>
            <w:pPr>
              <w:pStyle w:val="Compact"/>
              <w:spacing w:after="0" w:before="0" w:line="240" w:lineRule="auto"/>
              <w:jc w:val="right"/>
            </w:pPr>
            <w:r>
              <w:rPr>
                <w:rFonts w:ascii="Arial" w:hAnsi="Arial"/>
                <w:sz w:val="15"/>
              </w:rPr>
              <w:t xml:space="preserve">3,910.2 (13 estimates)</w:t>
            </w:r>
          </w:p>
        </w:tc>
        <w:tc>
          <w:tcPr>
            <w:tcW w:type="dxa" w:w="1602"/>
          </w:tcPr>
          <w:p>
            <w:pPr>
              <w:pStyle w:val="Compact"/>
              <w:spacing w:after="0" w:before="0" w:line="240" w:lineRule="auto"/>
              <w:jc w:val="right"/>
            </w:pPr>
            <w:r>
              <w:rPr>
                <w:bCs/>
                <w:rFonts w:ascii="Arial" w:hAnsi="Arial"/>
                <w:b/>
                <w:sz w:val="15"/>
              </w:rPr>
              <w:t xml:space="preserve">-5.5%</w:t>
            </w:r>
          </w:p>
        </w:tc>
        <w:tc>
          <w:tcPr>
            <w:tcW w:type="dxa" w:w="2159"/>
          </w:tcPr>
          <w:p>
            <w:pPr>
              <w:pStyle w:val="Compact"/>
              <w:spacing w:after="0" w:before="0" w:line="240" w:lineRule="auto"/>
              <w:jc w:val="left"/>
            </w:pPr>
            <w:r>
              <w:rPr>
                <w:rFonts w:ascii="Arial" w:hAnsi="Arial"/>
                <w:sz w:val="15"/>
              </w:rPr>
              <w:t xml:space="preserve">-5.2% (broker) [u]</w:t>
            </w:r>
          </w:p>
        </w:tc>
      </w:tr>
      <w:tr>
        <w:trPr>
          <w:cantSplit/>
        </w:trPr>
        <w:tc>
          <w:tcPr>
            <w:tcW w:type="dxa" w:w="2251"/>
            <w:shd w:val="clear" w:color="auto" w:fill="F1F2F5"/>
          </w:tcPr>
          <w:p>
            <w:pPr>
              <w:pStyle w:val="Compact"/>
              <w:spacing w:after="0" w:before="0" w:line="240" w:lineRule="auto"/>
              <w:jc w:val="left"/>
            </w:pPr>
            <w:r>
              <w:rPr>
                <w:rFonts w:ascii="Arial" w:hAnsi="Arial"/>
                <w:sz w:val="15"/>
              </w:rPr>
              <w:t xml:space="preserve">Service revenue (consolidated)</w:t>
            </w:r>
          </w:p>
        </w:tc>
        <w:tc>
          <w:tcPr>
            <w:tcW w:type="dxa" w:w="1121"/>
            <w:shd w:val="clear" w:color="auto" w:fill="F1F2F5"/>
          </w:tcPr>
          <w:p>
            <w:pPr>
              <w:pStyle w:val="Compact"/>
              <w:spacing w:after="0" w:before="0" w:line="240" w:lineRule="auto"/>
              <w:jc w:val="right"/>
            </w:pPr>
            <w:r>
              <w:rPr>
                <w:rFonts w:ascii="Arial" w:hAnsi="Arial"/>
                <w:sz w:val="15"/>
              </w:rPr>
              <w:t xml:space="preserve">3,076.5</w:t>
            </w:r>
          </w:p>
        </w:tc>
        <w:tc>
          <w:tcPr>
            <w:tcW w:type="dxa" w:w="901"/>
            <w:shd w:val="clear" w:color="auto" w:fill="F1F2F5"/>
          </w:tcPr>
          <w:p>
            <w:pPr>
              <w:pStyle w:val="Compact"/>
              <w:spacing w:after="0" w:before="0" w:line="240" w:lineRule="auto"/>
              <w:jc w:val="right"/>
            </w:pPr>
            <w:r>
              <w:rPr>
                <w:rFonts w:ascii="Arial" w:hAnsi="Arial"/>
                <w:sz w:val="15"/>
              </w:rPr>
              <w:t xml:space="preserve">+2.0%</w:t>
            </w:r>
          </w:p>
        </w:tc>
        <w:tc>
          <w:tcPr>
            <w:tcW w:type="dxa" w:w="1944"/>
            <w:shd w:val="clear" w:color="auto" w:fill="F1F2F5"/>
          </w:tcPr>
          <w:p>
            <w:pPr>
              <w:pStyle w:val="Compact"/>
              <w:spacing w:after="0" w:before="0" w:line="240" w:lineRule="auto"/>
              <w:jc w:val="right"/>
            </w:pPr>
            <w:r>
              <w:rPr>
                <w:rFonts w:ascii="Arial" w:hAnsi="Arial"/>
                <w:sz w:val="15"/>
              </w:rPr>
              <w:t xml:space="preserve">n/a</w:t>
            </w:r>
          </w:p>
        </w:tc>
        <w:tc>
          <w:tcPr>
            <w:tcW w:type="dxa" w:w="1602"/>
            <w:shd w:val="clear" w:color="auto" w:fill="F1F2F5"/>
          </w:tcPr>
          <w:p>
            <w:pPr>
              <w:pStyle w:val="Compact"/>
              <w:spacing w:after="0" w:before="0" w:line="240" w:lineRule="auto"/>
              <w:jc w:val="right"/>
            </w:pPr>
            <w:r>
              <w:rPr>
                <w:rFonts w:ascii="Arial" w:hAnsi="Arial"/>
                <w:sz w:val="15"/>
              </w:rPr>
              <w:t xml:space="preserve">–</w:t>
            </w:r>
          </w:p>
        </w:tc>
        <w:tc>
          <w:tcPr>
            <w:tcW w:type="dxa" w:w="2159"/>
            <w:shd w:val="clear" w:color="auto" w:fill="F1F2F5"/>
          </w:tcPr>
          <w:p>
            <w:pPr>
              <w:pStyle w:val="Compact"/>
              <w:spacing w:after="0" w:before="0" w:line="240" w:lineRule="auto"/>
              <w:jc w:val="left"/>
            </w:pPr>
            <w:r>
              <w:rPr>
                <w:rFonts w:ascii="Arial" w:hAnsi="Arial"/>
                <w:sz w:val="15"/>
              </w:rPr>
              <w:t xml:space="preserve">Standalone +2.8%</w:t>
            </w:r>
          </w:p>
        </w:tc>
      </w:tr>
      <w:tr>
        <w:trPr>
          <w:cantSplit/>
        </w:trPr>
        <w:tc>
          <w:tcPr>
            <w:tcW w:type="dxa" w:w="2251"/>
          </w:tcPr>
          <w:p>
            <w:pPr>
              <w:pStyle w:val="Compact"/>
              <w:spacing w:after="0" w:before="0" w:line="240" w:lineRule="auto"/>
              <w:jc w:val="left"/>
            </w:pPr>
            <w:r>
              <w:rPr>
                <w:rFonts w:ascii="Arial" w:hAnsi="Arial"/>
                <w:sz w:val="15"/>
              </w:rPr>
              <w:t xml:space="preserve">EBITDA</w:t>
            </w:r>
          </w:p>
        </w:tc>
        <w:tc>
          <w:tcPr>
            <w:tcW w:type="dxa" w:w="1121"/>
          </w:tcPr>
          <w:p>
            <w:pPr>
              <w:pStyle w:val="Compact"/>
              <w:spacing w:after="0" w:before="0" w:line="240" w:lineRule="auto"/>
              <w:jc w:val="right"/>
            </w:pPr>
            <w:r>
              <w:rPr>
                <w:rFonts w:ascii="Arial" w:hAnsi="Arial"/>
                <w:sz w:val="15"/>
              </w:rPr>
              <w:t xml:space="preserve">1,034.8</w:t>
            </w:r>
          </w:p>
        </w:tc>
        <w:tc>
          <w:tcPr>
            <w:tcW w:type="dxa" w:w="901"/>
          </w:tcPr>
          <w:p>
            <w:pPr>
              <w:pStyle w:val="Compact"/>
              <w:spacing w:after="0" w:before="0" w:line="240" w:lineRule="auto"/>
              <w:jc w:val="right"/>
            </w:pPr>
            <w:r>
              <w:rPr>
                <w:rFonts w:ascii="Arial" w:hAnsi="Arial"/>
                <w:sz w:val="15"/>
              </w:rPr>
              <w:t xml:space="preserve">+5.9%</w:t>
            </w:r>
          </w:p>
        </w:tc>
        <w:tc>
          <w:tcPr>
            <w:tcW w:type="dxa" w:w="1944"/>
          </w:tcPr>
          <w:p>
            <w:pPr>
              <w:pStyle w:val="Compact"/>
              <w:spacing w:after="0" w:before="0" w:line="240" w:lineRule="auto"/>
              <w:jc w:val="right"/>
            </w:pPr>
            <w:r>
              <w:rPr>
                <w:rFonts w:ascii="Arial" w:hAnsi="Arial"/>
                <w:sz w:val="15"/>
              </w:rPr>
              <w:t xml:space="preserve">1,016.5</w:t>
            </w:r>
          </w:p>
        </w:tc>
        <w:tc>
          <w:tcPr>
            <w:tcW w:type="dxa" w:w="1602"/>
          </w:tcPr>
          <w:p>
            <w:pPr>
              <w:pStyle w:val="Compact"/>
              <w:spacing w:after="0" w:before="0" w:line="240" w:lineRule="auto"/>
              <w:jc w:val="right"/>
            </w:pPr>
            <w:r>
              <w:rPr>
                <w:rFonts w:ascii="Arial" w:hAnsi="Arial"/>
                <w:sz w:val="15"/>
              </w:rPr>
              <w:t xml:space="preserve">+1.8%</w:t>
            </w:r>
          </w:p>
        </w:tc>
        <w:tc>
          <w:tcPr>
            <w:tcW w:type="dxa" w:w="2159"/>
          </w:tcPr>
          <w:p>
            <w:pPr>
              <w:pStyle w:val="Compact"/>
              <w:spacing w:after="0" w:before="0" w:line="240" w:lineRule="auto"/>
              <w:jc w:val="left"/>
            </w:pPr>
            <w:r>
              <w:rPr>
                <w:rFonts w:ascii="Arial" w:hAnsi="Arial"/>
                <w:sz w:val="15"/>
              </w:rPr>
              <w:t xml:space="preserve">–</w:t>
            </w:r>
          </w:p>
        </w:tc>
      </w:tr>
      <w:tr>
        <w:trPr>
          <w:cantSplit/>
        </w:trPr>
        <w:tc>
          <w:tcPr>
            <w:tcW w:type="dxa" w:w="2251"/>
            <w:shd w:val="clear" w:color="auto" w:fill="F1F2F5"/>
          </w:tcPr>
          <w:p>
            <w:pPr>
              <w:pStyle w:val="Compact"/>
              <w:spacing w:after="0" w:before="0" w:line="240" w:lineRule="auto"/>
              <w:jc w:val="left"/>
            </w:pPr>
            <w:r>
              <w:rPr>
                <w:rFonts w:ascii="Arial" w:hAnsi="Arial"/>
                <w:sz w:val="15"/>
              </w:rPr>
              <w:t xml:space="preserve">Operating profit</w:t>
            </w:r>
          </w:p>
        </w:tc>
        <w:tc>
          <w:tcPr>
            <w:tcW w:type="dxa" w:w="1121"/>
            <w:shd w:val="clear" w:color="auto" w:fill="F1F2F5"/>
          </w:tcPr>
          <w:p>
            <w:pPr>
              <w:pStyle w:val="Compact"/>
              <w:spacing w:after="0" w:before="0" w:line="240" w:lineRule="auto"/>
              <w:jc w:val="right"/>
            </w:pPr>
            <w:r>
              <w:rPr>
                <w:bCs/>
                <w:rFonts w:ascii="Arial" w:hAnsi="Arial"/>
                <w:b/>
                <w:sz w:val="15"/>
              </w:rPr>
              <w:t xml:space="preserve">344.5</w:t>
            </w:r>
          </w:p>
        </w:tc>
        <w:tc>
          <w:tcPr>
            <w:tcW w:type="dxa" w:w="901"/>
            <w:shd w:val="clear" w:color="auto" w:fill="F1F2F5"/>
          </w:tcPr>
          <w:p>
            <w:pPr>
              <w:pStyle w:val="Compact"/>
              <w:spacing w:after="0" w:before="0" w:line="240" w:lineRule="auto"/>
              <w:jc w:val="right"/>
            </w:pPr>
            <w:r>
              <w:rPr>
                <w:bCs/>
                <w:rFonts w:ascii="Arial" w:hAnsi="Arial"/>
                <w:b/>
                <w:sz w:val="15"/>
              </w:rPr>
              <w:t xml:space="preserve">+13.1%</w:t>
            </w:r>
          </w:p>
        </w:tc>
        <w:tc>
          <w:tcPr>
            <w:tcW w:type="dxa" w:w="1944"/>
            <w:shd w:val="clear" w:color="auto" w:fill="F1F2F5"/>
          </w:tcPr>
          <w:p>
            <w:pPr>
              <w:pStyle w:val="Compact"/>
              <w:spacing w:after="0" w:before="0" w:line="240" w:lineRule="auto"/>
              <w:jc w:val="right"/>
            </w:pPr>
            <w:r>
              <w:rPr>
                <w:rFonts w:ascii="Arial" w:hAnsi="Arial"/>
                <w:sz w:val="15"/>
              </w:rPr>
              <w:t xml:space="preserve">316.1 (14; range 292.8–340.3)</w:t>
            </w:r>
          </w:p>
        </w:tc>
        <w:tc>
          <w:tcPr>
            <w:tcW w:type="dxa" w:w="1602"/>
            <w:shd w:val="clear" w:color="auto" w:fill="F1F2F5"/>
          </w:tcPr>
          <w:p>
            <w:pPr>
              <w:pStyle w:val="Compact"/>
              <w:spacing w:after="0" w:before="0" w:line="240" w:lineRule="auto"/>
              <w:jc w:val="right"/>
            </w:pPr>
            <w:r>
              <w:rPr>
                <w:bCs/>
                <w:rFonts w:ascii="Arial" w:hAnsi="Arial"/>
                <w:b/>
                <w:sz w:val="15"/>
              </w:rPr>
              <w:t xml:space="preserve">+9.0%</w:t>
            </w:r>
            <w:r>
              <w:rPr>
                <w:rFonts w:ascii="Arial" w:hAnsi="Arial"/>
                <w:sz w:val="15"/>
              </w:rPr>
              <w:t xml:space="preserve">, above the highest estimate</w:t>
            </w:r>
          </w:p>
        </w:tc>
        <w:tc>
          <w:tcPr>
            <w:tcW w:type="dxa" w:w="2159"/>
            <w:shd w:val="clear" w:color="auto" w:fill="F1F2F5"/>
          </w:tcPr>
          <w:p>
            <w:pPr>
              <w:pStyle w:val="Compact"/>
              <w:spacing w:after="0" w:before="0" w:line="240" w:lineRule="auto"/>
              <w:jc w:val="left"/>
            </w:pPr>
            <w:r>
              <w:rPr>
                <w:rFonts w:ascii="Arial" w:hAnsi="Arial"/>
                <w:sz w:val="15"/>
              </w:rPr>
              <w:t xml:space="preserve">Yuanta 310.3 (+11%), Hana 306.7 (+12%) [u]</w:t>
            </w:r>
          </w:p>
        </w:tc>
      </w:tr>
      <w:tr>
        <w:trPr>
          <w:cantSplit/>
        </w:trPr>
        <w:tc>
          <w:tcPr>
            <w:tcW w:type="dxa" w:w="2251"/>
          </w:tcPr>
          <w:p>
            <w:pPr>
              <w:pStyle w:val="Compact"/>
              <w:spacing w:after="0" w:before="0" w:line="240" w:lineRule="auto"/>
              <w:jc w:val="left"/>
            </w:pPr>
            <w:r>
              <w:rPr>
                <w:rFonts w:ascii="Arial" w:hAnsi="Arial"/>
                <w:sz w:val="15"/>
              </w:rPr>
              <w:t xml:space="preserve">OP ex-one-offs (~20–25bn)</w:t>
            </w:r>
          </w:p>
        </w:tc>
        <w:tc>
          <w:tcPr>
            <w:tcW w:type="dxa" w:w="1121"/>
          </w:tcPr>
          <w:p>
            <w:pPr>
              <w:pStyle w:val="Compact"/>
              <w:spacing w:after="0" w:before="0" w:line="240" w:lineRule="auto"/>
              <w:jc w:val="right"/>
            </w:pPr>
            <w:r>
              <w:rPr>
                <w:rFonts w:ascii="Arial" w:hAnsi="Arial"/>
                <w:sz w:val="15"/>
              </w:rPr>
              <w:t xml:space="preserve">~320 [e]</w:t>
            </w:r>
          </w:p>
        </w:tc>
        <w:tc>
          <w:tcPr>
            <w:tcW w:type="dxa" w:w="901"/>
          </w:tcPr>
          <w:p>
            <w:pPr>
              <w:pStyle w:val="Compact"/>
              <w:spacing w:after="0" w:before="0" w:line="240" w:lineRule="auto"/>
              <w:jc w:val="right"/>
            </w:pPr>
            <w:r>
              <w:rPr>
                <w:rFonts w:ascii="Arial" w:hAnsi="Arial"/>
                <w:sz w:val="15"/>
              </w:rPr>
              <w:t xml:space="preserve">~+5%</w:t>
            </w:r>
          </w:p>
        </w:tc>
        <w:tc>
          <w:tcPr>
            <w:tcW w:type="dxa" w:w="1944"/>
          </w:tcPr>
          <w:p>
            <w:pPr>
              <w:pStyle w:val="Compact"/>
              <w:spacing w:after="0" w:before="0" w:line="240" w:lineRule="auto"/>
              <w:jc w:val="right"/>
            </w:pPr>
            <w:r>
              <w:rPr>
                <w:rFonts w:ascii="Arial" w:hAnsi="Arial"/>
                <w:sz w:val="15"/>
              </w:rPr>
              <w:t xml:space="preserve">316.1</w:t>
            </w:r>
          </w:p>
        </w:tc>
        <w:tc>
          <w:tcPr>
            <w:tcW w:type="dxa" w:w="1602"/>
          </w:tcPr>
          <w:p>
            <w:pPr>
              <w:pStyle w:val="Compact"/>
              <w:spacing w:after="0" w:before="0" w:line="240" w:lineRule="auto"/>
              <w:jc w:val="right"/>
            </w:pPr>
            <w:r>
              <w:rPr>
                <w:rFonts w:ascii="Arial" w:hAnsi="Arial"/>
                <w:sz w:val="15"/>
              </w:rPr>
              <w:t xml:space="preserve">~in line</w:t>
            </w:r>
          </w:p>
        </w:tc>
        <w:tc>
          <w:tcPr>
            <w:tcW w:type="dxa" w:w="2159"/>
          </w:tcPr>
          <w:p>
            <w:pPr>
              <w:pStyle w:val="Compact"/>
              <w:spacing w:after="0" w:before="0" w:line="240" w:lineRule="auto"/>
              <w:jc w:val="left"/>
            </w:pPr>
            <w:r>
              <w:rPr>
                <w:rFonts w:ascii="Arial" w:hAnsi="Arial"/>
                <w:sz w:val="15"/>
              </w:rPr>
              <w:t xml:space="preserve">Company:</w:t>
            </w:r>
            <w:r>
              <w:rPr>
                <w:rFonts w:ascii="Arial" w:hAnsi="Arial"/>
                <w:sz w:val="15"/>
              </w:rPr>
              <w:t xml:space="preserve"> </w:t>
            </w:r>
            <w:r>
              <w:rPr>
                <w:rFonts w:ascii="Arial" w:hAnsi="Arial"/>
                <w:sz w:val="15"/>
              </w:rPr>
              <w:t xml:space="preserve">“</w:t>
            </w:r>
            <w:r>
              <w:rPr>
                <w:rFonts w:ascii="Arial" w:hAnsi="Arial"/>
                <w:sz w:val="15"/>
              </w:rPr>
              <w:t xml:space="preserve">above KRW320bn</w:t>
            </w:r>
            <w:r>
              <w:rPr>
                <w:rFonts w:ascii="Arial" w:hAnsi="Arial"/>
                <w:sz w:val="15"/>
              </w:rPr>
              <w:t xml:space="preserve">”</w:t>
            </w:r>
            <w:r>
              <w:rPr>
                <w:rFonts w:ascii="Arial" w:hAnsi="Arial"/>
                <w:sz w:val="15"/>
              </w:rPr>
              <w:t xml:space="preserve"> </w:t>
            </w:r>
            <w:r>
              <w:rPr>
                <w:rFonts w:ascii="Arial" w:hAnsi="Arial"/>
                <w:sz w:val="15"/>
              </w:rPr>
              <w:t xml:space="preserve">ex-one-offs</w:t>
            </w:r>
          </w:p>
        </w:tc>
      </w:tr>
      <w:tr>
        <w:trPr>
          <w:cantSplit/>
        </w:trPr>
        <w:tc>
          <w:tcPr>
            <w:tcW w:type="dxa" w:w="2251"/>
            <w:shd w:val="clear" w:color="auto" w:fill="F1F2F5"/>
          </w:tcPr>
          <w:p>
            <w:pPr>
              <w:pStyle w:val="Compact"/>
              <w:spacing w:after="0" w:before="0" w:line="240" w:lineRule="auto"/>
              <w:jc w:val="left"/>
            </w:pPr>
            <w:r>
              <w:rPr>
                <w:rFonts w:ascii="Arial" w:hAnsi="Arial"/>
                <w:sz w:val="15"/>
              </w:rPr>
              <w:t xml:space="preserve">Pre-tax profit</w:t>
            </w:r>
          </w:p>
        </w:tc>
        <w:tc>
          <w:tcPr>
            <w:tcW w:type="dxa" w:w="1121"/>
            <w:shd w:val="clear" w:color="auto" w:fill="F1F2F5"/>
          </w:tcPr>
          <w:p>
            <w:pPr>
              <w:pStyle w:val="Compact"/>
              <w:spacing w:after="0" w:before="0" w:line="240" w:lineRule="auto"/>
              <w:jc w:val="right"/>
            </w:pPr>
            <w:r>
              <w:rPr>
                <w:rFonts w:ascii="Arial" w:hAnsi="Arial"/>
                <w:sz w:val="15"/>
              </w:rPr>
              <w:t xml:space="preserve">315.1</w:t>
            </w:r>
          </w:p>
        </w:tc>
        <w:tc>
          <w:tcPr>
            <w:tcW w:type="dxa" w:w="901"/>
            <w:shd w:val="clear" w:color="auto" w:fill="F1F2F5"/>
          </w:tcPr>
          <w:p>
            <w:pPr>
              <w:pStyle w:val="Compact"/>
              <w:spacing w:after="0" w:before="0" w:line="240" w:lineRule="auto"/>
              <w:jc w:val="right"/>
            </w:pPr>
            <w:r>
              <w:rPr>
                <w:rFonts w:ascii="Arial" w:hAnsi="Arial"/>
                <w:sz w:val="15"/>
              </w:rPr>
              <w:t xml:space="preserve">–</w:t>
            </w:r>
          </w:p>
        </w:tc>
        <w:tc>
          <w:tcPr>
            <w:tcW w:type="dxa" w:w="1944"/>
            <w:shd w:val="clear" w:color="auto" w:fill="F1F2F5"/>
          </w:tcPr>
          <w:p>
            <w:pPr>
              <w:pStyle w:val="Compact"/>
              <w:spacing w:after="0" w:before="0" w:line="240" w:lineRule="auto"/>
              <w:jc w:val="right"/>
            </w:pPr>
            <w:r>
              <w:rPr>
                <w:rFonts w:ascii="Arial" w:hAnsi="Arial"/>
                <w:sz w:val="15"/>
              </w:rPr>
              <w:t xml:space="preserve">282.0</w:t>
            </w:r>
          </w:p>
        </w:tc>
        <w:tc>
          <w:tcPr>
            <w:tcW w:type="dxa" w:w="1602"/>
            <w:shd w:val="clear" w:color="auto" w:fill="F1F2F5"/>
          </w:tcPr>
          <w:p>
            <w:pPr>
              <w:pStyle w:val="Compact"/>
              <w:spacing w:after="0" w:before="0" w:line="240" w:lineRule="auto"/>
              <w:jc w:val="right"/>
            </w:pPr>
            <w:r>
              <w:rPr>
                <w:rFonts w:ascii="Arial" w:hAnsi="Arial"/>
                <w:sz w:val="15"/>
              </w:rPr>
              <w:t xml:space="preserve">+11.7%</w:t>
            </w:r>
          </w:p>
        </w:tc>
        <w:tc>
          <w:tcPr>
            <w:tcW w:type="dxa" w:w="2159"/>
            <w:shd w:val="clear" w:color="auto" w:fill="F1F2F5"/>
          </w:tcPr>
          <w:p>
            <w:pPr>
              <w:pStyle w:val="Compact"/>
              <w:spacing w:after="0" w:before="0" w:line="240" w:lineRule="auto"/>
              <w:jc w:val="left"/>
            </w:pPr>
            <w:r>
              <w:rPr>
                <w:rFonts w:ascii="Arial" w:hAnsi="Arial"/>
                <w:sz w:val="15"/>
              </w:rPr>
              <w:t xml:space="preserve">–</w:t>
            </w:r>
          </w:p>
        </w:tc>
      </w:tr>
      <w:tr>
        <w:trPr>
          <w:cantSplit/>
        </w:trPr>
        <w:tc>
          <w:tcPr>
            <w:tcW w:type="dxa" w:w="2251"/>
          </w:tcPr>
          <w:p>
            <w:pPr>
              <w:pStyle w:val="Compact"/>
              <w:spacing w:after="0" w:before="0" w:line="240" w:lineRule="auto"/>
              <w:jc w:val="left"/>
            </w:pPr>
            <w:r>
              <w:rPr>
                <w:rFonts w:ascii="Arial" w:hAnsi="Arial"/>
                <w:sz w:val="15"/>
              </w:rPr>
              <w:t xml:space="preserve">Net income to parent</w:t>
            </w:r>
          </w:p>
        </w:tc>
        <w:tc>
          <w:tcPr>
            <w:tcW w:type="dxa" w:w="1121"/>
          </w:tcPr>
          <w:p>
            <w:pPr>
              <w:pStyle w:val="Compact"/>
              <w:spacing w:after="0" w:before="0" w:line="240" w:lineRule="auto"/>
              <w:jc w:val="right"/>
            </w:pPr>
            <w:r>
              <w:rPr>
                <w:rFonts w:ascii="Arial" w:hAnsi="Arial"/>
                <w:sz w:val="15"/>
              </w:rPr>
              <w:t xml:space="preserve">219.7</w:t>
            </w:r>
          </w:p>
        </w:tc>
        <w:tc>
          <w:tcPr>
            <w:tcW w:type="dxa" w:w="901"/>
          </w:tcPr>
          <w:p>
            <w:pPr>
              <w:pStyle w:val="Compact"/>
              <w:spacing w:after="0" w:before="0" w:line="240" w:lineRule="auto"/>
              <w:jc w:val="right"/>
            </w:pPr>
            <w:r>
              <w:rPr>
                <w:rFonts w:ascii="Arial" w:hAnsi="Arial"/>
                <w:sz w:val="15"/>
              </w:rPr>
              <w:t xml:space="preserve">+0.1%</w:t>
            </w:r>
          </w:p>
        </w:tc>
        <w:tc>
          <w:tcPr>
            <w:tcW w:type="dxa" w:w="1944"/>
          </w:tcPr>
          <w:p>
            <w:pPr>
              <w:pStyle w:val="Compact"/>
              <w:spacing w:after="0" w:before="0" w:line="240" w:lineRule="auto"/>
              <w:jc w:val="right"/>
            </w:pPr>
            <w:r>
              <w:rPr>
                <w:rFonts w:ascii="Arial" w:hAnsi="Arial"/>
                <w:sz w:val="15"/>
              </w:rPr>
              <w:t xml:space="preserve">214.2</w:t>
            </w:r>
          </w:p>
        </w:tc>
        <w:tc>
          <w:tcPr>
            <w:tcW w:type="dxa" w:w="1602"/>
          </w:tcPr>
          <w:p>
            <w:pPr>
              <w:pStyle w:val="Compact"/>
              <w:spacing w:after="0" w:before="0" w:line="240" w:lineRule="auto"/>
              <w:jc w:val="right"/>
            </w:pPr>
            <w:r>
              <w:rPr>
                <w:rFonts w:ascii="Arial" w:hAnsi="Arial"/>
                <w:sz w:val="15"/>
              </w:rPr>
              <w:t xml:space="preserve">+2.6%</w:t>
            </w:r>
          </w:p>
        </w:tc>
        <w:tc>
          <w:tcPr>
            <w:tcW w:type="dxa" w:w="2159"/>
          </w:tcPr>
          <w:p>
            <w:pPr>
              <w:pStyle w:val="Compact"/>
              <w:spacing w:after="0" w:before="0" w:line="240" w:lineRule="auto"/>
              <w:jc w:val="left"/>
            </w:pPr>
            <w:r>
              <w:rPr>
                <w:rFonts w:ascii="Arial" w:hAnsi="Arial"/>
                <w:sz w:val="15"/>
              </w:rPr>
              <w:t xml:space="preserve">Tax rate 30.9%</w:t>
            </w:r>
          </w:p>
        </w:tc>
      </w:tr>
      <w:tr>
        <w:trPr>
          <w:cantSplit/>
        </w:trPr>
        <w:tc>
          <w:tcPr>
            <w:tcW w:type="dxa" w:w="2251"/>
            <w:shd w:val="clear" w:color="auto" w:fill="F1F2F5"/>
          </w:tcPr>
          <w:p>
            <w:pPr>
              <w:pStyle w:val="Compact"/>
              <w:spacing w:after="0" w:before="0" w:line="240" w:lineRule="auto"/>
              <w:jc w:val="left"/>
            </w:pPr>
            <w:r>
              <w:rPr>
                <w:rFonts w:ascii="Arial" w:hAnsi="Arial"/>
                <w:sz w:val="15"/>
              </w:rPr>
              <w:t xml:space="preserve">EPS (KRW)</w:t>
            </w:r>
          </w:p>
        </w:tc>
        <w:tc>
          <w:tcPr>
            <w:tcW w:type="dxa" w:w="1121"/>
            <w:shd w:val="clear" w:color="auto" w:fill="F1F2F5"/>
          </w:tcPr>
          <w:p>
            <w:pPr>
              <w:pStyle w:val="Compact"/>
              <w:spacing w:after="0" w:before="0" w:line="240" w:lineRule="auto"/>
              <w:jc w:val="right"/>
            </w:pPr>
            <w:r>
              <w:rPr>
                <w:rFonts w:ascii="Arial" w:hAnsi="Arial"/>
                <w:sz w:val="15"/>
              </w:rPr>
              <w:t xml:space="preserve">517</w:t>
            </w:r>
          </w:p>
        </w:tc>
        <w:tc>
          <w:tcPr>
            <w:tcW w:type="dxa" w:w="901"/>
            <w:shd w:val="clear" w:color="auto" w:fill="F1F2F5"/>
          </w:tcPr>
          <w:p>
            <w:pPr>
              <w:pStyle w:val="Compact"/>
              <w:spacing w:after="0" w:before="0" w:line="240" w:lineRule="auto"/>
              <w:jc w:val="right"/>
            </w:pPr>
            <w:r>
              <w:rPr>
                <w:rFonts w:ascii="Arial" w:hAnsi="Arial"/>
                <w:sz w:val="15"/>
              </w:rPr>
              <w:t xml:space="preserve">–</w:t>
            </w:r>
          </w:p>
        </w:tc>
        <w:tc>
          <w:tcPr>
            <w:tcW w:type="dxa" w:w="1944"/>
            <w:shd w:val="clear" w:color="auto" w:fill="F1F2F5"/>
          </w:tcPr>
          <w:p>
            <w:pPr>
              <w:pStyle w:val="Compact"/>
              <w:spacing w:after="0" w:before="0" w:line="240" w:lineRule="auto"/>
              <w:jc w:val="right"/>
            </w:pPr>
            <w:r>
              <w:rPr>
                <w:rFonts w:ascii="Arial" w:hAnsi="Arial"/>
                <w:sz w:val="15"/>
              </w:rPr>
              <w:t xml:space="preserve">498</w:t>
            </w:r>
          </w:p>
        </w:tc>
        <w:tc>
          <w:tcPr>
            <w:tcW w:type="dxa" w:w="1602"/>
            <w:shd w:val="clear" w:color="auto" w:fill="F1F2F5"/>
          </w:tcPr>
          <w:p>
            <w:pPr>
              <w:pStyle w:val="Compact"/>
              <w:spacing w:after="0" w:before="0" w:line="240" w:lineRule="auto"/>
              <w:jc w:val="right"/>
            </w:pPr>
            <w:r>
              <w:rPr>
                <w:rFonts w:ascii="Arial" w:hAnsi="Arial"/>
                <w:sz w:val="15"/>
              </w:rPr>
              <w:t xml:space="preserve">+3.9%</w:t>
            </w:r>
          </w:p>
        </w:tc>
        <w:tc>
          <w:tcPr>
            <w:tcW w:type="dxa" w:w="2159"/>
            <w:shd w:val="clear" w:color="auto" w:fill="F1F2F5"/>
          </w:tcPr>
          <w:p>
            <w:pPr>
              <w:pStyle w:val="Compact"/>
              <w:spacing w:after="0" w:before="0" w:line="240" w:lineRule="auto"/>
              <w:jc w:val="left"/>
            </w:pPr>
            <w:r>
              <w:rPr>
                <w:rFonts w:ascii="Arial" w:hAnsi="Arial"/>
                <w:sz w:val="15"/>
              </w:rPr>
              <w:t xml:space="preserve">–</w:t>
            </w:r>
          </w:p>
        </w:tc>
      </w:tr>
      <w:tr>
        <w:trPr>
          <w:cantSplit/>
        </w:trPr>
        <w:tc>
          <w:tcPr>
            <w:tcW w:type="dxa" w:w="2251"/>
          </w:tcPr>
          <w:p>
            <w:pPr>
              <w:pStyle w:val="Compact"/>
              <w:spacing w:after="0" w:before="0" w:line="240" w:lineRule="auto"/>
              <w:jc w:val="left"/>
            </w:pPr>
            <w:r>
              <w:rPr>
                <w:rFonts w:ascii="Arial" w:hAnsi="Arial"/>
                <w:sz w:val="15"/>
              </w:rPr>
              <w:t xml:space="preserve">Interim DPS (KRW)</w:t>
            </w:r>
          </w:p>
        </w:tc>
        <w:tc>
          <w:tcPr>
            <w:tcW w:type="dxa" w:w="1121"/>
          </w:tcPr>
          <w:p>
            <w:pPr>
              <w:pStyle w:val="Compact"/>
              <w:spacing w:after="0" w:before="0" w:line="240" w:lineRule="auto"/>
              <w:jc w:val="right"/>
            </w:pPr>
            <w:r>
              <w:rPr>
                <w:rFonts w:ascii="Arial" w:hAnsi="Arial"/>
                <w:sz w:val="15"/>
              </w:rPr>
              <w:t xml:space="preserve">270</w:t>
            </w:r>
          </w:p>
        </w:tc>
        <w:tc>
          <w:tcPr>
            <w:tcW w:type="dxa" w:w="901"/>
          </w:tcPr>
          <w:p>
            <w:pPr>
              <w:pStyle w:val="Compact"/>
              <w:spacing w:after="0" w:before="0" w:line="240" w:lineRule="auto"/>
              <w:jc w:val="right"/>
            </w:pPr>
            <w:r>
              <w:rPr>
                <w:rFonts w:ascii="Arial" w:hAnsi="Arial"/>
                <w:sz w:val="15"/>
              </w:rPr>
              <w:t xml:space="preserve">+8%</w:t>
            </w:r>
          </w:p>
        </w:tc>
        <w:tc>
          <w:tcPr>
            <w:tcW w:type="dxa" w:w="1944"/>
          </w:tcPr>
          <w:p>
            <w:pPr>
              <w:pStyle w:val="Compact"/>
              <w:spacing w:after="0" w:before="0" w:line="240" w:lineRule="auto"/>
              <w:jc w:val="right"/>
            </w:pPr>
            <w:r>
              <w:rPr>
                <w:rFonts w:ascii="Arial" w:hAnsi="Arial"/>
                <w:sz w:val="15"/>
              </w:rPr>
              <w:t xml:space="preserve">250</w:t>
            </w:r>
          </w:p>
        </w:tc>
        <w:tc>
          <w:tcPr>
            <w:tcW w:type="dxa" w:w="1602"/>
          </w:tcPr>
          <w:p>
            <w:pPr>
              <w:pStyle w:val="Compact"/>
              <w:spacing w:after="0" w:before="0" w:line="240" w:lineRule="auto"/>
              <w:jc w:val="right"/>
            </w:pPr>
            <w:r>
              <w:rPr>
                <w:rFonts w:ascii="Arial" w:hAnsi="Arial"/>
                <w:sz w:val="15"/>
              </w:rPr>
              <w:t xml:space="preserve">+8%</w:t>
            </w:r>
          </w:p>
        </w:tc>
        <w:tc>
          <w:tcPr>
            <w:tcW w:type="dxa" w:w="2159"/>
          </w:tcPr>
          <w:p>
            <w:pPr>
              <w:pStyle w:val="Compact"/>
              <w:spacing w:after="0" w:before="0" w:line="240" w:lineRule="auto"/>
              <w:jc w:val="left"/>
            </w:pPr>
            <w:r>
              <w:rPr>
                <w:rFonts w:ascii="Arial" w:hAnsi="Arial"/>
                <w:sz w:val="15"/>
              </w:rPr>
              <w:t xml:space="preserve">–</w:t>
            </w:r>
          </w:p>
        </w:tc>
      </w:tr>
    </w:tbl>
    <w:p>
      <w:pPr>
        <w:pStyle w:val="BodyText"/>
      </w:pPr>
      <w:r>
        <w:rPr>
          <w:bCs/>
          <w:b/>
        </w:rPr>
        <w:t xml:space="preserve">Verdict.</w:t>
      </w:r>
      <w:r>
        <w:t xml:space="preserve"> </w:t>
      </w:r>
      <w:r>
        <w:t xml:space="preserve">This was an operating beat of moderate quality. OP beat by 9% but about two-thirds of the beat was one-off (election-related bulk messaging). Revenue missed by 5.5% on lower handset sales, and a 30.9% effective tax rate left net income only 2.6% ahead.</w:t>
      </w:r>
    </w:p>
    <w:bookmarkEnd w:id="73"/>
    <w:bookmarkStart w:id="74" w:name="segment-drivers"/>
    <w:p>
      <w:pPr>
        <w:pStyle w:val="Heading2"/>
      </w:pPr>
      <w:r>
        <w:t xml:space="preserve">Segment drivers</w:t>
      </w:r>
    </w:p>
    <w:p>
      <w:pPr>
        <w:numPr>
          <w:ilvl w:val="0"/>
          <w:numId w:val="1020"/>
        </w:numPr>
        <w:pStyle w:val="Compact"/>
      </w:pPr>
      <w:r>
        <w:rPr>
          <w:bCs/>
          <w:b/>
        </w:rPr>
        <w:t xml:space="preserve">Mobile service revenue</w:t>
      </w:r>
      <w:r>
        <w:t xml:space="preserve"> </w:t>
      </w:r>
      <w:r>
        <w:t xml:space="preserve">KRW1,595.9bn (+1.2%), a sharp deceleration from +4–5% in 2H25 as the base now includes the SKT-hack inflows. MNO lines were 22.4m (+7.2%) and 5G penetration 84.9%.</w:t>
      </w:r>
    </w:p>
    <w:p>
      <w:pPr>
        <w:numPr>
          <w:ilvl w:val="0"/>
          <w:numId w:val="1020"/>
        </w:numPr>
        <w:pStyle w:val="Compact"/>
      </w:pPr>
      <w:r>
        <w:rPr>
          <w:bCs/>
          <w:b/>
        </w:rPr>
        <w:t xml:space="preserve">Smart Home</w:t>
      </w:r>
      <w:r>
        <w:t xml:space="preserve"> </w:t>
      </w:r>
      <w:r>
        <w:t xml:space="preserve">KRW663.8bn (+4.3%): broadband +7.6%, IPTV +2.1%.</w:t>
      </w:r>
    </w:p>
    <w:p>
      <w:pPr>
        <w:numPr>
          <w:ilvl w:val="0"/>
          <w:numId w:val="1020"/>
        </w:numPr>
        <w:pStyle w:val="Compact"/>
      </w:pPr>
      <w:r>
        <w:rPr>
          <w:bCs/>
          <w:b/>
        </w:rPr>
        <w:t xml:space="preserve">Enterprise infrastructure</w:t>
      </w:r>
      <w:r>
        <w:t xml:space="preserve"> </w:t>
      </w:r>
      <w:r>
        <w:t xml:space="preserve">KRW464.4bn (+8.6%), of which</w:t>
      </w:r>
      <w:r>
        <w:t xml:space="preserve"> </w:t>
      </w:r>
      <w:r>
        <w:rPr>
          <w:bCs/>
          <w:b/>
        </w:rPr>
        <w:t xml:space="preserve">AIDC KRW124.1bn (+28.9%)</w:t>
      </w:r>
      <w:r>
        <w:t xml:space="preserve">. This is the clear acceleration, driven by colocation demand and pricing.</w:t>
      </w:r>
    </w:p>
    <w:p>
      <w:pPr>
        <w:numPr>
          <w:ilvl w:val="0"/>
          <w:numId w:val="1020"/>
        </w:numPr>
        <w:pStyle w:val="Compact"/>
      </w:pPr>
      <w:r>
        <w:rPr>
          <w:bCs/>
          <w:b/>
        </w:rPr>
        <w:t xml:space="preserve">Handset sales</w:t>
      </w:r>
      <w:r>
        <w:t xml:space="preserve"> </w:t>
      </w:r>
      <w:r>
        <w:t xml:space="preserve">-17.7% YoY [u], the reason group revenue fell. This is low-margin, so profit was unaffected.</w:t>
      </w:r>
    </w:p>
    <w:bookmarkEnd w:id="74"/>
    <w:bookmarkStart w:id="75" w:name="margin-trends-and-why"/>
    <w:p>
      <w:pPr>
        <w:pStyle w:val="Heading2"/>
      </w:pPr>
      <w:r>
        <w:t xml:space="preserve">Margin trends and why</w:t>
      </w:r>
    </w:p>
    <w:p>
      <w:pPr>
        <w:numPr>
          <w:ilvl w:val="0"/>
          <w:numId w:val="1021"/>
        </w:numPr>
        <w:pStyle w:val="Compact"/>
      </w:pPr>
      <w:r>
        <w:rPr>
          <w:bCs/>
          <w:b/>
        </w:rPr>
        <w:t xml:space="preserve">OP margin 9.3%</w:t>
      </w:r>
      <w:r>
        <w:t xml:space="preserve"> </w:t>
      </w:r>
      <w:r>
        <w:t xml:space="preserve">(2Q25 7.9%) and</w:t>
      </w:r>
      <w:r>
        <w:t xml:space="preserve"> </w:t>
      </w:r>
      <w:r>
        <w:rPr>
          <w:bCs/>
          <w:b/>
        </w:rPr>
        <w:t xml:space="preserve">EBITDA margin 28.0%</w:t>
      </w:r>
      <w:r>
        <w:t xml:space="preserve"> </w:t>
      </w:r>
      <w:r>
        <w:t xml:space="preserve">(25.4%) [e].</w:t>
      </w:r>
    </w:p>
    <w:p>
      <w:pPr>
        <w:numPr>
          <w:ilvl w:val="0"/>
          <w:numId w:val="1021"/>
        </w:numPr>
        <w:pStyle w:val="Compact"/>
      </w:pPr>
      <w:r>
        <w:rPr>
          <w:bCs/>
          <w:b/>
        </w:rPr>
        <w:t xml:space="preserve">Drivers of the improvement:</w:t>
      </w:r>
    </w:p>
    <w:p>
      <w:pPr>
        <w:numPr>
          <w:ilvl w:val="1"/>
          <w:numId w:val="1022"/>
        </w:numPr>
        <w:pStyle w:val="Compact"/>
      </w:pPr>
      <w:r>
        <w:t xml:space="preserve">Labour costs -2.5% YoY [u] after the 3Q25 early retirement.</w:t>
      </w:r>
    </w:p>
    <w:p>
      <w:pPr>
        <w:numPr>
          <w:ilvl w:val="1"/>
          <w:numId w:val="1022"/>
        </w:numPr>
        <w:pStyle w:val="Compact"/>
      </w:pPr>
      <w:r>
        <w:t xml:space="preserve">Mix: AIDC up, low-margin handsets down.</w:t>
      </w:r>
    </w:p>
    <w:p>
      <w:pPr>
        <w:numPr>
          <w:ilvl w:val="1"/>
          <w:numId w:val="1022"/>
        </w:numPr>
        <w:pStyle w:val="Compact"/>
      </w:pPr>
      <w:r>
        <w:t xml:space="preserve">D&amp;A only +2.6%.</w:t>
      </w:r>
    </w:p>
    <w:p>
      <w:pPr>
        <w:numPr>
          <w:ilvl w:val="1"/>
          <w:numId w:val="1022"/>
        </w:numPr>
        <w:pStyle w:val="Compact"/>
      </w:pPr>
      <w:r>
        <w:t xml:space="preserve">About KRW20–25bn of one-offs.</w:t>
      </w:r>
    </w:p>
    <w:p>
      <w:pPr>
        <w:numPr>
          <w:ilvl w:val="0"/>
          <w:numId w:val="1021"/>
        </w:numPr>
        <w:pStyle w:val="Compact"/>
      </w:pPr>
      <w:r>
        <w:rPr>
          <w:bCs/>
          <w:b/>
        </w:rPr>
        <w:t xml:space="preserve">Not a driver:</w:t>
      </w:r>
      <w:r>
        <w:t xml:space="preserve"> </w:t>
      </w:r>
      <w:r>
        <w:t xml:space="preserve">marketing rose 7.6% YoY (though it fell 6.9% QoQ), to 19.9% of service revenue, as 2025 acquisition costs are still being amortised.</w:t>
      </w:r>
    </w:p>
    <w:bookmarkEnd w:id="75"/>
    <w:bookmarkStart w:id="76" w:name="guidance-and-outlook"/>
    <w:p>
      <w:pPr>
        <w:pStyle w:val="Heading2"/>
      </w:pPr>
      <w:r>
        <w:t xml:space="preserve">Guidance and outlook</w:t>
      </w:r>
    </w:p>
    <w:p>
      <w:pPr>
        <w:numPr>
          <w:ilvl w:val="0"/>
          <w:numId w:val="1023"/>
        </w:numPr>
        <w:pStyle w:val="Compact"/>
      </w:pPr>
      <w:r>
        <w:rPr>
          <w:bCs/>
          <w:b/>
        </w:rPr>
        <w:t xml:space="preserve">FY26:</w:t>
      </w:r>
      <w:r>
        <w:t xml:space="preserve"> </w:t>
      </w:r>
      <w:r>
        <w:t xml:space="preserve">standalone service revenue growth ≥2% (1H26: +3.4%). Management expects a</w:t>
      </w:r>
      <w:r>
        <w:t xml:space="preserve"> </w:t>
      </w:r>
      <w:r>
        <w:t xml:space="preserve">“</w:t>
      </w:r>
      <w:r>
        <w:t xml:space="preserve">slight moderation</w:t>
      </w:r>
      <w:r>
        <w:t xml:space="preserve">”</w:t>
      </w:r>
      <w:r>
        <w:t xml:space="preserve"> </w:t>
      </w:r>
      <w:r>
        <w:t xml:space="preserve">in wireless in 2H.</w:t>
      </w:r>
    </w:p>
    <w:p>
      <w:pPr>
        <w:numPr>
          <w:ilvl w:val="0"/>
          <w:numId w:val="1023"/>
        </w:numPr>
        <w:pStyle w:val="Compact"/>
      </w:pPr>
      <w:r>
        <w:rPr>
          <w:bCs/>
          <w:b/>
        </w:rPr>
        <w:t xml:space="preserve">Capex:</w:t>
      </w:r>
      <w:r>
        <w:t xml:space="preserve"> </w:t>
      </w:r>
      <w:r>
        <w:t xml:space="preserve">up YoY because of AIDC, but kept</w:t>
      </w:r>
      <w:r>
        <w:t xml:space="preserve"> </w:t>
      </w:r>
      <w:r>
        <w:t xml:space="preserve">“</w:t>
      </w:r>
      <w:r>
        <w:t xml:space="preserve">within EBITDA</w:t>
      </w:r>
      <w:r>
        <w:t xml:space="preserve">”</w:t>
      </w:r>
      <w:r>
        <w:t xml:space="preserve"> </w:t>
      </w:r>
      <w:r>
        <w:t xml:space="preserve">with no external financing. Paju phase 2 (up to KRW1,348.9bn) was approved on 29-Jul-2026. The total programme is ~KRW2tn for 200MW across four buildings in 2027–28.</w:t>
      </w:r>
    </w:p>
    <w:p>
      <w:pPr>
        <w:numPr>
          <w:ilvl w:val="0"/>
          <w:numId w:val="1023"/>
        </w:numPr>
        <w:pStyle w:val="Compact"/>
      </w:pPr>
      <w:r>
        <w:rPr>
          <w:bCs/>
          <w:b/>
        </w:rPr>
        <w:t xml:space="preserve">Shareholder returns:</w:t>
      </w:r>
      <w:r>
        <w:t xml:space="preserve"> </w:t>
      </w:r>
      <w:r>
        <w:t xml:space="preserve">interim DPS KRW270; KRW90bn buyback (trust 14-Aug-2026 to 13-Feb-2027) to be cancelled. The buyback is</w:t>
      </w:r>
      <w:r>
        <w:t xml:space="preserve"> </w:t>
      </w:r>
      <w:r>
        <w:t xml:space="preserve">“</w:t>
      </w:r>
      <w:r>
        <w:t xml:space="preserve">flexible</w:t>
      </w:r>
      <w:r>
        <w:t xml:space="preserve">”</w:t>
      </w:r>
      <w:r>
        <w:t xml:space="preserve"> </w:t>
      </w:r>
      <w:r>
        <w:t xml:space="preserve">relative to investment needs.</w:t>
      </w:r>
    </w:p>
    <w:p>
      <w:pPr>
        <w:numPr>
          <w:ilvl w:val="0"/>
          <w:numId w:val="1023"/>
        </w:numPr>
        <w:pStyle w:val="Compact"/>
      </w:pPr>
      <w:r>
        <w:rPr>
          <w:bCs/>
          <w:b/>
        </w:rPr>
        <w:t xml:space="preserve">Tone change:</w:t>
      </w:r>
      <w:r>
        <w:t xml:space="preserve"> </w:t>
      </w:r>
      <w:r>
        <w:t xml:space="preserve">still confident, but more conditional (</w:t>
      </w:r>
      <w:r>
        <w:t xml:space="preserve">“</w:t>
      </w:r>
      <w:r>
        <w:t xml:space="preserve">AIDC demand challenging to forecast</w:t>
      </w:r>
      <w:r>
        <w:t xml:space="preserve">”</w:t>
      </w:r>
      <w:r>
        <w:t xml:space="preserve">; buybacks</w:t>
      </w:r>
      <w:r>
        <w:t xml:space="preserve"> </w:t>
      </w:r>
      <w:r>
        <w:t xml:space="preserve">“</w:t>
      </w:r>
      <w:r>
        <w:t xml:space="preserve">flexible</w:t>
      </w:r>
      <w:r>
        <w:t xml:space="preserve">”</w:t>
      </w:r>
      <w:r>
        <w:t xml:space="preserve">).</w:t>
      </w:r>
    </w:p>
    <w:p>
      <w:pPr>
        <w:numPr>
          <w:ilvl w:val="0"/>
          <w:numId w:val="1023"/>
        </w:numPr>
        <w:pStyle w:val="Compact"/>
      </w:pPr>
      <w:r>
        <w:rPr>
          <w:bCs/>
          <w:b/>
        </w:rPr>
        <w:t xml:space="preserve">3Q26 consensus (Capital IQ):</w:t>
      </w:r>
      <w:r>
        <w:t xml:space="preserve"> </w:t>
      </w:r>
      <w:r>
        <w:t xml:space="preserve">OP KRW314.2bn, revenue KRW3,972bn and NI KRW182.9bn. Results are expected around 5–7 Nov 2026 [e].</w:t>
      </w:r>
    </w:p>
    <w:bookmarkEnd w:id="76"/>
    <w:bookmarkStart w:id="77" w:name="balance-sheet-flags"/>
    <w:p>
      <w:pPr>
        <w:pStyle w:val="Heading2"/>
      </w:pPr>
      <w:r>
        <w:t xml:space="preserve">Balance-sheet flags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3017"/>
        <w:gridCol w:w="1559"/>
        <w:gridCol w:w="1317"/>
        <w:gridCol w:w="4083"/>
      </w:tblGrid>
      <w:tr>
        <w:trPr>
          <w:tblHeader w:val="true"/>
          <w:tblHeader w:val="true"/>
          <w:cantSplit/>
        </w:trPr>
        <w:tc>
          <w:tcPr>
            <w:tcW w:type="dxa" w:w="3017"/>
            <w:shd w:val="clear" w:color="auto" w:fill="13213F"/>
          </w:tcPr>
          <w:p>
            <w:pPr>
              <w:pStyle w:val="Compact"/>
              <w:spacing w:after="0" w:before="0" w:line="240" w:lineRule="auto"/>
              <w:jc w:val="left"/>
            </w:pPr>
            <w:r>
              <w:rPr>
                <w:rFonts w:ascii="Arial" w:hAnsi="Arial"/>
                <w:b/>
                <w:color w:val="FFFFFF"/>
                <w:sz w:val="15"/>
              </w:rPr>
              <w:t xml:space="preserve">Item</w:t>
            </w:r>
          </w:p>
        </w:tc>
        <w:tc>
          <w:tcPr>
            <w:tcW w:type="dxa" w:w="1559"/>
            <w:shd w:val="clear" w:color="auto" w:fill="13213F"/>
          </w:tcPr>
          <w:p>
            <w:pPr>
              <w:pStyle w:val="Compact"/>
              <w:spacing w:after="0" w:before="0" w:line="240" w:lineRule="auto"/>
              <w:jc w:val="right"/>
            </w:pPr>
            <w:r>
              <w:rPr>
                <w:rFonts w:ascii="Arial" w:hAnsi="Arial"/>
                <w:b/>
                <w:color w:val="FFFFFF"/>
                <w:sz w:val="15"/>
              </w:rPr>
              <w:t xml:space="preserve">2Q26</w:t>
            </w:r>
          </w:p>
        </w:tc>
        <w:tc>
          <w:tcPr>
            <w:tcW w:type="dxa" w:w="1318"/>
            <w:shd w:val="clear" w:color="auto" w:fill="13213F"/>
          </w:tcPr>
          <w:p>
            <w:pPr>
              <w:pStyle w:val="Compact"/>
              <w:spacing w:after="0" w:before="0" w:line="240" w:lineRule="auto"/>
              <w:jc w:val="right"/>
            </w:pPr>
            <w:r>
              <w:rPr>
                <w:rFonts w:ascii="Arial" w:hAnsi="Arial"/>
                <w:b/>
                <w:color w:val="FFFFFF"/>
                <w:sz w:val="15"/>
              </w:rPr>
              <w:t xml:space="preserve">Change</w:t>
            </w:r>
          </w:p>
        </w:tc>
        <w:tc>
          <w:tcPr>
            <w:tcW w:type="dxa" w:w="4084"/>
            <w:shd w:val="clear" w:color="auto" w:fill="13213F"/>
          </w:tcPr>
          <w:p>
            <w:pPr>
              <w:pStyle w:val="Compact"/>
              <w:spacing w:after="0" w:before="0" w:line="240" w:lineRule="auto"/>
              <w:jc w:val="left"/>
            </w:pPr>
            <w:r>
              <w:rPr>
                <w:rFonts w:ascii="Arial" w:hAnsi="Arial"/>
                <w:b/>
                <w:color w:val="FFFFFF"/>
                <w:sz w:val="15"/>
              </w:rPr>
              <w:t xml:space="preserve">Comment</w:t>
            </w:r>
          </w:p>
        </w:tc>
      </w:tr>
      <w:tr>
        <w:trPr>
          <w:cantSplit/>
        </w:trPr>
        <w:tc>
          <w:tcPr>
            <w:tcW w:type="dxa" w:w="3017"/>
          </w:tcPr>
          <w:p>
            <w:pPr>
              <w:pStyle w:val="Compact"/>
              <w:spacing w:after="0" w:before="0" w:line="240" w:lineRule="auto"/>
              <w:jc w:val="left"/>
            </w:pPr>
            <w:r>
              <w:rPr>
                <w:rFonts w:ascii="Arial" w:hAnsi="Arial"/>
                <w:sz w:val="15"/>
              </w:rPr>
              <w:t xml:space="preserve">Cash + short-term investments</w:t>
            </w:r>
          </w:p>
        </w:tc>
        <w:tc>
          <w:tcPr>
            <w:tcW w:type="dxa" w:w="1559"/>
          </w:tcPr>
          <w:p>
            <w:pPr>
              <w:pStyle w:val="Compact"/>
              <w:spacing w:after="0" w:before="0" w:line="240" w:lineRule="auto"/>
              <w:jc w:val="right"/>
            </w:pPr>
            <w:r>
              <w:rPr>
                <w:rFonts w:ascii="Arial" w:hAnsi="Arial"/>
                <w:sz w:val="15"/>
              </w:rPr>
              <w:t xml:space="preserve">1,258bn</w:t>
            </w:r>
          </w:p>
        </w:tc>
        <w:tc>
          <w:tcPr>
            <w:tcW w:type="dxa" w:w="1318"/>
          </w:tcPr>
          <w:p>
            <w:pPr>
              <w:pStyle w:val="Compact"/>
              <w:spacing w:after="0" w:before="0" w:line="240" w:lineRule="auto"/>
              <w:jc w:val="right"/>
            </w:pPr>
            <w:r>
              <w:rPr>
                <w:rFonts w:ascii="Arial" w:hAnsi="Arial"/>
                <w:sz w:val="15"/>
              </w:rPr>
              <w:t xml:space="preserve">+368bn vs YE25</w:t>
            </w:r>
          </w:p>
        </w:tc>
        <w:tc>
          <w:tcPr>
            <w:tcW w:type="dxa" w:w="4084"/>
          </w:tcPr>
          <w:p>
            <w:pPr>
              <w:pStyle w:val="Compact"/>
              <w:spacing w:after="0" w:before="0" w:line="240" w:lineRule="auto"/>
              <w:jc w:val="left"/>
            </w:pPr>
            <w:r>
              <w:rPr>
                <w:rFonts w:ascii="Arial" w:hAnsi="Arial"/>
                <w:sz w:val="15"/>
              </w:rPr>
              <w:t xml:space="preserve">Strong cash generation; pre-funding of bond maturities</w:t>
            </w:r>
          </w:p>
        </w:tc>
      </w:tr>
      <w:tr>
        <w:trPr>
          <w:cantSplit/>
        </w:trPr>
        <w:tc>
          <w:tcPr>
            <w:tcW w:type="dxa" w:w="3017"/>
            <w:shd w:val="clear" w:color="auto" w:fill="DCE4F2"/>
          </w:tcPr>
          <w:p>
            <w:pPr>
              <w:pStyle w:val="Compact"/>
              <w:spacing w:after="0" w:before="0" w:line="240" w:lineRule="auto"/>
              <w:jc w:val="left"/>
            </w:pPr>
            <w:r>
              <w:rPr>
                <w:rFonts w:ascii="Arial" w:hAnsi="Arial"/>
                <w:b/>
                <w:sz w:val="15"/>
              </w:rPr>
              <w:t xml:space="preserve">Net debt (ex-leases)</w:t>
            </w:r>
          </w:p>
        </w:tc>
        <w:tc>
          <w:tcPr>
            <w:tcW w:type="dxa" w:w="1559"/>
            <w:shd w:val="clear" w:color="auto" w:fill="DCE4F2"/>
          </w:tcPr>
          <w:p>
            <w:pPr>
              <w:pStyle w:val="Compact"/>
              <w:spacing w:after="0" w:before="0" w:line="240" w:lineRule="auto"/>
              <w:jc w:val="right"/>
            </w:pPr>
            <w:r>
              <w:rPr>
                <w:rFonts w:ascii="Arial" w:hAnsi="Arial"/>
                <w:b/>
                <w:sz w:val="15"/>
              </w:rPr>
              <w:t xml:space="preserve">4,508bn</w:t>
            </w:r>
          </w:p>
        </w:tc>
        <w:tc>
          <w:tcPr>
            <w:tcW w:type="dxa" w:w="1318"/>
            <w:shd w:val="clear" w:color="auto" w:fill="DCE4F2"/>
          </w:tcPr>
          <w:p>
            <w:pPr>
              <w:pStyle w:val="Compact"/>
              <w:spacing w:after="0" w:before="0" w:line="240" w:lineRule="auto"/>
              <w:jc w:val="right"/>
            </w:pPr>
            <w:r>
              <w:rPr>
                <w:rFonts w:ascii="Arial" w:hAnsi="Arial"/>
                <w:b/>
                <w:sz w:val="15"/>
              </w:rPr>
              <w:t xml:space="preserve">-9.5% YoY</w:t>
            </w:r>
          </w:p>
        </w:tc>
        <w:tc>
          <w:tcPr>
            <w:tcW w:type="dxa" w:w="4084"/>
            <w:shd w:val="clear" w:color="auto" w:fill="DCE4F2"/>
          </w:tcPr>
          <w:p>
            <w:pPr>
              <w:pStyle w:val="Compact"/>
              <w:spacing w:after="0" w:before="0" w:line="240" w:lineRule="auto"/>
              <w:jc w:val="left"/>
            </w:pPr>
            <w:r>
              <w:rPr>
                <w:rFonts w:ascii="Arial" w:hAnsi="Arial"/>
                <w:b/>
                <w:sz w:val="15"/>
              </w:rPr>
              <w:t xml:space="preserve">ND/EBITDA 1.22x; D/E 114% (target ~100%)</w:t>
            </w:r>
          </w:p>
        </w:tc>
      </w:tr>
      <w:tr>
        <w:trPr>
          <w:cantSplit/>
        </w:trPr>
        <w:tc>
          <w:tcPr>
            <w:tcW w:type="dxa" w:w="3017"/>
          </w:tcPr>
          <w:p>
            <w:pPr>
              <w:pStyle w:val="Compact"/>
              <w:spacing w:after="0" w:before="0" w:line="240" w:lineRule="auto"/>
              <w:jc w:val="left"/>
            </w:pPr>
            <w:r>
              <w:rPr>
                <w:rFonts w:ascii="Arial" w:hAnsi="Arial"/>
                <w:sz w:val="15"/>
              </w:rPr>
              <w:t xml:space="preserve">Operating cash flow</w:t>
            </w:r>
          </w:p>
        </w:tc>
        <w:tc>
          <w:tcPr>
            <w:tcW w:type="dxa" w:w="1559"/>
          </w:tcPr>
          <w:p>
            <w:pPr>
              <w:pStyle w:val="Compact"/>
              <w:spacing w:after="0" w:before="0" w:line="240" w:lineRule="auto"/>
              <w:jc w:val="right"/>
            </w:pPr>
            <w:r>
              <w:rPr>
                <w:rFonts w:ascii="Arial" w:hAnsi="Arial"/>
                <w:sz w:val="15"/>
              </w:rPr>
              <w:t xml:space="preserve">998.6bn (1H 1,862bn)</w:t>
            </w:r>
          </w:p>
        </w:tc>
        <w:tc>
          <w:tcPr>
            <w:tcW w:type="dxa" w:w="1318"/>
          </w:tcPr>
          <w:p>
            <w:pPr>
              <w:pStyle w:val="Compact"/>
              <w:spacing w:after="0" w:before="0" w:line="240" w:lineRule="auto"/>
              <w:jc w:val="right"/>
            </w:pPr>
            <w:r>
              <w:rPr>
                <w:rFonts w:ascii="Arial" w:hAnsi="Arial"/>
                <w:sz w:val="15"/>
              </w:rPr>
              <w:t xml:space="preserve">–</w:t>
            </w:r>
          </w:p>
        </w:tc>
        <w:tc>
          <w:tcPr>
            <w:tcW w:type="dxa" w:w="4084"/>
          </w:tcPr>
          <w:p>
            <w:pPr>
              <w:pStyle w:val="Compact"/>
              <w:spacing w:after="0" w:before="0" w:line="240" w:lineRule="auto"/>
              <w:jc w:val="left"/>
            </w:pPr>
            <w:r>
              <w:rPr>
                <w:rFonts w:ascii="Arial" w:hAnsi="Arial"/>
                <w:sz w:val="15"/>
              </w:rPr>
              <w:t xml:space="preserve">1H26 FCF ~KRW809bn [e]</w:t>
            </w:r>
          </w:p>
        </w:tc>
      </w:tr>
      <w:tr>
        <w:trPr>
          <w:cantSplit/>
        </w:trPr>
        <w:tc>
          <w:tcPr>
            <w:tcW w:type="dxa" w:w="3017"/>
            <w:shd w:val="clear" w:color="auto" w:fill="F1F2F5"/>
          </w:tcPr>
          <w:p>
            <w:pPr>
              <w:pStyle w:val="Compact"/>
              <w:spacing w:after="0" w:before="0" w:line="240" w:lineRule="auto"/>
              <w:jc w:val="left"/>
            </w:pPr>
            <w:r>
              <w:rPr>
                <w:rFonts w:ascii="Arial" w:hAnsi="Arial"/>
                <w:sz w:val="15"/>
              </w:rPr>
              <w:t xml:space="preserve">Long-term receivables (likely handset instalments)</w:t>
            </w:r>
          </w:p>
        </w:tc>
        <w:tc>
          <w:tcPr>
            <w:tcW w:type="dxa" w:w="1559"/>
            <w:shd w:val="clear" w:color="auto" w:fill="F1F2F5"/>
          </w:tcPr>
          <w:p>
            <w:pPr>
              <w:pStyle w:val="Compact"/>
              <w:spacing w:after="0" w:before="0" w:line="240" w:lineRule="auto"/>
              <w:jc w:val="right"/>
            </w:pPr>
            <w:r>
              <w:rPr>
                <w:rFonts w:ascii="Arial" w:hAnsi="Arial"/>
                <w:sz w:val="15"/>
              </w:rPr>
              <w:t xml:space="preserve">462bn</w:t>
            </w:r>
          </w:p>
        </w:tc>
        <w:tc>
          <w:tcPr>
            <w:tcW w:type="dxa" w:w="1318"/>
            <w:shd w:val="clear" w:color="auto" w:fill="F1F2F5"/>
          </w:tcPr>
          <w:p>
            <w:pPr>
              <w:pStyle w:val="Compact"/>
              <w:spacing w:after="0" w:before="0" w:line="240" w:lineRule="auto"/>
              <w:jc w:val="right"/>
            </w:pPr>
            <w:r>
              <w:rPr>
                <w:bCs/>
                <w:rFonts w:ascii="Arial" w:hAnsi="Arial"/>
                <w:b/>
                <w:sz w:val="15"/>
              </w:rPr>
              <w:t xml:space="preserve">+21% since 3Q25</w:t>
            </w:r>
          </w:p>
        </w:tc>
        <w:tc>
          <w:tcPr>
            <w:tcW w:type="dxa" w:w="4084"/>
            <w:shd w:val="clear" w:color="auto" w:fill="F1F2F5"/>
          </w:tcPr>
          <w:p>
            <w:pPr>
              <w:pStyle w:val="Compact"/>
              <w:spacing w:after="0" w:before="0" w:line="240" w:lineRule="auto"/>
              <w:jc w:val="left"/>
            </w:pPr>
            <w:r>
              <w:rPr>
                <w:rFonts w:ascii="Arial" w:hAnsi="Arial"/>
                <w:sz w:val="15"/>
              </w:rPr>
              <w:t xml:space="preserve">Rising while handset revenue falls. Monitor credit quality and ABS timing</w:t>
            </w:r>
          </w:p>
        </w:tc>
      </w:tr>
      <w:tr>
        <w:trPr>
          <w:cantSplit/>
        </w:trPr>
        <w:tc>
          <w:tcPr>
            <w:tcW w:type="dxa" w:w="3017"/>
          </w:tcPr>
          <w:p>
            <w:pPr>
              <w:pStyle w:val="Compact"/>
              <w:spacing w:after="0" w:before="0" w:line="240" w:lineRule="auto"/>
              <w:jc w:val="left"/>
            </w:pPr>
            <w:r>
              <w:rPr>
                <w:rFonts w:ascii="Arial" w:hAnsi="Arial"/>
                <w:sz w:val="15"/>
              </w:rPr>
              <w:t xml:space="preserve">Inventory</w:t>
            </w:r>
          </w:p>
        </w:tc>
        <w:tc>
          <w:tcPr>
            <w:tcW w:type="dxa" w:w="1559"/>
          </w:tcPr>
          <w:p>
            <w:pPr>
              <w:pStyle w:val="Compact"/>
              <w:spacing w:after="0" w:before="0" w:line="240" w:lineRule="auto"/>
              <w:jc w:val="right"/>
            </w:pPr>
            <w:r>
              <w:rPr>
                <w:rFonts w:ascii="Arial" w:hAnsi="Arial"/>
                <w:sz w:val="15"/>
              </w:rPr>
              <w:t xml:space="preserve">260bn</w:t>
            </w:r>
          </w:p>
        </w:tc>
        <w:tc>
          <w:tcPr>
            <w:tcW w:type="dxa" w:w="1318"/>
          </w:tcPr>
          <w:p>
            <w:pPr>
              <w:pStyle w:val="Compact"/>
              <w:spacing w:after="0" w:before="0" w:line="240" w:lineRule="auto"/>
              <w:jc w:val="right"/>
            </w:pPr>
            <w:r>
              <w:rPr>
                <w:bCs/>
                <w:rFonts w:ascii="Arial" w:hAnsi="Arial"/>
                <w:b/>
                <w:sz w:val="15"/>
              </w:rPr>
              <w:t xml:space="preserve">+51% QoQ</w:t>
            </w:r>
          </w:p>
        </w:tc>
        <w:tc>
          <w:tcPr>
            <w:tcW w:type="dxa" w:w="4084"/>
          </w:tcPr>
          <w:p>
            <w:pPr>
              <w:pStyle w:val="Compact"/>
              <w:spacing w:after="0" w:before="0" w:line="240" w:lineRule="auto"/>
              <w:jc w:val="left"/>
            </w:pPr>
            <w:r>
              <w:rPr>
                <w:rFonts w:ascii="Arial" w:hAnsi="Arial"/>
                <w:sz w:val="15"/>
              </w:rPr>
              <w:t xml:space="preserve">Probably handset build ahead of 2H launches [u]</w:t>
            </w:r>
          </w:p>
        </w:tc>
      </w:tr>
      <w:tr>
        <w:trPr>
          <w:cantSplit/>
        </w:trPr>
        <w:tc>
          <w:tcPr>
            <w:tcW w:type="dxa" w:w="3017"/>
            <w:shd w:val="clear" w:color="auto" w:fill="F1F2F5"/>
          </w:tcPr>
          <w:p>
            <w:pPr>
              <w:pStyle w:val="Compact"/>
              <w:spacing w:after="0" w:before="0" w:line="240" w:lineRule="auto"/>
              <w:jc w:val="left"/>
            </w:pPr>
            <w:r>
              <w:rPr>
                <w:rFonts w:ascii="Arial" w:hAnsi="Arial"/>
                <w:sz w:val="15"/>
              </w:rPr>
              <w:t xml:space="preserve">Capex (standalone)</w:t>
            </w:r>
          </w:p>
        </w:tc>
        <w:tc>
          <w:tcPr>
            <w:tcW w:type="dxa" w:w="1559"/>
            <w:shd w:val="clear" w:color="auto" w:fill="F1F2F5"/>
          </w:tcPr>
          <w:p>
            <w:pPr>
              <w:pStyle w:val="Compact"/>
              <w:spacing w:after="0" w:before="0" w:line="240" w:lineRule="auto"/>
              <w:jc w:val="right"/>
            </w:pPr>
            <w:r>
              <w:rPr>
                <w:rFonts w:ascii="Arial" w:hAnsi="Arial"/>
                <w:sz w:val="15"/>
              </w:rPr>
              <w:t xml:space="preserve">477.8bn</w:t>
            </w:r>
          </w:p>
        </w:tc>
        <w:tc>
          <w:tcPr>
            <w:tcW w:type="dxa" w:w="1318"/>
            <w:shd w:val="clear" w:color="auto" w:fill="F1F2F5"/>
          </w:tcPr>
          <w:p>
            <w:pPr>
              <w:pStyle w:val="Compact"/>
              <w:spacing w:after="0" w:before="0" w:line="240" w:lineRule="auto"/>
              <w:jc w:val="right"/>
            </w:pPr>
            <w:r>
              <w:rPr>
                <w:bCs/>
                <w:rFonts w:ascii="Arial" w:hAnsi="Arial"/>
                <w:b/>
                <w:sz w:val="15"/>
              </w:rPr>
              <w:t xml:space="preserve">+21.5% YoY</w:t>
            </w:r>
          </w:p>
        </w:tc>
        <w:tc>
          <w:tcPr>
            <w:tcW w:type="dxa" w:w="4084"/>
            <w:shd w:val="clear" w:color="auto" w:fill="F1F2F5"/>
          </w:tcPr>
          <w:p>
            <w:pPr>
              <w:pStyle w:val="Compact"/>
              <w:spacing w:after="0" w:before="0" w:line="240" w:lineRule="auto"/>
              <w:jc w:val="left"/>
            </w:pPr>
            <w:r>
              <w:rPr>
                <w:rFonts w:ascii="Arial" w:hAnsi="Arial"/>
                <w:sz w:val="15"/>
              </w:rPr>
              <w:t xml:space="preserve">AIDC investment turning up</w:t>
            </w:r>
          </w:p>
        </w:tc>
      </w:tr>
      <w:tr>
        <w:trPr>
          <w:cantSplit/>
        </w:trPr>
        <w:tc>
          <w:tcPr>
            <w:tcW w:type="dxa" w:w="3017"/>
          </w:tcPr>
          <w:p>
            <w:pPr>
              <w:pStyle w:val="Compact"/>
              <w:spacing w:after="0" w:before="0" w:line="240" w:lineRule="auto"/>
              <w:jc w:val="left"/>
            </w:pPr>
            <w:r>
              <w:rPr>
                <w:rFonts w:ascii="Arial" w:hAnsi="Arial"/>
                <w:sz w:val="15"/>
              </w:rPr>
              <w:t xml:space="preserve">Effective tax rate</w:t>
            </w:r>
          </w:p>
        </w:tc>
        <w:tc>
          <w:tcPr>
            <w:tcW w:type="dxa" w:w="1559"/>
          </w:tcPr>
          <w:p>
            <w:pPr>
              <w:pStyle w:val="Compact"/>
              <w:spacing w:after="0" w:before="0" w:line="240" w:lineRule="auto"/>
              <w:jc w:val="right"/>
            </w:pPr>
            <w:r>
              <w:rPr>
                <w:rFonts w:ascii="Arial" w:hAnsi="Arial"/>
                <w:sz w:val="15"/>
              </w:rPr>
              <w:t xml:space="preserve">30.9%</w:t>
            </w:r>
          </w:p>
        </w:tc>
        <w:tc>
          <w:tcPr>
            <w:tcW w:type="dxa" w:w="1318"/>
          </w:tcPr>
          <w:p>
            <w:pPr>
              <w:pStyle w:val="Compact"/>
              <w:spacing w:after="0" w:before="0" w:line="240" w:lineRule="auto"/>
              <w:jc w:val="right"/>
            </w:pPr>
            <w:r>
              <w:rPr>
                <w:rFonts w:ascii="Arial" w:hAnsi="Arial"/>
                <w:sz w:val="15"/>
              </w:rPr>
              <w:t xml:space="preserve">1Q26 20.9%</w:t>
            </w:r>
          </w:p>
        </w:tc>
        <w:tc>
          <w:tcPr>
            <w:tcW w:type="dxa" w:w="4084"/>
          </w:tcPr>
          <w:p>
            <w:pPr>
              <w:pStyle w:val="Compact"/>
              <w:spacing w:after="0" w:before="0" w:line="240" w:lineRule="auto"/>
              <w:jc w:val="left"/>
            </w:pPr>
            <w:r>
              <w:rPr>
                <w:rFonts w:ascii="Arial" w:hAnsi="Arial"/>
                <w:sz w:val="15"/>
              </w:rPr>
              <w:t xml:space="preserve">Unexplained. Watch for reversal</w:t>
            </w:r>
          </w:p>
        </w:tc>
      </w:tr>
      <w:tr>
        <w:trPr>
          <w:cantSplit/>
        </w:trPr>
        <w:tc>
          <w:tcPr>
            <w:tcW w:type="dxa" w:w="3017"/>
            <w:shd w:val="clear" w:color="auto" w:fill="F1F2F5"/>
          </w:tcPr>
          <w:p>
            <w:pPr>
              <w:pStyle w:val="Compact"/>
              <w:spacing w:after="0" w:before="0" w:line="240" w:lineRule="auto"/>
              <w:jc w:val="left"/>
            </w:pPr>
            <w:r>
              <w:rPr>
                <w:rFonts w:ascii="Arial" w:hAnsi="Arial"/>
                <w:sz w:val="15"/>
              </w:rPr>
              <w:t xml:space="preserve">Treasury shares</w:t>
            </w:r>
          </w:p>
        </w:tc>
        <w:tc>
          <w:tcPr>
            <w:tcW w:type="dxa" w:w="1559"/>
            <w:shd w:val="clear" w:color="auto" w:fill="F1F2F5"/>
          </w:tcPr>
          <w:p>
            <w:pPr>
              <w:pStyle w:val="Compact"/>
              <w:spacing w:after="0" w:before="0" w:line="240" w:lineRule="auto"/>
              <w:jc w:val="right"/>
            </w:pPr>
            <w:r>
              <w:rPr>
                <w:rFonts w:ascii="Arial" w:hAnsi="Arial"/>
                <w:sz w:val="15"/>
              </w:rPr>
              <w:t xml:space="preserve">0</w:t>
            </w:r>
          </w:p>
        </w:tc>
        <w:tc>
          <w:tcPr>
            <w:tcW w:type="dxa" w:w="1318"/>
            <w:shd w:val="clear" w:color="auto" w:fill="F1F2F5"/>
          </w:tcPr>
          <w:p>
            <w:pPr>
              <w:pStyle w:val="Compact"/>
              <w:spacing w:after="0" w:before="0" w:line="240" w:lineRule="auto"/>
              <w:jc w:val="right"/>
            </w:pPr>
            <w:r>
              <w:rPr>
                <w:rFonts w:ascii="Arial" w:hAnsi="Arial"/>
                <w:sz w:val="15"/>
              </w:rPr>
              <w:t xml:space="preserve">–</w:t>
            </w:r>
          </w:p>
        </w:tc>
        <w:tc>
          <w:tcPr>
            <w:tcW w:type="dxa" w:w="4084"/>
            <w:shd w:val="clear" w:color="auto" w:fill="F1F2F5"/>
          </w:tcPr>
          <w:p>
            <w:pPr>
              <w:pStyle w:val="Compact"/>
              <w:spacing w:after="0" w:before="0" w:line="240" w:lineRule="auto"/>
              <w:jc w:val="left"/>
            </w:pPr>
            <w:r>
              <w:rPr>
                <w:rFonts w:ascii="Arial" w:hAnsi="Arial"/>
                <w:sz w:val="15"/>
              </w:rPr>
              <w:t xml:space="preserve">All cancelled; new buyback under way</w:t>
            </w:r>
          </w:p>
        </w:tc>
      </w:tr>
    </w:tbl>
    <w:bookmarkEnd w:id="77"/>
    <w:bookmarkStart w:id="78" w:name="market-reaction-and-what-was-priced-in"/>
    <w:p>
      <w:pPr>
        <w:pStyle w:val="Heading2"/>
      </w:pPr>
      <w:r>
        <w:t xml:space="preserve">Market reaction and what was priced in</w:t>
      </w:r>
    </w:p>
    <w:p>
      <w:pPr>
        <w:numPr>
          <w:ilvl w:val="0"/>
          <w:numId w:val="1024"/>
        </w:numPr>
        <w:pStyle w:val="Compact"/>
      </w:pPr>
      <w:r>
        <w:t xml:space="preserve">The stock rose</w:t>
      </w:r>
      <w:r>
        <w:t xml:space="preserve"> </w:t>
      </w:r>
      <w:r>
        <w:rPr>
          <w:bCs/>
          <w:b/>
        </w:rPr>
        <w:t xml:space="preserve">+6.6% on 30-Jul-2026</w:t>
      </w:r>
      <w:r>
        <w:t xml:space="preserve"> </w:t>
      </w:r>
      <w:r>
        <w:t xml:space="preserve">(1.95m shares, ~2.5x normal), the day after the board approved the buyback, the dividend and Paju phase 2. The PIPC police referral announced the same day did not dent it.</w:t>
      </w:r>
    </w:p>
    <w:p>
      <w:pPr>
        <w:numPr>
          <w:ilvl w:val="0"/>
          <w:numId w:val="1024"/>
        </w:numPr>
        <w:pStyle w:val="Compact"/>
      </w:pPr>
      <w:r>
        <w:t xml:space="preserve">On results day (6-Aug) it rose only</w:t>
      </w:r>
      <w:r>
        <w:t xml:space="preserve"> </w:t>
      </w:r>
      <w:r>
        <w:rPr>
          <w:bCs/>
          <w:b/>
        </w:rPr>
        <w:t xml:space="preserve">+0.5%</w:t>
      </w:r>
      <w:r>
        <w:t xml:space="preserve">, although the KOSPI fell ~4% intraday [u], and it had faded to 14,660 by 20-Aug.</w:t>
      </w:r>
    </w:p>
    <w:p>
      <w:pPr>
        <w:numPr>
          <w:ilvl w:val="0"/>
          <w:numId w:val="1024"/>
        </w:numPr>
        <w:pStyle w:val="Compact"/>
      </w:pPr>
      <w:r>
        <w:rPr>
          <w:bCs/>
          <w:b/>
        </w:rPr>
        <w:t xml:space="preserve">Signal:</w:t>
      </w:r>
      <w:r>
        <w:t xml:space="preserve"> </w:t>
      </w:r>
      <w:r>
        <w:t xml:space="preserve">investors pay for capital returns and AIDC optionality, not for an operating beat helped by one-offs. The 2H wireless slowdown, rising capex/D&amp;A and the open PIPC case cap the multiple.</w:t>
      </w:r>
    </w:p>
    <w:bookmarkEnd w:id="78"/>
    <w:bookmarkStart w:id="79" w:name="unusual-relative-to-recent-history"/>
    <w:p>
      <w:pPr>
        <w:pStyle w:val="Heading2"/>
      </w:pPr>
      <w:r>
        <w:t xml:space="preserve">Unusual relative to recent history</w:t>
      </w:r>
    </w:p>
    <w:p>
      <w:pPr>
        <w:numPr>
          <w:ilvl w:val="0"/>
          <w:numId w:val="1025"/>
        </w:numPr>
        <w:pStyle w:val="Compact"/>
      </w:pPr>
      <w:r>
        <w:t xml:space="preserve">This is the first revenue decline in the sample (-3.9%) alongside record OP.</w:t>
      </w:r>
    </w:p>
    <w:p>
      <w:pPr>
        <w:numPr>
          <w:ilvl w:val="0"/>
          <w:numId w:val="1025"/>
        </w:numPr>
        <w:pStyle w:val="Compact"/>
      </w:pPr>
      <w:r>
        <w:t xml:space="preserve">OP came in above the highest analyst estimate.</w:t>
      </w:r>
    </w:p>
    <w:p>
      <w:pPr>
        <w:numPr>
          <w:ilvl w:val="0"/>
          <w:numId w:val="1025"/>
        </w:numPr>
        <w:pStyle w:val="Compact"/>
      </w:pPr>
      <w:r>
        <w:t xml:space="preserve">The tax rate was ~31%.</w:t>
      </w:r>
    </w:p>
    <w:p>
      <w:pPr>
        <w:numPr>
          <w:ilvl w:val="0"/>
          <w:numId w:val="1025"/>
        </w:numPr>
        <w:pStyle w:val="Compact"/>
      </w:pPr>
      <w:r>
        <w:t xml:space="preserve">Capex turned up after two years of decline.</w:t>
      </w:r>
    </w:p>
    <w:p>
      <w:pPr>
        <w:numPr>
          <w:ilvl w:val="0"/>
          <w:numId w:val="1025"/>
        </w:numPr>
        <w:pStyle w:val="Compact"/>
      </w:pPr>
      <w:r>
        <w:t xml:space="preserve">Long-term receivables and inventory both stepped up.</w:t>
      </w:r>
    </w:p>
    <w:p>
      <w:pPr>
        <w:numPr>
          <w:ilvl w:val="0"/>
          <w:numId w:val="1025"/>
        </w:numPr>
        <w:pStyle w:val="Compact"/>
      </w:pPr>
      <w:r>
        <w:t xml:space="preserve">Q&amp;A was the thinnest of eight calls (two analysts).</w:t>
      </w:r>
    </w:p>
    <w:bookmarkEnd w:id="79"/>
    <w:bookmarkEnd w:id="80"/>
    <w:bookmarkStart w:id="83" w:name="earnings-forecasts-fy2026efy2028e"/>
    <w:p>
      <w:pPr>
        <w:pStyle w:val="Heading1"/>
      </w:pPr>
      <w:r>
        <w:t xml:space="preserve">Earnings forecasts: FY2026E–FY2028E</w:t>
      </w:r>
    </w:p>
    <w:bookmarkStart w:id="81" w:name="key-assumptions"/>
    <w:p>
      <w:pPr>
        <w:pStyle w:val="Heading2"/>
      </w:pPr>
      <w:r>
        <w:t xml:space="preserve">Key assumptions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2232"/>
        <w:gridCol w:w="1484"/>
        <w:gridCol w:w="1240"/>
        <w:gridCol w:w="1240"/>
        <w:gridCol w:w="3779"/>
      </w:tblGrid>
      <w:tr>
        <w:trPr>
          <w:tblHeader w:val="true"/>
          <w:tblHeader w:val="true"/>
          <w:cantSplit/>
        </w:trPr>
        <w:tc>
          <w:tcPr>
            <w:tcW w:type="dxa" w:w="2232"/>
            <w:shd w:val="clear" w:color="auto" w:fill="13213F"/>
          </w:tcPr>
          <w:p>
            <w:pPr>
              <w:pStyle w:val="Compact"/>
              <w:spacing w:after="0" w:before="0" w:line="240" w:lineRule="auto"/>
              <w:jc w:val="left"/>
            </w:pPr>
            <w:r>
              <w:rPr>
                <w:rFonts w:ascii="Arial" w:hAnsi="Arial"/>
                <w:b/>
                <w:color w:val="FFFFFF"/>
                <w:sz w:val="15"/>
              </w:rPr>
              <w:t xml:space="preserve">Driver</w:t>
            </w:r>
          </w:p>
        </w:tc>
        <w:tc>
          <w:tcPr>
            <w:tcW w:type="dxa" w:w="1485"/>
            <w:shd w:val="clear" w:color="auto" w:fill="13213F"/>
          </w:tcPr>
          <w:p>
            <w:pPr>
              <w:pStyle w:val="Compact"/>
              <w:spacing w:after="0" w:before="0" w:line="240" w:lineRule="auto"/>
              <w:jc w:val="center"/>
            </w:pPr>
            <w:r>
              <w:rPr>
                <w:rFonts w:ascii="Arial" w:hAnsi="Arial"/>
                <w:b/>
                <w:color w:val="FFFFFF"/>
                <w:sz w:val="15"/>
              </w:rPr>
              <w:t xml:space="preserve">FY2026E</w:t>
            </w:r>
          </w:p>
        </w:tc>
        <w:tc>
          <w:tcPr>
            <w:tcW w:type="dxa" w:w="1241"/>
            <w:shd w:val="clear" w:color="auto" w:fill="13213F"/>
          </w:tcPr>
          <w:p>
            <w:pPr>
              <w:pStyle w:val="Compact"/>
              <w:spacing w:after="0" w:before="0" w:line="240" w:lineRule="auto"/>
              <w:jc w:val="center"/>
            </w:pPr>
            <w:r>
              <w:rPr>
                <w:rFonts w:ascii="Arial" w:hAnsi="Arial"/>
                <w:b/>
                <w:color w:val="FFFFFF"/>
                <w:sz w:val="15"/>
              </w:rPr>
              <w:t xml:space="preserve">FY2027E</w:t>
            </w:r>
          </w:p>
        </w:tc>
        <w:tc>
          <w:tcPr>
            <w:tcW w:type="dxa" w:w="1241"/>
            <w:shd w:val="clear" w:color="auto" w:fill="13213F"/>
          </w:tcPr>
          <w:p>
            <w:pPr>
              <w:pStyle w:val="Compact"/>
              <w:spacing w:after="0" w:before="0" w:line="240" w:lineRule="auto"/>
              <w:jc w:val="center"/>
            </w:pPr>
            <w:r>
              <w:rPr>
                <w:rFonts w:ascii="Arial" w:hAnsi="Arial"/>
                <w:b/>
                <w:color w:val="FFFFFF"/>
                <w:sz w:val="15"/>
              </w:rPr>
              <w:t xml:space="preserve">FY2028E</w:t>
            </w:r>
          </w:p>
        </w:tc>
        <w:tc>
          <w:tcPr>
            <w:tcW w:type="dxa" w:w="3780"/>
            <w:shd w:val="clear" w:color="auto" w:fill="13213F"/>
          </w:tcPr>
          <w:p>
            <w:pPr>
              <w:pStyle w:val="Compact"/>
              <w:spacing w:after="0" w:before="0" w:line="240" w:lineRule="auto"/>
              <w:jc w:val="left"/>
            </w:pPr>
            <w:r>
              <w:rPr>
                <w:rFonts w:ascii="Arial" w:hAnsi="Arial"/>
                <w:b/>
                <w:color w:val="FFFFFF"/>
                <w:sz w:val="15"/>
              </w:rPr>
              <w:t xml:space="preserve">Rationale</w:t>
            </w:r>
          </w:p>
        </w:tc>
      </w:tr>
      <w:tr>
        <w:trPr>
          <w:cantSplit/>
        </w:trPr>
        <w:tc>
          <w:tcPr>
            <w:tcW w:type="dxa" w:w="2232"/>
          </w:tcPr>
          <w:p>
            <w:pPr>
              <w:pStyle w:val="Compact"/>
              <w:spacing w:after="0" w:before="0" w:line="240" w:lineRule="auto"/>
              <w:jc w:val="left"/>
            </w:pPr>
            <w:r>
              <w:rPr>
                <w:rFonts w:ascii="Arial" w:hAnsi="Arial"/>
                <w:sz w:val="15"/>
              </w:rPr>
              <w:t xml:space="preserve">Mobile service revenue growth</w:t>
            </w:r>
          </w:p>
        </w:tc>
        <w:tc>
          <w:tcPr>
            <w:tcW w:type="dxa" w:w="1485"/>
          </w:tcPr>
          <w:p>
            <w:pPr>
              <w:pStyle w:val="Compact"/>
              <w:spacing w:after="0" w:before="0" w:line="240" w:lineRule="auto"/>
              <w:jc w:val="center"/>
            </w:pPr>
            <w:r>
              <w:rPr>
                <w:rFonts w:ascii="Arial" w:hAnsi="Arial"/>
                <w:sz w:val="15"/>
              </w:rPr>
              <w:t xml:space="preserve">+2.0%</w:t>
            </w:r>
          </w:p>
        </w:tc>
        <w:tc>
          <w:tcPr>
            <w:tcW w:type="dxa" w:w="1241"/>
          </w:tcPr>
          <w:p>
            <w:pPr>
              <w:pStyle w:val="Compact"/>
              <w:spacing w:after="0" w:before="0" w:line="240" w:lineRule="auto"/>
              <w:jc w:val="center"/>
            </w:pPr>
            <w:r>
              <w:rPr>
                <w:rFonts w:ascii="Arial" w:hAnsi="Arial"/>
                <w:sz w:val="15"/>
              </w:rPr>
              <w:t xml:space="preserve">+1.5%</w:t>
            </w:r>
          </w:p>
        </w:tc>
        <w:tc>
          <w:tcPr>
            <w:tcW w:type="dxa" w:w="1241"/>
          </w:tcPr>
          <w:p>
            <w:pPr>
              <w:pStyle w:val="Compact"/>
              <w:spacing w:after="0" w:before="0" w:line="240" w:lineRule="auto"/>
              <w:jc w:val="center"/>
            </w:pPr>
            <w:r>
              <w:rPr>
                <w:rFonts w:ascii="Arial" w:hAnsi="Arial"/>
                <w:sz w:val="15"/>
              </w:rPr>
              <w:t xml:space="preserve">+1.5%</w:t>
            </w:r>
          </w:p>
        </w:tc>
        <w:tc>
          <w:tcPr>
            <w:tcW w:type="dxa" w:w="3780"/>
          </w:tcPr>
          <w:p>
            <w:pPr>
              <w:pStyle w:val="Compact"/>
              <w:spacing w:after="0" w:before="0" w:line="240" w:lineRule="auto"/>
              <w:jc w:val="left"/>
            </w:pPr>
            <w:r>
              <w:rPr>
                <w:rFonts w:ascii="Arial" w:hAnsi="Arial"/>
                <w:sz w:val="15"/>
              </w:rPr>
              <w:t xml:space="preserve">Rival-breach inflows annualise; 5G saturation; tariff pressure. Volume +1–2%, price flat</w:t>
            </w:r>
          </w:p>
        </w:tc>
      </w:tr>
      <w:tr>
        <w:trPr>
          <w:cantSplit/>
        </w:trPr>
        <w:tc>
          <w:tcPr>
            <w:tcW w:type="dxa" w:w="2232"/>
            <w:shd w:val="clear" w:color="auto" w:fill="F1F2F5"/>
          </w:tcPr>
          <w:p>
            <w:pPr>
              <w:pStyle w:val="Compact"/>
              <w:spacing w:after="0" w:before="0" w:line="240" w:lineRule="auto"/>
              <w:jc w:val="left"/>
            </w:pPr>
            <w:r>
              <w:rPr>
                <w:rFonts w:ascii="Arial" w:hAnsi="Arial"/>
                <w:sz w:val="15"/>
              </w:rPr>
              <w:t xml:space="preserve">Smart Home growth</w:t>
            </w:r>
          </w:p>
        </w:tc>
        <w:tc>
          <w:tcPr>
            <w:tcW w:type="dxa" w:w="1485"/>
            <w:shd w:val="clear" w:color="auto" w:fill="F1F2F5"/>
          </w:tcPr>
          <w:p>
            <w:pPr>
              <w:pStyle w:val="Compact"/>
              <w:spacing w:after="0" w:before="0" w:line="240" w:lineRule="auto"/>
              <w:jc w:val="center"/>
            </w:pPr>
            <w:r>
              <w:rPr>
                <w:rFonts w:ascii="Arial" w:hAnsi="Arial"/>
                <w:sz w:val="15"/>
              </w:rPr>
              <w:t xml:space="preserve">+3.5%</w:t>
            </w:r>
          </w:p>
        </w:tc>
        <w:tc>
          <w:tcPr>
            <w:tcW w:type="dxa" w:w="1241"/>
            <w:shd w:val="clear" w:color="auto" w:fill="F1F2F5"/>
          </w:tcPr>
          <w:p>
            <w:pPr>
              <w:pStyle w:val="Compact"/>
              <w:spacing w:after="0" w:before="0" w:line="240" w:lineRule="auto"/>
              <w:jc w:val="center"/>
            </w:pPr>
            <w:r>
              <w:rPr>
                <w:rFonts w:ascii="Arial" w:hAnsi="Arial"/>
                <w:sz w:val="15"/>
              </w:rPr>
              <w:t xml:space="preserve">+3.0%</w:t>
            </w:r>
          </w:p>
        </w:tc>
        <w:tc>
          <w:tcPr>
            <w:tcW w:type="dxa" w:w="1241"/>
            <w:shd w:val="clear" w:color="auto" w:fill="F1F2F5"/>
          </w:tcPr>
          <w:p>
            <w:pPr>
              <w:pStyle w:val="Compact"/>
              <w:spacing w:after="0" w:before="0" w:line="240" w:lineRule="auto"/>
              <w:jc w:val="center"/>
            </w:pPr>
            <w:r>
              <w:rPr>
                <w:rFonts w:ascii="Arial" w:hAnsi="Arial"/>
                <w:sz w:val="15"/>
              </w:rPr>
              <w:t xml:space="preserve">+3.0%</w:t>
            </w:r>
          </w:p>
        </w:tc>
        <w:tc>
          <w:tcPr>
            <w:tcW w:type="dxa" w:w="3780"/>
            <w:shd w:val="clear" w:color="auto" w:fill="F1F2F5"/>
          </w:tcPr>
          <w:p>
            <w:pPr>
              <w:pStyle w:val="Compact"/>
              <w:spacing w:after="0" w:before="0" w:line="240" w:lineRule="auto"/>
              <w:jc w:val="left"/>
            </w:pPr>
            <w:r>
              <w:rPr>
                <w:rFonts w:ascii="Arial" w:hAnsi="Arial"/>
                <w:sz w:val="15"/>
              </w:rPr>
              <w:t xml:space="preserve">Broadband up-tiering; IPTV flat</w:t>
            </w:r>
          </w:p>
        </w:tc>
      </w:tr>
      <w:tr>
        <w:trPr>
          <w:cantSplit/>
        </w:trPr>
        <w:tc>
          <w:tcPr>
            <w:tcW w:type="dxa" w:w="2232"/>
          </w:tcPr>
          <w:p>
            <w:pPr>
              <w:pStyle w:val="Compact"/>
              <w:spacing w:after="0" w:before="0" w:line="240" w:lineRule="auto"/>
              <w:jc w:val="left"/>
            </w:pPr>
            <w:r>
              <w:rPr>
                <w:rFonts w:ascii="Arial" w:hAnsi="Arial"/>
                <w:sz w:val="15"/>
              </w:rPr>
              <w:t xml:space="preserve">IDC/AIDC revenue growth</w:t>
            </w:r>
          </w:p>
        </w:tc>
        <w:tc>
          <w:tcPr>
            <w:tcW w:type="dxa" w:w="1485"/>
          </w:tcPr>
          <w:p>
            <w:pPr>
              <w:pStyle w:val="Compact"/>
              <w:spacing w:after="0" w:before="0" w:line="240" w:lineRule="auto"/>
              <w:jc w:val="center"/>
            </w:pPr>
            <w:r>
              <w:rPr>
                <w:rFonts w:ascii="Arial" w:hAnsi="Arial"/>
                <w:sz w:val="15"/>
              </w:rPr>
              <w:t xml:space="preserve">+28%</w:t>
            </w:r>
          </w:p>
        </w:tc>
        <w:tc>
          <w:tcPr>
            <w:tcW w:type="dxa" w:w="1241"/>
          </w:tcPr>
          <w:p>
            <w:pPr>
              <w:pStyle w:val="Compact"/>
              <w:spacing w:after="0" w:before="0" w:line="240" w:lineRule="auto"/>
              <w:jc w:val="center"/>
            </w:pPr>
            <w:r>
              <w:rPr>
                <w:rFonts w:ascii="Arial" w:hAnsi="Arial"/>
                <w:sz w:val="15"/>
              </w:rPr>
              <w:t xml:space="preserve">+22%</w:t>
            </w:r>
          </w:p>
        </w:tc>
        <w:tc>
          <w:tcPr>
            <w:tcW w:type="dxa" w:w="1241"/>
          </w:tcPr>
          <w:p>
            <w:pPr>
              <w:pStyle w:val="Compact"/>
              <w:spacing w:after="0" w:before="0" w:line="240" w:lineRule="auto"/>
              <w:jc w:val="center"/>
            </w:pPr>
            <w:r>
              <w:rPr>
                <w:rFonts w:ascii="Arial" w:hAnsi="Arial"/>
                <w:sz w:val="15"/>
              </w:rPr>
              <w:t xml:space="preserve">+30%</w:t>
            </w:r>
          </w:p>
        </w:tc>
        <w:tc>
          <w:tcPr>
            <w:tcW w:type="dxa" w:w="3780"/>
          </w:tcPr>
          <w:p>
            <w:pPr>
              <w:pStyle w:val="Compact"/>
              <w:spacing w:after="0" w:before="0" w:line="240" w:lineRule="auto"/>
              <w:jc w:val="left"/>
            </w:pPr>
            <w:r>
              <w:rPr>
                <w:rFonts w:ascii="Arial" w:hAnsi="Arial"/>
                <w:sz w:val="15"/>
              </w:rPr>
              <w:t xml:space="preserve">Colocation pricing; Paju DC1 (50MW) from Jun-2027; DC2/3 from Nov-2028</w:t>
            </w:r>
          </w:p>
        </w:tc>
      </w:tr>
      <w:tr>
        <w:trPr>
          <w:cantSplit/>
        </w:trPr>
        <w:tc>
          <w:tcPr>
            <w:tcW w:type="dxa" w:w="2232"/>
            <w:shd w:val="clear" w:color="auto" w:fill="F1F2F5"/>
          </w:tcPr>
          <w:p>
            <w:pPr>
              <w:pStyle w:val="Compact"/>
              <w:spacing w:after="0" w:before="0" w:line="240" w:lineRule="auto"/>
              <w:jc w:val="left"/>
            </w:pPr>
            <w:r>
              <w:rPr>
                <w:rFonts w:ascii="Arial" w:hAnsi="Arial"/>
                <w:sz w:val="15"/>
              </w:rPr>
              <w:t xml:space="preserve">Other enterprise</w:t>
            </w:r>
          </w:p>
        </w:tc>
        <w:tc>
          <w:tcPr>
            <w:tcW w:type="dxa" w:w="1485"/>
            <w:shd w:val="clear" w:color="auto" w:fill="F1F2F5"/>
          </w:tcPr>
          <w:p>
            <w:pPr>
              <w:pStyle w:val="Compact"/>
              <w:spacing w:after="0" w:before="0" w:line="240" w:lineRule="auto"/>
              <w:jc w:val="center"/>
            </w:pPr>
            <w:r>
              <w:rPr>
                <w:rFonts w:ascii="Arial" w:hAnsi="Arial"/>
                <w:sz w:val="15"/>
              </w:rPr>
              <w:t xml:space="preserve">+2%</w:t>
            </w:r>
          </w:p>
        </w:tc>
        <w:tc>
          <w:tcPr>
            <w:tcW w:type="dxa" w:w="1241"/>
            <w:shd w:val="clear" w:color="auto" w:fill="F1F2F5"/>
          </w:tcPr>
          <w:p>
            <w:pPr>
              <w:pStyle w:val="Compact"/>
              <w:spacing w:after="0" w:before="0" w:line="240" w:lineRule="auto"/>
              <w:jc w:val="center"/>
            </w:pPr>
            <w:r>
              <w:rPr>
                <w:rFonts w:ascii="Arial" w:hAnsi="Arial"/>
                <w:sz w:val="15"/>
              </w:rPr>
              <w:t xml:space="preserve">+2%</w:t>
            </w:r>
          </w:p>
        </w:tc>
        <w:tc>
          <w:tcPr>
            <w:tcW w:type="dxa" w:w="1241"/>
            <w:shd w:val="clear" w:color="auto" w:fill="F1F2F5"/>
          </w:tcPr>
          <w:p>
            <w:pPr>
              <w:pStyle w:val="Compact"/>
              <w:spacing w:after="0" w:before="0" w:line="240" w:lineRule="auto"/>
              <w:jc w:val="center"/>
            </w:pPr>
            <w:r>
              <w:rPr>
                <w:rFonts w:ascii="Arial" w:hAnsi="Arial"/>
                <w:sz w:val="15"/>
              </w:rPr>
              <w:t xml:space="preserve">+2%</w:t>
            </w:r>
          </w:p>
        </w:tc>
        <w:tc>
          <w:tcPr>
            <w:tcW w:type="dxa" w:w="3780"/>
            <w:shd w:val="clear" w:color="auto" w:fill="F1F2F5"/>
          </w:tcPr>
          <w:p>
            <w:pPr>
              <w:pStyle w:val="Compact"/>
              <w:spacing w:after="0" w:before="0" w:line="240" w:lineRule="auto"/>
              <w:jc w:val="left"/>
            </w:pPr>
            <w:r>
              <w:rPr>
                <w:rFonts w:ascii="Arial" w:hAnsi="Arial"/>
                <w:sz w:val="15"/>
              </w:rPr>
              <w:t xml:space="preserve">Lines and solutions flat to low growth</w:t>
            </w:r>
          </w:p>
        </w:tc>
      </w:tr>
      <w:tr>
        <w:trPr>
          <w:cantSplit/>
        </w:trPr>
        <w:tc>
          <w:tcPr>
            <w:tcW w:type="dxa" w:w="2232"/>
          </w:tcPr>
          <w:p>
            <w:pPr>
              <w:pStyle w:val="Compact"/>
              <w:spacing w:after="0" w:before="0" w:line="240" w:lineRule="auto"/>
              <w:jc w:val="left"/>
            </w:pPr>
            <w:r>
              <w:rPr>
                <w:rFonts w:ascii="Arial" w:hAnsi="Arial"/>
                <w:sz w:val="15"/>
              </w:rPr>
              <w:t xml:space="preserve">LGHV and other subsidiaries (service)</w:t>
            </w:r>
          </w:p>
        </w:tc>
        <w:tc>
          <w:tcPr>
            <w:tcW w:type="dxa" w:w="1485"/>
          </w:tcPr>
          <w:p>
            <w:pPr>
              <w:pStyle w:val="Compact"/>
              <w:spacing w:after="0" w:before="0" w:line="240" w:lineRule="auto"/>
              <w:jc w:val="center"/>
            </w:pPr>
            <w:r>
              <w:rPr>
                <w:rFonts w:ascii="Arial" w:hAnsi="Arial"/>
                <w:sz w:val="15"/>
              </w:rPr>
              <w:t xml:space="preserve">-10%</w:t>
            </w:r>
          </w:p>
        </w:tc>
        <w:tc>
          <w:tcPr>
            <w:tcW w:type="dxa" w:w="1241"/>
          </w:tcPr>
          <w:p>
            <w:pPr>
              <w:pStyle w:val="Compact"/>
              <w:spacing w:after="0" w:before="0" w:line="240" w:lineRule="auto"/>
              <w:jc w:val="center"/>
            </w:pPr>
            <w:r>
              <w:rPr>
                <w:rFonts w:ascii="Arial" w:hAnsi="Arial"/>
                <w:sz w:val="15"/>
              </w:rPr>
              <w:t xml:space="preserve">-5%</w:t>
            </w:r>
          </w:p>
        </w:tc>
        <w:tc>
          <w:tcPr>
            <w:tcW w:type="dxa" w:w="1241"/>
          </w:tcPr>
          <w:p>
            <w:pPr>
              <w:pStyle w:val="Compact"/>
              <w:spacing w:after="0" w:before="0" w:line="240" w:lineRule="auto"/>
              <w:jc w:val="center"/>
            </w:pPr>
            <w:r>
              <w:rPr>
                <w:rFonts w:ascii="Arial" w:hAnsi="Arial"/>
                <w:sz w:val="15"/>
              </w:rPr>
              <w:t xml:space="preserve">-3%</w:t>
            </w:r>
          </w:p>
        </w:tc>
        <w:tc>
          <w:tcPr>
            <w:tcW w:type="dxa" w:w="3780"/>
          </w:tcPr>
          <w:p>
            <w:pPr>
              <w:pStyle w:val="Compact"/>
              <w:spacing w:after="0" w:before="0" w:line="240" w:lineRule="auto"/>
              <w:jc w:val="left"/>
            </w:pPr>
            <w:r>
              <w:rPr>
                <w:rFonts w:ascii="Arial" w:hAnsi="Arial"/>
                <w:sz w:val="15"/>
              </w:rPr>
              <w:t xml:space="preserve">Cable decline, MVNO pricing</w:t>
            </w:r>
          </w:p>
        </w:tc>
      </w:tr>
      <w:tr>
        <w:trPr>
          <w:cantSplit/>
        </w:trPr>
        <w:tc>
          <w:tcPr>
            <w:tcW w:type="dxa" w:w="2232"/>
            <w:shd w:val="clear" w:color="auto" w:fill="F1F2F5"/>
          </w:tcPr>
          <w:p>
            <w:pPr>
              <w:pStyle w:val="Compact"/>
              <w:spacing w:after="0" w:before="0" w:line="240" w:lineRule="auto"/>
              <w:jc w:val="left"/>
            </w:pPr>
            <w:r>
              <w:rPr>
                <w:rFonts w:ascii="Arial" w:hAnsi="Arial"/>
                <w:sz w:val="15"/>
              </w:rPr>
              <w:t xml:space="preserve">Handset sales</w:t>
            </w:r>
          </w:p>
        </w:tc>
        <w:tc>
          <w:tcPr>
            <w:tcW w:type="dxa" w:w="1485"/>
            <w:shd w:val="clear" w:color="auto" w:fill="F1F2F5"/>
          </w:tcPr>
          <w:p>
            <w:pPr>
              <w:pStyle w:val="Compact"/>
              <w:spacing w:after="0" w:before="0" w:line="240" w:lineRule="auto"/>
              <w:jc w:val="center"/>
            </w:pPr>
            <w:r>
              <w:rPr>
                <w:rFonts w:ascii="Arial" w:hAnsi="Arial"/>
                <w:sz w:val="15"/>
              </w:rPr>
              <w:t xml:space="preserve">-11%</w:t>
            </w:r>
          </w:p>
        </w:tc>
        <w:tc>
          <w:tcPr>
            <w:tcW w:type="dxa" w:w="1241"/>
            <w:shd w:val="clear" w:color="auto" w:fill="F1F2F5"/>
          </w:tcPr>
          <w:p>
            <w:pPr>
              <w:pStyle w:val="Compact"/>
              <w:spacing w:after="0" w:before="0" w:line="240" w:lineRule="auto"/>
              <w:jc w:val="center"/>
            </w:pPr>
            <w:r>
              <w:rPr>
                <w:rFonts w:ascii="Arial" w:hAnsi="Arial"/>
                <w:sz w:val="15"/>
              </w:rPr>
              <w:t xml:space="preserve">flat</w:t>
            </w:r>
          </w:p>
        </w:tc>
        <w:tc>
          <w:tcPr>
            <w:tcW w:type="dxa" w:w="1241"/>
            <w:shd w:val="clear" w:color="auto" w:fill="F1F2F5"/>
          </w:tcPr>
          <w:p>
            <w:pPr>
              <w:pStyle w:val="Compact"/>
              <w:spacing w:after="0" w:before="0" w:line="240" w:lineRule="auto"/>
              <w:jc w:val="center"/>
            </w:pPr>
            <w:r>
              <w:rPr>
                <w:rFonts w:ascii="Arial" w:hAnsi="Arial"/>
                <w:sz w:val="15"/>
              </w:rPr>
              <w:t xml:space="preserve">flat</w:t>
            </w:r>
          </w:p>
        </w:tc>
        <w:tc>
          <w:tcPr>
            <w:tcW w:type="dxa" w:w="3780"/>
            <w:shd w:val="clear" w:color="auto" w:fill="F1F2F5"/>
          </w:tcPr>
          <w:p>
            <w:pPr>
              <w:pStyle w:val="Compact"/>
              <w:spacing w:after="0" w:before="0" w:line="240" w:lineRule="auto"/>
              <w:jc w:val="left"/>
            </w:pPr>
            <w:r>
              <w:rPr>
                <w:rFonts w:ascii="Arial" w:hAnsi="Arial"/>
                <w:sz w:val="15"/>
              </w:rPr>
              <w:t xml:space="preserve">Normalisation after the FY25 spike</w:t>
            </w:r>
          </w:p>
        </w:tc>
      </w:tr>
      <w:tr>
        <w:trPr>
          <w:cantSplit/>
        </w:trPr>
        <w:tc>
          <w:tcPr>
            <w:tcW w:type="dxa" w:w="2232"/>
          </w:tcPr>
          <w:p>
            <w:pPr>
              <w:pStyle w:val="Compact"/>
              <w:spacing w:after="0" w:before="0" w:line="240" w:lineRule="auto"/>
              <w:jc w:val="left"/>
            </w:pPr>
            <w:r>
              <w:rPr>
                <w:rFonts w:ascii="Arial" w:hAnsi="Arial"/>
                <w:sz w:val="15"/>
              </w:rPr>
              <w:t xml:space="preserve">Market share</w:t>
            </w:r>
          </w:p>
        </w:tc>
        <w:tc>
          <w:tcPr>
            <w:tcW w:type="dxa" w:w="1485"/>
          </w:tcPr>
          <w:p>
            <w:pPr>
              <w:pStyle w:val="Compact"/>
              <w:spacing w:after="0" w:before="0" w:line="240" w:lineRule="auto"/>
              <w:jc w:val="center"/>
            </w:pPr>
            <w:r>
              <w:rPr>
                <w:rFonts w:ascii="Arial" w:hAnsi="Arial"/>
                <w:sz w:val="15"/>
              </w:rPr>
              <w:t xml:space="preserve">Stable ~21% handsets</w:t>
            </w:r>
          </w:p>
        </w:tc>
        <w:tc>
          <w:tcPr>
            <w:tcW w:type="dxa" w:w="1241"/>
          </w:tcPr>
          <w:p>
            <w:pPr>
              <w:pStyle w:val="Compact"/>
              <w:spacing w:after="0" w:before="0" w:line="240" w:lineRule="auto"/>
              <w:jc w:val="center"/>
            </w:pPr>
            <w:r>
              <w:rPr>
                <w:rFonts w:ascii="Arial" w:hAnsi="Arial"/>
                <w:sz w:val="15"/>
              </w:rPr>
              <w:t xml:space="preserve">Stable</w:t>
            </w:r>
          </w:p>
        </w:tc>
        <w:tc>
          <w:tcPr>
            <w:tcW w:type="dxa" w:w="1241"/>
          </w:tcPr>
          <w:p>
            <w:pPr>
              <w:pStyle w:val="Compact"/>
              <w:spacing w:after="0" w:before="0" w:line="240" w:lineRule="auto"/>
              <w:jc w:val="center"/>
            </w:pPr>
            <w:r>
              <w:rPr>
                <w:rFonts w:ascii="Arial" w:hAnsi="Arial"/>
                <w:sz w:val="15"/>
              </w:rPr>
              <w:t xml:space="preserve">Stable</w:t>
            </w:r>
          </w:p>
        </w:tc>
        <w:tc>
          <w:tcPr>
            <w:tcW w:type="dxa" w:w="3780"/>
          </w:tcPr>
          <w:p>
            <w:pPr>
              <w:pStyle w:val="Compact"/>
              <w:spacing w:after="0" w:before="0" w:line="240" w:lineRule="auto"/>
              <w:jc w:val="left"/>
            </w:pPr>
            <w:r>
              <w:rPr>
                <w:rFonts w:ascii="Arial" w:hAnsi="Arial"/>
                <w:sz w:val="15"/>
              </w:rPr>
              <w:t xml:space="preserve">We do not assume further breach-driven gains</w:t>
            </w:r>
          </w:p>
        </w:tc>
      </w:tr>
      <w:tr>
        <w:trPr>
          <w:cantSplit/>
        </w:trPr>
        <w:tc>
          <w:tcPr>
            <w:tcW w:type="dxa" w:w="2232"/>
            <w:shd w:val="clear" w:color="auto" w:fill="F1F2F5"/>
          </w:tcPr>
          <w:p>
            <w:pPr>
              <w:pStyle w:val="Compact"/>
              <w:spacing w:after="0" w:before="0" w:line="240" w:lineRule="auto"/>
              <w:jc w:val="left"/>
            </w:pPr>
            <w:r>
              <w:rPr>
                <w:rFonts w:ascii="Arial" w:hAnsi="Arial"/>
                <w:sz w:val="15"/>
              </w:rPr>
              <w:t xml:space="preserve">Marketing</w:t>
            </w:r>
          </w:p>
        </w:tc>
        <w:tc>
          <w:tcPr>
            <w:tcW w:type="dxa" w:w="1485"/>
            <w:shd w:val="clear" w:color="auto" w:fill="F1F2F5"/>
          </w:tcPr>
          <w:p>
            <w:pPr>
              <w:pStyle w:val="Compact"/>
              <w:spacing w:after="0" w:before="0" w:line="240" w:lineRule="auto"/>
              <w:jc w:val="center"/>
            </w:pPr>
            <w:r>
              <w:rPr>
                <w:rFonts w:ascii="Arial" w:hAnsi="Arial"/>
                <w:sz w:val="15"/>
              </w:rPr>
              <w:t xml:space="preserve">~20% of service revenue</w:t>
            </w:r>
          </w:p>
        </w:tc>
        <w:tc>
          <w:tcPr>
            <w:tcW w:type="dxa" w:w="1241"/>
            <w:shd w:val="clear" w:color="auto" w:fill="F1F2F5"/>
          </w:tcPr>
          <w:p>
            <w:pPr>
              <w:pStyle w:val="Compact"/>
              <w:spacing w:after="0" w:before="0" w:line="240" w:lineRule="auto"/>
              <w:jc w:val="center"/>
            </w:pPr>
            <w:r>
              <w:rPr>
                <w:rFonts w:ascii="Arial" w:hAnsi="Arial"/>
                <w:sz w:val="15"/>
              </w:rPr>
              <w:t xml:space="preserve">+KRW15bn</w:t>
            </w:r>
          </w:p>
        </w:tc>
        <w:tc>
          <w:tcPr>
            <w:tcW w:type="dxa" w:w="1241"/>
            <w:shd w:val="clear" w:color="auto" w:fill="F1F2F5"/>
          </w:tcPr>
          <w:p>
            <w:pPr>
              <w:pStyle w:val="Compact"/>
              <w:spacing w:after="0" w:before="0" w:line="240" w:lineRule="auto"/>
              <w:jc w:val="center"/>
            </w:pPr>
            <w:r>
              <w:rPr>
                <w:rFonts w:ascii="Arial" w:hAnsi="Arial"/>
                <w:sz w:val="15"/>
              </w:rPr>
              <w:t xml:space="preserve">+KRW15bn</w:t>
            </w:r>
          </w:p>
        </w:tc>
        <w:tc>
          <w:tcPr>
            <w:tcW w:type="dxa" w:w="3780"/>
            <w:shd w:val="clear" w:color="auto" w:fill="F1F2F5"/>
          </w:tcPr>
          <w:p>
            <w:pPr>
              <w:pStyle w:val="Compact"/>
              <w:spacing w:after="0" w:before="0" w:line="240" w:lineRule="auto"/>
              <w:jc w:val="left"/>
            </w:pPr>
            <w:r>
              <w:rPr>
                <w:rFonts w:ascii="Arial" w:hAnsi="Arial"/>
                <w:sz w:val="15"/>
              </w:rPr>
              <w:t xml:space="preserve">Amortisation of 2025–26 acquisition costs; no subsidy war in base case</w:t>
            </w:r>
          </w:p>
        </w:tc>
      </w:tr>
      <w:tr>
        <w:trPr>
          <w:cantSplit/>
        </w:trPr>
        <w:tc>
          <w:tcPr>
            <w:tcW w:type="dxa" w:w="2232"/>
          </w:tcPr>
          <w:p>
            <w:pPr>
              <w:pStyle w:val="Compact"/>
              <w:spacing w:after="0" w:before="0" w:line="240" w:lineRule="auto"/>
              <w:jc w:val="left"/>
            </w:pPr>
            <w:r>
              <w:rPr>
                <w:rFonts w:ascii="Arial" w:hAnsi="Arial"/>
                <w:sz w:val="15"/>
              </w:rPr>
              <w:t xml:space="preserve">Labour</w:t>
            </w:r>
          </w:p>
        </w:tc>
        <w:tc>
          <w:tcPr>
            <w:tcW w:type="dxa" w:w="1485"/>
          </w:tcPr>
          <w:p>
            <w:pPr>
              <w:pStyle w:val="Compact"/>
              <w:spacing w:after="0" w:before="0" w:line="240" w:lineRule="auto"/>
              <w:jc w:val="center"/>
            </w:pPr>
            <w:r>
              <w:rPr>
                <w:rFonts w:ascii="Arial" w:hAnsi="Arial"/>
                <w:sz w:val="15"/>
              </w:rPr>
              <w:t xml:space="preserve">ERP savings</w:t>
            </w:r>
          </w:p>
        </w:tc>
        <w:tc>
          <w:tcPr>
            <w:tcW w:type="dxa" w:w="1241"/>
          </w:tcPr>
          <w:p>
            <w:pPr>
              <w:pStyle w:val="Compact"/>
              <w:spacing w:after="0" w:before="0" w:line="240" w:lineRule="auto"/>
              <w:jc w:val="center"/>
            </w:pPr>
            <w:r>
              <w:rPr>
                <w:rFonts w:ascii="Arial" w:hAnsi="Arial"/>
                <w:sz w:val="15"/>
              </w:rPr>
              <w:t xml:space="preserve">+3.5%</w:t>
            </w:r>
          </w:p>
        </w:tc>
        <w:tc>
          <w:tcPr>
            <w:tcW w:type="dxa" w:w="1241"/>
          </w:tcPr>
          <w:p>
            <w:pPr>
              <w:pStyle w:val="Compact"/>
              <w:spacing w:after="0" w:before="0" w:line="240" w:lineRule="auto"/>
              <w:jc w:val="center"/>
            </w:pPr>
            <w:r>
              <w:rPr>
                <w:rFonts w:ascii="Arial" w:hAnsi="Arial"/>
                <w:sz w:val="15"/>
              </w:rPr>
              <w:t xml:space="preserve">+3.5%</w:t>
            </w:r>
          </w:p>
        </w:tc>
        <w:tc>
          <w:tcPr>
            <w:tcW w:type="dxa" w:w="3780"/>
          </w:tcPr>
          <w:p>
            <w:pPr>
              <w:pStyle w:val="Compact"/>
              <w:spacing w:after="0" w:before="0" w:line="240" w:lineRule="auto"/>
              <w:jc w:val="left"/>
            </w:pPr>
            <w:r>
              <w:rPr>
                <w:rFonts w:ascii="Arial" w:hAnsi="Arial"/>
                <w:sz w:val="15"/>
              </w:rPr>
              <w:t xml:space="preserve">~KRW50bn a year of wage inflation</w:t>
            </w:r>
          </w:p>
        </w:tc>
      </w:tr>
      <w:tr>
        <w:trPr>
          <w:cantSplit/>
        </w:trPr>
        <w:tc>
          <w:tcPr>
            <w:tcW w:type="dxa" w:w="2232"/>
            <w:shd w:val="clear" w:color="auto" w:fill="F1F2F5"/>
          </w:tcPr>
          <w:p>
            <w:pPr>
              <w:pStyle w:val="Compact"/>
              <w:spacing w:after="0" w:before="0" w:line="240" w:lineRule="auto"/>
              <w:jc w:val="left"/>
            </w:pPr>
            <w:r>
              <w:rPr>
                <w:rFonts w:ascii="Arial" w:hAnsi="Arial"/>
                <w:sz w:val="15"/>
              </w:rPr>
              <w:t xml:space="preserve">D&amp;A</w:t>
            </w:r>
          </w:p>
        </w:tc>
        <w:tc>
          <w:tcPr>
            <w:tcW w:type="dxa" w:w="1485"/>
            <w:shd w:val="clear" w:color="auto" w:fill="F1F2F5"/>
          </w:tcPr>
          <w:p>
            <w:pPr>
              <w:pStyle w:val="Compact"/>
              <w:spacing w:after="0" w:before="0" w:line="240" w:lineRule="auto"/>
              <w:jc w:val="center"/>
            </w:pPr>
            <w:r>
              <w:rPr>
                <w:rFonts w:ascii="Arial" w:hAnsi="Arial"/>
                <w:sz w:val="15"/>
              </w:rPr>
              <w:t xml:space="preserve">KRW2.77tn</w:t>
            </w:r>
          </w:p>
        </w:tc>
        <w:tc>
          <w:tcPr>
            <w:tcW w:type="dxa" w:w="1241"/>
            <w:shd w:val="clear" w:color="auto" w:fill="F1F2F5"/>
          </w:tcPr>
          <w:p>
            <w:pPr>
              <w:pStyle w:val="Compact"/>
              <w:spacing w:after="0" w:before="0" w:line="240" w:lineRule="auto"/>
              <w:jc w:val="center"/>
            </w:pPr>
            <w:r>
              <w:rPr>
                <w:rFonts w:ascii="Arial" w:hAnsi="Arial"/>
                <w:sz w:val="15"/>
              </w:rPr>
              <w:t xml:space="preserve">KRW2.76tn</w:t>
            </w:r>
          </w:p>
        </w:tc>
        <w:tc>
          <w:tcPr>
            <w:tcW w:type="dxa" w:w="1241"/>
            <w:shd w:val="clear" w:color="auto" w:fill="F1F2F5"/>
          </w:tcPr>
          <w:p>
            <w:pPr>
              <w:pStyle w:val="Compact"/>
              <w:spacing w:after="0" w:before="0" w:line="240" w:lineRule="auto"/>
              <w:jc w:val="center"/>
            </w:pPr>
            <w:r>
              <w:rPr>
                <w:rFonts w:ascii="Arial" w:hAnsi="Arial"/>
                <w:sz w:val="15"/>
              </w:rPr>
              <w:t xml:space="preserve">KRW2.79tn</w:t>
            </w:r>
          </w:p>
        </w:tc>
        <w:tc>
          <w:tcPr>
            <w:tcW w:type="dxa" w:w="3780"/>
            <w:shd w:val="clear" w:color="auto" w:fill="F1F2F5"/>
          </w:tcPr>
          <w:p>
            <w:pPr>
              <w:pStyle w:val="Compact"/>
              <w:spacing w:after="0" w:before="0" w:line="240" w:lineRule="auto"/>
              <w:jc w:val="left"/>
            </w:pPr>
            <w:r>
              <w:rPr>
                <w:rFonts w:ascii="Arial" w:hAnsi="Arial"/>
                <w:sz w:val="15"/>
              </w:rPr>
              <w:t xml:space="preserve">Network D&amp;A declines; AIDC depreciation from mid-2027; spectrum re-allocation roughly neutral</w:t>
            </w:r>
          </w:p>
        </w:tc>
      </w:tr>
      <w:tr>
        <w:trPr>
          <w:cantSplit/>
        </w:trPr>
        <w:tc>
          <w:tcPr>
            <w:tcW w:type="dxa" w:w="2232"/>
          </w:tcPr>
          <w:p>
            <w:pPr>
              <w:pStyle w:val="Compact"/>
              <w:spacing w:after="0" w:before="0" w:line="240" w:lineRule="auto"/>
              <w:jc w:val="left"/>
            </w:pPr>
            <w:r>
              <w:rPr>
                <w:rFonts w:ascii="Arial" w:hAnsi="Arial"/>
                <w:sz w:val="15"/>
              </w:rPr>
              <w:t xml:space="preserve">Net interest</w:t>
            </w:r>
          </w:p>
        </w:tc>
        <w:tc>
          <w:tcPr>
            <w:tcW w:type="dxa" w:w="1485"/>
          </w:tcPr>
          <w:p>
            <w:pPr>
              <w:pStyle w:val="Compact"/>
              <w:spacing w:after="0" w:before="0" w:line="240" w:lineRule="auto"/>
              <w:jc w:val="center"/>
            </w:pPr>
            <w:r>
              <w:rPr>
                <w:rFonts w:ascii="Arial" w:hAnsi="Arial"/>
                <w:sz w:val="15"/>
              </w:rPr>
              <w:t xml:space="preserve">-KRW190bn</w:t>
            </w:r>
          </w:p>
        </w:tc>
        <w:tc>
          <w:tcPr>
            <w:tcW w:type="dxa" w:w="1241"/>
          </w:tcPr>
          <w:p>
            <w:pPr>
              <w:pStyle w:val="Compact"/>
              <w:spacing w:after="0" w:before="0" w:line="240" w:lineRule="auto"/>
              <w:jc w:val="center"/>
            </w:pPr>
            <w:r>
              <w:rPr>
                <w:rFonts w:ascii="Arial" w:hAnsi="Arial"/>
                <w:sz w:val="15"/>
              </w:rPr>
              <w:t xml:space="preserve">-KRW185bn</w:t>
            </w:r>
          </w:p>
        </w:tc>
        <w:tc>
          <w:tcPr>
            <w:tcW w:type="dxa" w:w="1241"/>
          </w:tcPr>
          <w:p>
            <w:pPr>
              <w:pStyle w:val="Compact"/>
              <w:spacing w:after="0" w:before="0" w:line="240" w:lineRule="auto"/>
              <w:jc w:val="center"/>
            </w:pPr>
            <w:r>
              <w:rPr>
                <w:rFonts w:ascii="Arial" w:hAnsi="Arial"/>
                <w:sz w:val="15"/>
              </w:rPr>
              <w:t xml:space="preserve">-KRW190bn</w:t>
            </w:r>
          </w:p>
        </w:tc>
        <w:tc>
          <w:tcPr>
            <w:tcW w:type="dxa" w:w="3780"/>
          </w:tcPr>
          <w:p>
            <w:pPr>
              <w:pStyle w:val="Compact"/>
              <w:spacing w:after="0" w:before="0" w:line="240" w:lineRule="auto"/>
              <w:jc w:val="left"/>
            </w:pPr>
            <w:r>
              <w:rPr>
                <w:rFonts w:ascii="Arial" w:hAnsi="Arial"/>
                <w:sz w:val="15"/>
              </w:rPr>
              <w:t xml:space="preserve">Rates up ~50bp; net debt broadly flat as AIDC capex absorbs FCF</w:t>
            </w:r>
          </w:p>
        </w:tc>
      </w:tr>
      <w:tr>
        <w:trPr>
          <w:cantSplit/>
        </w:trPr>
        <w:tc>
          <w:tcPr>
            <w:tcW w:type="dxa" w:w="2232"/>
            <w:shd w:val="clear" w:color="auto" w:fill="F1F2F5"/>
          </w:tcPr>
          <w:p>
            <w:pPr>
              <w:pStyle w:val="Compact"/>
              <w:spacing w:after="0" w:before="0" w:line="240" w:lineRule="auto"/>
              <w:jc w:val="left"/>
            </w:pPr>
            <w:r>
              <w:rPr>
                <w:rFonts w:ascii="Arial" w:hAnsi="Arial"/>
                <w:sz w:val="15"/>
              </w:rPr>
              <w:t xml:space="preserve">Other non-operating</w:t>
            </w:r>
          </w:p>
        </w:tc>
        <w:tc>
          <w:tcPr>
            <w:tcW w:type="dxa" w:w="1485"/>
            <w:shd w:val="clear" w:color="auto" w:fill="F1F2F5"/>
          </w:tcPr>
          <w:p>
            <w:pPr>
              <w:pStyle w:val="Compact"/>
              <w:spacing w:after="0" w:before="0" w:line="240" w:lineRule="auto"/>
              <w:jc w:val="center"/>
            </w:pPr>
            <w:r>
              <w:rPr>
                <w:rFonts w:ascii="Arial" w:hAnsi="Arial"/>
                <w:sz w:val="15"/>
              </w:rPr>
              <w:t xml:space="preserve">-KRW15bn</w:t>
            </w:r>
          </w:p>
        </w:tc>
        <w:tc>
          <w:tcPr>
            <w:tcW w:type="dxa" w:w="1241"/>
            <w:shd w:val="clear" w:color="auto" w:fill="F1F2F5"/>
          </w:tcPr>
          <w:p>
            <w:pPr>
              <w:pStyle w:val="Compact"/>
              <w:spacing w:after="0" w:before="0" w:line="240" w:lineRule="auto"/>
              <w:jc w:val="center"/>
            </w:pPr>
            <w:r>
              <w:rPr>
                <w:rFonts w:ascii="Arial" w:hAnsi="Arial"/>
                <w:sz w:val="15"/>
              </w:rPr>
              <w:t xml:space="preserve">-KRW30bn</w:t>
            </w:r>
          </w:p>
        </w:tc>
        <w:tc>
          <w:tcPr>
            <w:tcW w:type="dxa" w:w="1241"/>
            <w:shd w:val="clear" w:color="auto" w:fill="F1F2F5"/>
          </w:tcPr>
          <w:p>
            <w:pPr>
              <w:pStyle w:val="Compact"/>
              <w:spacing w:after="0" w:before="0" w:line="240" w:lineRule="auto"/>
              <w:jc w:val="center"/>
            </w:pPr>
            <w:r>
              <w:rPr>
                <w:rFonts w:ascii="Arial" w:hAnsi="Arial"/>
                <w:sz w:val="15"/>
              </w:rPr>
              <w:t xml:space="preserve">-KRW30bn</w:t>
            </w:r>
          </w:p>
        </w:tc>
        <w:tc>
          <w:tcPr>
            <w:tcW w:type="dxa" w:w="3780"/>
            <w:shd w:val="clear" w:color="auto" w:fill="F1F2F5"/>
          </w:tcPr>
          <w:p>
            <w:pPr>
              <w:pStyle w:val="Compact"/>
              <w:spacing w:after="0" w:before="0" w:line="240" w:lineRule="auto"/>
              <w:jc w:val="left"/>
            </w:pPr>
            <w:r>
              <w:rPr>
                <w:rFonts w:ascii="Arial" w:hAnsi="Arial"/>
                <w:sz w:val="15"/>
              </w:rPr>
              <w:t xml:space="preserve">Disposal losses and write-downs (5-year average ex-FY24 about -KRW30bn)</w:t>
            </w:r>
          </w:p>
        </w:tc>
      </w:tr>
      <w:tr>
        <w:trPr>
          <w:cantSplit/>
        </w:trPr>
        <w:tc>
          <w:tcPr>
            <w:tcW w:type="dxa" w:w="2232"/>
          </w:tcPr>
          <w:p>
            <w:pPr>
              <w:pStyle w:val="Compact"/>
              <w:spacing w:after="0" w:before="0" w:line="240" w:lineRule="auto"/>
              <w:jc w:val="left"/>
            </w:pPr>
            <w:r>
              <w:rPr>
                <w:rFonts w:ascii="Arial" w:hAnsi="Arial"/>
                <w:sz w:val="15"/>
              </w:rPr>
              <w:t xml:space="preserve">Effective tax rate</w:t>
            </w:r>
          </w:p>
        </w:tc>
        <w:tc>
          <w:tcPr>
            <w:tcW w:type="dxa" w:w="1485"/>
          </w:tcPr>
          <w:p>
            <w:pPr>
              <w:pStyle w:val="Compact"/>
              <w:spacing w:after="0" w:before="0" w:line="240" w:lineRule="auto"/>
              <w:jc w:val="center"/>
            </w:pPr>
            <w:r>
              <w:rPr>
                <w:rFonts w:ascii="Arial" w:hAnsi="Arial"/>
                <w:sz w:val="15"/>
              </w:rPr>
              <w:t xml:space="preserve">26.0%</w:t>
            </w:r>
          </w:p>
        </w:tc>
        <w:tc>
          <w:tcPr>
            <w:tcW w:type="dxa" w:w="1241"/>
          </w:tcPr>
          <w:p>
            <w:pPr>
              <w:pStyle w:val="Compact"/>
              <w:spacing w:after="0" w:before="0" w:line="240" w:lineRule="auto"/>
              <w:jc w:val="center"/>
            </w:pPr>
            <w:r>
              <w:rPr>
                <w:rFonts w:ascii="Arial" w:hAnsi="Arial"/>
                <w:sz w:val="15"/>
              </w:rPr>
              <w:t xml:space="preserve">25.0%</w:t>
            </w:r>
          </w:p>
        </w:tc>
        <w:tc>
          <w:tcPr>
            <w:tcW w:type="dxa" w:w="1241"/>
          </w:tcPr>
          <w:p>
            <w:pPr>
              <w:pStyle w:val="Compact"/>
              <w:spacing w:after="0" w:before="0" w:line="240" w:lineRule="auto"/>
              <w:jc w:val="center"/>
            </w:pPr>
            <w:r>
              <w:rPr>
                <w:rFonts w:ascii="Arial" w:hAnsi="Arial"/>
                <w:sz w:val="15"/>
              </w:rPr>
              <w:t xml:space="preserve">25.0%</w:t>
            </w:r>
          </w:p>
        </w:tc>
        <w:tc>
          <w:tcPr>
            <w:tcW w:type="dxa" w:w="3780"/>
          </w:tcPr>
          <w:p>
            <w:pPr>
              <w:pStyle w:val="Compact"/>
              <w:spacing w:after="0" w:before="0" w:line="240" w:lineRule="auto"/>
              <w:jc w:val="left"/>
            </w:pPr>
            <w:r>
              <w:rPr>
                <w:rFonts w:ascii="Arial" w:hAnsi="Arial"/>
                <w:sz w:val="15"/>
              </w:rPr>
              <w:t xml:space="preserve">Statutory rate up 1pp from 2026; 1H26 actual 26.8%</w:t>
            </w:r>
          </w:p>
        </w:tc>
      </w:tr>
      <w:tr>
        <w:trPr>
          <w:cantSplit/>
        </w:trPr>
        <w:tc>
          <w:tcPr>
            <w:tcW w:type="dxa" w:w="2232"/>
            <w:shd w:val="clear" w:color="auto" w:fill="DCE4F2"/>
          </w:tcPr>
          <w:p>
            <w:pPr>
              <w:pStyle w:val="Compact"/>
              <w:spacing w:after="0" w:before="0" w:line="240" w:lineRule="auto"/>
              <w:jc w:val="left"/>
            </w:pPr>
            <w:r>
              <w:rPr>
                <w:rFonts w:ascii="Arial" w:hAnsi="Arial"/>
                <w:b/>
                <w:sz w:val="15"/>
              </w:rPr>
              <w:t xml:space="preserve">Average diluted shares</w:t>
            </w:r>
          </w:p>
        </w:tc>
        <w:tc>
          <w:tcPr>
            <w:tcW w:type="dxa" w:w="1485"/>
            <w:shd w:val="clear" w:color="auto" w:fill="DCE4F2"/>
          </w:tcPr>
          <w:p>
            <w:pPr>
              <w:pStyle w:val="Compact"/>
              <w:spacing w:after="0" w:before="0" w:line="240" w:lineRule="auto"/>
              <w:jc w:val="center"/>
            </w:pPr>
            <w:r>
              <w:rPr>
                <w:rFonts w:ascii="Arial" w:hAnsi="Arial"/>
                <w:b/>
                <w:sz w:val="15"/>
              </w:rPr>
              <w:t xml:space="preserve">423.2m</w:t>
            </w:r>
          </w:p>
        </w:tc>
        <w:tc>
          <w:tcPr>
            <w:tcW w:type="dxa" w:w="1241"/>
            <w:shd w:val="clear" w:color="auto" w:fill="DCE4F2"/>
          </w:tcPr>
          <w:p>
            <w:pPr>
              <w:pStyle w:val="Compact"/>
              <w:spacing w:after="0" w:before="0" w:line="240" w:lineRule="auto"/>
              <w:jc w:val="center"/>
            </w:pPr>
            <w:r>
              <w:rPr>
                <w:rFonts w:ascii="Arial" w:hAnsi="Arial"/>
                <w:b/>
                <w:sz w:val="15"/>
              </w:rPr>
              <w:t xml:space="preserve">416.6m</w:t>
            </w:r>
          </w:p>
        </w:tc>
        <w:tc>
          <w:tcPr>
            <w:tcW w:type="dxa" w:w="1241"/>
            <w:shd w:val="clear" w:color="auto" w:fill="DCE4F2"/>
          </w:tcPr>
          <w:p>
            <w:pPr>
              <w:pStyle w:val="Compact"/>
              <w:spacing w:after="0" w:before="0" w:line="240" w:lineRule="auto"/>
              <w:jc w:val="center"/>
            </w:pPr>
            <w:r>
              <w:rPr>
                <w:rFonts w:ascii="Arial" w:hAnsi="Arial"/>
                <w:b/>
                <w:sz w:val="15"/>
              </w:rPr>
              <w:t xml:space="preserve">409.5m</w:t>
            </w:r>
          </w:p>
        </w:tc>
        <w:tc>
          <w:tcPr>
            <w:tcW w:type="dxa" w:w="3780"/>
            <w:shd w:val="clear" w:color="auto" w:fill="DCE4F2"/>
          </w:tcPr>
          <w:p>
            <w:pPr>
              <w:pStyle w:val="Compact"/>
              <w:spacing w:after="0" w:before="0" w:line="240" w:lineRule="auto"/>
              <w:jc w:val="left"/>
            </w:pPr>
            <w:r>
              <w:rPr>
                <w:rFonts w:ascii="Arial" w:hAnsi="Arial"/>
                <w:b/>
                <w:sz w:val="15"/>
              </w:rPr>
              <w:t xml:space="preserve">KRW90bn buyback (≈6.0m shares) completes Feb-27; we assume ~KRW100bn a year thereafter, all cancelled</w:t>
            </w:r>
          </w:p>
        </w:tc>
      </w:tr>
      <w:tr>
        <w:trPr>
          <w:cantSplit/>
        </w:trPr>
        <w:tc>
          <w:tcPr>
            <w:tcW w:type="dxa" w:w="2232"/>
          </w:tcPr>
          <w:p>
            <w:pPr>
              <w:pStyle w:val="Compact"/>
              <w:spacing w:after="0" w:before="0" w:line="240" w:lineRule="auto"/>
              <w:jc w:val="left"/>
            </w:pPr>
            <w:r>
              <w:rPr>
                <w:rFonts w:ascii="Arial" w:hAnsi="Arial"/>
                <w:sz w:val="15"/>
              </w:rPr>
              <w:t xml:space="preserve">Capex (incl. intangibles / spectrum)</w:t>
            </w:r>
          </w:p>
        </w:tc>
        <w:tc>
          <w:tcPr>
            <w:tcW w:type="dxa" w:w="1485"/>
          </w:tcPr>
          <w:p>
            <w:pPr>
              <w:pStyle w:val="Compact"/>
              <w:spacing w:after="0" w:before="0" w:line="240" w:lineRule="auto"/>
              <w:jc w:val="center"/>
            </w:pPr>
            <w:r>
              <w:rPr>
                <w:rFonts w:ascii="Arial" w:hAnsi="Arial"/>
                <w:sz w:val="15"/>
              </w:rPr>
              <w:t xml:space="preserve">KRW2.15tn</w:t>
            </w:r>
          </w:p>
        </w:tc>
        <w:tc>
          <w:tcPr>
            <w:tcW w:type="dxa" w:w="1241"/>
          </w:tcPr>
          <w:p>
            <w:pPr>
              <w:pStyle w:val="Compact"/>
              <w:spacing w:after="0" w:before="0" w:line="240" w:lineRule="auto"/>
              <w:jc w:val="center"/>
            </w:pPr>
            <w:r>
              <w:rPr>
                <w:rFonts w:ascii="Arial" w:hAnsi="Arial"/>
                <w:sz w:val="15"/>
              </w:rPr>
              <w:t xml:space="preserve">KRW2.25tn</w:t>
            </w:r>
          </w:p>
        </w:tc>
        <w:tc>
          <w:tcPr>
            <w:tcW w:type="dxa" w:w="1241"/>
          </w:tcPr>
          <w:p>
            <w:pPr>
              <w:pStyle w:val="Compact"/>
              <w:spacing w:after="0" w:before="0" w:line="240" w:lineRule="auto"/>
              <w:jc w:val="center"/>
            </w:pPr>
            <w:r>
              <w:rPr>
                <w:rFonts w:ascii="Arial" w:hAnsi="Arial"/>
                <w:sz w:val="15"/>
              </w:rPr>
              <w:t xml:space="preserve">KRW2.05tn</w:t>
            </w:r>
          </w:p>
        </w:tc>
        <w:tc>
          <w:tcPr>
            <w:tcW w:type="dxa" w:w="3780"/>
          </w:tcPr>
          <w:p>
            <w:pPr>
              <w:pStyle w:val="Compact"/>
              <w:spacing w:after="0" w:before="0" w:line="240" w:lineRule="auto"/>
              <w:jc w:val="left"/>
            </w:pPr>
            <w:r>
              <w:rPr>
                <w:rFonts w:ascii="Arial" w:hAnsi="Arial"/>
                <w:sz w:val="15"/>
              </w:rPr>
              <w:t xml:space="preserve">Paju phases 1–2 (~KRW2tn over 2025–28) and spectrum re-allocation</w:t>
            </w:r>
          </w:p>
        </w:tc>
      </w:tr>
    </w:tbl>
    <w:bookmarkEnd w:id="81"/>
    <w:bookmarkStart w:id="82" w:name="model-output-vs-consensus"/>
    <w:p>
      <w:pPr>
        <w:pStyle w:val="Heading2"/>
      </w:pPr>
      <w:r>
        <w:t xml:space="preserve">Model output vs consensus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1944"/>
        <w:gridCol w:w="1020"/>
        <w:gridCol w:w="1018"/>
        <w:gridCol w:w="1016"/>
        <w:gridCol w:w="1022"/>
        <w:gridCol w:w="1319"/>
        <w:gridCol w:w="1319"/>
        <w:gridCol w:w="1317"/>
      </w:tblGrid>
      <w:tr>
        <w:trPr>
          <w:tblHeader w:val="true"/>
          <w:tblHeader w:val="true"/>
          <w:cantSplit/>
        </w:trPr>
        <w:tc>
          <w:tcPr>
            <w:tcW w:type="dxa" w:w="1944"/>
            <w:shd w:val="clear" w:color="auto" w:fill="13213F"/>
          </w:tcPr>
          <w:p>
            <w:pPr>
              <w:pStyle w:val="Compact"/>
              <w:spacing w:after="0" w:before="0" w:line="240" w:lineRule="auto"/>
              <w:jc w:val="left"/>
            </w:pPr>
            <w:r>
              <w:rPr>
                <w:rFonts w:ascii="Arial" w:hAnsi="Arial"/>
                <w:b/>
                <w:color w:val="FFFFFF"/>
                <w:sz w:val="15"/>
              </w:rPr>
              <w:t xml:space="preserve">KRW bn</w:t>
            </w:r>
          </w:p>
        </w:tc>
        <w:tc>
          <w:tcPr>
            <w:tcW w:type="dxa" w:w="1021"/>
            <w:shd w:val="clear" w:color="auto" w:fill="13213F"/>
          </w:tcPr>
          <w:p>
            <w:pPr>
              <w:pStyle w:val="Compact"/>
              <w:spacing w:after="0" w:before="0" w:line="240" w:lineRule="auto"/>
              <w:jc w:val="right"/>
            </w:pPr>
            <w:r>
              <w:rPr>
                <w:rFonts w:ascii="Arial" w:hAnsi="Arial"/>
                <w:b/>
                <w:color w:val="FFFFFF"/>
                <w:sz w:val="15"/>
              </w:rPr>
              <w:t xml:space="preserve">FY2025A</w:t>
            </w:r>
          </w:p>
        </w:tc>
        <w:tc>
          <w:tcPr>
            <w:tcW w:type="dxa" w:w="1019"/>
            <w:shd w:val="clear" w:color="auto" w:fill="13213F"/>
          </w:tcPr>
          <w:p>
            <w:pPr>
              <w:pStyle w:val="Compact"/>
              <w:spacing w:after="0" w:before="0" w:line="240" w:lineRule="auto"/>
              <w:jc w:val="right"/>
            </w:pPr>
            <w:r>
              <w:rPr>
                <w:rFonts w:ascii="Arial" w:hAnsi="Arial"/>
                <w:b/>
                <w:color w:val="FFFFFF"/>
                <w:sz w:val="15"/>
              </w:rPr>
              <w:t xml:space="preserve">FY2026E</w:t>
            </w:r>
          </w:p>
        </w:tc>
        <w:tc>
          <w:tcPr>
            <w:tcW w:type="dxa" w:w="1017"/>
            <w:shd w:val="clear" w:color="auto" w:fill="13213F"/>
          </w:tcPr>
          <w:p>
            <w:pPr>
              <w:pStyle w:val="Compact"/>
              <w:spacing w:after="0" w:before="0" w:line="240" w:lineRule="auto"/>
              <w:jc w:val="right"/>
            </w:pPr>
            <w:r>
              <w:rPr>
                <w:rFonts w:ascii="Arial" w:hAnsi="Arial"/>
                <w:b/>
                <w:color w:val="FFFFFF"/>
                <w:sz w:val="15"/>
              </w:rPr>
              <w:t xml:space="preserve">FY2027E</w:t>
            </w:r>
          </w:p>
        </w:tc>
        <w:tc>
          <w:tcPr>
            <w:tcW w:type="dxa" w:w="1022"/>
            <w:shd w:val="clear" w:color="auto" w:fill="13213F"/>
          </w:tcPr>
          <w:p>
            <w:pPr>
              <w:pStyle w:val="Compact"/>
              <w:spacing w:after="0" w:before="0" w:line="240" w:lineRule="auto"/>
              <w:jc w:val="right"/>
            </w:pPr>
            <w:r>
              <w:rPr>
                <w:rFonts w:ascii="Arial" w:hAnsi="Arial"/>
                <w:b/>
                <w:color w:val="FFFFFF"/>
                <w:sz w:val="15"/>
              </w:rPr>
              <w:t xml:space="preserve">FY2028E</w:t>
            </w:r>
          </w:p>
        </w:tc>
        <w:tc>
          <w:tcPr>
            <w:tcW w:type="dxa" w:w="1319"/>
            <w:shd w:val="clear" w:color="auto" w:fill="13213F"/>
          </w:tcPr>
          <w:p>
            <w:pPr>
              <w:pStyle w:val="Compact"/>
              <w:spacing w:after="0" w:before="0" w:line="240" w:lineRule="auto"/>
              <w:jc w:val="right"/>
            </w:pPr>
            <w:r>
              <w:rPr>
                <w:rFonts w:ascii="Arial" w:hAnsi="Arial"/>
                <w:b/>
                <w:color w:val="FFFFFF"/>
                <w:sz w:val="15"/>
              </w:rPr>
              <w:t xml:space="preserve">Consensus FY26E</w:t>
            </w:r>
          </w:p>
        </w:tc>
        <w:tc>
          <w:tcPr>
            <w:tcW w:type="dxa" w:w="1319"/>
            <w:shd w:val="clear" w:color="auto" w:fill="13213F"/>
          </w:tcPr>
          <w:p>
            <w:pPr>
              <w:pStyle w:val="Compact"/>
              <w:spacing w:after="0" w:before="0" w:line="240" w:lineRule="auto"/>
              <w:jc w:val="right"/>
            </w:pPr>
            <w:r>
              <w:rPr>
                <w:rFonts w:ascii="Arial" w:hAnsi="Arial"/>
                <w:b/>
                <w:color w:val="FFFFFF"/>
                <w:sz w:val="15"/>
              </w:rPr>
              <w:t xml:space="preserve">Consensus FY27E</w:t>
            </w:r>
          </w:p>
        </w:tc>
        <w:tc>
          <w:tcPr>
            <w:tcW w:type="dxa" w:w="1317"/>
            <w:shd w:val="clear" w:color="auto" w:fill="13213F"/>
          </w:tcPr>
          <w:p>
            <w:pPr>
              <w:pStyle w:val="Compact"/>
              <w:spacing w:after="0" w:before="0" w:line="240" w:lineRule="auto"/>
              <w:jc w:val="right"/>
            </w:pPr>
            <w:r>
              <w:rPr>
                <w:rFonts w:ascii="Arial" w:hAnsi="Arial"/>
                <w:b/>
                <w:color w:val="FFFFFF"/>
                <w:sz w:val="15"/>
              </w:rPr>
              <w:t xml:space="preserve">Consensus FY28E</w:t>
            </w:r>
          </w:p>
        </w:tc>
      </w:tr>
      <w:tr>
        <w:trPr>
          <w:cantSplit/>
        </w:trPr>
        <w:tc>
          <w:tcPr>
            <w:tcW w:type="dxa" w:w="1944"/>
          </w:tcPr>
          <w:p>
            <w:pPr>
              <w:pStyle w:val="Compact"/>
              <w:spacing w:after="0" w:before="0" w:line="240" w:lineRule="auto"/>
              <w:jc w:val="left"/>
            </w:pPr>
            <w:r>
              <w:rPr>
                <w:rFonts w:ascii="Arial" w:hAnsi="Arial"/>
                <w:sz w:val="15"/>
              </w:rPr>
              <w:t xml:space="preserve">Revenue</w:t>
            </w:r>
          </w:p>
        </w:tc>
        <w:tc>
          <w:tcPr>
            <w:tcW w:type="dxa" w:w="1021"/>
          </w:tcPr>
          <w:p>
            <w:pPr>
              <w:pStyle w:val="Compact"/>
              <w:spacing w:after="0" w:before="0" w:line="240" w:lineRule="auto"/>
              <w:jc w:val="right"/>
            </w:pPr>
            <w:r>
              <w:rPr>
                <w:rFonts w:ascii="Arial" w:hAnsi="Arial"/>
                <w:sz w:val="15"/>
              </w:rPr>
              <w:t xml:space="preserve">15,452</w:t>
            </w:r>
          </w:p>
        </w:tc>
        <w:tc>
          <w:tcPr>
            <w:tcW w:type="dxa" w:w="1019"/>
          </w:tcPr>
          <w:p>
            <w:pPr>
              <w:pStyle w:val="Compact"/>
              <w:spacing w:after="0" w:before="0" w:line="240" w:lineRule="auto"/>
              <w:jc w:val="right"/>
            </w:pPr>
            <w:r>
              <w:rPr>
                <w:rFonts w:ascii="Arial" w:hAnsi="Arial"/>
                <w:sz w:val="15"/>
              </w:rPr>
              <w:t xml:space="preserve">15,329</w:t>
            </w:r>
          </w:p>
        </w:tc>
        <w:tc>
          <w:tcPr>
            <w:tcW w:type="dxa" w:w="1017"/>
          </w:tcPr>
          <w:p>
            <w:pPr>
              <w:pStyle w:val="Compact"/>
              <w:spacing w:after="0" w:before="0" w:line="240" w:lineRule="auto"/>
              <w:jc w:val="right"/>
            </w:pPr>
            <w:r>
              <w:rPr>
                <w:rFonts w:ascii="Arial" w:hAnsi="Arial"/>
                <w:sz w:val="15"/>
              </w:rPr>
              <w:t xml:space="preserve">15,591</w:t>
            </w:r>
          </w:p>
        </w:tc>
        <w:tc>
          <w:tcPr>
            <w:tcW w:type="dxa" w:w="1022"/>
          </w:tcPr>
          <w:p>
            <w:pPr>
              <w:pStyle w:val="Compact"/>
              <w:spacing w:after="0" w:before="0" w:line="240" w:lineRule="auto"/>
              <w:jc w:val="right"/>
            </w:pPr>
            <w:r>
              <w:rPr>
                <w:rFonts w:ascii="Arial" w:hAnsi="Arial"/>
                <w:sz w:val="15"/>
              </w:rPr>
              <w:t xml:space="preserve">15,955</w:t>
            </w:r>
          </w:p>
        </w:tc>
        <w:tc>
          <w:tcPr>
            <w:tcW w:type="dxa" w:w="1319"/>
          </w:tcPr>
          <w:p>
            <w:pPr>
              <w:pStyle w:val="Compact"/>
              <w:spacing w:after="0" w:before="0" w:line="240" w:lineRule="auto"/>
              <w:jc w:val="right"/>
            </w:pPr>
            <w:r>
              <w:rPr>
                <w:rFonts w:ascii="Arial" w:hAnsi="Arial"/>
                <w:sz w:val="15"/>
              </w:rPr>
              <w:t xml:space="preserve">15,539</w:t>
            </w:r>
          </w:p>
        </w:tc>
        <w:tc>
          <w:tcPr>
            <w:tcW w:type="dxa" w:w="1319"/>
          </w:tcPr>
          <w:p>
            <w:pPr>
              <w:pStyle w:val="Compact"/>
              <w:spacing w:after="0" w:before="0" w:line="240" w:lineRule="auto"/>
              <w:jc w:val="right"/>
            </w:pPr>
            <w:r>
              <w:rPr>
                <w:rFonts w:ascii="Arial" w:hAnsi="Arial"/>
                <w:sz w:val="15"/>
              </w:rPr>
              <w:t xml:space="preserve">15,889</w:t>
            </w:r>
          </w:p>
        </w:tc>
        <w:tc>
          <w:tcPr>
            <w:tcW w:type="dxa" w:w="1317"/>
          </w:tcPr>
          <w:p>
            <w:pPr>
              <w:pStyle w:val="Compact"/>
              <w:spacing w:after="0" w:before="0" w:line="240" w:lineRule="auto"/>
              <w:jc w:val="right"/>
            </w:pPr>
            <w:r>
              <w:rPr>
                <w:rFonts w:ascii="Arial" w:hAnsi="Arial"/>
                <w:sz w:val="15"/>
              </w:rPr>
              <w:t xml:space="preserve">16,203</w:t>
            </w:r>
          </w:p>
        </w:tc>
      </w:tr>
      <w:tr>
        <w:trPr>
          <w:cantSplit/>
        </w:trPr>
        <w:tc>
          <w:tcPr>
            <w:tcW w:type="dxa" w:w="1944"/>
            <w:shd w:val="clear" w:color="auto" w:fill="F1F2F5"/>
          </w:tcPr>
          <w:p>
            <w:pPr>
              <w:pStyle w:val="Compact"/>
              <w:spacing w:after="0" w:before="0" w:line="240" w:lineRule="auto"/>
              <w:jc w:val="left"/>
            </w:pPr>
            <w:r>
              <w:rPr>
                <w:rFonts w:ascii="Arial" w:hAnsi="Arial"/>
                <w:sz w:val="15"/>
              </w:rPr>
              <w:t xml:space="preserve">Service revenue</w:t>
            </w:r>
          </w:p>
        </w:tc>
        <w:tc>
          <w:tcPr>
            <w:tcW w:type="dxa" w:w="1021"/>
            <w:shd w:val="clear" w:color="auto" w:fill="F1F2F5"/>
          </w:tcPr>
          <w:p>
            <w:pPr>
              <w:pStyle w:val="Compact"/>
              <w:spacing w:after="0" w:before="0" w:line="240" w:lineRule="auto"/>
              <w:jc w:val="right"/>
            </w:pPr>
            <w:r>
              <w:rPr>
                <w:rFonts w:ascii="Arial" w:hAnsi="Arial"/>
                <w:sz w:val="15"/>
              </w:rPr>
              <w:t xml:space="preserve">~12,258</w:t>
            </w:r>
          </w:p>
        </w:tc>
        <w:tc>
          <w:tcPr>
            <w:tcW w:type="dxa" w:w="1019"/>
            <w:shd w:val="clear" w:color="auto" w:fill="F1F2F5"/>
          </w:tcPr>
          <w:p>
            <w:pPr>
              <w:pStyle w:val="Compact"/>
              <w:spacing w:after="0" w:before="0" w:line="240" w:lineRule="auto"/>
              <w:jc w:val="right"/>
            </w:pPr>
            <w:r>
              <w:rPr>
                <w:rFonts w:ascii="Arial" w:hAnsi="Arial"/>
                <w:sz w:val="15"/>
              </w:rPr>
              <w:t xml:space="preserve">12,479</w:t>
            </w:r>
          </w:p>
        </w:tc>
        <w:tc>
          <w:tcPr>
            <w:tcW w:type="dxa" w:w="1017"/>
            <w:shd w:val="clear" w:color="auto" w:fill="F1F2F5"/>
          </w:tcPr>
          <w:p>
            <w:pPr>
              <w:pStyle w:val="Compact"/>
              <w:spacing w:after="0" w:before="0" w:line="240" w:lineRule="auto"/>
              <w:jc w:val="right"/>
            </w:pPr>
            <w:r>
              <w:rPr>
                <w:rFonts w:ascii="Arial" w:hAnsi="Arial"/>
                <w:sz w:val="15"/>
              </w:rPr>
              <w:t xml:space="preserve">12,742</w:t>
            </w:r>
          </w:p>
        </w:tc>
        <w:tc>
          <w:tcPr>
            <w:tcW w:type="dxa" w:w="1022"/>
            <w:shd w:val="clear" w:color="auto" w:fill="F1F2F5"/>
          </w:tcPr>
          <w:p>
            <w:pPr>
              <w:pStyle w:val="Compact"/>
              <w:spacing w:after="0" w:before="0" w:line="240" w:lineRule="auto"/>
              <w:jc w:val="right"/>
            </w:pPr>
            <w:r>
              <w:rPr>
                <w:rFonts w:ascii="Arial" w:hAnsi="Arial"/>
                <w:sz w:val="15"/>
              </w:rPr>
              <w:t xml:space="preserve">13,106</w:t>
            </w:r>
          </w:p>
        </w:tc>
        <w:tc>
          <w:tcPr>
            <w:tcW w:type="dxa" w:w="1319"/>
            <w:shd w:val="clear" w:color="auto" w:fill="F1F2F5"/>
          </w:tcPr>
          <w:p>
            <w:pPr>
              <w:pStyle w:val="Compact"/>
              <w:spacing w:after="0" w:before="0" w:line="240" w:lineRule="auto"/>
              <w:jc w:val="right"/>
            </w:pPr>
            <w:r>
              <w:rPr>
                <w:rFonts w:ascii="Arial" w:hAnsi="Arial"/>
                <w:sz w:val="15"/>
              </w:rPr>
              <w:t xml:space="preserve">–</w:t>
            </w:r>
          </w:p>
        </w:tc>
        <w:tc>
          <w:tcPr>
            <w:tcW w:type="dxa" w:w="1319"/>
            <w:shd w:val="clear" w:color="auto" w:fill="F1F2F5"/>
          </w:tcPr>
          <w:p>
            <w:pPr>
              <w:pStyle w:val="Compact"/>
              <w:spacing w:after="0" w:before="0" w:line="240" w:lineRule="auto"/>
              <w:jc w:val="right"/>
            </w:pPr>
            <w:r>
              <w:rPr>
                <w:rFonts w:ascii="Arial" w:hAnsi="Arial"/>
                <w:sz w:val="15"/>
              </w:rPr>
              <w:t xml:space="preserve">–</w:t>
            </w:r>
          </w:p>
        </w:tc>
        <w:tc>
          <w:tcPr>
            <w:tcW w:type="dxa" w:w="1317"/>
            <w:shd w:val="clear" w:color="auto" w:fill="F1F2F5"/>
          </w:tcPr>
          <w:p>
            <w:pPr>
              <w:pStyle w:val="Compact"/>
              <w:spacing w:after="0" w:before="0" w:line="240" w:lineRule="auto"/>
              <w:jc w:val="right"/>
            </w:pPr>
            <w:r>
              <w:rPr>
                <w:rFonts w:ascii="Arial" w:hAnsi="Arial"/>
                <w:sz w:val="15"/>
              </w:rPr>
              <w:t xml:space="preserve">–</w:t>
            </w:r>
          </w:p>
        </w:tc>
      </w:tr>
      <w:tr>
        <w:trPr>
          <w:cantSplit/>
        </w:trPr>
        <w:tc>
          <w:tcPr>
            <w:tcW w:type="dxa" w:w="1944"/>
          </w:tcPr>
          <w:p>
            <w:pPr>
              <w:pStyle w:val="Compact"/>
              <w:spacing w:after="0" w:before="0" w:line="240" w:lineRule="auto"/>
              <w:jc w:val="left"/>
            </w:pPr>
            <w:r>
              <w:rPr>
                <w:rFonts w:ascii="Arial" w:hAnsi="Arial"/>
                <w:sz w:val="15"/>
              </w:rPr>
              <w:t xml:space="preserve">EBITDA</w:t>
            </w:r>
          </w:p>
        </w:tc>
        <w:tc>
          <w:tcPr>
            <w:tcW w:type="dxa" w:w="1021"/>
          </w:tcPr>
          <w:p>
            <w:pPr>
              <w:pStyle w:val="Compact"/>
              <w:spacing w:after="0" w:before="0" w:line="240" w:lineRule="auto"/>
              <w:jc w:val="right"/>
            </w:pPr>
            <w:r>
              <w:rPr>
                <w:rFonts w:ascii="Arial" w:hAnsi="Arial"/>
                <w:sz w:val="15"/>
              </w:rPr>
              <w:t xml:space="preserve">3,589</w:t>
            </w:r>
          </w:p>
        </w:tc>
        <w:tc>
          <w:tcPr>
            <w:tcW w:type="dxa" w:w="1019"/>
          </w:tcPr>
          <w:p>
            <w:pPr>
              <w:pStyle w:val="Compact"/>
              <w:spacing w:after="0" w:before="0" w:line="240" w:lineRule="auto"/>
              <w:jc w:val="right"/>
            </w:pPr>
            <w:r>
              <w:rPr>
                <w:rFonts w:ascii="Arial" w:hAnsi="Arial"/>
                <w:sz w:val="15"/>
              </w:rPr>
              <w:t xml:space="preserve">3,904</w:t>
            </w:r>
          </w:p>
        </w:tc>
        <w:tc>
          <w:tcPr>
            <w:tcW w:type="dxa" w:w="1017"/>
          </w:tcPr>
          <w:p>
            <w:pPr>
              <w:pStyle w:val="Compact"/>
              <w:spacing w:after="0" w:before="0" w:line="240" w:lineRule="auto"/>
              <w:jc w:val="right"/>
            </w:pPr>
            <w:r>
              <w:rPr>
                <w:rFonts w:ascii="Arial" w:hAnsi="Arial"/>
                <w:sz w:val="15"/>
              </w:rPr>
              <w:t xml:space="preserve">3,945</w:t>
            </w:r>
          </w:p>
        </w:tc>
        <w:tc>
          <w:tcPr>
            <w:tcW w:type="dxa" w:w="1022"/>
          </w:tcPr>
          <w:p>
            <w:pPr>
              <w:pStyle w:val="Compact"/>
              <w:spacing w:after="0" w:before="0" w:line="240" w:lineRule="auto"/>
              <w:jc w:val="right"/>
            </w:pPr>
            <w:r>
              <w:rPr>
                <w:rFonts w:ascii="Arial" w:hAnsi="Arial"/>
                <w:sz w:val="15"/>
              </w:rPr>
              <w:t xml:space="preserve">4,058</w:t>
            </w:r>
          </w:p>
        </w:tc>
        <w:tc>
          <w:tcPr>
            <w:tcW w:type="dxa" w:w="1319"/>
          </w:tcPr>
          <w:p>
            <w:pPr>
              <w:pStyle w:val="Compact"/>
              <w:spacing w:after="0" w:before="0" w:line="240" w:lineRule="auto"/>
              <w:jc w:val="right"/>
            </w:pPr>
            <w:r>
              <w:rPr>
                <w:rFonts w:ascii="Arial" w:hAnsi="Arial"/>
                <w:sz w:val="15"/>
              </w:rPr>
              <w:t xml:space="preserve">3,850</w:t>
            </w:r>
          </w:p>
        </w:tc>
        <w:tc>
          <w:tcPr>
            <w:tcW w:type="dxa" w:w="1319"/>
          </w:tcPr>
          <w:p>
            <w:pPr>
              <w:pStyle w:val="Compact"/>
              <w:spacing w:after="0" w:before="0" w:line="240" w:lineRule="auto"/>
              <w:jc w:val="right"/>
            </w:pPr>
            <w:r>
              <w:rPr>
                <w:rFonts w:ascii="Arial" w:hAnsi="Arial"/>
                <w:sz w:val="15"/>
              </w:rPr>
              <w:t xml:space="preserve">3,926</w:t>
            </w:r>
          </w:p>
        </w:tc>
        <w:tc>
          <w:tcPr>
            <w:tcW w:type="dxa" w:w="1317"/>
          </w:tcPr>
          <w:p>
            <w:pPr>
              <w:pStyle w:val="Compact"/>
              <w:spacing w:after="0" w:before="0" w:line="240" w:lineRule="auto"/>
              <w:jc w:val="right"/>
            </w:pPr>
            <w:r>
              <w:rPr>
                <w:rFonts w:ascii="Arial" w:hAnsi="Arial"/>
                <w:sz w:val="15"/>
              </w:rPr>
              <w:t xml:space="preserve">3,983</w:t>
            </w:r>
          </w:p>
        </w:tc>
      </w:tr>
      <w:tr>
        <w:trPr>
          <w:cantSplit/>
        </w:trPr>
        <w:tc>
          <w:tcPr>
            <w:tcW w:type="dxa" w:w="1944"/>
            <w:shd w:val="clear" w:color="auto" w:fill="F1F2F5"/>
          </w:tcPr>
          <w:p>
            <w:pPr>
              <w:pStyle w:val="Compact"/>
              <w:spacing w:after="0" w:before="0" w:line="240" w:lineRule="auto"/>
              <w:jc w:val="left"/>
            </w:pPr>
            <w:r>
              <w:rPr>
                <w:rFonts w:ascii="Arial" w:hAnsi="Arial"/>
                <w:sz w:val="15"/>
              </w:rPr>
              <w:t xml:space="preserve">Operating profit</w:t>
            </w:r>
          </w:p>
        </w:tc>
        <w:tc>
          <w:tcPr>
            <w:tcW w:type="dxa" w:w="1021"/>
            <w:shd w:val="clear" w:color="auto" w:fill="F1F2F5"/>
          </w:tcPr>
          <w:p>
            <w:pPr>
              <w:pStyle w:val="Compact"/>
              <w:spacing w:after="0" w:before="0" w:line="240" w:lineRule="auto"/>
              <w:jc w:val="right"/>
            </w:pPr>
            <w:r>
              <w:rPr>
                <w:rFonts w:ascii="Arial" w:hAnsi="Arial"/>
                <w:sz w:val="15"/>
              </w:rPr>
              <w:t xml:space="preserve">892</w:t>
            </w:r>
          </w:p>
        </w:tc>
        <w:tc>
          <w:tcPr>
            <w:tcW w:type="dxa" w:w="1019"/>
            <w:shd w:val="clear" w:color="auto" w:fill="F1F2F5"/>
          </w:tcPr>
          <w:p>
            <w:pPr>
              <w:pStyle w:val="Compact"/>
              <w:spacing w:after="0" w:before="0" w:line="240" w:lineRule="auto"/>
              <w:jc w:val="right"/>
            </w:pPr>
            <w:r>
              <w:rPr>
                <w:rFonts w:ascii="Arial" w:hAnsi="Arial"/>
                <w:sz w:val="15"/>
              </w:rPr>
              <w:t xml:space="preserve">1,137</w:t>
            </w:r>
          </w:p>
        </w:tc>
        <w:tc>
          <w:tcPr>
            <w:tcW w:type="dxa" w:w="1017"/>
            <w:shd w:val="clear" w:color="auto" w:fill="F1F2F5"/>
          </w:tcPr>
          <w:p>
            <w:pPr>
              <w:pStyle w:val="Compact"/>
              <w:spacing w:after="0" w:before="0" w:line="240" w:lineRule="auto"/>
              <w:jc w:val="right"/>
            </w:pPr>
            <w:r>
              <w:rPr>
                <w:rFonts w:ascii="Arial" w:hAnsi="Arial"/>
                <w:sz w:val="15"/>
              </w:rPr>
              <w:t xml:space="preserve">1,185</w:t>
            </w:r>
          </w:p>
        </w:tc>
        <w:tc>
          <w:tcPr>
            <w:tcW w:type="dxa" w:w="1022"/>
            <w:shd w:val="clear" w:color="auto" w:fill="F1F2F5"/>
          </w:tcPr>
          <w:p>
            <w:pPr>
              <w:pStyle w:val="Compact"/>
              <w:spacing w:after="0" w:before="0" w:line="240" w:lineRule="auto"/>
              <w:jc w:val="right"/>
            </w:pPr>
            <w:r>
              <w:rPr>
                <w:rFonts w:ascii="Arial" w:hAnsi="Arial"/>
                <w:sz w:val="15"/>
              </w:rPr>
              <w:t xml:space="preserve">1,268</w:t>
            </w:r>
          </w:p>
        </w:tc>
        <w:tc>
          <w:tcPr>
            <w:tcW w:type="dxa" w:w="1319"/>
            <w:shd w:val="clear" w:color="auto" w:fill="F1F2F5"/>
          </w:tcPr>
          <w:p>
            <w:pPr>
              <w:pStyle w:val="Compact"/>
              <w:spacing w:after="0" w:before="0" w:line="240" w:lineRule="auto"/>
              <w:jc w:val="right"/>
            </w:pPr>
            <w:r>
              <w:rPr>
                <w:rFonts w:ascii="Arial" w:hAnsi="Arial"/>
                <w:sz w:val="15"/>
              </w:rPr>
              <w:t xml:space="preserve">1,149</w:t>
            </w:r>
          </w:p>
        </w:tc>
        <w:tc>
          <w:tcPr>
            <w:tcW w:type="dxa" w:w="1319"/>
            <w:shd w:val="clear" w:color="auto" w:fill="F1F2F5"/>
          </w:tcPr>
          <w:p>
            <w:pPr>
              <w:pStyle w:val="Compact"/>
              <w:spacing w:after="0" w:before="0" w:line="240" w:lineRule="auto"/>
              <w:jc w:val="right"/>
            </w:pPr>
            <w:r>
              <w:rPr>
                <w:rFonts w:ascii="Arial" w:hAnsi="Arial"/>
                <w:sz w:val="15"/>
              </w:rPr>
              <w:t xml:space="preserve">1,232</w:t>
            </w:r>
          </w:p>
        </w:tc>
        <w:tc>
          <w:tcPr>
            <w:tcW w:type="dxa" w:w="1317"/>
            <w:shd w:val="clear" w:color="auto" w:fill="F1F2F5"/>
          </w:tcPr>
          <w:p>
            <w:pPr>
              <w:pStyle w:val="Compact"/>
              <w:spacing w:after="0" w:before="0" w:line="240" w:lineRule="auto"/>
              <w:jc w:val="right"/>
            </w:pPr>
            <w:r>
              <w:rPr>
                <w:rFonts w:ascii="Arial" w:hAnsi="Arial"/>
                <w:sz w:val="15"/>
              </w:rPr>
              <w:t xml:space="preserve">1,296</w:t>
            </w:r>
          </w:p>
        </w:tc>
      </w:tr>
      <w:tr>
        <w:trPr>
          <w:cantSplit/>
        </w:trPr>
        <w:tc>
          <w:tcPr>
            <w:tcW w:type="dxa" w:w="1944"/>
          </w:tcPr>
          <w:p>
            <w:pPr>
              <w:pStyle w:val="Compact"/>
              <w:spacing w:after="0" w:before="0" w:line="240" w:lineRule="auto"/>
              <w:jc w:val="left"/>
            </w:pPr>
            <w:r>
              <w:rPr>
                <w:rFonts w:ascii="Arial" w:hAnsi="Arial"/>
                <w:sz w:val="15"/>
              </w:rPr>
              <w:t xml:space="preserve">OP margin</w:t>
            </w:r>
          </w:p>
        </w:tc>
        <w:tc>
          <w:tcPr>
            <w:tcW w:type="dxa" w:w="1021"/>
          </w:tcPr>
          <w:p>
            <w:pPr>
              <w:pStyle w:val="Compact"/>
              <w:spacing w:after="0" w:before="0" w:line="240" w:lineRule="auto"/>
              <w:jc w:val="right"/>
            </w:pPr>
            <w:r>
              <w:rPr>
                <w:rFonts w:ascii="Arial" w:hAnsi="Arial"/>
                <w:sz w:val="15"/>
              </w:rPr>
              <w:t xml:space="preserve">5.8%</w:t>
            </w:r>
          </w:p>
        </w:tc>
        <w:tc>
          <w:tcPr>
            <w:tcW w:type="dxa" w:w="1019"/>
          </w:tcPr>
          <w:p>
            <w:pPr>
              <w:pStyle w:val="Compact"/>
              <w:spacing w:after="0" w:before="0" w:line="240" w:lineRule="auto"/>
              <w:jc w:val="right"/>
            </w:pPr>
            <w:r>
              <w:rPr>
                <w:rFonts w:ascii="Arial" w:hAnsi="Arial"/>
                <w:sz w:val="15"/>
              </w:rPr>
              <w:t xml:space="preserve">7.4%</w:t>
            </w:r>
          </w:p>
        </w:tc>
        <w:tc>
          <w:tcPr>
            <w:tcW w:type="dxa" w:w="1017"/>
          </w:tcPr>
          <w:p>
            <w:pPr>
              <w:pStyle w:val="Compact"/>
              <w:spacing w:after="0" w:before="0" w:line="240" w:lineRule="auto"/>
              <w:jc w:val="right"/>
            </w:pPr>
            <w:r>
              <w:rPr>
                <w:rFonts w:ascii="Arial" w:hAnsi="Arial"/>
                <w:sz w:val="15"/>
              </w:rPr>
              <w:t xml:space="preserve">7.6%</w:t>
            </w:r>
          </w:p>
        </w:tc>
        <w:tc>
          <w:tcPr>
            <w:tcW w:type="dxa" w:w="1022"/>
          </w:tcPr>
          <w:p>
            <w:pPr>
              <w:pStyle w:val="Compact"/>
              <w:spacing w:after="0" w:before="0" w:line="240" w:lineRule="auto"/>
              <w:jc w:val="right"/>
            </w:pPr>
            <w:r>
              <w:rPr>
                <w:rFonts w:ascii="Arial" w:hAnsi="Arial"/>
                <w:sz w:val="15"/>
              </w:rPr>
              <w:t xml:space="preserve">7.9%</w:t>
            </w:r>
          </w:p>
        </w:tc>
        <w:tc>
          <w:tcPr>
            <w:tcW w:type="dxa" w:w="1319"/>
          </w:tcPr>
          <w:p>
            <w:pPr>
              <w:pStyle w:val="Compact"/>
              <w:spacing w:after="0" w:before="0" w:line="240" w:lineRule="auto"/>
              <w:jc w:val="right"/>
            </w:pPr>
            <w:r>
              <w:rPr>
                <w:rFonts w:ascii="Arial" w:hAnsi="Arial"/>
                <w:sz w:val="15"/>
              </w:rPr>
              <w:t xml:space="preserve">7.4%</w:t>
            </w:r>
          </w:p>
        </w:tc>
        <w:tc>
          <w:tcPr>
            <w:tcW w:type="dxa" w:w="1319"/>
          </w:tcPr>
          <w:p>
            <w:pPr>
              <w:pStyle w:val="Compact"/>
              <w:spacing w:after="0" w:before="0" w:line="240" w:lineRule="auto"/>
              <w:jc w:val="right"/>
            </w:pPr>
            <w:r>
              <w:rPr>
                <w:rFonts w:ascii="Arial" w:hAnsi="Arial"/>
                <w:sz w:val="15"/>
              </w:rPr>
              <w:t xml:space="preserve">7.8%</w:t>
            </w:r>
          </w:p>
        </w:tc>
        <w:tc>
          <w:tcPr>
            <w:tcW w:type="dxa" w:w="1317"/>
          </w:tcPr>
          <w:p>
            <w:pPr>
              <w:pStyle w:val="Compact"/>
              <w:spacing w:after="0" w:before="0" w:line="240" w:lineRule="auto"/>
              <w:jc w:val="right"/>
            </w:pPr>
            <w:r>
              <w:rPr>
                <w:rFonts w:ascii="Arial" w:hAnsi="Arial"/>
                <w:sz w:val="15"/>
              </w:rPr>
              <w:t xml:space="preserve">8.0%</w:t>
            </w:r>
          </w:p>
        </w:tc>
      </w:tr>
      <w:tr>
        <w:trPr>
          <w:cantSplit/>
        </w:trPr>
        <w:tc>
          <w:tcPr>
            <w:tcW w:type="dxa" w:w="1944"/>
            <w:shd w:val="clear" w:color="auto" w:fill="F1F2F5"/>
          </w:tcPr>
          <w:p>
            <w:pPr>
              <w:pStyle w:val="Compact"/>
              <w:spacing w:after="0" w:before="0" w:line="240" w:lineRule="auto"/>
              <w:jc w:val="left"/>
            </w:pPr>
            <w:r>
              <w:rPr>
                <w:rFonts w:ascii="Arial" w:hAnsi="Arial"/>
                <w:sz w:val="15"/>
              </w:rPr>
              <w:t xml:space="preserve">Pre-tax profit</w:t>
            </w:r>
          </w:p>
        </w:tc>
        <w:tc>
          <w:tcPr>
            <w:tcW w:type="dxa" w:w="1021"/>
            <w:shd w:val="clear" w:color="auto" w:fill="F1F2F5"/>
          </w:tcPr>
          <w:p>
            <w:pPr>
              <w:pStyle w:val="Compact"/>
              <w:spacing w:after="0" w:before="0" w:line="240" w:lineRule="auto"/>
              <w:jc w:val="right"/>
            </w:pPr>
            <w:r>
              <w:rPr>
                <w:rFonts w:ascii="Arial" w:hAnsi="Arial"/>
                <w:sz w:val="15"/>
              </w:rPr>
              <w:t xml:space="preserve">680</w:t>
            </w:r>
          </w:p>
        </w:tc>
        <w:tc>
          <w:tcPr>
            <w:tcW w:type="dxa" w:w="1019"/>
            <w:shd w:val="clear" w:color="auto" w:fill="F1F2F5"/>
          </w:tcPr>
          <w:p>
            <w:pPr>
              <w:pStyle w:val="Compact"/>
              <w:spacing w:after="0" w:before="0" w:line="240" w:lineRule="auto"/>
              <w:jc w:val="right"/>
            </w:pPr>
            <w:r>
              <w:rPr>
                <w:rFonts w:ascii="Arial" w:hAnsi="Arial"/>
                <w:sz w:val="15"/>
              </w:rPr>
              <w:t xml:space="preserve">932</w:t>
            </w:r>
          </w:p>
        </w:tc>
        <w:tc>
          <w:tcPr>
            <w:tcW w:type="dxa" w:w="1017"/>
            <w:shd w:val="clear" w:color="auto" w:fill="F1F2F5"/>
          </w:tcPr>
          <w:p>
            <w:pPr>
              <w:pStyle w:val="Compact"/>
              <w:spacing w:after="0" w:before="0" w:line="240" w:lineRule="auto"/>
              <w:jc w:val="right"/>
            </w:pPr>
            <w:r>
              <w:rPr>
                <w:rFonts w:ascii="Arial" w:hAnsi="Arial"/>
                <w:sz w:val="15"/>
              </w:rPr>
              <w:t xml:space="preserve">970</w:t>
            </w:r>
          </w:p>
        </w:tc>
        <w:tc>
          <w:tcPr>
            <w:tcW w:type="dxa" w:w="1022"/>
            <w:shd w:val="clear" w:color="auto" w:fill="F1F2F5"/>
          </w:tcPr>
          <w:p>
            <w:pPr>
              <w:pStyle w:val="Compact"/>
              <w:spacing w:after="0" w:before="0" w:line="240" w:lineRule="auto"/>
              <w:jc w:val="right"/>
            </w:pPr>
            <w:r>
              <w:rPr>
                <w:rFonts w:ascii="Arial" w:hAnsi="Arial"/>
                <w:sz w:val="15"/>
              </w:rPr>
              <w:t xml:space="preserve">1,048</w:t>
            </w:r>
          </w:p>
        </w:tc>
        <w:tc>
          <w:tcPr>
            <w:tcW w:type="dxa" w:w="1319"/>
            <w:shd w:val="clear" w:color="auto" w:fill="F1F2F5"/>
          </w:tcPr>
          <w:p>
            <w:pPr>
              <w:pStyle w:val="Compact"/>
              <w:spacing w:after="0" w:before="0" w:line="240" w:lineRule="auto"/>
              <w:jc w:val="right"/>
            </w:pPr>
            <w:r>
              <w:rPr>
                <w:rFonts w:ascii="Arial" w:hAnsi="Arial"/>
                <w:sz w:val="15"/>
              </w:rPr>
              <w:t xml:space="preserve">–</w:t>
            </w:r>
          </w:p>
        </w:tc>
        <w:tc>
          <w:tcPr>
            <w:tcW w:type="dxa" w:w="1319"/>
            <w:shd w:val="clear" w:color="auto" w:fill="F1F2F5"/>
          </w:tcPr>
          <w:p>
            <w:pPr>
              <w:pStyle w:val="Compact"/>
              <w:spacing w:after="0" w:before="0" w:line="240" w:lineRule="auto"/>
              <w:jc w:val="right"/>
            </w:pPr>
            <w:r>
              <w:rPr>
                <w:rFonts w:ascii="Arial" w:hAnsi="Arial"/>
                <w:sz w:val="15"/>
              </w:rPr>
              <w:t xml:space="preserve">–</w:t>
            </w:r>
          </w:p>
        </w:tc>
        <w:tc>
          <w:tcPr>
            <w:tcW w:type="dxa" w:w="1317"/>
            <w:shd w:val="clear" w:color="auto" w:fill="F1F2F5"/>
          </w:tcPr>
          <w:p>
            <w:pPr>
              <w:pStyle w:val="Compact"/>
              <w:spacing w:after="0" w:before="0" w:line="240" w:lineRule="auto"/>
              <w:jc w:val="right"/>
            </w:pPr>
            <w:r>
              <w:rPr>
                <w:rFonts w:ascii="Arial" w:hAnsi="Arial"/>
                <w:sz w:val="15"/>
              </w:rPr>
              <w:t xml:space="preserve">–</w:t>
            </w:r>
          </w:p>
        </w:tc>
      </w:tr>
      <w:tr>
        <w:trPr>
          <w:cantSplit/>
        </w:trPr>
        <w:tc>
          <w:tcPr>
            <w:tcW w:type="dxa" w:w="1944"/>
          </w:tcPr>
          <w:p>
            <w:pPr>
              <w:pStyle w:val="Compact"/>
              <w:spacing w:after="0" w:before="0" w:line="240" w:lineRule="auto"/>
              <w:jc w:val="left"/>
            </w:pPr>
            <w:r>
              <w:rPr>
                <w:rFonts w:ascii="Arial" w:hAnsi="Arial"/>
                <w:sz w:val="15"/>
              </w:rPr>
              <w:t xml:space="preserve">Net income (parent)</w:t>
            </w:r>
          </w:p>
        </w:tc>
        <w:tc>
          <w:tcPr>
            <w:tcW w:type="dxa" w:w="1021"/>
          </w:tcPr>
          <w:p>
            <w:pPr>
              <w:pStyle w:val="Compact"/>
              <w:spacing w:after="0" w:before="0" w:line="240" w:lineRule="auto"/>
              <w:jc w:val="right"/>
            </w:pPr>
            <w:r>
              <w:rPr>
                <w:rFonts w:ascii="Arial" w:hAnsi="Arial"/>
                <w:sz w:val="15"/>
              </w:rPr>
              <w:t xml:space="preserve">524</w:t>
            </w:r>
          </w:p>
        </w:tc>
        <w:tc>
          <w:tcPr>
            <w:tcW w:type="dxa" w:w="1019"/>
          </w:tcPr>
          <w:p>
            <w:pPr>
              <w:pStyle w:val="Compact"/>
              <w:spacing w:after="0" w:before="0" w:line="240" w:lineRule="auto"/>
              <w:jc w:val="right"/>
            </w:pPr>
            <w:r>
              <w:rPr>
                <w:rFonts w:ascii="Arial" w:hAnsi="Arial"/>
                <w:sz w:val="15"/>
              </w:rPr>
              <w:t xml:space="preserve">694</w:t>
            </w:r>
          </w:p>
        </w:tc>
        <w:tc>
          <w:tcPr>
            <w:tcW w:type="dxa" w:w="1017"/>
          </w:tcPr>
          <w:p>
            <w:pPr>
              <w:pStyle w:val="Compact"/>
              <w:spacing w:after="0" w:before="0" w:line="240" w:lineRule="auto"/>
              <w:jc w:val="right"/>
            </w:pPr>
            <w:r>
              <w:rPr>
                <w:rFonts w:ascii="Arial" w:hAnsi="Arial"/>
                <w:sz w:val="15"/>
              </w:rPr>
              <w:t xml:space="preserve">731</w:t>
            </w:r>
          </w:p>
        </w:tc>
        <w:tc>
          <w:tcPr>
            <w:tcW w:type="dxa" w:w="1022"/>
          </w:tcPr>
          <w:p>
            <w:pPr>
              <w:pStyle w:val="Compact"/>
              <w:spacing w:after="0" w:before="0" w:line="240" w:lineRule="auto"/>
              <w:jc w:val="right"/>
            </w:pPr>
            <w:r>
              <w:rPr>
                <w:rFonts w:ascii="Arial" w:hAnsi="Arial"/>
                <w:sz w:val="15"/>
              </w:rPr>
              <w:t xml:space="preserve">789</w:t>
            </w:r>
          </w:p>
        </w:tc>
        <w:tc>
          <w:tcPr>
            <w:tcW w:type="dxa" w:w="1319"/>
          </w:tcPr>
          <w:p>
            <w:pPr>
              <w:pStyle w:val="Compact"/>
              <w:spacing w:after="0" w:before="0" w:line="240" w:lineRule="auto"/>
              <w:jc w:val="right"/>
            </w:pPr>
            <w:r>
              <w:rPr>
                <w:rFonts w:ascii="Arial" w:hAnsi="Arial"/>
                <w:sz w:val="15"/>
              </w:rPr>
              <w:t xml:space="preserve">738</w:t>
            </w:r>
          </w:p>
        </w:tc>
        <w:tc>
          <w:tcPr>
            <w:tcW w:type="dxa" w:w="1319"/>
          </w:tcPr>
          <w:p>
            <w:pPr>
              <w:pStyle w:val="Compact"/>
              <w:spacing w:after="0" w:before="0" w:line="240" w:lineRule="auto"/>
              <w:jc w:val="right"/>
            </w:pPr>
            <w:r>
              <w:rPr>
                <w:rFonts w:ascii="Arial" w:hAnsi="Arial"/>
                <w:sz w:val="15"/>
              </w:rPr>
              <w:t xml:space="preserve">817</w:t>
            </w:r>
          </w:p>
        </w:tc>
        <w:tc>
          <w:tcPr>
            <w:tcW w:type="dxa" w:w="1317"/>
          </w:tcPr>
          <w:p>
            <w:pPr>
              <w:pStyle w:val="Compact"/>
              <w:spacing w:after="0" w:before="0" w:line="240" w:lineRule="auto"/>
              <w:jc w:val="right"/>
            </w:pPr>
            <w:r>
              <w:rPr>
                <w:rFonts w:ascii="Arial" w:hAnsi="Arial"/>
                <w:sz w:val="15"/>
              </w:rPr>
              <w:t xml:space="preserve">876</w:t>
            </w:r>
          </w:p>
        </w:tc>
      </w:tr>
      <w:tr>
        <w:trPr>
          <w:cantSplit/>
        </w:trPr>
        <w:tc>
          <w:tcPr>
            <w:tcW w:type="dxa" w:w="1944"/>
            <w:shd w:val="clear" w:color="auto" w:fill="F1F2F5"/>
          </w:tcPr>
          <w:p>
            <w:pPr>
              <w:pStyle w:val="Compact"/>
              <w:spacing w:after="0" w:before="0" w:line="240" w:lineRule="auto"/>
              <w:jc w:val="left"/>
            </w:pPr>
            <w:r>
              <w:rPr>
                <w:bCs/>
                <w:rFonts w:ascii="Arial" w:hAnsi="Arial"/>
                <w:b/>
                <w:sz w:val="15"/>
              </w:rPr>
              <w:t xml:space="preserve">EPS (KRW)</w:t>
            </w:r>
          </w:p>
        </w:tc>
        <w:tc>
          <w:tcPr>
            <w:tcW w:type="dxa" w:w="1021"/>
            <w:shd w:val="clear" w:color="auto" w:fill="F1F2F5"/>
          </w:tcPr>
          <w:p>
            <w:pPr>
              <w:pStyle w:val="Compact"/>
              <w:spacing w:after="0" w:before="0" w:line="240" w:lineRule="auto"/>
              <w:jc w:val="right"/>
            </w:pPr>
            <w:r>
              <w:rPr>
                <w:bCs/>
                <w:rFonts w:ascii="Arial" w:hAnsi="Arial"/>
                <w:b/>
                <w:sz w:val="15"/>
              </w:rPr>
              <w:t xml:space="preserve">1,221</w:t>
            </w:r>
          </w:p>
        </w:tc>
        <w:tc>
          <w:tcPr>
            <w:tcW w:type="dxa" w:w="1019"/>
            <w:shd w:val="clear" w:color="auto" w:fill="F1F2F5"/>
          </w:tcPr>
          <w:p>
            <w:pPr>
              <w:pStyle w:val="Compact"/>
              <w:spacing w:after="0" w:before="0" w:line="240" w:lineRule="auto"/>
              <w:jc w:val="right"/>
            </w:pPr>
            <w:r>
              <w:rPr>
                <w:bCs/>
                <w:rFonts w:ascii="Arial" w:hAnsi="Arial"/>
                <w:b/>
                <w:sz w:val="15"/>
              </w:rPr>
              <w:t xml:space="preserve">1,641</w:t>
            </w:r>
          </w:p>
        </w:tc>
        <w:tc>
          <w:tcPr>
            <w:tcW w:type="dxa" w:w="1017"/>
            <w:shd w:val="clear" w:color="auto" w:fill="F1F2F5"/>
          </w:tcPr>
          <w:p>
            <w:pPr>
              <w:pStyle w:val="Compact"/>
              <w:spacing w:after="0" w:before="0" w:line="240" w:lineRule="auto"/>
              <w:jc w:val="right"/>
            </w:pPr>
            <w:r>
              <w:rPr>
                <w:bCs/>
                <w:rFonts w:ascii="Arial" w:hAnsi="Arial"/>
                <w:b/>
                <w:sz w:val="15"/>
              </w:rPr>
              <w:t xml:space="preserve">1,756</w:t>
            </w:r>
          </w:p>
        </w:tc>
        <w:tc>
          <w:tcPr>
            <w:tcW w:type="dxa" w:w="1022"/>
            <w:shd w:val="clear" w:color="auto" w:fill="F1F2F5"/>
          </w:tcPr>
          <w:p>
            <w:pPr>
              <w:pStyle w:val="Compact"/>
              <w:spacing w:after="0" w:before="0" w:line="240" w:lineRule="auto"/>
              <w:jc w:val="right"/>
            </w:pPr>
            <w:r>
              <w:rPr>
                <w:bCs/>
                <w:rFonts w:ascii="Arial" w:hAnsi="Arial"/>
                <w:b/>
                <w:sz w:val="15"/>
              </w:rPr>
              <w:t xml:space="preserve">1,927</w:t>
            </w:r>
          </w:p>
        </w:tc>
        <w:tc>
          <w:tcPr>
            <w:tcW w:type="dxa" w:w="1319"/>
            <w:shd w:val="clear" w:color="auto" w:fill="F1F2F5"/>
          </w:tcPr>
          <w:p>
            <w:pPr>
              <w:pStyle w:val="Compact"/>
              <w:spacing w:after="0" w:before="0" w:line="240" w:lineRule="auto"/>
              <w:jc w:val="right"/>
            </w:pPr>
            <w:r>
              <w:rPr>
                <w:bCs/>
                <w:rFonts w:ascii="Arial" w:hAnsi="Arial"/>
                <w:b/>
                <w:sz w:val="15"/>
              </w:rPr>
              <w:t xml:space="preserve">1,733</w:t>
            </w:r>
          </w:p>
        </w:tc>
        <w:tc>
          <w:tcPr>
            <w:tcW w:type="dxa" w:w="1319"/>
            <w:shd w:val="clear" w:color="auto" w:fill="F1F2F5"/>
          </w:tcPr>
          <w:p>
            <w:pPr>
              <w:pStyle w:val="Compact"/>
              <w:spacing w:after="0" w:before="0" w:line="240" w:lineRule="auto"/>
              <w:jc w:val="right"/>
            </w:pPr>
            <w:r>
              <w:rPr>
                <w:bCs/>
                <w:rFonts w:ascii="Arial" w:hAnsi="Arial"/>
                <w:b/>
                <w:sz w:val="15"/>
              </w:rPr>
              <w:t xml:space="preserve">1,922</w:t>
            </w:r>
          </w:p>
        </w:tc>
        <w:tc>
          <w:tcPr>
            <w:tcW w:type="dxa" w:w="1317"/>
            <w:shd w:val="clear" w:color="auto" w:fill="F1F2F5"/>
          </w:tcPr>
          <w:p>
            <w:pPr>
              <w:pStyle w:val="Compact"/>
              <w:spacing w:after="0" w:before="0" w:line="240" w:lineRule="auto"/>
              <w:jc w:val="right"/>
            </w:pPr>
            <w:r>
              <w:rPr>
                <w:bCs/>
                <w:rFonts w:ascii="Arial" w:hAnsi="Arial"/>
                <w:b/>
                <w:sz w:val="15"/>
              </w:rPr>
              <w:t xml:space="preserve">2,079</w:t>
            </w:r>
          </w:p>
        </w:tc>
      </w:tr>
      <w:tr>
        <w:trPr>
          <w:cantSplit/>
        </w:trPr>
        <w:tc>
          <w:tcPr>
            <w:tcW w:type="dxa" w:w="1944"/>
          </w:tcPr>
          <w:p>
            <w:pPr>
              <w:pStyle w:val="Compact"/>
              <w:spacing w:after="0" w:before="0" w:line="240" w:lineRule="auto"/>
              <w:jc w:val="left"/>
            </w:pPr>
            <w:r>
              <w:rPr>
                <w:rFonts w:ascii="Arial" w:hAnsi="Arial"/>
                <w:sz w:val="15"/>
              </w:rPr>
              <w:t xml:space="preserve">EPS growth</w:t>
            </w:r>
          </w:p>
        </w:tc>
        <w:tc>
          <w:tcPr>
            <w:tcW w:type="dxa" w:w="1021"/>
          </w:tcPr>
          <w:p>
            <w:pPr>
              <w:pStyle w:val="Compact"/>
              <w:spacing w:after="0" w:before="0" w:line="240" w:lineRule="auto"/>
              <w:jc w:val="right"/>
            </w:pPr>
            <w:r>
              <w:rPr>
                <w:rFonts w:ascii="Arial" w:hAnsi="Arial"/>
                <w:sz w:val="15"/>
              </w:rPr>
              <w:t xml:space="preserve">+40%</w:t>
            </w:r>
          </w:p>
        </w:tc>
        <w:tc>
          <w:tcPr>
            <w:tcW w:type="dxa" w:w="1019"/>
          </w:tcPr>
          <w:p>
            <w:pPr>
              <w:pStyle w:val="Compact"/>
              <w:spacing w:after="0" w:before="0" w:line="240" w:lineRule="auto"/>
              <w:jc w:val="right"/>
            </w:pPr>
            <w:r>
              <w:rPr>
                <w:rFonts w:ascii="Arial" w:hAnsi="Arial"/>
                <w:sz w:val="15"/>
              </w:rPr>
              <w:t xml:space="preserve">+34%</w:t>
            </w:r>
          </w:p>
        </w:tc>
        <w:tc>
          <w:tcPr>
            <w:tcW w:type="dxa" w:w="1017"/>
          </w:tcPr>
          <w:p>
            <w:pPr>
              <w:pStyle w:val="Compact"/>
              <w:spacing w:after="0" w:before="0" w:line="240" w:lineRule="auto"/>
              <w:jc w:val="right"/>
            </w:pPr>
            <w:r>
              <w:rPr>
                <w:rFonts w:ascii="Arial" w:hAnsi="Arial"/>
                <w:sz w:val="15"/>
              </w:rPr>
              <w:t xml:space="preserve">+7%</w:t>
            </w:r>
          </w:p>
        </w:tc>
        <w:tc>
          <w:tcPr>
            <w:tcW w:type="dxa" w:w="1022"/>
          </w:tcPr>
          <w:p>
            <w:pPr>
              <w:pStyle w:val="Compact"/>
              <w:spacing w:after="0" w:before="0" w:line="240" w:lineRule="auto"/>
              <w:jc w:val="right"/>
            </w:pPr>
            <w:r>
              <w:rPr>
                <w:rFonts w:ascii="Arial" w:hAnsi="Arial"/>
                <w:sz w:val="15"/>
              </w:rPr>
              <w:t xml:space="preserve">+10%</w:t>
            </w:r>
          </w:p>
        </w:tc>
        <w:tc>
          <w:tcPr>
            <w:tcW w:type="dxa" w:w="1319"/>
          </w:tcPr>
          <w:p>
            <w:pPr>
              <w:pStyle w:val="Compact"/>
              <w:spacing w:after="0" w:before="0" w:line="240" w:lineRule="auto"/>
              <w:jc w:val="right"/>
            </w:pPr>
            <w:r>
              <w:rPr>
                <w:rFonts w:ascii="Arial" w:hAnsi="Arial"/>
                <w:sz w:val="15"/>
              </w:rPr>
              <w:t xml:space="preserve">+42%</w:t>
            </w:r>
          </w:p>
        </w:tc>
        <w:tc>
          <w:tcPr>
            <w:tcW w:type="dxa" w:w="1319"/>
          </w:tcPr>
          <w:p>
            <w:pPr>
              <w:pStyle w:val="Compact"/>
              <w:spacing w:after="0" w:before="0" w:line="240" w:lineRule="auto"/>
              <w:jc w:val="right"/>
            </w:pPr>
            <w:r>
              <w:rPr>
                <w:rFonts w:ascii="Arial" w:hAnsi="Arial"/>
                <w:sz w:val="15"/>
              </w:rPr>
              <w:t xml:space="preserve">+11%</w:t>
            </w:r>
          </w:p>
        </w:tc>
        <w:tc>
          <w:tcPr>
            <w:tcW w:type="dxa" w:w="1317"/>
          </w:tcPr>
          <w:p>
            <w:pPr>
              <w:pStyle w:val="Compact"/>
              <w:spacing w:after="0" w:before="0" w:line="240" w:lineRule="auto"/>
              <w:jc w:val="right"/>
            </w:pPr>
            <w:r>
              <w:rPr>
                <w:rFonts w:ascii="Arial" w:hAnsi="Arial"/>
                <w:sz w:val="15"/>
              </w:rPr>
              <w:t xml:space="preserve">+8%</w:t>
            </w:r>
          </w:p>
        </w:tc>
      </w:tr>
      <w:tr>
        <w:trPr>
          <w:cantSplit/>
        </w:trPr>
        <w:tc>
          <w:tcPr>
            <w:tcW w:type="dxa" w:w="1944"/>
            <w:shd w:val="clear" w:color="auto" w:fill="F1F2F5"/>
          </w:tcPr>
          <w:p>
            <w:pPr>
              <w:pStyle w:val="Compact"/>
              <w:spacing w:after="0" w:before="0" w:line="240" w:lineRule="auto"/>
              <w:jc w:val="left"/>
            </w:pPr>
            <w:r>
              <w:rPr>
                <w:rFonts w:ascii="Arial" w:hAnsi="Arial"/>
                <w:sz w:val="15"/>
              </w:rPr>
              <w:t xml:space="preserve">DPS (KRW)</w:t>
            </w:r>
          </w:p>
        </w:tc>
        <w:tc>
          <w:tcPr>
            <w:tcW w:type="dxa" w:w="1021"/>
            <w:shd w:val="clear" w:color="auto" w:fill="F1F2F5"/>
          </w:tcPr>
          <w:p>
            <w:pPr>
              <w:pStyle w:val="Compact"/>
              <w:spacing w:after="0" w:before="0" w:line="240" w:lineRule="auto"/>
              <w:jc w:val="right"/>
            </w:pPr>
            <w:r>
              <w:rPr>
                <w:rFonts w:ascii="Arial" w:hAnsi="Arial"/>
                <w:sz w:val="15"/>
              </w:rPr>
              <w:t xml:space="preserve">660</w:t>
            </w:r>
          </w:p>
        </w:tc>
        <w:tc>
          <w:tcPr>
            <w:tcW w:type="dxa" w:w="1019"/>
            <w:shd w:val="clear" w:color="auto" w:fill="F1F2F5"/>
          </w:tcPr>
          <w:p>
            <w:pPr>
              <w:pStyle w:val="Compact"/>
              <w:spacing w:after="0" w:before="0" w:line="240" w:lineRule="auto"/>
              <w:jc w:val="right"/>
            </w:pPr>
            <w:r>
              <w:rPr>
                <w:rFonts w:ascii="Arial" w:hAnsi="Arial"/>
                <w:sz w:val="15"/>
              </w:rPr>
              <w:t xml:space="preserve">700</w:t>
            </w:r>
          </w:p>
        </w:tc>
        <w:tc>
          <w:tcPr>
            <w:tcW w:type="dxa" w:w="1017"/>
            <w:shd w:val="clear" w:color="auto" w:fill="F1F2F5"/>
          </w:tcPr>
          <w:p>
            <w:pPr>
              <w:pStyle w:val="Compact"/>
              <w:spacing w:after="0" w:before="0" w:line="240" w:lineRule="auto"/>
              <w:jc w:val="right"/>
            </w:pPr>
            <w:r>
              <w:rPr>
                <w:rFonts w:ascii="Arial" w:hAnsi="Arial"/>
                <w:sz w:val="15"/>
              </w:rPr>
              <w:t xml:space="preserve">740</w:t>
            </w:r>
          </w:p>
        </w:tc>
        <w:tc>
          <w:tcPr>
            <w:tcW w:type="dxa" w:w="1022"/>
            <w:shd w:val="clear" w:color="auto" w:fill="F1F2F5"/>
          </w:tcPr>
          <w:p>
            <w:pPr>
              <w:pStyle w:val="Compact"/>
              <w:spacing w:after="0" w:before="0" w:line="240" w:lineRule="auto"/>
              <w:jc w:val="right"/>
            </w:pPr>
            <w:r>
              <w:rPr>
                <w:rFonts w:ascii="Arial" w:hAnsi="Arial"/>
                <w:sz w:val="15"/>
              </w:rPr>
              <w:t xml:space="preserve">780</w:t>
            </w:r>
          </w:p>
        </w:tc>
        <w:tc>
          <w:tcPr>
            <w:tcW w:type="dxa" w:w="1319"/>
            <w:shd w:val="clear" w:color="auto" w:fill="F1F2F5"/>
          </w:tcPr>
          <w:p>
            <w:pPr>
              <w:pStyle w:val="Compact"/>
              <w:spacing w:after="0" w:before="0" w:line="240" w:lineRule="auto"/>
              <w:jc w:val="right"/>
            </w:pPr>
            <w:r>
              <w:rPr>
                <w:rFonts w:ascii="Arial" w:hAnsi="Arial"/>
                <w:sz w:val="15"/>
              </w:rPr>
              <w:t xml:space="preserve">695</w:t>
            </w:r>
          </w:p>
        </w:tc>
        <w:tc>
          <w:tcPr>
            <w:tcW w:type="dxa" w:w="1319"/>
            <w:shd w:val="clear" w:color="auto" w:fill="F1F2F5"/>
          </w:tcPr>
          <w:p>
            <w:pPr>
              <w:pStyle w:val="Compact"/>
              <w:spacing w:after="0" w:before="0" w:line="240" w:lineRule="auto"/>
              <w:jc w:val="right"/>
            </w:pPr>
            <w:r>
              <w:rPr>
                <w:rFonts w:ascii="Arial" w:hAnsi="Arial"/>
                <w:sz w:val="15"/>
              </w:rPr>
              <w:t xml:space="preserve">738</w:t>
            </w:r>
          </w:p>
        </w:tc>
        <w:tc>
          <w:tcPr>
            <w:tcW w:type="dxa" w:w="1317"/>
            <w:shd w:val="clear" w:color="auto" w:fill="F1F2F5"/>
          </w:tcPr>
          <w:p>
            <w:pPr>
              <w:pStyle w:val="Compact"/>
              <w:spacing w:after="0" w:before="0" w:line="240" w:lineRule="auto"/>
              <w:jc w:val="right"/>
            </w:pPr>
            <w:r>
              <w:rPr>
                <w:rFonts w:ascii="Arial" w:hAnsi="Arial"/>
                <w:sz w:val="15"/>
              </w:rPr>
              <w:t xml:space="preserve">778</w:t>
            </w:r>
          </w:p>
        </w:tc>
      </w:tr>
      <w:tr>
        <w:trPr>
          <w:cantSplit/>
        </w:trPr>
        <w:tc>
          <w:tcPr>
            <w:tcW w:type="dxa" w:w="1944"/>
          </w:tcPr>
          <w:p>
            <w:pPr>
              <w:pStyle w:val="Compact"/>
              <w:spacing w:after="0" w:before="0" w:line="240" w:lineRule="auto"/>
              <w:jc w:val="left"/>
            </w:pPr>
            <w:r>
              <w:rPr>
                <w:rFonts w:ascii="Arial" w:hAnsi="Arial"/>
                <w:sz w:val="15"/>
              </w:rPr>
              <w:t xml:space="preserve">Payout (of consolidated NI)</w:t>
            </w:r>
          </w:p>
        </w:tc>
        <w:tc>
          <w:tcPr>
            <w:tcW w:type="dxa" w:w="1021"/>
          </w:tcPr>
          <w:p>
            <w:pPr>
              <w:pStyle w:val="Compact"/>
              <w:spacing w:after="0" w:before="0" w:line="240" w:lineRule="auto"/>
              <w:jc w:val="right"/>
            </w:pPr>
            <w:r>
              <w:rPr>
                <w:rFonts w:ascii="Arial" w:hAnsi="Arial"/>
                <w:sz w:val="15"/>
              </w:rPr>
              <w:t xml:space="preserve">53.7%</w:t>
            </w:r>
          </w:p>
        </w:tc>
        <w:tc>
          <w:tcPr>
            <w:tcW w:type="dxa" w:w="1019"/>
          </w:tcPr>
          <w:p>
            <w:pPr>
              <w:pStyle w:val="Compact"/>
              <w:spacing w:after="0" w:before="0" w:line="240" w:lineRule="auto"/>
              <w:jc w:val="right"/>
            </w:pPr>
            <w:r>
              <w:rPr>
                <w:rFonts w:ascii="Arial" w:hAnsi="Arial"/>
                <w:sz w:val="15"/>
              </w:rPr>
              <w:t xml:space="preserve">42%</w:t>
            </w:r>
          </w:p>
        </w:tc>
        <w:tc>
          <w:tcPr>
            <w:tcW w:type="dxa" w:w="1017"/>
          </w:tcPr>
          <w:p>
            <w:pPr>
              <w:pStyle w:val="Compact"/>
              <w:spacing w:after="0" w:before="0" w:line="240" w:lineRule="auto"/>
              <w:jc w:val="right"/>
            </w:pPr>
            <w:r>
              <w:rPr>
                <w:rFonts w:ascii="Arial" w:hAnsi="Arial"/>
                <w:sz w:val="15"/>
              </w:rPr>
              <w:t xml:space="preserve">42%</w:t>
            </w:r>
          </w:p>
        </w:tc>
        <w:tc>
          <w:tcPr>
            <w:tcW w:type="dxa" w:w="1022"/>
          </w:tcPr>
          <w:p>
            <w:pPr>
              <w:pStyle w:val="Compact"/>
              <w:spacing w:after="0" w:before="0" w:line="240" w:lineRule="auto"/>
              <w:jc w:val="right"/>
            </w:pPr>
            <w:r>
              <w:rPr>
                <w:rFonts w:ascii="Arial" w:hAnsi="Arial"/>
                <w:sz w:val="15"/>
              </w:rPr>
              <w:t xml:space="preserve">40%</w:t>
            </w:r>
          </w:p>
        </w:tc>
        <w:tc>
          <w:tcPr>
            <w:tcW w:type="dxa" w:w="1319"/>
          </w:tcPr>
          <w:p>
            <w:pPr>
              <w:pStyle w:val="Compact"/>
              <w:spacing w:after="0" w:before="0" w:line="240" w:lineRule="auto"/>
              <w:jc w:val="right"/>
            </w:pPr>
            <w:r>
              <w:rPr>
                <w:rFonts w:ascii="Arial" w:hAnsi="Arial"/>
                <w:sz w:val="15"/>
              </w:rPr>
              <w:t xml:space="preserve">–</w:t>
            </w:r>
          </w:p>
        </w:tc>
        <w:tc>
          <w:tcPr>
            <w:tcW w:type="dxa" w:w="1319"/>
          </w:tcPr>
          <w:p>
            <w:pPr>
              <w:pStyle w:val="Compact"/>
              <w:spacing w:after="0" w:before="0" w:line="240" w:lineRule="auto"/>
              <w:jc w:val="right"/>
            </w:pPr>
            <w:r>
              <w:rPr>
                <w:rFonts w:ascii="Arial" w:hAnsi="Arial"/>
                <w:sz w:val="15"/>
              </w:rPr>
              <w:t xml:space="preserve">–</w:t>
            </w:r>
          </w:p>
        </w:tc>
        <w:tc>
          <w:tcPr>
            <w:tcW w:type="dxa" w:w="1317"/>
          </w:tcPr>
          <w:p>
            <w:pPr>
              <w:pStyle w:val="Compact"/>
              <w:spacing w:after="0" w:before="0" w:line="240" w:lineRule="auto"/>
              <w:jc w:val="right"/>
            </w:pPr>
            <w:r>
              <w:rPr>
                <w:rFonts w:ascii="Arial" w:hAnsi="Arial"/>
                <w:sz w:val="15"/>
              </w:rPr>
              <w:t xml:space="preserve">–</w:t>
            </w:r>
          </w:p>
        </w:tc>
      </w:tr>
      <w:tr>
        <w:trPr>
          <w:cantSplit/>
        </w:trPr>
        <w:tc>
          <w:tcPr>
            <w:tcW w:type="dxa" w:w="1944"/>
            <w:shd w:val="clear" w:color="auto" w:fill="F1F2F5"/>
          </w:tcPr>
          <w:p>
            <w:pPr>
              <w:pStyle w:val="Compact"/>
              <w:spacing w:after="0" w:before="0" w:line="240" w:lineRule="auto"/>
              <w:jc w:val="left"/>
            </w:pPr>
            <w:r>
              <w:rPr>
                <w:rFonts w:ascii="Arial" w:hAnsi="Arial"/>
                <w:sz w:val="15"/>
              </w:rPr>
              <w:t xml:space="preserve">ROE [e]</w:t>
            </w:r>
          </w:p>
        </w:tc>
        <w:tc>
          <w:tcPr>
            <w:tcW w:type="dxa" w:w="1021"/>
            <w:shd w:val="clear" w:color="auto" w:fill="F1F2F5"/>
          </w:tcPr>
          <w:p>
            <w:pPr>
              <w:pStyle w:val="Compact"/>
              <w:spacing w:after="0" w:before="0" w:line="240" w:lineRule="auto"/>
              <w:jc w:val="right"/>
            </w:pPr>
            <w:r>
              <w:rPr>
                <w:rFonts w:ascii="Arial" w:hAnsi="Arial"/>
                <w:sz w:val="15"/>
              </w:rPr>
              <w:t xml:space="preserve">6.0%</w:t>
            </w:r>
          </w:p>
        </w:tc>
        <w:tc>
          <w:tcPr>
            <w:tcW w:type="dxa" w:w="1019"/>
            <w:shd w:val="clear" w:color="auto" w:fill="F1F2F5"/>
          </w:tcPr>
          <w:p>
            <w:pPr>
              <w:pStyle w:val="Compact"/>
              <w:spacing w:after="0" w:before="0" w:line="240" w:lineRule="auto"/>
              <w:jc w:val="right"/>
            </w:pPr>
            <w:r>
              <w:rPr>
                <w:rFonts w:ascii="Arial" w:hAnsi="Arial"/>
                <w:sz w:val="15"/>
              </w:rPr>
              <w:t xml:space="preserve">7.7%</w:t>
            </w:r>
          </w:p>
        </w:tc>
        <w:tc>
          <w:tcPr>
            <w:tcW w:type="dxa" w:w="1017"/>
            <w:shd w:val="clear" w:color="auto" w:fill="F1F2F5"/>
          </w:tcPr>
          <w:p>
            <w:pPr>
              <w:pStyle w:val="Compact"/>
              <w:spacing w:after="0" w:before="0" w:line="240" w:lineRule="auto"/>
              <w:jc w:val="right"/>
            </w:pPr>
            <w:r>
              <w:rPr>
                <w:rFonts w:ascii="Arial" w:hAnsi="Arial"/>
                <w:sz w:val="15"/>
              </w:rPr>
              <w:t xml:space="preserve">7.8%</w:t>
            </w:r>
          </w:p>
        </w:tc>
        <w:tc>
          <w:tcPr>
            <w:tcW w:type="dxa" w:w="1022"/>
            <w:shd w:val="clear" w:color="auto" w:fill="F1F2F5"/>
          </w:tcPr>
          <w:p>
            <w:pPr>
              <w:pStyle w:val="Compact"/>
              <w:spacing w:after="0" w:before="0" w:line="240" w:lineRule="auto"/>
              <w:jc w:val="right"/>
            </w:pPr>
            <w:r>
              <w:rPr>
                <w:rFonts w:ascii="Arial" w:hAnsi="Arial"/>
                <w:sz w:val="15"/>
              </w:rPr>
              <w:t xml:space="preserve">8.1%</w:t>
            </w:r>
          </w:p>
        </w:tc>
        <w:tc>
          <w:tcPr>
            <w:tcW w:type="dxa" w:w="1319"/>
            <w:shd w:val="clear" w:color="auto" w:fill="F1F2F5"/>
          </w:tcPr>
          <w:p>
            <w:pPr>
              <w:pStyle w:val="Compact"/>
              <w:spacing w:after="0" w:before="0" w:line="240" w:lineRule="auto"/>
              <w:jc w:val="right"/>
            </w:pPr>
            <w:r>
              <w:rPr>
                <w:rFonts w:ascii="Arial" w:hAnsi="Arial"/>
                <w:sz w:val="15"/>
              </w:rPr>
              <w:t xml:space="preserve">8.1%</w:t>
            </w:r>
          </w:p>
        </w:tc>
        <w:tc>
          <w:tcPr>
            <w:tcW w:type="dxa" w:w="1319"/>
            <w:shd w:val="clear" w:color="auto" w:fill="F1F2F5"/>
          </w:tcPr>
          <w:p>
            <w:pPr>
              <w:pStyle w:val="Compact"/>
              <w:spacing w:after="0" w:before="0" w:line="240" w:lineRule="auto"/>
              <w:jc w:val="right"/>
            </w:pPr>
            <w:r>
              <w:rPr>
                <w:rFonts w:ascii="Arial" w:hAnsi="Arial"/>
                <w:sz w:val="15"/>
              </w:rPr>
              <w:t xml:space="preserve">8.4%</w:t>
            </w:r>
          </w:p>
        </w:tc>
        <w:tc>
          <w:tcPr>
            <w:tcW w:type="dxa" w:w="1317"/>
            <w:shd w:val="clear" w:color="auto" w:fill="F1F2F5"/>
          </w:tcPr>
          <w:p>
            <w:pPr>
              <w:pStyle w:val="Compact"/>
              <w:spacing w:after="0" w:before="0" w:line="240" w:lineRule="auto"/>
              <w:jc w:val="right"/>
            </w:pPr>
            <w:r>
              <w:rPr>
                <w:rFonts w:ascii="Arial" w:hAnsi="Arial"/>
                <w:sz w:val="15"/>
              </w:rPr>
              <w:t xml:space="preserve">8.5%</w:t>
            </w:r>
          </w:p>
        </w:tc>
      </w:tr>
    </w:tbl>
    <w:p>
      <w:pPr>
        <w:pStyle w:val="BodyText"/>
      </w:pPr>
      <w:r>
        <w:rPr>
          <w:bCs/>
          <w:b/>
        </w:rPr>
        <w:t xml:space="preserve">Operating-profit bridge, FY26E → FY27E (KRW bn):</w:t>
      </w:r>
      <w:r>
        <w:t xml:space="preserve"> </w:t>
      </w:r>
      <w:r>
        <w:t xml:space="preserve">FY26E 1,137 − 2Q26 one-offs 25 + service-revenue growth at ~60% drop-through 158 − labour inflation 50 − marketing 15 − other opex 20 ± D&amp;A 0 =</w:t>
      </w:r>
      <w:r>
        <w:t xml:space="preserve"> </w:t>
      </w:r>
      <w:r>
        <w:rPr>
          <w:bCs/>
          <w:b/>
        </w:rPr>
        <w:t xml:space="preserve">1,185</w:t>
      </w:r>
      <w:r>
        <w:t xml:space="preserve">. FY28E adds KRW200bn of revenue drop-through and subtracts KRW52bn labour, KRW15bn marketing, KRW20bn other opex and KRW30bn of AIDC depreciation, giving</w:t>
      </w:r>
      <w:r>
        <w:t xml:space="preserve"> </w:t>
      </w:r>
      <w:r>
        <w:rPr>
          <w:bCs/>
          <w:b/>
        </w:rPr>
        <w:t xml:space="preserve">1,268</w:t>
      </w:r>
      <w:r>
        <w:t xml:space="preserve">.</w:t>
      </w:r>
    </w:p>
    <w:p>
      <w:pPr>
        <w:pStyle w:val="BodyText"/>
      </w:pPr>
      <w:r>
        <w:rPr>
          <w:bCs/>
          <w:b/>
        </w:rPr>
        <w:t xml:space="preserve">Why we are below consensus (-5% to -9% on EPS).</w:t>
      </w:r>
    </w:p>
    <w:p>
      <w:pPr>
        <w:numPr>
          <w:ilvl w:val="0"/>
          <w:numId w:val="1026"/>
        </w:numPr>
        <w:pStyle w:val="Compact"/>
      </w:pPr>
      <w:r>
        <w:t xml:space="preserve">Tax: we use 25–26% vs ~23% implied in consensus.</w:t>
      </w:r>
    </w:p>
    <w:p>
      <w:pPr>
        <w:numPr>
          <w:ilvl w:val="0"/>
          <w:numId w:val="1026"/>
        </w:numPr>
        <w:pStyle w:val="Compact"/>
      </w:pPr>
      <w:r>
        <w:t xml:space="preserve">Below-the-line items: we include recurring non-operating losses (consensus implies ~zero).</w:t>
      </w:r>
    </w:p>
    <w:p>
      <w:pPr>
        <w:numPr>
          <w:ilvl w:val="0"/>
          <w:numId w:val="1026"/>
        </w:numPr>
        <w:pStyle w:val="Compact"/>
      </w:pPr>
      <w:r>
        <w:t xml:space="preserve">Wireless: we assume 2H26 slows as guided.</w:t>
      </w:r>
    </w:p>
    <w:p>
      <w:pPr>
        <w:numPr>
          <w:ilvl w:val="0"/>
          <w:numId w:val="1026"/>
        </w:numPr>
        <w:pStyle w:val="Compact"/>
      </w:pPr>
      <w:r>
        <w:t xml:space="preserve">AIDC economics: we treat AIDC’s contribution as margin-neutral in FY27, because pre-opening and depreciation costs arrive before full lease-up.</w:t>
      </w:r>
    </w:p>
    <w:p>
      <w:pPr>
        <w:pStyle w:val="FirstParagraph"/>
      </w:pPr>
      <w:r>
        <w:rPr>
          <w:bCs/>
          <w:b/>
        </w:rPr>
        <w:t xml:space="preserve">Factors that could make us too low:</w:t>
      </w:r>
    </w:p>
    <w:p>
      <w:pPr>
        <w:numPr>
          <w:ilvl w:val="0"/>
          <w:numId w:val="1027"/>
        </w:numPr>
        <w:pStyle w:val="Compact"/>
      </w:pPr>
      <w:r>
        <w:t xml:space="preserve">faster AIDC lease-up and pricing (the target is KRW5tn of cumulative orders by 2030);</w:t>
      </w:r>
    </w:p>
    <w:p>
      <w:pPr>
        <w:numPr>
          <w:ilvl w:val="0"/>
          <w:numId w:val="1027"/>
        </w:numPr>
        <w:pStyle w:val="Compact"/>
      </w:pPr>
      <w:r>
        <w:t xml:space="preserve">marketing falling below 19% of service revenue;</w:t>
      </w:r>
    </w:p>
    <w:p>
      <w:pPr>
        <w:numPr>
          <w:ilvl w:val="0"/>
          <w:numId w:val="1027"/>
        </w:numPr>
        <w:pStyle w:val="Compact"/>
      </w:pPr>
      <w:r>
        <w:t xml:space="preserve">a reversal of the 2Q26 tax-rate spike;</w:t>
      </w:r>
    </w:p>
    <w:p>
      <w:pPr>
        <w:numPr>
          <w:ilvl w:val="0"/>
          <w:numId w:val="1027"/>
        </w:numPr>
        <w:pStyle w:val="Compact"/>
      </w:pPr>
      <w:r>
        <w:t xml:space="preserve">larger buybacks (management could lift total returns to 60% of net income).</w:t>
      </w:r>
    </w:p>
    <w:p>
      <w:pPr>
        <w:pStyle w:val="FirstParagraph"/>
      </w:pPr>
      <w:r>
        <w:rPr>
          <w:bCs/>
          <w:b/>
        </w:rPr>
        <w:t xml:space="preserve">Financing costs and dilution.</w:t>
      </w:r>
      <w:r>
        <w:t xml:space="preserve"> </w:t>
      </w:r>
      <w:r>
        <w:t xml:space="preserve">There is no equity-linked paper and no stock-based compensation of note: pay is cash-only. Share count falls ~1.4% a year with buybacks. Interest expense is broadly stable. Coupons on new issues (3.4–4.0% in Jan-2026) are close to the ~3.6–3.7% average cost, and gross debt is flat.</w:t>
      </w:r>
    </w:p>
    <w:bookmarkEnd w:id="82"/>
    <w:bookmarkEnd w:id="83"/>
    <w:bookmarkStart w:id="84" w:name="X5f519a6a33702f31831f75f01214944ee6f8464"/>
    <w:p>
      <w:pPr>
        <w:pStyle w:val="Heading1"/>
      </w:pPr>
      <w:r>
        <w:t xml:space="preserve">Capital structure, debt, liquidity and ratings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3268"/>
        <w:gridCol w:w="1078"/>
        <w:gridCol w:w="1078"/>
        <w:gridCol w:w="1075"/>
        <w:gridCol w:w="1072"/>
        <w:gridCol w:w="1092"/>
        <w:gridCol w:w="1311"/>
      </w:tblGrid>
      <w:tr>
        <w:trPr>
          <w:tblHeader w:val="true"/>
          <w:tblHeader w:val="true"/>
          <w:cantSplit/>
        </w:trPr>
        <w:tc>
          <w:tcPr>
            <w:tcW w:type="dxa" w:w="3269"/>
            <w:shd w:val="clear" w:color="auto" w:fill="13213F"/>
          </w:tcPr>
          <w:p>
            <w:pPr>
              <w:pStyle w:val="Compact"/>
              <w:spacing w:after="0" w:before="0" w:line="240" w:lineRule="auto"/>
              <w:jc w:val="left"/>
            </w:pPr>
            <w:r>
              <w:rPr>
                <w:rFonts w:ascii="Arial" w:hAnsi="Arial"/>
                <w:b/>
                <w:color w:val="FFFFFF"/>
                <w:sz w:val="15"/>
              </w:rPr>
              <w:t xml:space="preserve">KRW bn</w:t>
            </w:r>
          </w:p>
        </w:tc>
        <w:tc>
          <w:tcPr>
            <w:tcW w:type="dxa" w:w="1079"/>
            <w:shd w:val="clear" w:color="auto" w:fill="13213F"/>
          </w:tcPr>
          <w:p>
            <w:pPr>
              <w:pStyle w:val="Compact"/>
              <w:spacing w:after="0" w:before="0" w:line="240" w:lineRule="auto"/>
              <w:jc w:val="right"/>
            </w:pPr>
            <w:r>
              <w:rPr>
                <w:rFonts w:ascii="Arial" w:hAnsi="Arial"/>
                <w:b/>
                <w:color w:val="FFFFFF"/>
                <w:sz w:val="15"/>
              </w:rPr>
              <w:t xml:space="preserve">FY2021</w:t>
            </w:r>
          </w:p>
        </w:tc>
        <w:tc>
          <w:tcPr>
            <w:tcW w:type="dxa" w:w="1079"/>
            <w:shd w:val="clear" w:color="auto" w:fill="13213F"/>
          </w:tcPr>
          <w:p>
            <w:pPr>
              <w:pStyle w:val="Compact"/>
              <w:spacing w:after="0" w:before="0" w:line="240" w:lineRule="auto"/>
              <w:jc w:val="right"/>
            </w:pPr>
            <w:r>
              <w:rPr>
                <w:rFonts w:ascii="Arial" w:hAnsi="Arial"/>
                <w:b/>
                <w:color w:val="FFFFFF"/>
                <w:sz w:val="15"/>
              </w:rPr>
              <w:t xml:space="preserve">FY2022</w:t>
            </w:r>
          </w:p>
        </w:tc>
        <w:tc>
          <w:tcPr>
            <w:tcW w:type="dxa" w:w="1075"/>
            <w:shd w:val="clear" w:color="auto" w:fill="13213F"/>
          </w:tcPr>
          <w:p>
            <w:pPr>
              <w:pStyle w:val="Compact"/>
              <w:spacing w:after="0" w:before="0" w:line="240" w:lineRule="auto"/>
              <w:jc w:val="right"/>
            </w:pPr>
            <w:r>
              <w:rPr>
                <w:rFonts w:ascii="Arial" w:hAnsi="Arial"/>
                <w:b/>
                <w:color w:val="FFFFFF"/>
                <w:sz w:val="15"/>
              </w:rPr>
              <w:t xml:space="preserve">FY2023</w:t>
            </w:r>
          </w:p>
        </w:tc>
        <w:tc>
          <w:tcPr>
            <w:tcW w:type="dxa" w:w="1072"/>
            <w:shd w:val="clear" w:color="auto" w:fill="13213F"/>
          </w:tcPr>
          <w:p>
            <w:pPr>
              <w:pStyle w:val="Compact"/>
              <w:spacing w:after="0" w:before="0" w:line="240" w:lineRule="auto"/>
              <w:jc w:val="right"/>
            </w:pPr>
            <w:r>
              <w:rPr>
                <w:rFonts w:ascii="Arial" w:hAnsi="Arial"/>
                <w:b/>
                <w:color w:val="FFFFFF"/>
                <w:sz w:val="15"/>
              </w:rPr>
              <w:t xml:space="preserve">FY2024</w:t>
            </w:r>
          </w:p>
        </w:tc>
        <w:tc>
          <w:tcPr>
            <w:tcW w:type="dxa" w:w="1092"/>
            <w:shd w:val="clear" w:color="auto" w:fill="13213F"/>
          </w:tcPr>
          <w:p>
            <w:pPr>
              <w:pStyle w:val="Compact"/>
              <w:spacing w:after="0" w:before="0" w:line="240" w:lineRule="auto"/>
              <w:jc w:val="right"/>
            </w:pPr>
            <w:r>
              <w:rPr>
                <w:rFonts w:ascii="Arial" w:hAnsi="Arial"/>
                <w:b/>
                <w:color w:val="FFFFFF"/>
                <w:sz w:val="15"/>
              </w:rPr>
              <w:t xml:space="preserve">FY2025</w:t>
            </w:r>
          </w:p>
        </w:tc>
        <w:tc>
          <w:tcPr>
            <w:tcW w:type="dxa" w:w="1312"/>
            <w:shd w:val="clear" w:color="auto" w:fill="13213F"/>
          </w:tcPr>
          <w:p>
            <w:pPr>
              <w:pStyle w:val="Compact"/>
              <w:spacing w:after="0" w:before="0" w:line="240" w:lineRule="auto"/>
              <w:jc w:val="right"/>
            </w:pPr>
            <w:r>
              <w:rPr>
                <w:rFonts w:ascii="Arial" w:hAnsi="Arial"/>
                <w:b/>
                <w:color w:val="FFFFFF"/>
                <w:sz w:val="15"/>
              </w:rPr>
              <w:t xml:space="preserve">2Q26</w:t>
            </w:r>
          </w:p>
        </w:tc>
      </w:tr>
      <w:tr>
        <w:trPr>
          <w:cantSplit/>
        </w:trPr>
        <w:tc>
          <w:tcPr>
            <w:tcW w:type="dxa" w:w="3269"/>
          </w:tcPr>
          <w:p>
            <w:pPr>
              <w:pStyle w:val="Compact"/>
              <w:spacing w:after="0" w:before="0" w:line="240" w:lineRule="auto"/>
              <w:jc w:val="left"/>
            </w:pPr>
            <w:r>
              <w:rPr>
                <w:rFonts w:ascii="Arial" w:hAnsi="Arial"/>
                <w:sz w:val="15"/>
              </w:rPr>
              <w:t xml:space="preserve">Gross debt excl. leases</w:t>
            </w:r>
          </w:p>
        </w:tc>
        <w:tc>
          <w:tcPr>
            <w:tcW w:type="dxa" w:w="1079"/>
          </w:tcPr>
          <w:p>
            <w:pPr>
              <w:pStyle w:val="Compact"/>
              <w:spacing w:after="0" w:before="0" w:line="240" w:lineRule="auto"/>
              <w:jc w:val="right"/>
            </w:pPr>
            <w:r>
              <w:rPr>
                <w:rFonts w:ascii="Arial" w:hAnsi="Arial"/>
                <w:sz w:val="15"/>
              </w:rPr>
              <w:t xml:space="preserve">6,060</w:t>
            </w:r>
          </w:p>
        </w:tc>
        <w:tc>
          <w:tcPr>
            <w:tcW w:type="dxa" w:w="1079"/>
          </w:tcPr>
          <w:p>
            <w:pPr>
              <w:pStyle w:val="Compact"/>
              <w:spacing w:after="0" w:before="0" w:line="240" w:lineRule="auto"/>
              <w:jc w:val="right"/>
            </w:pPr>
            <w:r>
              <w:rPr>
                <w:rFonts w:ascii="Arial" w:hAnsi="Arial"/>
                <w:sz w:val="15"/>
              </w:rPr>
              <w:t xml:space="preserve">6,035</w:t>
            </w:r>
          </w:p>
        </w:tc>
        <w:tc>
          <w:tcPr>
            <w:tcW w:type="dxa" w:w="1075"/>
          </w:tcPr>
          <w:p>
            <w:pPr>
              <w:pStyle w:val="Compact"/>
              <w:spacing w:after="0" w:before="0" w:line="240" w:lineRule="auto"/>
              <w:jc w:val="right"/>
            </w:pPr>
            <w:r>
              <w:rPr>
                <w:rFonts w:ascii="Arial" w:hAnsi="Arial"/>
                <w:sz w:val="15"/>
              </w:rPr>
              <w:t xml:space="preserve">6,348</w:t>
            </w:r>
          </w:p>
        </w:tc>
        <w:tc>
          <w:tcPr>
            <w:tcW w:type="dxa" w:w="1072"/>
          </w:tcPr>
          <w:p>
            <w:pPr>
              <w:pStyle w:val="Compact"/>
              <w:spacing w:after="0" w:before="0" w:line="240" w:lineRule="auto"/>
              <w:jc w:val="right"/>
            </w:pPr>
            <w:r>
              <w:rPr>
                <w:rFonts w:ascii="Arial" w:hAnsi="Arial"/>
                <w:sz w:val="15"/>
              </w:rPr>
              <w:t xml:space="preserve">6,295</w:t>
            </w:r>
          </w:p>
        </w:tc>
        <w:tc>
          <w:tcPr>
            <w:tcW w:type="dxa" w:w="1092"/>
          </w:tcPr>
          <w:p>
            <w:pPr>
              <w:pStyle w:val="Compact"/>
              <w:spacing w:after="0" w:before="0" w:line="240" w:lineRule="auto"/>
              <w:jc w:val="right"/>
            </w:pPr>
            <w:r>
              <w:rPr>
                <w:rFonts w:ascii="Arial" w:hAnsi="Arial"/>
                <w:sz w:val="15"/>
              </w:rPr>
              <w:t xml:space="preserve">5,871</w:t>
            </w:r>
          </w:p>
        </w:tc>
        <w:tc>
          <w:tcPr>
            <w:tcW w:type="dxa" w:w="1312"/>
          </w:tcPr>
          <w:p>
            <w:pPr>
              <w:pStyle w:val="Compact"/>
              <w:spacing w:after="0" w:before="0" w:line="240" w:lineRule="auto"/>
              <w:jc w:val="right"/>
            </w:pPr>
            <w:r>
              <w:rPr>
                <w:rFonts w:ascii="Arial" w:hAnsi="Arial"/>
                <w:sz w:val="15"/>
              </w:rPr>
              <w:t xml:space="preserve">5,767</w:t>
            </w:r>
          </w:p>
        </w:tc>
      </w:tr>
      <w:tr>
        <w:trPr>
          <w:cantSplit/>
        </w:trPr>
        <w:tc>
          <w:tcPr>
            <w:tcW w:type="dxa" w:w="3269"/>
            <w:shd w:val="clear" w:color="auto" w:fill="F1F2F5"/>
          </w:tcPr>
          <w:p>
            <w:pPr>
              <w:pStyle w:val="Compact"/>
              <w:spacing w:after="0" w:before="0" w:line="240" w:lineRule="auto"/>
              <w:jc w:val="left"/>
            </w:pPr>
            <w:r>
              <w:rPr>
                <w:rFonts w:ascii="Arial" w:hAnsi="Arial"/>
                <w:sz w:val="15"/>
              </w:rPr>
              <w:t xml:space="preserve">– Bonds (carrying)</w:t>
            </w:r>
          </w:p>
        </w:tc>
        <w:tc>
          <w:tcPr>
            <w:tcW w:type="dxa" w:w="1079"/>
            <w:shd w:val="clear" w:color="auto" w:fill="F1F2F5"/>
          </w:tcPr>
          <w:p>
            <w:pPr>
              <w:pStyle w:val="Compact"/>
              <w:spacing w:after="0" w:before="0" w:line="240" w:lineRule="auto"/>
              <w:jc w:val="right"/>
            </w:pPr>
            <w:r>
              <w:rPr>
                <w:rFonts w:ascii="Arial" w:hAnsi="Arial"/>
                <w:sz w:val="15"/>
              </w:rPr>
              <w:t xml:space="preserve">n/d</w:t>
            </w:r>
          </w:p>
        </w:tc>
        <w:tc>
          <w:tcPr>
            <w:tcW w:type="dxa" w:w="1079"/>
            <w:shd w:val="clear" w:color="auto" w:fill="F1F2F5"/>
          </w:tcPr>
          <w:p>
            <w:pPr>
              <w:pStyle w:val="Compact"/>
              <w:spacing w:after="0" w:before="0" w:line="240" w:lineRule="auto"/>
              <w:jc w:val="right"/>
            </w:pPr>
            <w:r>
              <w:rPr>
                <w:rFonts w:ascii="Arial" w:hAnsi="Arial"/>
                <w:sz w:val="15"/>
              </w:rPr>
              <w:t xml:space="preserve">n/d</w:t>
            </w:r>
          </w:p>
        </w:tc>
        <w:tc>
          <w:tcPr>
            <w:tcW w:type="dxa" w:w="1075"/>
            <w:shd w:val="clear" w:color="auto" w:fill="F1F2F5"/>
          </w:tcPr>
          <w:p>
            <w:pPr>
              <w:pStyle w:val="Compact"/>
              <w:spacing w:after="0" w:before="0" w:line="240" w:lineRule="auto"/>
              <w:jc w:val="right"/>
            </w:pPr>
            <w:r>
              <w:rPr>
                <w:rFonts w:ascii="Arial" w:hAnsi="Arial"/>
                <w:sz w:val="15"/>
              </w:rPr>
              <w:t xml:space="preserve">n/d</w:t>
            </w:r>
          </w:p>
        </w:tc>
        <w:tc>
          <w:tcPr>
            <w:tcW w:type="dxa" w:w="1072"/>
            <w:shd w:val="clear" w:color="auto" w:fill="F1F2F5"/>
          </w:tcPr>
          <w:p>
            <w:pPr>
              <w:pStyle w:val="Compact"/>
              <w:spacing w:after="0" w:before="0" w:line="240" w:lineRule="auto"/>
              <w:jc w:val="right"/>
            </w:pPr>
            <w:r>
              <w:rPr>
                <w:rFonts w:ascii="Arial" w:hAnsi="Arial"/>
                <w:sz w:val="15"/>
              </w:rPr>
              <w:t xml:space="preserve">n/d</w:t>
            </w:r>
          </w:p>
        </w:tc>
        <w:tc>
          <w:tcPr>
            <w:tcW w:type="dxa" w:w="1092"/>
            <w:shd w:val="clear" w:color="auto" w:fill="F1F2F5"/>
          </w:tcPr>
          <w:p>
            <w:pPr>
              <w:pStyle w:val="Compact"/>
              <w:spacing w:after="0" w:before="0" w:line="240" w:lineRule="auto"/>
              <w:jc w:val="right"/>
            </w:pPr>
            <w:r>
              <w:rPr>
                <w:rFonts w:ascii="Arial" w:hAnsi="Arial"/>
                <w:sz w:val="15"/>
              </w:rPr>
              <w:t xml:space="preserve">4,553</w:t>
            </w:r>
          </w:p>
        </w:tc>
        <w:tc>
          <w:tcPr>
            <w:tcW w:type="dxa" w:w="1312"/>
            <w:shd w:val="clear" w:color="auto" w:fill="F1F2F5"/>
          </w:tcPr>
          <w:p>
            <w:pPr>
              <w:pStyle w:val="Compact"/>
              <w:spacing w:after="0" w:before="0" w:line="240" w:lineRule="auto"/>
              <w:jc w:val="right"/>
            </w:pPr>
            <w:r>
              <w:rPr>
                <w:rFonts w:ascii="Arial" w:hAnsi="Arial"/>
                <w:sz w:val="15"/>
              </w:rPr>
              <w:t xml:space="preserve">4,348</w:t>
            </w:r>
          </w:p>
        </w:tc>
      </w:tr>
      <w:tr>
        <w:trPr>
          <w:cantSplit/>
        </w:trPr>
        <w:tc>
          <w:tcPr>
            <w:tcW w:type="dxa" w:w="3269"/>
          </w:tcPr>
          <w:p>
            <w:pPr>
              <w:pStyle w:val="Compact"/>
              <w:spacing w:after="0" w:before="0" w:line="240" w:lineRule="auto"/>
              <w:jc w:val="left"/>
            </w:pPr>
            <w:r>
              <w:rPr>
                <w:rFonts w:ascii="Arial" w:hAnsi="Arial"/>
                <w:sz w:val="15"/>
              </w:rPr>
              <w:t xml:space="preserve">– Bank loans and other</w:t>
            </w:r>
          </w:p>
        </w:tc>
        <w:tc>
          <w:tcPr>
            <w:tcW w:type="dxa" w:w="1079"/>
          </w:tcPr>
          <w:p>
            <w:pPr>
              <w:pStyle w:val="Compact"/>
              <w:spacing w:after="0" w:before="0" w:line="240" w:lineRule="auto"/>
              <w:jc w:val="right"/>
            </w:pPr>
            <w:r>
              <w:rPr>
                <w:rFonts w:ascii="Arial" w:hAnsi="Arial"/>
                <w:sz w:val="15"/>
              </w:rPr>
              <w:t xml:space="preserve">n/d</w:t>
            </w:r>
          </w:p>
        </w:tc>
        <w:tc>
          <w:tcPr>
            <w:tcW w:type="dxa" w:w="1079"/>
          </w:tcPr>
          <w:p>
            <w:pPr>
              <w:pStyle w:val="Compact"/>
              <w:spacing w:after="0" w:before="0" w:line="240" w:lineRule="auto"/>
              <w:jc w:val="right"/>
            </w:pPr>
            <w:r>
              <w:rPr>
                <w:rFonts w:ascii="Arial" w:hAnsi="Arial"/>
                <w:sz w:val="15"/>
              </w:rPr>
              <w:t xml:space="preserve">n/d</w:t>
            </w:r>
          </w:p>
        </w:tc>
        <w:tc>
          <w:tcPr>
            <w:tcW w:type="dxa" w:w="1075"/>
          </w:tcPr>
          <w:p>
            <w:pPr>
              <w:pStyle w:val="Compact"/>
              <w:spacing w:after="0" w:before="0" w:line="240" w:lineRule="auto"/>
              <w:jc w:val="right"/>
            </w:pPr>
            <w:r>
              <w:rPr>
                <w:rFonts w:ascii="Arial" w:hAnsi="Arial"/>
                <w:sz w:val="15"/>
              </w:rPr>
              <w:t xml:space="preserve">n/d</w:t>
            </w:r>
          </w:p>
        </w:tc>
        <w:tc>
          <w:tcPr>
            <w:tcW w:type="dxa" w:w="1072"/>
          </w:tcPr>
          <w:p>
            <w:pPr>
              <w:pStyle w:val="Compact"/>
              <w:spacing w:after="0" w:before="0" w:line="240" w:lineRule="auto"/>
              <w:jc w:val="right"/>
            </w:pPr>
            <w:r>
              <w:rPr>
                <w:rFonts w:ascii="Arial" w:hAnsi="Arial"/>
                <w:sz w:val="15"/>
              </w:rPr>
              <w:t xml:space="preserve">n/d</w:t>
            </w:r>
          </w:p>
        </w:tc>
        <w:tc>
          <w:tcPr>
            <w:tcW w:type="dxa" w:w="1092"/>
          </w:tcPr>
          <w:p>
            <w:pPr>
              <w:pStyle w:val="Compact"/>
              <w:spacing w:after="0" w:before="0" w:line="240" w:lineRule="auto"/>
              <w:jc w:val="right"/>
            </w:pPr>
            <w:r>
              <w:rPr>
                <w:rFonts w:ascii="Arial" w:hAnsi="Arial"/>
                <w:sz w:val="15"/>
              </w:rPr>
              <w:t xml:space="preserve">1,318</w:t>
            </w:r>
          </w:p>
        </w:tc>
        <w:tc>
          <w:tcPr>
            <w:tcW w:type="dxa" w:w="1312"/>
          </w:tcPr>
          <w:p>
            <w:pPr>
              <w:pStyle w:val="Compact"/>
              <w:spacing w:after="0" w:before="0" w:line="240" w:lineRule="auto"/>
              <w:jc w:val="right"/>
            </w:pPr>
            <w:r>
              <w:rPr>
                <w:rFonts w:ascii="Arial" w:hAnsi="Arial"/>
                <w:sz w:val="15"/>
              </w:rPr>
              <w:t xml:space="preserve">1,419</w:t>
            </w:r>
          </w:p>
        </w:tc>
      </w:tr>
      <w:tr>
        <w:trPr>
          <w:cantSplit/>
        </w:trPr>
        <w:tc>
          <w:tcPr>
            <w:tcW w:type="dxa" w:w="3269"/>
            <w:shd w:val="clear" w:color="auto" w:fill="F1F2F5"/>
          </w:tcPr>
          <w:p>
            <w:pPr>
              <w:pStyle w:val="Compact"/>
              <w:spacing w:after="0" w:before="0" w:line="240" w:lineRule="auto"/>
              <w:jc w:val="left"/>
            </w:pPr>
            <w:r>
              <w:rPr>
                <w:rFonts w:ascii="Arial" w:hAnsi="Arial"/>
                <w:sz w:val="15"/>
              </w:rPr>
              <w:t xml:space="preserve">Lease liabilities (IFRS 16)</w:t>
            </w:r>
          </w:p>
        </w:tc>
        <w:tc>
          <w:tcPr>
            <w:tcW w:type="dxa" w:w="1079"/>
            <w:shd w:val="clear" w:color="auto" w:fill="F1F2F5"/>
          </w:tcPr>
          <w:p>
            <w:pPr>
              <w:pStyle w:val="Compact"/>
              <w:spacing w:after="0" w:before="0" w:line="240" w:lineRule="auto"/>
              <w:jc w:val="right"/>
            </w:pPr>
            <w:r>
              <w:rPr>
                <w:rFonts w:ascii="Arial" w:hAnsi="Arial"/>
                <w:sz w:val="15"/>
              </w:rPr>
              <w:t xml:space="preserve">1,001</w:t>
            </w:r>
          </w:p>
        </w:tc>
        <w:tc>
          <w:tcPr>
            <w:tcW w:type="dxa" w:w="1079"/>
            <w:shd w:val="clear" w:color="auto" w:fill="F1F2F5"/>
          </w:tcPr>
          <w:p>
            <w:pPr>
              <w:pStyle w:val="Compact"/>
              <w:spacing w:after="0" w:before="0" w:line="240" w:lineRule="auto"/>
              <w:jc w:val="right"/>
            </w:pPr>
            <w:r>
              <w:rPr>
                <w:rFonts w:ascii="Arial" w:hAnsi="Arial"/>
                <w:sz w:val="15"/>
              </w:rPr>
              <w:t xml:space="preserve">1,006</w:t>
            </w:r>
          </w:p>
        </w:tc>
        <w:tc>
          <w:tcPr>
            <w:tcW w:type="dxa" w:w="1075"/>
            <w:shd w:val="clear" w:color="auto" w:fill="F1F2F5"/>
          </w:tcPr>
          <w:p>
            <w:pPr>
              <w:pStyle w:val="Compact"/>
              <w:spacing w:after="0" w:before="0" w:line="240" w:lineRule="auto"/>
              <w:jc w:val="right"/>
            </w:pPr>
            <w:r>
              <w:rPr>
                <w:rFonts w:ascii="Arial" w:hAnsi="Arial"/>
                <w:sz w:val="15"/>
              </w:rPr>
              <w:t xml:space="preserve">1,029</w:t>
            </w:r>
          </w:p>
        </w:tc>
        <w:tc>
          <w:tcPr>
            <w:tcW w:type="dxa" w:w="1072"/>
            <w:shd w:val="clear" w:color="auto" w:fill="F1F2F5"/>
          </w:tcPr>
          <w:p>
            <w:pPr>
              <w:pStyle w:val="Compact"/>
              <w:spacing w:after="0" w:before="0" w:line="240" w:lineRule="auto"/>
              <w:jc w:val="right"/>
            </w:pPr>
            <w:r>
              <w:rPr>
                <w:rFonts w:ascii="Arial" w:hAnsi="Arial"/>
                <w:sz w:val="15"/>
              </w:rPr>
              <w:t xml:space="preserve">876</w:t>
            </w:r>
          </w:p>
        </w:tc>
        <w:tc>
          <w:tcPr>
            <w:tcW w:type="dxa" w:w="1092"/>
            <w:shd w:val="clear" w:color="auto" w:fill="F1F2F5"/>
          </w:tcPr>
          <w:p>
            <w:pPr>
              <w:pStyle w:val="Compact"/>
              <w:spacing w:after="0" w:before="0" w:line="240" w:lineRule="auto"/>
              <w:jc w:val="right"/>
            </w:pPr>
            <w:r>
              <w:rPr>
                <w:rFonts w:ascii="Arial" w:hAnsi="Arial"/>
                <w:sz w:val="15"/>
              </w:rPr>
              <w:t xml:space="preserve">1,167</w:t>
            </w:r>
          </w:p>
        </w:tc>
        <w:tc>
          <w:tcPr>
            <w:tcW w:type="dxa" w:w="1312"/>
            <w:shd w:val="clear" w:color="auto" w:fill="F1F2F5"/>
          </w:tcPr>
          <w:p>
            <w:pPr>
              <w:pStyle w:val="Compact"/>
              <w:spacing w:after="0" w:before="0" w:line="240" w:lineRule="auto"/>
              <w:jc w:val="right"/>
            </w:pPr>
            <w:r>
              <w:rPr>
                <w:rFonts w:ascii="Arial" w:hAnsi="Arial"/>
                <w:sz w:val="15"/>
              </w:rPr>
              <w:t xml:space="preserve">~1,120 [e]</w:t>
            </w:r>
          </w:p>
        </w:tc>
      </w:tr>
      <w:tr>
        <w:trPr>
          <w:cantSplit/>
        </w:trPr>
        <w:tc>
          <w:tcPr>
            <w:tcW w:type="dxa" w:w="3269"/>
          </w:tcPr>
          <w:p>
            <w:pPr>
              <w:pStyle w:val="Compact"/>
              <w:spacing w:after="0" w:before="0" w:line="240" w:lineRule="auto"/>
              <w:jc w:val="left"/>
            </w:pPr>
            <w:r>
              <w:rPr>
                <w:rFonts w:ascii="Arial" w:hAnsi="Arial"/>
                <w:sz w:val="15"/>
              </w:rPr>
              <w:t xml:space="preserve">Cash + short-term investments</w:t>
            </w:r>
          </w:p>
        </w:tc>
        <w:tc>
          <w:tcPr>
            <w:tcW w:type="dxa" w:w="1079"/>
          </w:tcPr>
          <w:p>
            <w:pPr>
              <w:pStyle w:val="Compact"/>
              <w:spacing w:after="0" w:before="0" w:line="240" w:lineRule="auto"/>
              <w:jc w:val="right"/>
            </w:pPr>
            <w:r>
              <w:rPr>
                <w:rFonts w:ascii="Arial" w:hAnsi="Arial"/>
                <w:sz w:val="15"/>
              </w:rPr>
              <w:t xml:space="preserve">835</w:t>
            </w:r>
          </w:p>
        </w:tc>
        <w:tc>
          <w:tcPr>
            <w:tcW w:type="dxa" w:w="1079"/>
          </w:tcPr>
          <w:p>
            <w:pPr>
              <w:pStyle w:val="Compact"/>
              <w:spacing w:after="0" w:before="0" w:line="240" w:lineRule="auto"/>
              <w:jc w:val="right"/>
            </w:pPr>
            <w:r>
              <w:rPr>
                <w:rFonts w:ascii="Arial" w:hAnsi="Arial"/>
                <w:sz w:val="15"/>
              </w:rPr>
              <w:t xml:space="preserve">871</w:t>
            </w:r>
          </w:p>
        </w:tc>
        <w:tc>
          <w:tcPr>
            <w:tcW w:type="dxa" w:w="1075"/>
          </w:tcPr>
          <w:p>
            <w:pPr>
              <w:pStyle w:val="Compact"/>
              <w:spacing w:after="0" w:before="0" w:line="240" w:lineRule="auto"/>
              <w:jc w:val="right"/>
            </w:pPr>
            <w:r>
              <w:rPr>
                <w:rFonts w:ascii="Arial" w:hAnsi="Arial"/>
                <w:sz w:val="15"/>
              </w:rPr>
              <w:t xml:space="preserve">626</w:t>
            </w:r>
          </w:p>
        </w:tc>
        <w:tc>
          <w:tcPr>
            <w:tcW w:type="dxa" w:w="1072"/>
          </w:tcPr>
          <w:p>
            <w:pPr>
              <w:pStyle w:val="Compact"/>
              <w:spacing w:after="0" w:before="0" w:line="240" w:lineRule="auto"/>
              <w:jc w:val="right"/>
            </w:pPr>
            <w:r>
              <w:rPr>
                <w:rFonts w:ascii="Arial" w:hAnsi="Arial"/>
                <w:sz w:val="15"/>
              </w:rPr>
              <w:t xml:space="preserve">965</w:t>
            </w:r>
          </w:p>
        </w:tc>
        <w:tc>
          <w:tcPr>
            <w:tcW w:type="dxa" w:w="1092"/>
          </w:tcPr>
          <w:p>
            <w:pPr>
              <w:pStyle w:val="Compact"/>
              <w:spacing w:after="0" w:before="0" w:line="240" w:lineRule="auto"/>
              <w:jc w:val="right"/>
            </w:pPr>
            <w:r>
              <w:rPr>
                <w:rFonts w:ascii="Arial" w:hAnsi="Arial"/>
                <w:sz w:val="15"/>
              </w:rPr>
              <w:t xml:space="preserve">890</w:t>
            </w:r>
          </w:p>
        </w:tc>
        <w:tc>
          <w:tcPr>
            <w:tcW w:type="dxa" w:w="1312"/>
          </w:tcPr>
          <w:p>
            <w:pPr>
              <w:pStyle w:val="Compact"/>
              <w:spacing w:after="0" w:before="0" w:line="240" w:lineRule="auto"/>
              <w:jc w:val="right"/>
            </w:pPr>
            <w:r>
              <w:rPr>
                <w:rFonts w:ascii="Arial" w:hAnsi="Arial"/>
                <w:sz w:val="15"/>
              </w:rPr>
              <w:t xml:space="preserve">1,258</w:t>
            </w:r>
          </w:p>
        </w:tc>
      </w:tr>
      <w:tr>
        <w:trPr>
          <w:cantSplit/>
        </w:trPr>
        <w:tc>
          <w:tcPr>
            <w:tcW w:type="dxa" w:w="3269"/>
            <w:shd w:val="clear" w:color="auto" w:fill="DCE4F2"/>
          </w:tcPr>
          <w:p>
            <w:pPr>
              <w:pStyle w:val="Compact"/>
              <w:spacing w:after="0" w:before="0" w:line="240" w:lineRule="auto"/>
              <w:jc w:val="left"/>
            </w:pPr>
            <w:r>
              <w:rPr>
                <w:bCs/>
                <w:rFonts w:ascii="Arial" w:hAnsi="Arial"/>
                <w:b/>
                <w:sz w:val="15"/>
              </w:rPr>
              <w:t xml:space="preserve">Net debt (ex-leases)</w:t>
            </w:r>
          </w:p>
        </w:tc>
        <w:tc>
          <w:tcPr>
            <w:tcW w:type="dxa" w:w="1079"/>
            <w:shd w:val="clear" w:color="auto" w:fill="DCE4F2"/>
          </w:tcPr>
          <w:p>
            <w:pPr>
              <w:pStyle w:val="Compact"/>
              <w:spacing w:after="0" w:before="0" w:line="240" w:lineRule="auto"/>
              <w:jc w:val="right"/>
            </w:pPr>
            <w:r>
              <w:rPr>
                <w:bCs/>
                <w:rFonts w:ascii="Arial" w:hAnsi="Arial"/>
                <w:b/>
                <w:sz w:val="15"/>
              </w:rPr>
              <w:t xml:space="preserve">5,225</w:t>
            </w:r>
          </w:p>
        </w:tc>
        <w:tc>
          <w:tcPr>
            <w:tcW w:type="dxa" w:w="1079"/>
            <w:shd w:val="clear" w:color="auto" w:fill="DCE4F2"/>
          </w:tcPr>
          <w:p>
            <w:pPr>
              <w:pStyle w:val="Compact"/>
              <w:spacing w:after="0" w:before="0" w:line="240" w:lineRule="auto"/>
              <w:jc w:val="right"/>
            </w:pPr>
            <w:r>
              <w:rPr>
                <w:bCs/>
                <w:rFonts w:ascii="Arial" w:hAnsi="Arial"/>
                <w:b/>
                <w:sz w:val="15"/>
              </w:rPr>
              <w:t xml:space="preserve">5,164</w:t>
            </w:r>
          </w:p>
        </w:tc>
        <w:tc>
          <w:tcPr>
            <w:tcW w:type="dxa" w:w="1075"/>
            <w:shd w:val="clear" w:color="auto" w:fill="DCE4F2"/>
          </w:tcPr>
          <w:p>
            <w:pPr>
              <w:pStyle w:val="Compact"/>
              <w:spacing w:after="0" w:before="0" w:line="240" w:lineRule="auto"/>
              <w:jc w:val="right"/>
            </w:pPr>
            <w:r>
              <w:rPr>
                <w:bCs/>
                <w:rFonts w:ascii="Arial" w:hAnsi="Arial"/>
                <w:b/>
                <w:sz w:val="15"/>
              </w:rPr>
              <w:t xml:space="preserve">5,722</w:t>
            </w:r>
          </w:p>
        </w:tc>
        <w:tc>
          <w:tcPr>
            <w:tcW w:type="dxa" w:w="1072"/>
            <w:shd w:val="clear" w:color="auto" w:fill="DCE4F2"/>
          </w:tcPr>
          <w:p>
            <w:pPr>
              <w:pStyle w:val="Compact"/>
              <w:spacing w:after="0" w:before="0" w:line="240" w:lineRule="auto"/>
              <w:jc w:val="right"/>
            </w:pPr>
            <w:r>
              <w:rPr>
                <w:bCs/>
                <w:rFonts w:ascii="Arial" w:hAnsi="Arial"/>
                <w:b/>
                <w:sz w:val="15"/>
              </w:rPr>
              <w:t xml:space="preserve">5,329</w:t>
            </w:r>
          </w:p>
        </w:tc>
        <w:tc>
          <w:tcPr>
            <w:tcW w:type="dxa" w:w="1092"/>
            <w:shd w:val="clear" w:color="auto" w:fill="DCE4F2"/>
          </w:tcPr>
          <w:p>
            <w:pPr>
              <w:pStyle w:val="Compact"/>
              <w:spacing w:after="0" w:before="0" w:line="240" w:lineRule="auto"/>
              <w:jc w:val="right"/>
            </w:pPr>
            <w:r>
              <w:rPr>
                <w:bCs/>
                <w:rFonts w:ascii="Arial" w:hAnsi="Arial"/>
                <w:b/>
                <w:sz w:val="15"/>
              </w:rPr>
              <w:t xml:space="preserve">4,980</w:t>
            </w:r>
          </w:p>
        </w:tc>
        <w:tc>
          <w:tcPr>
            <w:tcW w:type="dxa" w:w="1312"/>
            <w:shd w:val="clear" w:color="auto" w:fill="DCE4F2"/>
          </w:tcPr>
          <w:p>
            <w:pPr>
              <w:pStyle w:val="Compact"/>
              <w:spacing w:after="0" w:before="0" w:line="240" w:lineRule="auto"/>
              <w:jc w:val="right"/>
            </w:pPr>
            <w:r>
              <w:rPr>
                <w:bCs/>
                <w:rFonts w:ascii="Arial" w:hAnsi="Arial"/>
                <w:b/>
                <w:sz w:val="15"/>
              </w:rPr>
              <w:t xml:space="preserve">4,508</w:t>
            </w:r>
          </w:p>
        </w:tc>
      </w:tr>
      <w:tr>
        <w:trPr>
          <w:cantSplit/>
        </w:trPr>
        <w:tc>
          <w:tcPr>
            <w:tcW w:type="dxa" w:w="3269"/>
            <w:shd w:val="clear" w:color="auto" w:fill="DCE4F2"/>
          </w:tcPr>
          <w:p>
            <w:pPr>
              <w:pStyle w:val="Compact"/>
              <w:spacing w:after="0" w:before="0" w:line="240" w:lineRule="auto"/>
              <w:jc w:val="left"/>
            </w:pPr>
            <w:r>
              <w:rPr>
                <w:rFonts w:ascii="Arial" w:hAnsi="Arial"/>
                <w:b/>
                <w:sz w:val="15"/>
              </w:rPr>
              <w:t xml:space="preserve">Net debt / EBITDA</w:t>
            </w:r>
          </w:p>
        </w:tc>
        <w:tc>
          <w:tcPr>
            <w:tcW w:type="dxa" w:w="1079"/>
            <w:shd w:val="clear" w:color="auto" w:fill="DCE4F2"/>
          </w:tcPr>
          <w:p>
            <w:pPr>
              <w:pStyle w:val="Compact"/>
              <w:spacing w:after="0" w:before="0" w:line="240" w:lineRule="auto"/>
              <w:jc w:val="right"/>
            </w:pPr>
            <w:r>
              <w:rPr>
                <w:rFonts w:ascii="Arial" w:hAnsi="Arial"/>
                <w:b/>
                <w:sz w:val="15"/>
              </w:rPr>
              <w:t xml:space="preserve">1.53x</w:t>
            </w:r>
          </w:p>
        </w:tc>
        <w:tc>
          <w:tcPr>
            <w:tcW w:type="dxa" w:w="1079"/>
            <w:shd w:val="clear" w:color="auto" w:fill="DCE4F2"/>
          </w:tcPr>
          <w:p>
            <w:pPr>
              <w:pStyle w:val="Compact"/>
              <w:spacing w:after="0" w:before="0" w:line="240" w:lineRule="auto"/>
              <w:jc w:val="right"/>
            </w:pPr>
            <w:r>
              <w:rPr>
                <w:rFonts w:ascii="Arial" w:hAnsi="Arial"/>
                <w:b/>
                <w:sz w:val="15"/>
              </w:rPr>
              <w:t xml:space="preserve">1.46x</w:t>
            </w:r>
          </w:p>
        </w:tc>
        <w:tc>
          <w:tcPr>
            <w:tcW w:type="dxa" w:w="1075"/>
            <w:shd w:val="clear" w:color="auto" w:fill="DCE4F2"/>
          </w:tcPr>
          <w:p>
            <w:pPr>
              <w:pStyle w:val="Compact"/>
              <w:spacing w:after="0" w:before="0" w:line="240" w:lineRule="auto"/>
              <w:jc w:val="right"/>
            </w:pPr>
            <w:r>
              <w:rPr>
                <w:rFonts w:ascii="Arial" w:hAnsi="Arial"/>
                <w:b/>
                <w:sz w:val="15"/>
              </w:rPr>
              <w:t xml:space="preserve">1.60x</w:t>
            </w:r>
          </w:p>
        </w:tc>
        <w:tc>
          <w:tcPr>
            <w:tcW w:type="dxa" w:w="1072"/>
            <w:shd w:val="clear" w:color="auto" w:fill="DCE4F2"/>
          </w:tcPr>
          <w:p>
            <w:pPr>
              <w:pStyle w:val="Compact"/>
              <w:spacing w:after="0" w:before="0" w:line="240" w:lineRule="auto"/>
              <w:jc w:val="right"/>
            </w:pPr>
            <w:r>
              <w:rPr>
                <w:rFonts w:ascii="Arial" w:hAnsi="Arial"/>
                <w:b/>
                <w:sz w:val="15"/>
              </w:rPr>
              <w:t xml:space="preserve">1.51x</w:t>
            </w:r>
          </w:p>
        </w:tc>
        <w:tc>
          <w:tcPr>
            <w:tcW w:type="dxa" w:w="1092"/>
            <w:shd w:val="clear" w:color="auto" w:fill="DCE4F2"/>
          </w:tcPr>
          <w:p>
            <w:pPr>
              <w:pStyle w:val="Compact"/>
              <w:spacing w:after="0" w:before="0" w:line="240" w:lineRule="auto"/>
              <w:jc w:val="right"/>
            </w:pPr>
            <w:r>
              <w:rPr>
                <w:rFonts w:ascii="Arial" w:hAnsi="Arial"/>
                <w:b/>
                <w:sz w:val="15"/>
              </w:rPr>
              <w:t xml:space="preserve">1.39x</w:t>
            </w:r>
          </w:p>
        </w:tc>
        <w:tc>
          <w:tcPr>
            <w:tcW w:type="dxa" w:w="1312"/>
            <w:shd w:val="clear" w:color="auto" w:fill="DCE4F2"/>
          </w:tcPr>
          <w:p>
            <w:pPr>
              <w:pStyle w:val="Compact"/>
              <w:spacing w:after="0" w:before="0" w:line="240" w:lineRule="auto"/>
              <w:jc w:val="right"/>
            </w:pPr>
            <w:r>
              <w:rPr>
                <w:rFonts w:ascii="Arial" w:hAnsi="Arial"/>
                <w:b/>
                <w:sz w:val="15"/>
              </w:rPr>
              <w:t xml:space="preserve">1.22x (LTM)</w:t>
            </w:r>
          </w:p>
        </w:tc>
      </w:tr>
      <w:tr>
        <w:trPr>
          <w:cantSplit/>
        </w:trPr>
        <w:tc>
          <w:tcPr>
            <w:tcW w:type="dxa" w:w="3269"/>
            <w:shd w:val="clear" w:color="auto" w:fill="DCE4F2"/>
          </w:tcPr>
          <w:p>
            <w:pPr>
              <w:pStyle w:val="Compact"/>
              <w:spacing w:after="0" w:before="0" w:line="240" w:lineRule="auto"/>
              <w:jc w:val="left"/>
            </w:pPr>
            <w:r>
              <w:rPr>
                <w:rFonts w:ascii="Arial" w:hAnsi="Arial"/>
                <w:b/>
                <w:sz w:val="15"/>
              </w:rPr>
              <w:t xml:space="preserve">Net debt incl. leases / EBITDA</w:t>
            </w:r>
          </w:p>
        </w:tc>
        <w:tc>
          <w:tcPr>
            <w:tcW w:type="dxa" w:w="1079"/>
            <w:shd w:val="clear" w:color="auto" w:fill="DCE4F2"/>
          </w:tcPr>
          <w:p>
            <w:pPr>
              <w:pStyle w:val="Compact"/>
              <w:spacing w:after="0" w:before="0" w:line="240" w:lineRule="auto"/>
              <w:jc w:val="right"/>
            </w:pPr>
            <w:r>
              <w:rPr>
                <w:rFonts w:ascii="Arial" w:hAnsi="Arial"/>
                <w:b/>
                <w:sz w:val="15"/>
              </w:rPr>
              <w:t xml:space="preserve">1.82x</w:t>
            </w:r>
          </w:p>
        </w:tc>
        <w:tc>
          <w:tcPr>
            <w:tcW w:type="dxa" w:w="1079"/>
            <w:shd w:val="clear" w:color="auto" w:fill="DCE4F2"/>
          </w:tcPr>
          <w:p>
            <w:pPr>
              <w:pStyle w:val="Compact"/>
              <w:spacing w:after="0" w:before="0" w:line="240" w:lineRule="auto"/>
              <w:jc w:val="right"/>
            </w:pPr>
            <w:r>
              <w:rPr>
                <w:rFonts w:ascii="Arial" w:hAnsi="Arial"/>
                <w:b/>
                <w:sz w:val="15"/>
              </w:rPr>
              <w:t xml:space="preserve">1.75x</w:t>
            </w:r>
          </w:p>
        </w:tc>
        <w:tc>
          <w:tcPr>
            <w:tcW w:type="dxa" w:w="1075"/>
            <w:shd w:val="clear" w:color="auto" w:fill="DCE4F2"/>
          </w:tcPr>
          <w:p>
            <w:pPr>
              <w:pStyle w:val="Compact"/>
              <w:spacing w:after="0" w:before="0" w:line="240" w:lineRule="auto"/>
              <w:jc w:val="right"/>
            </w:pPr>
            <w:r>
              <w:rPr>
                <w:rFonts w:ascii="Arial" w:hAnsi="Arial"/>
                <w:b/>
                <w:sz w:val="15"/>
              </w:rPr>
              <w:t xml:space="preserve">1.89x</w:t>
            </w:r>
          </w:p>
        </w:tc>
        <w:tc>
          <w:tcPr>
            <w:tcW w:type="dxa" w:w="1072"/>
            <w:shd w:val="clear" w:color="auto" w:fill="DCE4F2"/>
          </w:tcPr>
          <w:p>
            <w:pPr>
              <w:pStyle w:val="Compact"/>
              <w:spacing w:after="0" w:before="0" w:line="240" w:lineRule="auto"/>
              <w:jc w:val="right"/>
            </w:pPr>
            <w:r>
              <w:rPr>
                <w:rFonts w:ascii="Arial" w:hAnsi="Arial"/>
                <w:b/>
                <w:sz w:val="15"/>
              </w:rPr>
              <w:t xml:space="preserve">1.76x</w:t>
            </w:r>
          </w:p>
        </w:tc>
        <w:tc>
          <w:tcPr>
            <w:tcW w:type="dxa" w:w="1092"/>
            <w:shd w:val="clear" w:color="auto" w:fill="DCE4F2"/>
          </w:tcPr>
          <w:p>
            <w:pPr>
              <w:pStyle w:val="Compact"/>
              <w:spacing w:after="0" w:before="0" w:line="240" w:lineRule="auto"/>
              <w:jc w:val="right"/>
            </w:pPr>
            <w:r>
              <w:rPr>
                <w:rFonts w:ascii="Arial" w:hAnsi="Arial"/>
                <w:b/>
                <w:sz w:val="15"/>
              </w:rPr>
              <w:t xml:space="preserve">1.71x</w:t>
            </w:r>
          </w:p>
        </w:tc>
        <w:tc>
          <w:tcPr>
            <w:tcW w:type="dxa" w:w="1312"/>
            <w:shd w:val="clear" w:color="auto" w:fill="DCE4F2"/>
          </w:tcPr>
          <w:p>
            <w:pPr>
              <w:pStyle w:val="Compact"/>
              <w:spacing w:after="0" w:before="0" w:line="240" w:lineRule="auto"/>
              <w:jc w:val="right"/>
            </w:pPr>
            <w:r>
              <w:rPr>
                <w:rFonts w:ascii="Arial" w:hAnsi="Arial"/>
                <w:b/>
                <w:sz w:val="15"/>
              </w:rPr>
              <w:t xml:space="preserve">~1.53x</w:t>
            </w:r>
          </w:p>
        </w:tc>
      </w:tr>
      <w:tr>
        <w:trPr>
          <w:cantSplit/>
        </w:trPr>
        <w:tc>
          <w:tcPr>
            <w:tcW w:type="dxa" w:w="3269"/>
          </w:tcPr>
          <w:p>
            <w:pPr>
              <w:pStyle w:val="Compact"/>
              <w:spacing w:after="0" w:before="0" w:line="240" w:lineRule="auto"/>
              <w:jc w:val="left"/>
            </w:pPr>
            <w:r>
              <w:rPr>
                <w:rFonts w:ascii="Arial" w:hAnsi="Arial"/>
                <w:sz w:val="15"/>
              </w:rPr>
              <w:t xml:space="preserve">Interest expense (incl. leases)</w:t>
            </w:r>
          </w:p>
        </w:tc>
        <w:tc>
          <w:tcPr>
            <w:tcW w:type="dxa" w:w="1079"/>
          </w:tcPr>
          <w:p>
            <w:pPr>
              <w:pStyle w:val="Compact"/>
              <w:spacing w:after="0" w:before="0" w:line="240" w:lineRule="auto"/>
              <w:jc w:val="right"/>
            </w:pPr>
            <w:r>
              <w:rPr>
                <w:rFonts w:ascii="Arial" w:hAnsi="Arial"/>
                <w:sz w:val="15"/>
              </w:rPr>
              <w:t xml:space="preserve">153</w:t>
            </w:r>
          </w:p>
        </w:tc>
        <w:tc>
          <w:tcPr>
            <w:tcW w:type="dxa" w:w="1079"/>
          </w:tcPr>
          <w:p>
            <w:pPr>
              <w:pStyle w:val="Compact"/>
              <w:spacing w:after="0" w:before="0" w:line="240" w:lineRule="auto"/>
              <w:jc w:val="right"/>
            </w:pPr>
            <w:r>
              <w:rPr>
                <w:rFonts w:ascii="Arial" w:hAnsi="Arial"/>
                <w:sz w:val="15"/>
              </w:rPr>
              <w:t xml:space="preserve">181</w:t>
            </w:r>
          </w:p>
        </w:tc>
        <w:tc>
          <w:tcPr>
            <w:tcW w:type="dxa" w:w="1075"/>
          </w:tcPr>
          <w:p>
            <w:pPr>
              <w:pStyle w:val="Compact"/>
              <w:spacing w:after="0" w:before="0" w:line="240" w:lineRule="auto"/>
              <w:jc w:val="right"/>
            </w:pPr>
            <w:r>
              <w:rPr>
                <w:rFonts w:ascii="Arial" w:hAnsi="Arial"/>
                <w:sz w:val="15"/>
              </w:rPr>
              <w:t xml:space="preserve">243</w:t>
            </w:r>
          </w:p>
        </w:tc>
        <w:tc>
          <w:tcPr>
            <w:tcW w:type="dxa" w:w="1072"/>
          </w:tcPr>
          <w:p>
            <w:pPr>
              <w:pStyle w:val="Compact"/>
              <w:spacing w:after="0" w:before="0" w:line="240" w:lineRule="auto"/>
              <w:jc w:val="right"/>
            </w:pPr>
            <w:r>
              <w:rPr>
                <w:rFonts w:ascii="Arial" w:hAnsi="Arial"/>
                <w:sz w:val="15"/>
              </w:rPr>
              <w:t xml:space="preserve">276</w:t>
            </w:r>
          </w:p>
        </w:tc>
        <w:tc>
          <w:tcPr>
            <w:tcW w:type="dxa" w:w="1092"/>
          </w:tcPr>
          <w:p>
            <w:pPr>
              <w:pStyle w:val="Compact"/>
              <w:spacing w:after="0" w:before="0" w:line="240" w:lineRule="auto"/>
              <w:jc w:val="right"/>
            </w:pPr>
            <w:r>
              <w:rPr>
                <w:rFonts w:ascii="Arial" w:hAnsi="Arial"/>
                <w:sz w:val="15"/>
              </w:rPr>
              <w:t xml:space="preserve">261</w:t>
            </w:r>
          </w:p>
        </w:tc>
        <w:tc>
          <w:tcPr>
            <w:tcW w:type="dxa" w:w="1312"/>
          </w:tcPr>
          <w:p>
            <w:pPr>
              <w:pStyle w:val="Compact"/>
              <w:spacing w:after="0" w:before="0" w:line="240" w:lineRule="auto"/>
              <w:jc w:val="right"/>
            </w:pPr>
            <w:r>
              <w:rPr>
                <w:rFonts w:ascii="Arial" w:hAnsi="Arial"/>
                <w:sz w:val="15"/>
              </w:rPr>
              <w:t xml:space="preserve">122 (1H)</w:t>
            </w:r>
          </w:p>
        </w:tc>
      </w:tr>
      <w:tr>
        <w:trPr>
          <w:cantSplit/>
        </w:trPr>
        <w:tc>
          <w:tcPr>
            <w:tcW w:type="dxa" w:w="3269"/>
            <w:shd w:val="clear" w:color="auto" w:fill="F1F2F5"/>
          </w:tcPr>
          <w:p>
            <w:pPr>
              <w:pStyle w:val="Compact"/>
              <w:spacing w:after="0" w:before="0" w:line="240" w:lineRule="auto"/>
              <w:jc w:val="left"/>
            </w:pPr>
            <w:r>
              <w:rPr>
                <w:rFonts w:ascii="Arial" w:hAnsi="Arial"/>
                <w:sz w:val="15"/>
              </w:rPr>
              <w:t xml:space="preserve">EBITDA / interest</w:t>
            </w:r>
          </w:p>
        </w:tc>
        <w:tc>
          <w:tcPr>
            <w:tcW w:type="dxa" w:w="1079"/>
            <w:shd w:val="clear" w:color="auto" w:fill="F1F2F5"/>
          </w:tcPr>
          <w:p>
            <w:pPr>
              <w:pStyle w:val="Compact"/>
              <w:spacing w:after="0" w:before="0" w:line="240" w:lineRule="auto"/>
              <w:jc w:val="right"/>
            </w:pPr>
            <w:r>
              <w:rPr>
                <w:rFonts w:ascii="Arial" w:hAnsi="Arial"/>
                <w:sz w:val="15"/>
              </w:rPr>
              <w:t xml:space="preserve">22.3x</w:t>
            </w:r>
          </w:p>
        </w:tc>
        <w:tc>
          <w:tcPr>
            <w:tcW w:type="dxa" w:w="1079"/>
            <w:shd w:val="clear" w:color="auto" w:fill="F1F2F5"/>
          </w:tcPr>
          <w:p>
            <w:pPr>
              <w:pStyle w:val="Compact"/>
              <w:spacing w:after="0" w:before="0" w:line="240" w:lineRule="auto"/>
              <w:jc w:val="right"/>
            </w:pPr>
            <w:r>
              <w:rPr>
                <w:rFonts w:ascii="Arial" w:hAnsi="Arial"/>
                <w:sz w:val="15"/>
              </w:rPr>
              <w:t xml:space="preserve">19.6x</w:t>
            </w:r>
          </w:p>
        </w:tc>
        <w:tc>
          <w:tcPr>
            <w:tcW w:type="dxa" w:w="1075"/>
            <w:shd w:val="clear" w:color="auto" w:fill="F1F2F5"/>
          </w:tcPr>
          <w:p>
            <w:pPr>
              <w:pStyle w:val="Compact"/>
              <w:spacing w:after="0" w:before="0" w:line="240" w:lineRule="auto"/>
              <w:jc w:val="right"/>
            </w:pPr>
            <w:r>
              <w:rPr>
                <w:rFonts w:ascii="Arial" w:hAnsi="Arial"/>
                <w:sz w:val="15"/>
              </w:rPr>
              <w:t xml:space="preserve">14.7x</w:t>
            </w:r>
          </w:p>
        </w:tc>
        <w:tc>
          <w:tcPr>
            <w:tcW w:type="dxa" w:w="1072"/>
            <w:shd w:val="clear" w:color="auto" w:fill="F1F2F5"/>
          </w:tcPr>
          <w:p>
            <w:pPr>
              <w:pStyle w:val="Compact"/>
              <w:spacing w:after="0" w:before="0" w:line="240" w:lineRule="auto"/>
              <w:jc w:val="right"/>
            </w:pPr>
            <w:r>
              <w:rPr>
                <w:rFonts w:ascii="Arial" w:hAnsi="Arial"/>
                <w:sz w:val="15"/>
              </w:rPr>
              <w:t xml:space="preserve">12.8x</w:t>
            </w:r>
          </w:p>
        </w:tc>
        <w:tc>
          <w:tcPr>
            <w:tcW w:type="dxa" w:w="1092"/>
            <w:shd w:val="clear" w:color="auto" w:fill="F1F2F5"/>
          </w:tcPr>
          <w:p>
            <w:pPr>
              <w:pStyle w:val="Compact"/>
              <w:spacing w:after="0" w:before="0" w:line="240" w:lineRule="auto"/>
              <w:jc w:val="right"/>
            </w:pPr>
            <w:r>
              <w:rPr>
                <w:rFonts w:ascii="Arial" w:hAnsi="Arial"/>
                <w:sz w:val="15"/>
              </w:rPr>
              <w:t xml:space="preserve">13.8x</w:t>
            </w:r>
          </w:p>
        </w:tc>
        <w:tc>
          <w:tcPr>
            <w:tcW w:type="dxa" w:w="1312"/>
            <w:shd w:val="clear" w:color="auto" w:fill="F1F2F5"/>
          </w:tcPr>
          <w:p>
            <w:pPr>
              <w:pStyle w:val="Compact"/>
              <w:spacing w:after="0" w:before="0" w:line="240" w:lineRule="auto"/>
              <w:jc w:val="right"/>
            </w:pPr>
            <w:r>
              <w:rPr>
                <w:rFonts w:ascii="Arial" w:hAnsi="Arial"/>
                <w:sz w:val="15"/>
              </w:rPr>
              <w:t xml:space="preserve">~16x</w:t>
            </w:r>
          </w:p>
        </w:tc>
      </w:tr>
      <w:tr>
        <w:trPr>
          <w:cantSplit/>
        </w:trPr>
        <w:tc>
          <w:tcPr>
            <w:tcW w:type="dxa" w:w="3269"/>
          </w:tcPr>
          <w:p>
            <w:pPr>
              <w:pStyle w:val="Compact"/>
              <w:spacing w:after="0" w:before="0" w:line="240" w:lineRule="auto"/>
              <w:jc w:val="left"/>
            </w:pPr>
            <w:r>
              <w:rPr>
                <w:rFonts w:ascii="Arial" w:hAnsi="Arial"/>
                <w:sz w:val="15"/>
              </w:rPr>
              <w:t xml:space="preserve">Liabilities / equity</w:t>
            </w:r>
          </w:p>
        </w:tc>
        <w:tc>
          <w:tcPr>
            <w:tcW w:type="dxa" w:w="1079"/>
          </w:tcPr>
          <w:p>
            <w:pPr>
              <w:pStyle w:val="Compact"/>
              <w:spacing w:after="0" w:before="0" w:line="240" w:lineRule="auto"/>
              <w:jc w:val="right"/>
            </w:pPr>
            <w:r>
              <w:rPr>
                <w:rFonts w:ascii="Arial" w:hAnsi="Arial"/>
                <w:sz w:val="15"/>
              </w:rPr>
              <w:t xml:space="preserve">143%</w:t>
            </w:r>
          </w:p>
        </w:tc>
        <w:tc>
          <w:tcPr>
            <w:tcW w:type="dxa" w:w="1079"/>
          </w:tcPr>
          <w:p>
            <w:pPr>
              <w:pStyle w:val="Compact"/>
              <w:spacing w:after="0" w:before="0" w:line="240" w:lineRule="auto"/>
              <w:jc w:val="right"/>
            </w:pPr>
            <w:r>
              <w:rPr>
                <w:rFonts w:ascii="Arial" w:hAnsi="Arial"/>
                <w:sz w:val="15"/>
              </w:rPr>
              <w:t xml:space="preserve">134%</w:t>
            </w:r>
          </w:p>
        </w:tc>
        <w:tc>
          <w:tcPr>
            <w:tcW w:type="dxa" w:w="1075"/>
          </w:tcPr>
          <w:p>
            <w:pPr>
              <w:pStyle w:val="Compact"/>
              <w:spacing w:after="0" w:before="0" w:line="240" w:lineRule="auto"/>
              <w:jc w:val="right"/>
            </w:pPr>
            <w:r>
              <w:rPr>
                <w:rFonts w:ascii="Arial" w:hAnsi="Arial"/>
                <w:sz w:val="15"/>
              </w:rPr>
              <w:t xml:space="preserve">130%</w:t>
            </w:r>
          </w:p>
        </w:tc>
        <w:tc>
          <w:tcPr>
            <w:tcW w:type="dxa" w:w="1072"/>
          </w:tcPr>
          <w:p>
            <w:pPr>
              <w:pStyle w:val="Compact"/>
              <w:spacing w:after="0" w:before="0" w:line="240" w:lineRule="auto"/>
              <w:jc w:val="right"/>
            </w:pPr>
            <w:r>
              <w:rPr>
                <w:rFonts w:ascii="Arial" w:hAnsi="Arial"/>
                <w:sz w:val="15"/>
              </w:rPr>
              <w:t xml:space="preserve">125%</w:t>
            </w:r>
          </w:p>
        </w:tc>
        <w:tc>
          <w:tcPr>
            <w:tcW w:type="dxa" w:w="1092"/>
          </w:tcPr>
          <w:p>
            <w:pPr>
              <w:pStyle w:val="Compact"/>
              <w:spacing w:after="0" w:before="0" w:line="240" w:lineRule="auto"/>
              <w:jc w:val="right"/>
            </w:pPr>
            <w:r>
              <w:rPr>
                <w:rFonts w:ascii="Arial" w:hAnsi="Arial"/>
                <w:sz w:val="15"/>
              </w:rPr>
              <w:t xml:space="preserve">117%</w:t>
            </w:r>
          </w:p>
        </w:tc>
        <w:tc>
          <w:tcPr>
            <w:tcW w:type="dxa" w:w="1312"/>
          </w:tcPr>
          <w:p>
            <w:pPr>
              <w:pStyle w:val="Compact"/>
              <w:spacing w:after="0" w:before="0" w:line="240" w:lineRule="auto"/>
              <w:jc w:val="right"/>
            </w:pPr>
            <w:r>
              <w:rPr>
                <w:rFonts w:ascii="Arial" w:hAnsi="Arial"/>
                <w:sz w:val="15"/>
              </w:rPr>
              <w:t xml:space="preserve">114%</w:t>
            </w:r>
          </w:p>
        </w:tc>
      </w:tr>
      <w:tr>
        <w:trPr>
          <w:cantSplit/>
        </w:trPr>
        <w:tc>
          <w:tcPr>
            <w:tcW w:type="dxa" w:w="3269"/>
            <w:shd w:val="clear" w:color="auto" w:fill="F1F2F5"/>
          </w:tcPr>
          <w:p>
            <w:pPr>
              <w:pStyle w:val="Compact"/>
              <w:spacing w:after="0" w:before="0" w:line="240" w:lineRule="auto"/>
              <w:jc w:val="left"/>
            </w:pPr>
            <w:r>
              <w:rPr>
                <w:rFonts w:ascii="Arial" w:hAnsi="Arial"/>
                <w:sz w:val="15"/>
              </w:rPr>
              <w:t xml:space="preserve">FCF (CFO − capex − intangibles) [e]</w:t>
            </w:r>
          </w:p>
        </w:tc>
        <w:tc>
          <w:tcPr>
            <w:tcW w:type="dxa" w:w="1079"/>
            <w:shd w:val="clear" w:color="auto" w:fill="F1F2F5"/>
          </w:tcPr>
          <w:p>
            <w:pPr>
              <w:pStyle w:val="Compact"/>
              <w:spacing w:after="0" w:before="0" w:line="240" w:lineRule="auto"/>
              <w:jc w:val="right"/>
            </w:pPr>
            <w:r>
              <w:rPr>
                <w:rFonts w:ascii="Arial" w:hAnsi="Arial"/>
                <w:sz w:val="15"/>
              </w:rPr>
              <w:t xml:space="preserve">487</w:t>
            </w:r>
          </w:p>
        </w:tc>
        <w:tc>
          <w:tcPr>
            <w:tcW w:type="dxa" w:w="1079"/>
            <w:shd w:val="clear" w:color="auto" w:fill="F1F2F5"/>
          </w:tcPr>
          <w:p>
            <w:pPr>
              <w:pStyle w:val="Compact"/>
              <w:spacing w:after="0" w:before="0" w:line="240" w:lineRule="auto"/>
              <w:jc w:val="right"/>
            </w:pPr>
            <w:r>
              <w:rPr>
                <w:rFonts w:ascii="Arial" w:hAnsi="Arial"/>
                <w:sz w:val="15"/>
              </w:rPr>
              <w:t xml:space="preserve">665</w:t>
            </w:r>
          </w:p>
        </w:tc>
        <w:tc>
          <w:tcPr>
            <w:tcW w:type="dxa" w:w="1075"/>
            <w:shd w:val="clear" w:color="auto" w:fill="F1F2F5"/>
          </w:tcPr>
          <w:p>
            <w:pPr>
              <w:pStyle w:val="Compact"/>
              <w:spacing w:after="0" w:before="0" w:line="240" w:lineRule="auto"/>
              <w:jc w:val="right"/>
            </w:pPr>
            <w:r>
              <w:rPr>
                <w:rFonts w:ascii="Arial" w:hAnsi="Arial"/>
                <w:sz w:val="15"/>
              </w:rPr>
              <w:t xml:space="preserve">38</w:t>
            </w:r>
          </w:p>
        </w:tc>
        <w:tc>
          <w:tcPr>
            <w:tcW w:type="dxa" w:w="1072"/>
            <w:shd w:val="clear" w:color="auto" w:fill="F1F2F5"/>
          </w:tcPr>
          <w:p>
            <w:pPr>
              <w:pStyle w:val="Compact"/>
              <w:spacing w:after="0" w:before="0" w:line="240" w:lineRule="auto"/>
              <w:jc w:val="right"/>
            </w:pPr>
            <w:r>
              <w:rPr>
                <w:rFonts w:ascii="Arial" w:hAnsi="Arial"/>
                <w:sz w:val="15"/>
              </w:rPr>
              <w:t xml:space="preserve">935</w:t>
            </w:r>
          </w:p>
        </w:tc>
        <w:tc>
          <w:tcPr>
            <w:tcW w:type="dxa" w:w="1092"/>
            <w:shd w:val="clear" w:color="auto" w:fill="F1F2F5"/>
          </w:tcPr>
          <w:p>
            <w:pPr>
              <w:pStyle w:val="Compact"/>
              <w:spacing w:after="0" w:before="0" w:line="240" w:lineRule="auto"/>
              <w:jc w:val="right"/>
            </w:pPr>
            <w:r>
              <w:rPr>
                <w:rFonts w:ascii="Arial" w:hAnsi="Arial"/>
                <w:sz w:val="15"/>
              </w:rPr>
              <w:t xml:space="preserve">982</w:t>
            </w:r>
          </w:p>
        </w:tc>
        <w:tc>
          <w:tcPr>
            <w:tcW w:type="dxa" w:w="1312"/>
            <w:shd w:val="clear" w:color="auto" w:fill="F1F2F5"/>
          </w:tcPr>
          <w:p>
            <w:pPr>
              <w:pStyle w:val="Compact"/>
              <w:spacing w:after="0" w:before="0" w:line="240" w:lineRule="auto"/>
              <w:jc w:val="right"/>
            </w:pPr>
            <w:r>
              <w:rPr>
                <w:rFonts w:ascii="Arial" w:hAnsi="Arial"/>
                <w:sz w:val="15"/>
              </w:rPr>
              <w:t xml:space="preserve">~809 (1H)</w:t>
            </w:r>
          </w:p>
        </w:tc>
      </w:tr>
    </w:tbl>
    <w:p>
      <w:pPr>
        <w:pStyle w:val="BodyText"/>
      </w:pPr>
      <w:r>
        <w:rPr>
          <w:iCs/>
          <w:i/>
        </w:rPr>
        <w:t xml:space="preserve">Source: S&amp;P Capital IQ; DART 1H26 report; company IR. FCF is before lease principal (~KRW250bn a year).</w:t>
      </w:r>
    </w:p>
    <w:p>
      <w:pPr>
        <w:pStyle w:val="BodyText"/>
      </w:pPr>
      <w:r>
        <w:rPr>
          <w:bCs/>
          <w:b/>
        </w:rPr>
        <w:t xml:space="preserve">Debt maturities (public bonds, face value, 30-Jun-2026).</w:t>
      </w:r>
      <w:r>
        <w:t xml:space="preserve"> </w:t>
      </w:r>
      <w:r>
        <w:t xml:space="preserve">LG Uplus has KRW3.80tn of public bonds outstanding. A further KRW480bn of LG HelloVision bonds and a USD50m FRN (swapped; due May-2027) sit alongside them.</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2234"/>
        <w:gridCol w:w="684"/>
        <w:gridCol w:w="702"/>
        <w:gridCol w:w="702"/>
        <w:gridCol w:w="702"/>
        <w:gridCol w:w="684"/>
        <w:gridCol w:w="684"/>
        <w:gridCol w:w="684"/>
        <w:gridCol w:w="1034"/>
        <w:gridCol w:w="1025"/>
        <w:gridCol w:w="837"/>
      </w:tblGrid>
      <w:tr>
        <w:trPr>
          <w:tblHeader w:val="true"/>
          <w:tblHeader w:val="true"/>
          <w:cantSplit/>
        </w:trPr>
        <w:tc>
          <w:tcPr>
            <w:tcW w:type="dxa" w:w="2234"/>
            <w:shd w:val="clear" w:color="auto" w:fill="13213F"/>
          </w:tcPr>
          <w:p>
            <w:pPr>
              <w:pStyle w:val="Compact"/>
              <w:spacing w:after="0" w:before="0" w:line="240" w:lineRule="auto"/>
              <w:jc w:val="left"/>
            </w:pPr>
            <w:r>
              <w:rPr>
                <w:rFonts w:ascii="Arial" w:hAnsi="Arial"/>
                <w:b/>
                <w:color w:val="FFFFFF"/>
                <w:sz w:val="15"/>
              </w:rPr>
              <w:t xml:space="preserve">Maturity</w:t>
            </w:r>
          </w:p>
        </w:tc>
        <w:tc>
          <w:tcPr>
            <w:tcW w:type="dxa" w:w="684"/>
            <w:shd w:val="clear" w:color="auto" w:fill="13213F"/>
          </w:tcPr>
          <w:p>
            <w:pPr>
              <w:pStyle w:val="Compact"/>
              <w:spacing w:after="0" w:before="0" w:line="240" w:lineRule="auto"/>
              <w:jc w:val="right"/>
            </w:pPr>
            <w:r>
              <w:rPr>
                <w:rFonts w:ascii="Arial" w:hAnsi="Arial"/>
                <w:b/>
                <w:color w:val="FFFFFF"/>
                <w:sz w:val="15"/>
              </w:rPr>
              <w:t xml:space="preserve">2H26</w:t>
            </w:r>
          </w:p>
        </w:tc>
        <w:tc>
          <w:tcPr>
            <w:tcW w:type="dxa" w:w="703"/>
            <w:shd w:val="clear" w:color="auto" w:fill="13213F"/>
          </w:tcPr>
          <w:p>
            <w:pPr>
              <w:pStyle w:val="Compact"/>
              <w:spacing w:after="0" w:before="0" w:line="240" w:lineRule="auto"/>
              <w:jc w:val="right"/>
            </w:pPr>
            <w:r>
              <w:rPr>
                <w:rFonts w:ascii="Arial" w:hAnsi="Arial"/>
                <w:b/>
                <w:color w:val="FFFFFF"/>
                <w:sz w:val="15"/>
              </w:rPr>
              <w:t xml:space="preserve">2027</w:t>
            </w:r>
          </w:p>
        </w:tc>
        <w:tc>
          <w:tcPr>
            <w:tcW w:type="dxa" w:w="703"/>
            <w:shd w:val="clear" w:color="auto" w:fill="13213F"/>
          </w:tcPr>
          <w:p>
            <w:pPr>
              <w:pStyle w:val="Compact"/>
              <w:spacing w:after="0" w:before="0" w:line="240" w:lineRule="auto"/>
              <w:jc w:val="right"/>
            </w:pPr>
            <w:r>
              <w:rPr>
                <w:rFonts w:ascii="Arial" w:hAnsi="Arial"/>
                <w:b/>
                <w:color w:val="FFFFFF"/>
                <w:sz w:val="15"/>
              </w:rPr>
              <w:t xml:space="preserve">2028</w:t>
            </w:r>
          </w:p>
        </w:tc>
        <w:tc>
          <w:tcPr>
            <w:tcW w:type="dxa" w:w="703"/>
            <w:shd w:val="clear" w:color="auto" w:fill="13213F"/>
          </w:tcPr>
          <w:p>
            <w:pPr>
              <w:pStyle w:val="Compact"/>
              <w:spacing w:after="0" w:before="0" w:line="240" w:lineRule="auto"/>
              <w:jc w:val="right"/>
            </w:pPr>
            <w:r>
              <w:rPr>
                <w:rFonts w:ascii="Arial" w:hAnsi="Arial"/>
                <w:b/>
                <w:color w:val="FFFFFF"/>
                <w:sz w:val="15"/>
              </w:rPr>
              <w:t xml:space="preserve">2029</w:t>
            </w:r>
          </w:p>
        </w:tc>
        <w:tc>
          <w:tcPr>
            <w:tcW w:type="dxa" w:w="684"/>
            <w:shd w:val="clear" w:color="auto" w:fill="13213F"/>
          </w:tcPr>
          <w:p>
            <w:pPr>
              <w:pStyle w:val="Compact"/>
              <w:spacing w:after="0" w:before="0" w:line="240" w:lineRule="auto"/>
              <w:jc w:val="right"/>
            </w:pPr>
            <w:r>
              <w:rPr>
                <w:rFonts w:ascii="Arial" w:hAnsi="Arial"/>
                <w:b/>
                <w:color w:val="FFFFFF"/>
                <w:sz w:val="15"/>
              </w:rPr>
              <w:t xml:space="preserve">2030</w:t>
            </w:r>
          </w:p>
        </w:tc>
        <w:tc>
          <w:tcPr>
            <w:tcW w:type="dxa" w:w="684"/>
            <w:shd w:val="clear" w:color="auto" w:fill="13213F"/>
          </w:tcPr>
          <w:p>
            <w:pPr>
              <w:pStyle w:val="Compact"/>
              <w:spacing w:after="0" w:before="0" w:line="240" w:lineRule="auto"/>
              <w:jc w:val="right"/>
            </w:pPr>
            <w:r>
              <w:rPr>
                <w:rFonts w:ascii="Arial" w:hAnsi="Arial"/>
                <w:b/>
                <w:color w:val="FFFFFF"/>
                <w:sz w:val="15"/>
              </w:rPr>
              <w:t xml:space="preserve">2031</w:t>
            </w:r>
          </w:p>
        </w:tc>
        <w:tc>
          <w:tcPr>
            <w:tcW w:type="dxa" w:w="684"/>
            <w:shd w:val="clear" w:color="auto" w:fill="13213F"/>
          </w:tcPr>
          <w:p>
            <w:pPr>
              <w:pStyle w:val="Compact"/>
              <w:spacing w:after="0" w:before="0" w:line="240" w:lineRule="auto"/>
              <w:jc w:val="right"/>
            </w:pPr>
            <w:r>
              <w:rPr>
                <w:rFonts w:ascii="Arial" w:hAnsi="Arial"/>
                <w:b/>
                <w:color w:val="FFFFFF"/>
                <w:sz w:val="15"/>
              </w:rPr>
              <w:t xml:space="preserve">2032</w:t>
            </w:r>
          </w:p>
        </w:tc>
        <w:tc>
          <w:tcPr>
            <w:tcW w:type="dxa" w:w="1035"/>
            <w:shd w:val="clear" w:color="auto" w:fill="13213F"/>
          </w:tcPr>
          <w:p>
            <w:pPr>
              <w:pStyle w:val="Compact"/>
              <w:spacing w:after="0" w:before="0" w:line="240" w:lineRule="auto"/>
              <w:jc w:val="right"/>
            </w:pPr>
            <w:r>
              <w:rPr>
                <w:rFonts w:ascii="Arial" w:hAnsi="Arial"/>
                <w:b/>
                <w:color w:val="FFFFFF"/>
                <w:sz w:val="15"/>
              </w:rPr>
              <w:t xml:space="preserve">2034–36</w:t>
            </w:r>
          </w:p>
        </w:tc>
        <w:tc>
          <w:tcPr>
            <w:tcW w:type="dxa" w:w="1026"/>
            <w:shd w:val="clear" w:color="auto" w:fill="13213F"/>
          </w:tcPr>
          <w:p>
            <w:pPr>
              <w:pStyle w:val="Compact"/>
              <w:spacing w:after="0" w:before="0" w:line="240" w:lineRule="auto"/>
              <w:jc w:val="right"/>
            </w:pPr>
            <w:r>
              <w:rPr>
                <w:rFonts w:ascii="Arial" w:hAnsi="Arial"/>
                <w:b/>
                <w:color w:val="FFFFFF"/>
                <w:sz w:val="15"/>
              </w:rPr>
              <w:t xml:space="preserve">2041–42</w:t>
            </w:r>
          </w:p>
        </w:tc>
        <w:tc>
          <w:tcPr>
            <w:tcW w:type="dxa" w:w="837"/>
            <w:shd w:val="clear" w:color="auto" w:fill="13213F"/>
          </w:tcPr>
          <w:p>
            <w:pPr>
              <w:pStyle w:val="Compact"/>
              <w:spacing w:after="0" w:before="0" w:line="240" w:lineRule="auto"/>
              <w:jc w:val="right"/>
            </w:pPr>
            <w:r>
              <w:rPr>
                <w:rFonts w:ascii="Arial" w:hAnsi="Arial"/>
                <w:b/>
                <w:color w:val="FFFFFF"/>
                <w:sz w:val="15"/>
              </w:rPr>
              <w:t xml:space="preserve">Total</w:t>
            </w:r>
          </w:p>
        </w:tc>
      </w:tr>
      <w:tr>
        <w:trPr>
          <w:cantSplit/>
        </w:trPr>
        <w:tc>
          <w:tcPr>
            <w:tcW w:type="dxa" w:w="2234"/>
          </w:tcPr>
          <w:p>
            <w:pPr>
              <w:pStyle w:val="Compact"/>
              <w:spacing w:after="0" w:before="0" w:line="240" w:lineRule="auto"/>
              <w:jc w:val="left"/>
            </w:pPr>
            <w:r>
              <w:rPr>
                <w:rFonts w:ascii="Arial" w:hAnsi="Arial"/>
                <w:sz w:val="15"/>
              </w:rPr>
              <w:t xml:space="preserve">LG Uplus bonds (KRW bn)</w:t>
            </w:r>
          </w:p>
        </w:tc>
        <w:tc>
          <w:tcPr>
            <w:tcW w:type="dxa" w:w="684"/>
          </w:tcPr>
          <w:p>
            <w:pPr>
              <w:pStyle w:val="Compact"/>
              <w:spacing w:after="0" w:before="0" w:line="240" w:lineRule="auto"/>
              <w:jc w:val="right"/>
            </w:pPr>
            <w:r>
              <w:rPr>
                <w:rFonts w:ascii="Arial" w:hAnsi="Arial"/>
                <w:sz w:val="15"/>
              </w:rPr>
              <w:t xml:space="preserve">180</w:t>
            </w:r>
          </w:p>
        </w:tc>
        <w:tc>
          <w:tcPr>
            <w:tcW w:type="dxa" w:w="703"/>
          </w:tcPr>
          <w:p>
            <w:pPr>
              <w:pStyle w:val="Compact"/>
              <w:spacing w:after="0" w:before="0" w:line="240" w:lineRule="auto"/>
              <w:jc w:val="right"/>
            </w:pPr>
            <w:r>
              <w:rPr>
                <w:rFonts w:ascii="Arial" w:hAnsi="Arial"/>
                <w:sz w:val="15"/>
              </w:rPr>
              <w:t xml:space="preserve">730</w:t>
            </w:r>
          </w:p>
        </w:tc>
        <w:tc>
          <w:tcPr>
            <w:tcW w:type="dxa" w:w="703"/>
          </w:tcPr>
          <w:p>
            <w:pPr>
              <w:pStyle w:val="Compact"/>
              <w:spacing w:after="0" w:before="0" w:line="240" w:lineRule="auto"/>
              <w:jc w:val="right"/>
            </w:pPr>
            <w:r>
              <w:rPr>
                <w:rFonts w:ascii="Arial" w:hAnsi="Arial"/>
                <w:sz w:val="15"/>
              </w:rPr>
              <w:t xml:space="preserve">840</w:t>
            </w:r>
          </w:p>
        </w:tc>
        <w:tc>
          <w:tcPr>
            <w:tcW w:type="dxa" w:w="703"/>
          </w:tcPr>
          <w:p>
            <w:pPr>
              <w:pStyle w:val="Compact"/>
              <w:spacing w:after="0" w:before="0" w:line="240" w:lineRule="auto"/>
              <w:jc w:val="right"/>
            </w:pPr>
            <w:r>
              <w:rPr>
                <w:rFonts w:ascii="Arial" w:hAnsi="Arial"/>
                <w:sz w:val="15"/>
              </w:rPr>
              <w:t xml:space="preserve">830</w:t>
            </w:r>
          </w:p>
        </w:tc>
        <w:tc>
          <w:tcPr>
            <w:tcW w:type="dxa" w:w="684"/>
          </w:tcPr>
          <w:p>
            <w:pPr>
              <w:pStyle w:val="Compact"/>
              <w:spacing w:after="0" w:before="0" w:line="240" w:lineRule="auto"/>
              <w:jc w:val="right"/>
            </w:pPr>
            <w:r>
              <w:rPr>
                <w:rFonts w:ascii="Arial" w:hAnsi="Arial"/>
                <w:sz w:val="15"/>
              </w:rPr>
              <w:t xml:space="preserve">450</w:t>
            </w:r>
          </w:p>
        </w:tc>
        <w:tc>
          <w:tcPr>
            <w:tcW w:type="dxa" w:w="684"/>
          </w:tcPr>
          <w:p>
            <w:pPr>
              <w:pStyle w:val="Compact"/>
              <w:spacing w:after="0" w:before="0" w:line="240" w:lineRule="auto"/>
              <w:jc w:val="right"/>
            </w:pPr>
            <w:r>
              <w:rPr>
                <w:rFonts w:ascii="Arial" w:hAnsi="Arial"/>
                <w:sz w:val="15"/>
              </w:rPr>
              <w:t xml:space="preserve">330</w:t>
            </w:r>
          </w:p>
        </w:tc>
        <w:tc>
          <w:tcPr>
            <w:tcW w:type="dxa" w:w="684"/>
          </w:tcPr>
          <w:p>
            <w:pPr>
              <w:pStyle w:val="Compact"/>
              <w:spacing w:after="0" w:before="0" w:line="240" w:lineRule="auto"/>
              <w:jc w:val="right"/>
            </w:pPr>
            <w:r>
              <w:rPr>
                <w:rFonts w:ascii="Arial" w:hAnsi="Arial"/>
                <w:sz w:val="15"/>
              </w:rPr>
              <w:t xml:space="preserve">110</w:t>
            </w:r>
          </w:p>
        </w:tc>
        <w:tc>
          <w:tcPr>
            <w:tcW w:type="dxa" w:w="1035"/>
          </w:tcPr>
          <w:p>
            <w:pPr>
              <w:pStyle w:val="Compact"/>
              <w:spacing w:after="0" w:before="0" w:line="240" w:lineRule="auto"/>
              <w:jc w:val="right"/>
            </w:pPr>
            <w:r>
              <w:rPr>
                <w:rFonts w:ascii="Arial" w:hAnsi="Arial"/>
                <w:sz w:val="15"/>
              </w:rPr>
              <w:t xml:space="preserve">260</w:t>
            </w:r>
          </w:p>
        </w:tc>
        <w:tc>
          <w:tcPr>
            <w:tcW w:type="dxa" w:w="1026"/>
          </w:tcPr>
          <w:p>
            <w:pPr>
              <w:pStyle w:val="Compact"/>
              <w:spacing w:after="0" w:before="0" w:line="240" w:lineRule="auto"/>
              <w:jc w:val="right"/>
            </w:pPr>
            <w:r>
              <w:rPr>
                <w:rFonts w:ascii="Arial" w:hAnsi="Arial"/>
                <w:sz w:val="15"/>
              </w:rPr>
              <w:t xml:space="preserve">70</w:t>
            </w:r>
          </w:p>
        </w:tc>
        <w:tc>
          <w:tcPr>
            <w:tcW w:type="dxa" w:w="837"/>
          </w:tcPr>
          <w:p>
            <w:pPr>
              <w:pStyle w:val="Compact"/>
              <w:spacing w:after="0" w:before="0" w:line="240" w:lineRule="auto"/>
              <w:jc w:val="right"/>
            </w:pPr>
            <w:r>
              <w:rPr>
                <w:rFonts w:ascii="Arial" w:hAnsi="Arial"/>
                <w:sz w:val="15"/>
              </w:rPr>
              <w:t xml:space="preserve">3,800</w:t>
            </w:r>
          </w:p>
        </w:tc>
      </w:tr>
      <w:tr>
        <w:trPr>
          <w:cantSplit/>
        </w:trPr>
        <w:tc>
          <w:tcPr>
            <w:tcW w:type="dxa" w:w="2234"/>
            <w:shd w:val="clear" w:color="auto" w:fill="F1F2F5"/>
          </w:tcPr>
          <w:p>
            <w:pPr>
              <w:pStyle w:val="Compact"/>
              <w:spacing w:after="0" w:before="0" w:line="240" w:lineRule="auto"/>
              <w:jc w:val="left"/>
            </w:pPr>
            <w:r>
              <w:rPr>
                <w:rFonts w:ascii="Arial" w:hAnsi="Arial"/>
                <w:sz w:val="15"/>
              </w:rPr>
              <w:t xml:space="preserve">LG HelloVision bonds (KRW bn)</w:t>
            </w:r>
          </w:p>
        </w:tc>
        <w:tc>
          <w:tcPr>
            <w:tcW w:type="dxa" w:w="684"/>
            <w:shd w:val="clear" w:color="auto" w:fill="F1F2F5"/>
          </w:tcPr>
          <w:p>
            <w:pPr>
              <w:pStyle w:val="Compact"/>
              <w:spacing w:after="0" w:before="0" w:line="240" w:lineRule="auto"/>
              <w:jc w:val="right"/>
            </w:pPr>
            <w:r>
              <w:rPr>
                <w:rFonts w:ascii="Arial" w:hAnsi="Arial"/>
                <w:sz w:val="15"/>
              </w:rPr>
              <w:t xml:space="preserve">–</w:t>
            </w:r>
          </w:p>
        </w:tc>
        <w:tc>
          <w:tcPr>
            <w:tcW w:type="dxa" w:w="703"/>
            <w:shd w:val="clear" w:color="auto" w:fill="F1F2F5"/>
          </w:tcPr>
          <w:p>
            <w:pPr>
              <w:pStyle w:val="Compact"/>
              <w:spacing w:after="0" w:before="0" w:line="240" w:lineRule="auto"/>
              <w:jc w:val="right"/>
            </w:pPr>
            <w:r>
              <w:rPr>
                <w:rFonts w:ascii="Arial" w:hAnsi="Arial"/>
                <w:sz w:val="15"/>
              </w:rPr>
              <w:t xml:space="preserve">150</w:t>
            </w:r>
          </w:p>
        </w:tc>
        <w:tc>
          <w:tcPr>
            <w:tcW w:type="dxa" w:w="703"/>
            <w:shd w:val="clear" w:color="auto" w:fill="F1F2F5"/>
          </w:tcPr>
          <w:p>
            <w:pPr>
              <w:pStyle w:val="Compact"/>
              <w:spacing w:after="0" w:before="0" w:line="240" w:lineRule="auto"/>
              <w:jc w:val="right"/>
            </w:pPr>
            <w:r>
              <w:rPr>
                <w:rFonts w:ascii="Arial" w:hAnsi="Arial"/>
                <w:sz w:val="15"/>
              </w:rPr>
              <w:t xml:space="preserve">190</w:t>
            </w:r>
          </w:p>
        </w:tc>
        <w:tc>
          <w:tcPr>
            <w:tcW w:type="dxa" w:w="703"/>
            <w:shd w:val="clear" w:color="auto" w:fill="F1F2F5"/>
          </w:tcPr>
          <w:p>
            <w:pPr>
              <w:pStyle w:val="Compact"/>
              <w:spacing w:after="0" w:before="0" w:line="240" w:lineRule="auto"/>
              <w:jc w:val="right"/>
            </w:pPr>
            <w:r>
              <w:rPr>
                <w:rFonts w:ascii="Arial" w:hAnsi="Arial"/>
                <w:sz w:val="15"/>
              </w:rPr>
              <w:t xml:space="preserve">140</w:t>
            </w:r>
          </w:p>
        </w:tc>
        <w:tc>
          <w:tcPr>
            <w:tcW w:type="dxa" w:w="684"/>
            <w:shd w:val="clear" w:color="auto" w:fill="F1F2F5"/>
          </w:tcPr>
          <w:p>
            <w:pPr>
              <w:pStyle w:val="Compact"/>
              <w:spacing w:after="0" w:before="0" w:line="240" w:lineRule="auto"/>
              <w:jc w:val="right"/>
            </w:pPr>
            <w:r>
              <w:rPr>
                <w:rFonts w:ascii="Arial" w:hAnsi="Arial"/>
                <w:sz w:val="15"/>
              </w:rPr>
              <w:t xml:space="preserve">–</w:t>
            </w:r>
          </w:p>
        </w:tc>
        <w:tc>
          <w:tcPr>
            <w:tcW w:type="dxa" w:w="684"/>
            <w:shd w:val="clear" w:color="auto" w:fill="F1F2F5"/>
          </w:tcPr>
          <w:p>
            <w:pPr>
              <w:pStyle w:val="Compact"/>
              <w:spacing w:after="0" w:before="0" w:line="240" w:lineRule="auto"/>
              <w:jc w:val="right"/>
            </w:pPr>
            <w:r>
              <w:rPr>
                <w:rFonts w:ascii="Arial" w:hAnsi="Arial"/>
                <w:sz w:val="15"/>
              </w:rPr>
              <w:t xml:space="preserve">–</w:t>
            </w:r>
          </w:p>
        </w:tc>
        <w:tc>
          <w:tcPr>
            <w:tcW w:type="dxa" w:w="684"/>
            <w:shd w:val="clear" w:color="auto" w:fill="F1F2F5"/>
          </w:tcPr>
          <w:p>
            <w:pPr>
              <w:pStyle w:val="Compact"/>
              <w:spacing w:after="0" w:before="0" w:line="240" w:lineRule="auto"/>
              <w:jc w:val="right"/>
            </w:pPr>
            <w:r>
              <w:rPr>
                <w:rFonts w:ascii="Arial" w:hAnsi="Arial"/>
                <w:sz w:val="15"/>
              </w:rPr>
              <w:t xml:space="preserve">–</w:t>
            </w:r>
          </w:p>
        </w:tc>
        <w:tc>
          <w:tcPr>
            <w:tcW w:type="dxa" w:w="1035"/>
            <w:shd w:val="clear" w:color="auto" w:fill="F1F2F5"/>
          </w:tcPr>
          <w:p>
            <w:pPr>
              <w:pStyle w:val="Compact"/>
              <w:spacing w:after="0" w:before="0" w:line="240" w:lineRule="auto"/>
              <w:jc w:val="right"/>
            </w:pPr>
            <w:r>
              <w:rPr>
                <w:rFonts w:ascii="Arial" w:hAnsi="Arial"/>
                <w:sz w:val="15"/>
              </w:rPr>
              <w:t xml:space="preserve">–</w:t>
            </w:r>
          </w:p>
        </w:tc>
        <w:tc>
          <w:tcPr>
            <w:tcW w:type="dxa" w:w="1026"/>
            <w:shd w:val="clear" w:color="auto" w:fill="F1F2F5"/>
          </w:tcPr>
          <w:p>
            <w:pPr>
              <w:pStyle w:val="Compact"/>
              <w:spacing w:after="0" w:before="0" w:line="240" w:lineRule="auto"/>
              <w:jc w:val="right"/>
            </w:pPr>
            <w:r>
              <w:rPr>
                <w:rFonts w:ascii="Arial" w:hAnsi="Arial"/>
                <w:sz w:val="15"/>
              </w:rPr>
              <w:t xml:space="preserve">–</w:t>
            </w:r>
          </w:p>
        </w:tc>
        <w:tc>
          <w:tcPr>
            <w:tcW w:type="dxa" w:w="837"/>
            <w:shd w:val="clear" w:color="auto" w:fill="F1F2F5"/>
          </w:tcPr>
          <w:p>
            <w:pPr>
              <w:pStyle w:val="Compact"/>
              <w:spacing w:after="0" w:before="0" w:line="240" w:lineRule="auto"/>
              <w:jc w:val="right"/>
            </w:pPr>
            <w:r>
              <w:rPr>
                <w:rFonts w:ascii="Arial" w:hAnsi="Arial"/>
                <w:sz w:val="15"/>
              </w:rPr>
              <w:t xml:space="preserve">480</w:t>
            </w:r>
          </w:p>
        </w:tc>
      </w:tr>
    </w:tbl>
    <w:p>
      <w:pPr>
        <w:pStyle w:val="BodyText"/>
      </w:pPr>
      <w:r>
        <w:t xml:space="preserve">About KRW1.7tn falls due within 12 months: KRW910bn of bonds and KRW792.5bn of bank loans. Cash alone covers it ~0.74x, rising to ~1.7x including the 1H26 FCF run-rate [e]. The company refinances in the domestic bond market routinely: the January-2026 issue raised KRW500bn at 3.38% (3-year), 3.62% (5-year) and 3.99% (10-year).</w:t>
      </w:r>
    </w:p>
    <w:p>
      <w:pPr>
        <w:pStyle w:val="BodyText"/>
      </w:pPr>
      <w:r>
        <w:rPr>
          <w:bCs/>
          <w:b/>
        </w:rPr>
        <w:t xml:space="preserve">Cost of debt.</w:t>
      </w:r>
    </w:p>
    <w:p>
      <w:pPr>
        <w:numPr>
          <w:ilvl w:val="0"/>
          <w:numId w:val="1028"/>
        </w:numPr>
        <w:pStyle w:val="Compact"/>
      </w:pPr>
      <w:r>
        <w:t xml:space="preserve">Average cost is ~3.6–3.7%.</w:t>
      </w:r>
    </w:p>
    <w:p>
      <w:pPr>
        <w:numPr>
          <w:ilvl w:val="0"/>
          <w:numId w:val="1028"/>
        </w:numPr>
        <w:pStyle w:val="Compact"/>
      </w:pPr>
      <w:r>
        <w:t xml:space="preserve">Public bond coupons range from 1.89% to 4.60%; long-term loans from 2.43% to 5.46%.</w:t>
      </w:r>
    </w:p>
    <w:p>
      <w:pPr>
        <w:numPr>
          <w:ilvl w:val="0"/>
          <w:numId w:val="1028"/>
        </w:numPr>
        <w:pStyle w:val="Compact"/>
      </w:pPr>
      <w:r>
        <w:t xml:space="preserve">A KDB facility of KRW162.5bn floats at KDB 6M + 0.87%.</w:t>
      </w:r>
    </w:p>
    <w:p>
      <w:pPr>
        <w:numPr>
          <w:ilvl w:val="0"/>
          <w:numId w:val="1028"/>
        </w:numPr>
        <w:pStyle w:val="Compact"/>
      </w:pPr>
      <w:r>
        <w:t xml:space="preserve">Bank of Korea hikes add perhaps 10–20bp to the blended cost over two years [e].</w:t>
      </w:r>
    </w:p>
    <w:p>
      <w:pPr>
        <w:pStyle w:val="FirstParagraph"/>
      </w:pPr>
      <w:r>
        <w:rPr>
          <w:bCs/>
          <w:b/>
        </w:rPr>
        <w:t xml:space="preserve">Covenants (all public bonds; complied with at YE25).</w:t>
      </w:r>
    </w:p>
    <w:p>
      <w:pPr>
        <w:numPr>
          <w:ilvl w:val="0"/>
          <w:numId w:val="1029"/>
        </w:numPr>
        <w:pStyle w:val="Compact"/>
      </w:pPr>
      <w:r>
        <w:t xml:space="preserve">Liabilities/equity ≤ 400% (actual 114%).</w:t>
      </w:r>
    </w:p>
    <w:p>
      <w:pPr>
        <w:numPr>
          <w:ilvl w:val="0"/>
          <w:numId w:val="1029"/>
        </w:numPr>
        <w:pStyle w:val="Compact"/>
      </w:pPr>
      <w:r>
        <w:t xml:space="preserve">Secured debt and guarantees ≤ 150% of equity.</w:t>
      </w:r>
    </w:p>
    <w:p>
      <w:pPr>
        <w:numPr>
          <w:ilvl w:val="0"/>
          <w:numId w:val="1029"/>
        </w:numPr>
        <w:pStyle w:val="Compact"/>
      </w:pPr>
      <w:r>
        <w:t xml:space="preserve">Asset disposals &lt; 50% of total assets per year.</w:t>
      </w:r>
    </w:p>
    <w:p>
      <w:pPr>
        <w:numPr>
          <w:ilvl w:val="0"/>
          <w:numId w:val="1029"/>
        </w:numPr>
        <w:pStyle w:val="Compact"/>
      </w:pPr>
      <w:r>
        <w:rPr>
          <w:bCs/>
          <w:b/>
        </w:rPr>
        <w:t xml:space="preserve">Change-of-control clause: the issuer must remain within a</w:t>
      </w:r>
      <w:r>
        <w:rPr>
          <w:bCs/>
          <w:b/>
        </w:rPr>
        <w:t xml:space="preserve"> </w:t>
      </w:r>
      <w:r>
        <w:rPr>
          <w:bCs/>
          <w:b/>
        </w:rPr>
        <w:t xml:space="preserve">“</w:t>
      </w:r>
      <w:r>
        <w:rPr>
          <w:bCs/>
          <w:b/>
        </w:rPr>
        <w:t xml:space="preserve">large business group</w:t>
      </w:r>
      <w:r>
        <w:rPr>
          <w:bCs/>
          <w:b/>
        </w:rPr>
        <w:t xml:space="preserve">”</w:t>
      </w:r>
      <w:r>
        <w:rPr>
          <w:bCs/>
          <w:b/>
        </w:rPr>
        <w:t xml:space="preserve"> </w:t>
      </w:r>
      <w:r>
        <w:rPr>
          <w:bCs/>
          <w:b/>
        </w:rPr>
        <w:t xml:space="preserve">(the LG Group).</w:t>
      </w:r>
      <w:r>
        <w:t xml:space="preserve"> </w:t>
      </w:r>
      <w:r>
        <w:t xml:space="preserve">This matters in any takeover scenario, which would trigger bondholder put rights or consent requirements.</w:t>
      </w:r>
    </w:p>
    <w:p>
      <w:pPr>
        <w:pStyle w:val="FirstParagraph"/>
      </w:pPr>
      <w:r>
        <w:rPr>
          <w:bCs/>
          <w:b/>
        </w:rPr>
        <w:t xml:space="preserve">Liquidity.</w:t>
      </w:r>
      <w:r>
        <w:t xml:space="preserve"> </w:t>
      </w:r>
      <w:r>
        <w:t xml:space="preserve">Cash and short-term investments of KRW1,258bn, plus ~KRW119bn of undrawn bank lines and the A1-rated CP programme. Liquidity is supported by the handset-receivable ABS programme (~KRW1.5tn a year) and an overfunded defined-benefit pension (assets KRW931bn vs obligations KRW831bn).</w:t>
      </w:r>
    </w:p>
    <w:p>
      <w:pPr>
        <w:pStyle w:val="BodyText"/>
      </w:pPr>
      <w:r>
        <w:rPr>
          <w:bCs/>
          <w:b/>
        </w:rPr>
        <w:t xml:space="preserve">Ratings.</w:t>
      </w:r>
      <w:r>
        <w:t xml:space="preserve"> </w:t>
      </w:r>
      <w:r>
        <w:t xml:space="preserve">NICE (9-Feb-2026), Korea Investors Service (12-Mar-2026) and Korea Ratings (19-Mar-2026) all upgraded LG Uplus to</w:t>
      </w:r>
      <w:r>
        <w:t xml:space="preserve"> </w:t>
      </w:r>
      <w:r>
        <w:rPr>
          <w:bCs/>
          <w:b/>
        </w:rPr>
        <w:t xml:space="preserve">AA+</w:t>
      </w:r>
      <w:r>
        <w:t xml:space="preserve"> </w:t>
      </w:r>
      <w:r>
        <w:t xml:space="preserve">from AA, the first upgrade in 13 years, citing the end of the 5G investment cycle. CP is rated A1. We found no Moody’s or S&amp;P rating. LG HelloVision is AA-.</w:t>
      </w:r>
    </w:p>
    <w:p>
      <w:pPr>
        <w:pStyle w:val="BodyText"/>
      </w:pPr>
      <w:r>
        <w:rPr>
          <w:bCs/>
          <w:b/>
        </w:rPr>
        <w:t xml:space="preserve">Contingent liabilities.</w:t>
      </w:r>
    </w:p>
    <w:p>
      <w:pPr>
        <w:numPr>
          <w:ilvl w:val="0"/>
          <w:numId w:val="1030"/>
        </w:numPr>
        <w:pStyle w:val="Compact"/>
      </w:pPr>
      <w:r>
        <w:t xml:space="preserve">138 lawsuits pending as defendant (2Q26).</w:t>
      </w:r>
    </w:p>
    <w:p>
      <w:pPr>
        <w:numPr>
          <w:ilvl w:val="0"/>
          <w:numId w:val="1030"/>
        </w:numPr>
        <w:pStyle w:val="Compact"/>
      </w:pPr>
      <w:r>
        <w:t xml:space="preserve">A KRW125.65bn VAT claim by eight card companies.</w:t>
      </w:r>
    </w:p>
    <w:p>
      <w:pPr>
        <w:numPr>
          <w:ilvl w:val="0"/>
          <w:numId w:val="1030"/>
        </w:numPr>
        <w:pStyle w:val="Compact"/>
      </w:pPr>
      <w:r>
        <w:t xml:space="preserve">KFTC subsidy-collusion fine of KRW27.66bn (final, Jun-2025; paid, under appeal).</w:t>
      </w:r>
    </w:p>
    <w:p>
      <w:pPr>
        <w:numPr>
          <w:ilvl w:val="0"/>
          <w:numId w:val="1030"/>
        </w:numPr>
        <w:pStyle w:val="Compact"/>
      </w:pPr>
      <w:r>
        <w:t xml:space="preserve">KFTC base-station lease collusion fine of KRW5.81bn.</w:t>
      </w:r>
    </w:p>
    <w:p>
      <w:pPr>
        <w:numPr>
          <w:ilvl w:val="0"/>
          <w:numId w:val="1030"/>
        </w:numPr>
        <w:pStyle w:val="Compact"/>
      </w:pPr>
      <w:r>
        <w:t xml:space="preserve">The open PIPC/police case over the 2025 hacking incident (no provision disclosed).</w:t>
      </w:r>
    </w:p>
    <w:p>
      <w:pPr>
        <w:numPr>
          <w:ilvl w:val="0"/>
          <w:numId w:val="1030"/>
        </w:numPr>
        <w:pStyle w:val="Compact"/>
      </w:pPr>
      <w:r>
        <w:t xml:space="preserve">Unexecuted capex commitments of KRW868.7bn.</w:t>
      </w:r>
    </w:p>
    <w:p>
      <w:pPr>
        <w:pStyle w:val="FirstParagraph"/>
      </w:pPr>
      <w:r>
        <w:rPr>
          <w:bCs/>
          <w:b/>
        </w:rPr>
        <w:t xml:space="preserve">Assessment.</w:t>
      </w:r>
      <w:r>
        <w:t xml:space="preserve"> </w:t>
      </w:r>
      <w:r>
        <w:t xml:space="preserve">The balance sheet is conservative and improving. AIDC capex will absorb most FCF in 2026–28, but management has committed to fund it</w:t>
      </w:r>
      <w:r>
        <w:t xml:space="preserve"> </w:t>
      </w:r>
      <w:r>
        <w:t xml:space="preserve">“</w:t>
      </w:r>
      <w:r>
        <w:t xml:space="preserve">within EBITDA</w:t>
      </w:r>
      <w:r>
        <w:t xml:space="preserve">”</w:t>
      </w:r>
      <w:r>
        <w:t xml:space="preserve"> </w:t>
      </w:r>
      <w:r>
        <w:t xml:space="preserve">and without external financing. We expect net debt to stay around KRW4.5–4.8tn and leverage at ~1.2x.</w:t>
      </w:r>
    </w:p>
    <w:bookmarkEnd w:id="84"/>
    <w:bookmarkStart w:id="95" w:name="valuation"/>
    <w:p>
      <w:pPr>
        <w:pStyle w:val="Heading1"/>
      </w:pPr>
      <w:r>
        <w:t xml:space="preserve">Valuation</w:t>
      </w:r>
    </w:p>
    <w:bookmarkStart w:id="85" w:name="X80a223a01d7a741afe5f7e662f0bf31ad220538"/>
    <w:p>
      <w:pPr>
        <w:pStyle w:val="Heading2"/>
      </w:pPr>
      <w:r>
        <w:t xml:space="preserve">Peer comparison (S&amp;P Capital IQ; LTM to 30-Jun-2026; prices at 16-Oct-2026)</w:t>
      </w:r>
    </w:p>
    <w:p>
      <w:pPr>
        <w:pStyle w:val="FirstParagraph"/>
      </w:pPr>
      <w:r>
        <w:rPr>
          <w:bCs/>
          <w:b/>
        </w:rPr>
        <w:t xml:space="preserve">(a) Valuation multiples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1636"/>
        <w:gridCol w:w="923"/>
        <w:gridCol w:w="1030"/>
        <w:gridCol w:w="1168"/>
        <w:gridCol w:w="1273"/>
        <w:gridCol w:w="1315"/>
        <w:gridCol w:w="1065"/>
        <w:gridCol w:w="784"/>
        <w:gridCol w:w="781"/>
      </w:tblGrid>
      <w:tr>
        <w:trPr>
          <w:tblHeader w:val="true"/>
          <w:tblHeader w:val="true"/>
          <w:cantSplit/>
        </w:trPr>
        <w:tc>
          <w:tcPr>
            <w:tcW w:type="dxa" w:w="1636"/>
            <w:shd w:val="clear" w:color="auto" w:fill="13213F"/>
          </w:tcPr>
          <w:p>
            <w:pPr>
              <w:pStyle w:val="Compact"/>
              <w:spacing w:after="0" w:before="0" w:line="240" w:lineRule="auto"/>
              <w:jc w:val="left"/>
            </w:pPr>
            <w:r>
              <w:rPr>
                <w:rFonts w:ascii="Arial" w:hAnsi="Arial"/>
                <w:b/>
                <w:color w:val="FFFFFF"/>
                <w:sz w:val="15"/>
              </w:rPr>
              <w:t xml:space="preserve">Company</w:t>
            </w:r>
          </w:p>
        </w:tc>
        <w:tc>
          <w:tcPr>
            <w:tcW w:type="dxa" w:w="923"/>
            <w:shd w:val="clear" w:color="auto" w:fill="13213F"/>
          </w:tcPr>
          <w:p>
            <w:pPr>
              <w:pStyle w:val="Compact"/>
              <w:spacing w:after="0" w:before="0" w:line="240" w:lineRule="auto"/>
              <w:jc w:val="left"/>
            </w:pPr>
            <w:r>
              <w:rPr>
                <w:rFonts w:ascii="Arial" w:hAnsi="Arial"/>
                <w:b/>
                <w:color w:val="FFFFFF"/>
                <w:sz w:val="15"/>
              </w:rPr>
              <w:t xml:space="preserve">Ticker</w:t>
            </w:r>
          </w:p>
        </w:tc>
        <w:tc>
          <w:tcPr>
            <w:tcW w:type="dxa" w:w="1030"/>
            <w:shd w:val="clear" w:color="auto" w:fill="13213F"/>
          </w:tcPr>
          <w:p>
            <w:pPr>
              <w:pStyle w:val="Compact"/>
              <w:spacing w:after="0" w:before="0" w:line="240" w:lineRule="auto"/>
              <w:jc w:val="right"/>
            </w:pPr>
            <w:r>
              <w:rPr>
                <w:rFonts w:ascii="Arial" w:hAnsi="Arial"/>
                <w:b/>
                <w:color w:val="FFFFFF"/>
                <w:sz w:val="15"/>
              </w:rPr>
              <w:t xml:space="preserve">Mkt cap US$m</w:t>
            </w:r>
          </w:p>
        </w:tc>
        <w:tc>
          <w:tcPr>
            <w:tcW w:type="dxa" w:w="1169"/>
            <w:shd w:val="clear" w:color="auto" w:fill="13213F"/>
          </w:tcPr>
          <w:p>
            <w:pPr>
              <w:pStyle w:val="Compact"/>
              <w:spacing w:after="0" w:before="0" w:line="240" w:lineRule="auto"/>
              <w:jc w:val="right"/>
            </w:pPr>
            <w:r>
              <w:rPr>
                <w:rFonts w:ascii="Arial" w:hAnsi="Arial"/>
                <w:b/>
                <w:color w:val="FFFFFF"/>
                <w:sz w:val="15"/>
              </w:rPr>
              <w:t xml:space="preserve">TEV/Sales</w:t>
            </w:r>
          </w:p>
        </w:tc>
        <w:tc>
          <w:tcPr>
            <w:tcW w:type="dxa" w:w="1273"/>
            <w:shd w:val="clear" w:color="auto" w:fill="13213F"/>
          </w:tcPr>
          <w:p>
            <w:pPr>
              <w:pStyle w:val="Compact"/>
              <w:spacing w:after="0" w:before="0" w:line="240" w:lineRule="auto"/>
              <w:jc w:val="right"/>
            </w:pPr>
            <w:r>
              <w:rPr>
                <w:rFonts w:ascii="Arial" w:hAnsi="Arial"/>
                <w:b/>
                <w:color w:val="FFFFFF"/>
                <w:sz w:val="15"/>
              </w:rPr>
              <w:t xml:space="preserve">TEV/EBITDA</w:t>
            </w:r>
          </w:p>
        </w:tc>
        <w:tc>
          <w:tcPr>
            <w:tcW w:type="dxa" w:w="1315"/>
            <w:shd w:val="clear" w:color="auto" w:fill="13213F"/>
          </w:tcPr>
          <w:p>
            <w:pPr>
              <w:pStyle w:val="Compact"/>
              <w:spacing w:after="0" w:before="0" w:line="240" w:lineRule="auto"/>
              <w:jc w:val="right"/>
            </w:pPr>
            <w:r>
              <w:rPr>
                <w:rFonts w:ascii="Arial" w:hAnsi="Arial"/>
                <w:b/>
                <w:color w:val="FFFFFF"/>
                <w:sz w:val="15"/>
              </w:rPr>
              <w:t xml:space="preserve">NTM TEV/EBITDA</w:t>
            </w:r>
          </w:p>
        </w:tc>
        <w:tc>
          <w:tcPr>
            <w:tcW w:type="dxa" w:w="1065"/>
            <w:shd w:val="clear" w:color="auto" w:fill="13213F"/>
          </w:tcPr>
          <w:p>
            <w:pPr>
              <w:pStyle w:val="Compact"/>
              <w:spacing w:after="0" w:before="0" w:line="240" w:lineRule="auto"/>
              <w:jc w:val="right"/>
            </w:pPr>
            <w:r>
              <w:rPr>
                <w:rFonts w:ascii="Arial" w:hAnsi="Arial"/>
                <w:b/>
                <w:color w:val="FFFFFF"/>
                <w:sz w:val="15"/>
              </w:rPr>
              <w:t xml:space="preserve">TEV/EBIT</w:t>
            </w:r>
          </w:p>
        </w:tc>
        <w:tc>
          <w:tcPr>
            <w:tcW w:type="dxa" w:w="784"/>
            <w:shd w:val="clear" w:color="auto" w:fill="13213F"/>
          </w:tcPr>
          <w:p>
            <w:pPr>
              <w:pStyle w:val="Compact"/>
              <w:spacing w:after="0" w:before="0" w:line="240" w:lineRule="auto"/>
              <w:jc w:val="right"/>
            </w:pPr>
            <w:r>
              <w:rPr>
                <w:rFonts w:ascii="Arial" w:hAnsi="Arial"/>
                <w:b/>
                <w:color w:val="FFFFFF"/>
                <w:sz w:val="15"/>
              </w:rPr>
              <w:t xml:space="preserve">P/E LTM</w:t>
            </w:r>
          </w:p>
        </w:tc>
        <w:tc>
          <w:tcPr>
            <w:tcW w:type="dxa" w:w="781"/>
            <w:shd w:val="clear" w:color="auto" w:fill="13213F"/>
          </w:tcPr>
          <w:p>
            <w:pPr>
              <w:pStyle w:val="Compact"/>
              <w:spacing w:after="0" w:before="0" w:line="240" w:lineRule="auto"/>
              <w:jc w:val="right"/>
            </w:pPr>
            <w:r>
              <w:rPr>
                <w:rFonts w:ascii="Arial" w:hAnsi="Arial"/>
                <w:b/>
                <w:color w:val="FFFFFF"/>
                <w:sz w:val="15"/>
              </w:rPr>
              <w:t xml:space="preserve">P/E fwd</w:t>
            </w:r>
          </w:p>
        </w:tc>
      </w:tr>
      <w:tr>
        <w:trPr>
          <w:cantSplit/>
        </w:trPr>
        <w:tc>
          <w:tcPr>
            <w:tcW w:type="dxa" w:w="1636"/>
          </w:tcPr>
          <w:p>
            <w:pPr>
              <w:pStyle w:val="Compact"/>
              <w:spacing w:after="0" w:before="0" w:line="240" w:lineRule="auto"/>
              <w:jc w:val="left"/>
            </w:pPr>
            <w:r>
              <w:rPr>
                <w:bCs/>
                <w:rFonts w:ascii="Arial" w:hAnsi="Arial"/>
                <w:b/>
                <w:sz w:val="15"/>
              </w:rPr>
              <w:t xml:space="preserve">LG Uplus</w:t>
            </w:r>
          </w:p>
        </w:tc>
        <w:tc>
          <w:tcPr>
            <w:tcW w:type="dxa" w:w="923"/>
          </w:tcPr>
          <w:p>
            <w:pPr>
              <w:pStyle w:val="Compact"/>
              <w:spacing w:after="0" w:before="0" w:line="240" w:lineRule="auto"/>
              <w:jc w:val="left"/>
            </w:pPr>
            <w:r>
              <w:rPr>
                <w:bCs/>
                <w:rFonts w:ascii="Arial" w:hAnsi="Arial"/>
                <w:b/>
                <w:sz w:val="15"/>
              </w:rPr>
              <w:t xml:space="preserve">032640 KS</w:t>
            </w:r>
          </w:p>
        </w:tc>
        <w:tc>
          <w:tcPr>
            <w:tcW w:type="dxa" w:w="1030"/>
          </w:tcPr>
          <w:p>
            <w:pPr>
              <w:pStyle w:val="Compact"/>
              <w:spacing w:after="0" w:before="0" w:line="240" w:lineRule="auto"/>
              <w:jc w:val="right"/>
            </w:pPr>
            <w:r>
              <w:rPr>
                <w:bCs/>
                <w:rFonts w:ascii="Arial" w:hAnsi="Arial"/>
                <w:b/>
                <w:sz w:val="15"/>
              </w:rPr>
              <w:t xml:space="preserve">4,931</w:t>
            </w:r>
          </w:p>
        </w:tc>
        <w:tc>
          <w:tcPr>
            <w:tcW w:type="dxa" w:w="1169"/>
          </w:tcPr>
          <w:p>
            <w:pPr>
              <w:pStyle w:val="Compact"/>
              <w:spacing w:after="0" w:before="0" w:line="240" w:lineRule="auto"/>
              <w:jc w:val="right"/>
            </w:pPr>
            <w:r>
              <w:rPr>
                <w:bCs/>
                <w:rFonts w:ascii="Arial" w:hAnsi="Arial"/>
                <w:b/>
                <w:sz w:val="15"/>
              </w:rPr>
              <w:t xml:space="preserve">0.74x</w:t>
            </w:r>
          </w:p>
        </w:tc>
        <w:tc>
          <w:tcPr>
            <w:tcW w:type="dxa" w:w="1273"/>
          </w:tcPr>
          <w:p>
            <w:pPr>
              <w:pStyle w:val="Compact"/>
              <w:spacing w:after="0" w:before="0" w:line="240" w:lineRule="auto"/>
              <w:jc w:val="right"/>
            </w:pPr>
            <w:r>
              <w:rPr>
                <w:bCs/>
                <w:rFonts w:ascii="Arial" w:hAnsi="Arial"/>
                <w:b/>
                <w:sz w:val="15"/>
              </w:rPr>
              <w:t xml:space="preserve">3.07x</w:t>
            </w:r>
          </w:p>
        </w:tc>
        <w:tc>
          <w:tcPr>
            <w:tcW w:type="dxa" w:w="1315"/>
          </w:tcPr>
          <w:p>
            <w:pPr>
              <w:pStyle w:val="Compact"/>
              <w:spacing w:after="0" w:before="0" w:line="240" w:lineRule="auto"/>
              <w:jc w:val="right"/>
            </w:pPr>
            <w:r>
              <w:rPr>
                <w:bCs/>
                <w:rFonts w:ascii="Arial" w:hAnsi="Arial"/>
                <w:b/>
                <w:sz w:val="15"/>
              </w:rPr>
              <w:t xml:space="preserve">2.90x</w:t>
            </w:r>
          </w:p>
        </w:tc>
        <w:tc>
          <w:tcPr>
            <w:tcW w:type="dxa" w:w="1065"/>
          </w:tcPr>
          <w:p>
            <w:pPr>
              <w:pStyle w:val="Compact"/>
              <w:spacing w:after="0" w:before="0" w:line="240" w:lineRule="auto"/>
              <w:jc w:val="right"/>
            </w:pPr>
            <w:r>
              <w:rPr>
                <w:bCs/>
                <w:rFonts w:ascii="Arial" w:hAnsi="Arial"/>
                <w:b/>
                <w:sz w:val="15"/>
              </w:rPr>
              <w:t xml:space="preserve">12.1x</w:t>
            </w:r>
          </w:p>
        </w:tc>
        <w:tc>
          <w:tcPr>
            <w:tcW w:type="dxa" w:w="784"/>
          </w:tcPr>
          <w:p>
            <w:pPr>
              <w:pStyle w:val="Compact"/>
              <w:spacing w:after="0" w:before="0" w:line="240" w:lineRule="auto"/>
              <w:jc w:val="right"/>
            </w:pPr>
            <w:r>
              <w:rPr>
                <w:bCs/>
                <w:rFonts w:ascii="Arial" w:hAnsi="Arial"/>
                <w:b/>
                <w:sz w:val="15"/>
              </w:rPr>
              <w:t xml:space="preserve">12.4x</w:t>
            </w:r>
          </w:p>
        </w:tc>
        <w:tc>
          <w:tcPr>
            <w:tcW w:type="dxa" w:w="781"/>
          </w:tcPr>
          <w:p>
            <w:pPr>
              <w:pStyle w:val="Compact"/>
              <w:spacing w:after="0" w:before="0" w:line="240" w:lineRule="auto"/>
              <w:jc w:val="right"/>
            </w:pPr>
            <w:r>
              <w:rPr>
                <w:bCs/>
                <w:rFonts w:ascii="Arial" w:hAnsi="Arial"/>
                <w:b/>
                <w:sz w:val="15"/>
              </w:rPr>
              <w:t xml:space="preserve">8.5x</w:t>
            </w:r>
          </w:p>
        </w:tc>
      </w:tr>
      <w:tr>
        <w:trPr>
          <w:cantSplit/>
        </w:trPr>
        <w:tc>
          <w:tcPr>
            <w:tcW w:type="dxa" w:w="1636"/>
            <w:shd w:val="clear" w:color="auto" w:fill="F1F2F5"/>
          </w:tcPr>
          <w:p>
            <w:pPr>
              <w:pStyle w:val="Compact"/>
              <w:spacing w:after="0" w:before="0" w:line="240" w:lineRule="auto"/>
              <w:jc w:val="left"/>
            </w:pPr>
            <w:r>
              <w:rPr>
                <w:rFonts w:ascii="Arial" w:hAnsi="Arial"/>
                <w:sz w:val="15"/>
              </w:rPr>
              <w:t xml:space="preserve">SK Telecom</w:t>
            </w:r>
          </w:p>
        </w:tc>
        <w:tc>
          <w:tcPr>
            <w:tcW w:type="dxa" w:w="923"/>
            <w:shd w:val="clear" w:color="auto" w:fill="F1F2F5"/>
          </w:tcPr>
          <w:p>
            <w:pPr>
              <w:pStyle w:val="Compact"/>
              <w:spacing w:after="0" w:before="0" w:line="240" w:lineRule="auto"/>
              <w:jc w:val="left"/>
            </w:pPr>
            <w:r>
              <w:rPr>
                <w:rFonts w:ascii="Arial" w:hAnsi="Arial"/>
                <w:sz w:val="15"/>
              </w:rPr>
              <w:t xml:space="preserve">017670 KS</w:t>
            </w:r>
          </w:p>
        </w:tc>
        <w:tc>
          <w:tcPr>
            <w:tcW w:type="dxa" w:w="1030"/>
            <w:shd w:val="clear" w:color="auto" w:fill="F1F2F5"/>
          </w:tcPr>
          <w:p>
            <w:pPr>
              <w:pStyle w:val="Compact"/>
              <w:spacing w:after="0" w:before="0" w:line="240" w:lineRule="auto"/>
              <w:jc w:val="right"/>
            </w:pPr>
            <w:r>
              <w:rPr>
                <w:rFonts w:ascii="Arial" w:hAnsi="Arial"/>
                <w:sz w:val="15"/>
              </w:rPr>
              <w:t xml:space="preserve">12,512</w:t>
            </w:r>
          </w:p>
        </w:tc>
        <w:tc>
          <w:tcPr>
            <w:tcW w:type="dxa" w:w="1169"/>
            <w:shd w:val="clear" w:color="auto" w:fill="F1F2F5"/>
          </w:tcPr>
          <w:p>
            <w:pPr>
              <w:pStyle w:val="Compact"/>
              <w:spacing w:after="0" w:before="0" w:line="240" w:lineRule="auto"/>
              <w:jc w:val="right"/>
            </w:pPr>
            <w:r>
              <w:rPr>
                <w:rFonts w:ascii="Arial" w:hAnsi="Arial"/>
                <w:sz w:val="15"/>
              </w:rPr>
              <w:t xml:space="preserve">1.46x</w:t>
            </w:r>
          </w:p>
        </w:tc>
        <w:tc>
          <w:tcPr>
            <w:tcW w:type="dxa" w:w="1273"/>
            <w:shd w:val="clear" w:color="auto" w:fill="F1F2F5"/>
          </w:tcPr>
          <w:p>
            <w:pPr>
              <w:pStyle w:val="Compact"/>
              <w:spacing w:after="0" w:before="0" w:line="240" w:lineRule="auto"/>
              <w:jc w:val="right"/>
            </w:pPr>
            <w:r>
              <w:rPr>
                <w:rFonts w:ascii="Arial" w:hAnsi="Arial"/>
                <w:sz w:val="15"/>
              </w:rPr>
              <w:t xml:space="preserve">5.70x</w:t>
            </w:r>
          </w:p>
        </w:tc>
        <w:tc>
          <w:tcPr>
            <w:tcW w:type="dxa" w:w="1315"/>
            <w:shd w:val="clear" w:color="auto" w:fill="F1F2F5"/>
          </w:tcPr>
          <w:p>
            <w:pPr>
              <w:pStyle w:val="Compact"/>
              <w:spacing w:after="0" w:before="0" w:line="240" w:lineRule="auto"/>
              <w:jc w:val="right"/>
            </w:pPr>
            <w:r>
              <w:rPr>
                <w:rFonts w:ascii="Arial" w:hAnsi="Arial"/>
                <w:sz w:val="15"/>
              </w:rPr>
              <w:t xml:space="preserve">4.56x</w:t>
            </w:r>
          </w:p>
        </w:tc>
        <w:tc>
          <w:tcPr>
            <w:tcW w:type="dxa" w:w="1065"/>
            <w:shd w:val="clear" w:color="auto" w:fill="F1F2F5"/>
          </w:tcPr>
          <w:p>
            <w:pPr>
              <w:pStyle w:val="Compact"/>
              <w:spacing w:after="0" w:before="0" w:line="240" w:lineRule="auto"/>
              <w:jc w:val="right"/>
            </w:pPr>
            <w:r>
              <w:rPr>
                <w:rFonts w:ascii="Arial" w:hAnsi="Arial"/>
                <w:sz w:val="15"/>
              </w:rPr>
              <w:t xml:space="preserve">20.0x</w:t>
            </w:r>
          </w:p>
        </w:tc>
        <w:tc>
          <w:tcPr>
            <w:tcW w:type="dxa" w:w="784"/>
            <w:shd w:val="clear" w:color="auto" w:fill="F1F2F5"/>
          </w:tcPr>
          <w:p>
            <w:pPr>
              <w:pStyle w:val="Compact"/>
              <w:spacing w:after="0" w:before="0" w:line="240" w:lineRule="auto"/>
              <w:jc w:val="right"/>
            </w:pPr>
            <w:r>
              <w:rPr>
                <w:rFonts w:ascii="Arial" w:hAnsi="Arial"/>
                <w:sz w:val="15"/>
              </w:rPr>
              <w:t xml:space="preserve">23.0x</w:t>
            </w:r>
          </w:p>
        </w:tc>
        <w:tc>
          <w:tcPr>
            <w:tcW w:type="dxa" w:w="781"/>
            <w:shd w:val="clear" w:color="auto" w:fill="F1F2F5"/>
          </w:tcPr>
          <w:p>
            <w:pPr>
              <w:pStyle w:val="Compact"/>
              <w:spacing w:after="0" w:before="0" w:line="240" w:lineRule="auto"/>
              <w:jc w:val="right"/>
            </w:pPr>
            <w:r>
              <w:rPr>
                <w:rFonts w:ascii="Arial" w:hAnsi="Arial"/>
                <w:sz w:val="15"/>
              </w:rPr>
              <w:t xml:space="preserve">10.8x</w:t>
            </w:r>
          </w:p>
        </w:tc>
      </w:tr>
      <w:tr>
        <w:trPr>
          <w:cantSplit/>
        </w:trPr>
        <w:tc>
          <w:tcPr>
            <w:tcW w:type="dxa" w:w="1636"/>
          </w:tcPr>
          <w:p>
            <w:pPr>
              <w:pStyle w:val="Compact"/>
              <w:spacing w:after="0" w:before="0" w:line="240" w:lineRule="auto"/>
              <w:jc w:val="left"/>
            </w:pPr>
            <w:r>
              <w:rPr>
                <w:rFonts w:ascii="Arial" w:hAnsi="Arial"/>
                <w:sz w:val="15"/>
              </w:rPr>
              <w:t xml:space="preserve">KT Corp</w:t>
            </w:r>
          </w:p>
        </w:tc>
        <w:tc>
          <w:tcPr>
            <w:tcW w:type="dxa" w:w="923"/>
          </w:tcPr>
          <w:p>
            <w:pPr>
              <w:pStyle w:val="Compact"/>
              <w:spacing w:after="0" w:before="0" w:line="240" w:lineRule="auto"/>
              <w:jc w:val="left"/>
            </w:pPr>
            <w:r>
              <w:rPr>
                <w:rFonts w:ascii="Arial" w:hAnsi="Arial"/>
                <w:sz w:val="15"/>
              </w:rPr>
              <w:t xml:space="preserve">030200 KS</w:t>
            </w:r>
          </w:p>
        </w:tc>
        <w:tc>
          <w:tcPr>
            <w:tcW w:type="dxa" w:w="1030"/>
          </w:tcPr>
          <w:p>
            <w:pPr>
              <w:pStyle w:val="Compact"/>
              <w:spacing w:after="0" w:before="0" w:line="240" w:lineRule="auto"/>
              <w:jc w:val="right"/>
            </w:pPr>
            <w:r>
              <w:rPr>
                <w:rFonts w:ascii="Arial" w:hAnsi="Arial"/>
                <w:sz w:val="15"/>
              </w:rPr>
              <w:t xml:space="preserve">8,937</w:t>
            </w:r>
          </w:p>
        </w:tc>
        <w:tc>
          <w:tcPr>
            <w:tcW w:type="dxa" w:w="1169"/>
          </w:tcPr>
          <w:p>
            <w:pPr>
              <w:pStyle w:val="Compact"/>
              <w:spacing w:after="0" w:before="0" w:line="240" w:lineRule="auto"/>
              <w:jc w:val="right"/>
            </w:pPr>
            <w:r>
              <w:rPr>
                <w:rFonts w:ascii="Arial" w:hAnsi="Arial"/>
                <w:sz w:val="15"/>
              </w:rPr>
              <w:t xml:space="preserve">0.69x</w:t>
            </w:r>
          </w:p>
        </w:tc>
        <w:tc>
          <w:tcPr>
            <w:tcW w:type="dxa" w:w="1273"/>
          </w:tcPr>
          <w:p>
            <w:pPr>
              <w:pStyle w:val="Compact"/>
              <w:spacing w:after="0" w:before="0" w:line="240" w:lineRule="auto"/>
              <w:jc w:val="right"/>
            </w:pPr>
            <w:r>
              <w:rPr>
                <w:rFonts w:ascii="Arial" w:hAnsi="Arial"/>
                <w:sz w:val="15"/>
              </w:rPr>
              <w:t xml:space="preserve">3.23x</w:t>
            </w:r>
          </w:p>
        </w:tc>
        <w:tc>
          <w:tcPr>
            <w:tcW w:type="dxa" w:w="1315"/>
          </w:tcPr>
          <w:p>
            <w:pPr>
              <w:pStyle w:val="Compact"/>
              <w:spacing w:after="0" w:before="0" w:line="240" w:lineRule="auto"/>
              <w:jc w:val="right"/>
            </w:pPr>
            <w:r>
              <w:rPr>
                <w:rFonts w:ascii="Arial" w:hAnsi="Arial"/>
                <w:sz w:val="15"/>
              </w:rPr>
              <w:t xml:space="preserve">3.16x</w:t>
            </w:r>
          </w:p>
        </w:tc>
        <w:tc>
          <w:tcPr>
            <w:tcW w:type="dxa" w:w="1065"/>
          </w:tcPr>
          <w:p>
            <w:pPr>
              <w:pStyle w:val="Compact"/>
              <w:spacing w:after="0" w:before="0" w:line="240" w:lineRule="auto"/>
              <w:jc w:val="right"/>
            </w:pPr>
            <w:r>
              <w:rPr>
                <w:rFonts w:ascii="Arial" w:hAnsi="Arial"/>
                <w:sz w:val="15"/>
              </w:rPr>
              <w:t xml:space="preserve">9.6x</w:t>
            </w:r>
          </w:p>
        </w:tc>
        <w:tc>
          <w:tcPr>
            <w:tcW w:type="dxa" w:w="784"/>
          </w:tcPr>
          <w:p>
            <w:pPr>
              <w:pStyle w:val="Compact"/>
              <w:spacing w:after="0" w:before="0" w:line="240" w:lineRule="auto"/>
              <w:jc w:val="right"/>
            </w:pPr>
            <w:r>
              <w:rPr>
                <w:rFonts w:ascii="Arial" w:hAnsi="Arial"/>
                <w:sz w:val="15"/>
              </w:rPr>
              <w:t xml:space="preserve">9.4x</w:t>
            </w:r>
          </w:p>
        </w:tc>
        <w:tc>
          <w:tcPr>
            <w:tcW w:type="dxa" w:w="781"/>
          </w:tcPr>
          <w:p>
            <w:pPr>
              <w:pStyle w:val="Compact"/>
              <w:spacing w:after="0" w:before="0" w:line="240" w:lineRule="auto"/>
              <w:jc w:val="right"/>
            </w:pPr>
            <w:r>
              <w:rPr>
                <w:rFonts w:ascii="Arial" w:hAnsi="Arial"/>
                <w:sz w:val="15"/>
              </w:rPr>
              <w:t xml:space="preserve">6.8x</w:t>
            </w:r>
          </w:p>
        </w:tc>
      </w:tr>
      <w:tr>
        <w:trPr>
          <w:cantSplit/>
        </w:trPr>
        <w:tc>
          <w:tcPr>
            <w:tcW w:type="dxa" w:w="1636"/>
            <w:shd w:val="clear" w:color="auto" w:fill="F1F2F5"/>
          </w:tcPr>
          <w:p>
            <w:pPr>
              <w:pStyle w:val="Compact"/>
              <w:spacing w:after="0" w:before="0" w:line="240" w:lineRule="auto"/>
              <w:jc w:val="left"/>
            </w:pPr>
            <w:r>
              <w:rPr>
                <w:rFonts w:ascii="Arial" w:hAnsi="Arial"/>
                <w:sz w:val="15"/>
              </w:rPr>
              <w:t xml:space="preserve">KT Skylife</w:t>
            </w:r>
          </w:p>
        </w:tc>
        <w:tc>
          <w:tcPr>
            <w:tcW w:type="dxa" w:w="923"/>
            <w:shd w:val="clear" w:color="auto" w:fill="F1F2F5"/>
          </w:tcPr>
          <w:p>
            <w:pPr>
              <w:pStyle w:val="Compact"/>
              <w:spacing w:after="0" w:before="0" w:line="240" w:lineRule="auto"/>
              <w:jc w:val="left"/>
            </w:pPr>
            <w:r>
              <w:rPr>
                <w:rFonts w:ascii="Arial" w:hAnsi="Arial"/>
                <w:sz w:val="15"/>
              </w:rPr>
              <w:t xml:space="preserve">053210 KS</w:t>
            </w:r>
          </w:p>
        </w:tc>
        <w:tc>
          <w:tcPr>
            <w:tcW w:type="dxa" w:w="1030"/>
            <w:shd w:val="clear" w:color="auto" w:fill="F1F2F5"/>
          </w:tcPr>
          <w:p>
            <w:pPr>
              <w:pStyle w:val="Compact"/>
              <w:spacing w:after="0" w:before="0" w:line="240" w:lineRule="auto"/>
              <w:jc w:val="right"/>
            </w:pPr>
            <w:r>
              <w:rPr>
                <w:rFonts w:ascii="Arial" w:hAnsi="Arial"/>
                <w:sz w:val="15"/>
              </w:rPr>
              <w:t xml:space="preserve">142</w:t>
            </w:r>
          </w:p>
        </w:tc>
        <w:tc>
          <w:tcPr>
            <w:tcW w:type="dxa" w:w="1169"/>
            <w:shd w:val="clear" w:color="auto" w:fill="F1F2F5"/>
          </w:tcPr>
          <w:p>
            <w:pPr>
              <w:pStyle w:val="Compact"/>
              <w:spacing w:after="0" w:before="0" w:line="240" w:lineRule="auto"/>
              <w:jc w:val="right"/>
            </w:pPr>
            <w:r>
              <w:rPr>
                <w:rFonts w:ascii="Arial" w:hAnsi="Arial"/>
                <w:sz w:val="15"/>
              </w:rPr>
              <w:t xml:space="preserve">0.24x</w:t>
            </w:r>
          </w:p>
        </w:tc>
        <w:tc>
          <w:tcPr>
            <w:tcW w:type="dxa" w:w="1273"/>
            <w:shd w:val="clear" w:color="auto" w:fill="F1F2F5"/>
          </w:tcPr>
          <w:p>
            <w:pPr>
              <w:pStyle w:val="Compact"/>
              <w:spacing w:after="0" w:before="0" w:line="240" w:lineRule="auto"/>
              <w:jc w:val="right"/>
            </w:pPr>
            <w:r>
              <w:rPr>
                <w:rFonts w:ascii="Arial" w:hAnsi="Arial"/>
                <w:sz w:val="15"/>
              </w:rPr>
              <w:t xml:space="preserve">1.72x</w:t>
            </w:r>
          </w:p>
        </w:tc>
        <w:tc>
          <w:tcPr>
            <w:tcW w:type="dxa" w:w="1315"/>
            <w:shd w:val="clear" w:color="auto" w:fill="F1F2F5"/>
          </w:tcPr>
          <w:p>
            <w:pPr>
              <w:pStyle w:val="Compact"/>
              <w:spacing w:after="0" w:before="0" w:line="240" w:lineRule="auto"/>
              <w:jc w:val="right"/>
            </w:pPr>
            <w:r>
              <w:rPr>
                <w:rFonts w:ascii="Arial" w:hAnsi="Arial"/>
                <w:sz w:val="15"/>
              </w:rPr>
              <w:t xml:space="preserve">1.45x</w:t>
            </w:r>
          </w:p>
        </w:tc>
        <w:tc>
          <w:tcPr>
            <w:tcW w:type="dxa" w:w="1065"/>
            <w:shd w:val="clear" w:color="auto" w:fill="F1F2F5"/>
          </w:tcPr>
          <w:p>
            <w:pPr>
              <w:pStyle w:val="Compact"/>
              <w:spacing w:after="0" w:before="0" w:line="240" w:lineRule="auto"/>
              <w:jc w:val="right"/>
            </w:pPr>
            <w:r>
              <w:rPr>
                <w:rFonts w:ascii="Arial" w:hAnsi="Arial"/>
                <w:sz w:val="15"/>
              </w:rPr>
              <w:t xml:space="preserve">23.5x</w:t>
            </w:r>
          </w:p>
        </w:tc>
        <w:tc>
          <w:tcPr>
            <w:tcW w:type="dxa" w:w="784"/>
            <w:shd w:val="clear" w:color="auto" w:fill="F1F2F5"/>
          </w:tcPr>
          <w:p>
            <w:pPr>
              <w:pStyle w:val="Compact"/>
              <w:spacing w:after="0" w:before="0" w:line="240" w:lineRule="auto"/>
              <w:jc w:val="right"/>
            </w:pPr>
            <w:r>
              <w:rPr>
                <w:rFonts w:ascii="Arial" w:hAnsi="Arial"/>
                <w:sz w:val="15"/>
              </w:rPr>
              <w:t xml:space="preserve">n/m</w:t>
            </w:r>
          </w:p>
        </w:tc>
        <w:tc>
          <w:tcPr>
            <w:tcW w:type="dxa" w:w="781"/>
            <w:shd w:val="clear" w:color="auto" w:fill="F1F2F5"/>
          </w:tcPr>
          <w:p>
            <w:pPr>
              <w:pStyle w:val="Compact"/>
              <w:spacing w:after="0" w:before="0" w:line="240" w:lineRule="auto"/>
              <w:jc w:val="right"/>
            </w:pPr>
            <w:r>
              <w:rPr>
                <w:rFonts w:ascii="Arial" w:hAnsi="Arial"/>
                <w:sz w:val="15"/>
              </w:rPr>
              <w:t xml:space="preserve">8.1x</w:t>
            </w:r>
          </w:p>
        </w:tc>
      </w:tr>
      <w:tr>
        <w:trPr>
          <w:cantSplit/>
        </w:trPr>
        <w:tc>
          <w:tcPr>
            <w:tcW w:type="dxa" w:w="1636"/>
          </w:tcPr>
          <w:p>
            <w:pPr>
              <w:pStyle w:val="Compact"/>
              <w:spacing w:after="0" w:before="0" w:line="240" w:lineRule="auto"/>
              <w:jc w:val="left"/>
            </w:pPr>
            <w:r>
              <w:rPr>
                <w:rFonts w:ascii="Arial" w:hAnsi="Arial"/>
                <w:sz w:val="15"/>
              </w:rPr>
              <w:t xml:space="preserve">LG HelloVision</w:t>
            </w:r>
          </w:p>
        </w:tc>
        <w:tc>
          <w:tcPr>
            <w:tcW w:type="dxa" w:w="923"/>
          </w:tcPr>
          <w:p>
            <w:pPr>
              <w:pStyle w:val="Compact"/>
              <w:spacing w:after="0" w:before="0" w:line="240" w:lineRule="auto"/>
              <w:jc w:val="left"/>
            </w:pPr>
            <w:r>
              <w:rPr>
                <w:rFonts w:ascii="Arial" w:hAnsi="Arial"/>
                <w:sz w:val="15"/>
              </w:rPr>
              <w:t xml:space="preserve">037560 KS</w:t>
            </w:r>
          </w:p>
        </w:tc>
        <w:tc>
          <w:tcPr>
            <w:tcW w:type="dxa" w:w="1030"/>
          </w:tcPr>
          <w:p>
            <w:pPr>
              <w:pStyle w:val="Compact"/>
              <w:spacing w:after="0" w:before="0" w:line="240" w:lineRule="auto"/>
              <w:jc w:val="right"/>
            </w:pPr>
            <w:r>
              <w:rPr>
                <w:rFonts w:ascii="Arial" w:hAnsi="Arial"/>
                <w:sz w:val="15"/>
              </w:rPr>
              <w:t xml:space="preserve">88</w:t>
            </w:r>
          </w:p>
        </w:tc>
        <w:tc>
          <w:tcPr>
            <w:tcW w:type="dxa" w:w="1169"/>
          </w:tcPr>
          <w:p>
            <w:pPr>
              <w:pStyle w:val="Compact"/>
              <w:spacing w:after="0" w:before="0" w:line="240" w:lineRule="auto"/>
              <w:jc w:val="right"/>
            </w:pPr>
            <w:r>
              <w:rPr>
                <w:rFonts w:ascii="Arial" w:hAnsi="Arial"/>
                <w:sz w:val="15"/>
              </w:rPr>
              <w:t xml:space="preserve">0.47x</w:t>
            </w:r>
          </w:p>
        </w:tc>
        <w:tc>
          <w:tcPr>
            <w:tcW w:type="dxa" w:w="1273"/>
          </w:tcPr>
          <w:p>
            <w:pPr>
              <w:pStyle w:val="Compact"/>
              <w:spacing w:after="0" w:before="0" w:line="240" w:lineRule="auto"/>
              <w:jc w:val="right"/>
            </w:pPr>
            <w:r>
              <w:rPr>
                <w:rFonts w:ascii="Arial" w:hAnsi="Arial"/>
                <w:sz w:val="15"/>
              </w:rPr>
              <w:t xml:space="preserve">4.61x</w:t>
            </w:r>
          </w:p>
        </w:tc>
        <w:tc>
          <w:tcPr>
            <w:tcW w:type="dxa" w:w="1315"/>
          </w:tcPr>
          <w:p>
            <w:pPr>
              <w:pStyle w:val="Compact"/>
              <w:spacing w:after="0" w:before="0" w:line="240" w:lineRule="auto"/>
              <w:jc w:val="right"/>
            </w:pPr>
            <w:r>
              <w:rPr>
                <w:rFonts w:ascii="Arial" w:hAnsi="Arial"/>
                <w:sz w:val="15"/>
              </w:rPr>
              <w:t xml:space="preserve">3.69x</w:t>
            </w:r>
          </w:p>
        </w:tc>
        <w:tc>
          <w:tcPr>
            <w:tcW w:type="dxa" w:w="1065"/>
          </w:tcPr>
          <w:p>
            <w:pPr>
              <w:pStyle w:val="Compact"/>
              <w:spacing w:after="0" w:before="0" w:line="240" w:lineRule="auto"/>
              <w:jc w:val="right"/>
            </w:pPr>
            <w:r>
              <w:rPr>
                <w:rFonts w:ascii="Arial" w:hAnsi="Arial"/>
                <w:sz w:val="15"/>
              </w:rPr>
              <w:t xml:space="preserve">n/m</w:t>
            </w:r>
          </w:p>
        </w:tc>
        <w:tc>
          <w:tcPr>
            <w:tcW w:type="dxa" w:w="784"/>
          </w:tcPr>
          <w:p>
            <w:pPr>
              <w:pStyle w:val="Compact"/>
              <w:spacing w:after="0" w:before="0" w:line="240" w:lineRule="auto"/>
              <w:jc w:val="right"/>
            </w:pPr>
            <w:r>
              <w:rPr>
                <w:rFonts w:ascii="Arial" w:hAnsi="Arial"/>
                <w:sz w:val="15"/>
              </w:rPr>
              <w:t xml:space="preserve">n/m</w:t>
            </w:r>
          </w:p>
        </w:tc>
        <w:tc>
          <w:tcPr>
            <w:tcW w:type="dxa" w:w="781"/>
          </w:tcPr>
          <w:p>
            <w:pPr>
              <w:pStyle w:val="Compact"/>
              <w:spacing w:after="0" w:before="0" w:line="240" w:lineRule="auto"/>
              <w:jc w:val="right"/>
            </w:pPr>
            <w:r>
              <w:rPr>
                <w:rFonts w:ascii="Arial" w:hAnsi="Arial"/>
                <w:sz w:val="15"/>
              </w:rPr>
              <w:t xml:space="preserve">4.2x</w:t>
            </w:r>
          </w:p>
        </w:tc>
      </w:tr>
      <w:tr>
        <w:trPr>
          <w:cantSplit/>
        </w:trPr>
        <w:tc>
          <w:tcPr>
            <w:tcW w:type="dxa" w:w="1636"/>
            <w:shd w:val="clear" w:color="auto" w:fill="F1F2F5"/>
          </w:tcPr>
          <w:p>
            <w:pPr>
              <w:pStyle w:val="Compact"/>
              <w:spacing w:after="0" w:before="0" w:line="240" w:lineRule="auto"/>
              <w:jc w:val="left"/>
            </w:pPr>
            <w:r>
              <w:rPr>
                <w:rFonts w:ascii="Arial" w:hAnsi="Arial"/>
                <w:sz w:val="15"/>
              </w:rPr>
              <w:t xml:space="preserve">NTT</w:t>
            </w:r>
          </w:p>
        </w:tc>
        <w:tc>
          <w:tcPr>
            <w:tcW w:type="dxa" w:w="923"/>
            <w:shd w:val="clear" w:color="auto" w:fill="F1F2F5"/>
          </w:tcPr>
          <w:p>
            <w:pPr>
              <w:pStyle w:val="Compact"/>
              <w:spacing w:after="0" w:before="0" w:line="240" w:lineRule="auto"/>
              <w:jc w:val="left"/>
            </w:pPr>
            <w:r>
              <w:rPr>
                <w:rFonts w:ascii="Arial" w:hAnsi="Arial"/>
                <w:sz w:val="15"/>
              </w:rPr>
              <w:t xml:space="preserve">9432 JP</w:t>
            </w:r>
          </w:p>
        </w:tc>
        <w:tc>
          <w:tcPr>
            <w:tcW w:type="dxa" w:w="1030"/>
            <w:shd w:val="clear" w:color="auto" w:fill="F1F2F5"/>
          </w:tcPr>
          <w:p>
            <w:pPr>
              <w:pStyle w:val="Compact"/>
              <w:spacing w:after="0" w:before="0" w:line="240" w:lineRule="auto"/>
              <w:jc w:val="right"/>
            </w:pPr>
            <w:r>
              <w:rPr>
                <w:rFonts w:ascii="Arial" w:hAnsi="Arial"/>
                <w:sz w:val="15"/>
              </w:rPr>
              <w:t xml:space="preserve">89,928</w:t>
            </w:r>
          </w:p>
        </w:tc>
        <w:tc>
          <w:tcPr>
            <w:tcW w:type="dxa" w:w="1169"/>
            <w:shd w:val="clear" w:color="auto" w:fill="F1F2F5"/>
          </w:tcPr>
          <w:p>
            <w:pPr>
              <w:pStyle w:val="Compact"/>
              <w:spacing w:after="0" w:before="0" w:line="240" w:lineRule="auto"/>
              <w:jc w:val="right"/>
            </w:pPr>
            <w:r>
              <w:rPr>
                <w:rFonts w:ascii="Arial" w:hAnsi="Arial"/>
                <w:sz w:val="15"/>
              </w:rPr>
              <w:t xml:space="preserve">2.01x</w:t>
            </w:r>
          </w:p>
        </w:tc>
        <w:tc>
          <w:tcPr>
            <w:tcW w:type="dxa" w:w="1273"/>
            <w:shd w:val="clear" w:color="auto" w:fill="F1F2F5"/>
          </w:tcPr>
          <w:p>
            <w:pPr>
              <w:pStyle w:val="Compact"/>
              <w:spacing w:after="0" w:before="0" w:line="240" w:lineRule="auto"/>
              <w:jc w:val="right"/>
            </w:pPr>
            <w:r>
              <w:rPr>
                <w:rFonts w:ascii="Arial" w:hAnsi="Arial"/>
                <w:sz w:val="15"/>
              </w:rPr>
              <w:t xml:space="preserve">7.85x</w:t>
            </w:r>
          </w:p>
        </w:tc>
        <w:tc>
          <w:tcPr>
            <w:tcW w:type="dxa" w:w="1315"/>
            <w:shd w:val="clear" w:color="auto" w:fill="F1F2F5"/>
          </w:tcPr>
          <w:p>
            <w:pPr>
              <w:pStyle w:val="Compact"/>
              <w:spacing w:after="0" w:before="0" w:line="240" w:lineRule="auto"/>
              <w:jc w:val="right"/>
            </w:pPr>
            <w:r>
              <w:rPr>
                <w:rFonts w:ascii="Arial" w:hAnsi="Arial"/>
                <w:sz w:val="15"/>
              </w:rPr>
              <w:t xml:space="preserve">8.35x</w:t>
            </w:r>
          </w:p>
        </w:tc>
        <w:tc>
          <w:tcPr>
            <w:tcW w:type="dxa" w:w="1065"/>
            <w:shd w:val="clear" w:color="auto" w:fill="F1F2F5"/>
          </w:tcPr>
          <w:p>
            <w:pPr>
              <w:pStyle w:val="Compact"/>
              <w:spacing w:after="0" w:before="0" w:line="240" w:lineRule="auto"/>
              <w:jc w:val="right"/>
            </w:pPr>
            <w:r>
              <w:rPr>
                <w:rFonts w:ascii="Arial" w:hAnsi="Arial"/>
                <w:sz w:val="15"/>
              </w:rPr>
              <w:t xml:space="preserve">15.0x</w:t>
            </w:r>
          </w:p>
        </w:tc>
        <w:tc>
          <w:tcPr>
            <w:tcW w:type="dxa" w:w="784"/>
            <w:shd w:val="clear" w:color="auto" w:fill="F1F2F5"/>
          </w:tcPr>
          <w:p>
            <w:pPr>
              <w:pStyle w:val="Compact"/>
              <w:spacing w:after="0" w:before="0" w:line="240" w:lineRule="auto"/>
              <w:jc w:val="right"/>
            </w:pPr>
            <w:r>
              <w:rPr>
                <w:rFonts w:ascii="Arial" w:hAnsi="Arial"/>
                <w:sz w:val="15"/>
              </w:rPr>
              <w:t xml:space="preserve">13.6x</w:t>
            </w:r>
          </w:p>
        </w:tc>
        <w:tc>
          <w:tcPr>
            <w:tcW w:type="dxa" w:w="781"/>
            <w:shd w:val="clear" w:color="auto" w:fill="F1F2F5"/>
          </w:tcPr>
          <w:p>
            <w:pPr>
              <w:pStyle w:val="Compact"/>
              <w:spacing w:after="0" w:before="0" w:line="240" w:lineRule="auto"/>
              <w:jc w:val="right"/>
            </w:pPr>
            <w:r>
              <w:rPr>
                <w:rFonts w:ascii="Arial" w:hAnsi="Arial"/>
                <w:sz w:val="15"/>
              </w:rPr>
              <w:t xml:space="preserve">13.6x</w:t>
            </w:r>
          </w:p>
        </w:tc>
      </w:tr>
      <w:tr>
        <w:trPr>
          <w:cantSplit/>
        </w:trPr>
        <w:tc>
          <w:tcPr>
            <w:tcW w:type="dxa" w:w="1636"/>
          </w:tcPr>
          <w:p>
            <w:pPr>
              <w:pStyle w:val="Compact"/>
              <w:spacing w:after="0" w:before="0" w:line="240" w:lineRule="auto"/>
              <w:jc w:val="left"/>
            </w:pPr>
            <w:r>
              <w:rPr>
                <w:rFonts w:ascii="Arial" w:hAnsi="Arial"/>
                <w:sz w:val="15"/>
              </w:rPr>
              <w:t xml:space="preserve">KDDI</w:t>
            </w:r>
          </w:p>
        </w:tc>
        <w:tc>
          <w:tcPr>
            <w:tcW w:type="dxa" w:w="923"/>
          </w:tcPr>
          <w:p>
            <w:pPr>
              <w:pStyle w:val="Compact"/>
              <w:spacing w:after="0" w:before="0" w:line="240" w:lineRule="auto"/>
              <w:jc w:val="left"/>
            </w:pPr>
            <w:r>
              <w:rPr>
                <w:rFonts w:ascii="Arial" w:hAnsi="Arial"/>
                <w:sz w:val="15"/>
              </w:rPr>
              <w:t xml:space="preserve">9433 JP</w:t>
            </w:r>
          </w:p>
        </w:tc>
        <w:tc>
          <w:tcPr>
            <w:tcW w:type="dxa" w:w="1030"/>
          </w:tcPr>
          <w:p>
            <w:pPr>
              <w:pStyle w:val="Compact"/>
              <w:spacing w:after="0" w:before="0" w:line="240" w:lineRule="auto"/>
              <w:jc w:val="right"/>
            </w:pPr>
            <w:r>
              <w:rPr>
                <w:rFonts w:ascii="Arial" w:hAnsi="Arial"/>
                <w:sz w:val="15"/>
              </w:rPr>
              <w:t xml:space="preserve">70,123</w:t>
            </w:r>
          </w:p>
        </w:tc>
        <w:tc>
          <w:tcPr>
            <w:tcW w:type="dxa" w:w="1169"/>
          </w:tcPr>
          <w:p>
            <w:pPr>
              <w:pStyle w:val="Compact"/>
              <w:spacing w:after="0" w:before="0" w:line="240" w:lineRule="auto"/>
              <w:jc w:val="right"/>
            </w:pPr>
            <w:r>
              <w:rPr>
                <w:rFonts w:ascii="Arial" w:hAnsi="Arial"/>
                <w:sz w:val="15"/>
              </w:rPr>
              <w:t xml:space="preserve">2.61x</w:t>
            </w:r>
          </w:p>
        </w:tc>
        <w:tc>
          <w:tcPr>
            <w:tcW w:type="dxa" w:w="1273"/>
          </w:tcPr>
          <w:p>
            <w:pPr>
              <w:pStyle w:val="Compact"/>
              <w:spacing w:after="0" w:before="0" w:line="240" w:lineRule="auto"/>
              <w:jc w:val="right"/>
            </w:pPr>
            <w:r>
              <w:rPr>
                <w:rFonts w:ascii="Arial" w:hAnsi="Arial"/>
                <w:sz w:val="15"/>
              </w:rPr>
              <w:t xml:space="preserve">8.71x</w:t>
            </w:r>
          </w:p>
        </w:tc>
        <w:tc>
          <w:tcPr>
            <w:tcW w:type="dxa" w:w="1315"/>
          </w:tcPr>
          <w:p>
            <w:pPr>
              <w:pStyle w:val="Compact"/>
              <w:spacing w:after="0" w:before="0" w:line="240" w:lineRule="auto"/>
              <w:jc w:val="right"/>
            </w:pPr>
            <w:r>
              <w:rPr>
                <w:rFonts w:ascii="Arial" w:hAnsi="Arial"/>
                <w:sz w:val="15"/>
              </w:rPr>
              <w:t xml:space="preserve">8.11x</w:t>
            </w:r>
          </w:p>
        </w:tc>
        <w:tc>
          <w:tcPr>
            <w:tcW w:type="dxa" w:w="1065"/>
          </w:tcPr>
          <w:p>
            <w:pPr>
              <w:pStyle w:val="Compact"/>
              <w:spacing w:after="0" w:before="0" w:line="240" w:lineRule="auto"/>
              <w:jc w:val="right"/>
            </w:pPr>
            <w:r>
              <w:rPr>
                <w:rFonts w:ascii="Arial" w:hAnsi="Arial"/>
                <w:sz w:val="15"/>
              </w:rPr>
              <w:t xml:space="preserve">13.9x</w:t>
            </w:r>
          </w:p>
        </w:tc>
        <w:tc>
          <w:tcPr>
            <w:tcW w:type="dxa" w:w="784"/>
          </w:tcPr>
          <w:p>
            <w:pPr>
              <w:pStyle w:val="Compact"/>
              <w:spacing w:after="0" w:before="0" w:line="240" w:lineRule="auto"/>
              <w:jc w:val="right"/>
            </w:pPr>
            <w:r>
              <w:rPr>
                <w:rFonts w:ascii="Arial" w:hAnsi="Arial"/>
                <w:sz w:val="15"/>
              </w:rPr>
              <w:t xml:space="preserve">14.9x</w:t>
            </w:r>
          </w:p>
        </w:tc>
        <w:tc>
          <w:tcPr>
            <w:tcW w:type="dxa" w:w="781"/>
          </w:tcPr>
          <w:p>
            <w:pPr>
              <w:pStyle w:val="Compact"/>
              <w:spacing w:after="0" w:before="0" w:line="240" w:lineRule="auto"/>
              <w:jc w:val="right"/>
            </w:pPr>
            <w:r>
              <w:rPr>
                <w:rFonts w:ascii="Arial" w:hAnsi="Arial"/>
                <w:sz w:val="15"/>
              </w:rPr>
              <w:t xml:space="preserve">14.5x</w:t>
            </w:r>
          </w:p>
        </w:tc>
      </w:tr>
      <w:tr>
        <w:trPr>
          <w:cantSplit/>
        </w:trPr>
        <w:tc>
          <w:tcPr>
            <w:tcW w:type="dxa" w:w="1636"/>
            <w:shd w:val="clear" w:color="auto" w:fill="F1F2F5"/>
          </w:tcPr>
          <w:p>
            <w:pPr>
              <w:pStyle w:val="Compact"/>
              <w:spacing w:after="0" w:before="0" w:line="240" w:lineRule="auto"/>
              <w:jc w:val="left"/>
            </w:pPr>
            <w:r>
              <w:rPr>
                <w:rFonts w:ascii="Arial" w:hAnsi="Arial"/>
                <w:sz w:val="15"/>
              </w:rPr>
              <w:t xml:space="preserve">SoftBank Corp</w:t>
            </w:r>
          </w:p>
        </w:tc>
        <w:tc>
          <w:tcPr>
            <w:tcW w:type="dxa" w:w="923"/>
            <w:shd w:val="clear" w:color="auto" w:fill="F1F2F5"/>
          </w:tcPr>
          <w:p>
            <w:pPr>
              <w:pStyle w:val="Compact"/>
              <w:spacing w:after="0" w:before="0" w:line="240" w:lineRule="auto"/>
              <w:jc w:val="left"/>
            </w:pPr>
            <w:r>
              <w:rPr>
                <w:rFonts w:ascii="Arial" w:hAnsi="Arial"/>
                <w:sz w:val="15"/>
              </w:rPr>
              <w:t xml:space="preserve">9434 JP</w:t>
            </w:r>
          </w:p>
        </w:tc>
        <w:tc>
          <w:tcPr>
            <w:tcW w:type="dxa" w:w="1030"/>
            <w:shd w:val="clear" w:color="auto" w:fill="F1F2F5"/>
          </w:tcPr>
          <w:p>
            <w:pPr>
              <w:pStyle w:val="Compact"/>
              <w:spacing w:after="0" w:before="0" w:line="240" w:lineRule="auto"/>
              <w:jc w:val="right"/>
            </w:pPr>
            <w:r>
              <w:rPr>
                <w:rFonts w:ascii="Arial" w:hAnsi="Arial"/>
                <w:sz w:val="15"/>
              </w:rPr>
              <w:t xml:space="preserve">74,240</w:t>
            </w:r>
          </w:p>
        </w:tc>
        <w:tc>
          <w:tcPr>
            <w:tcW w:type="dxa" w:w="1169"/>
            <w:shd w:val="clear" w:color="auto" w:fill="F1F2F5"/>
          </w:tcPr>
          <w:p>
            <w:pPr>
              <w:pStyle w:val="Compact"/>
              <w:spacing w:after="0" w:before="0" w:line="240" w:lineRule="auto"/>
              <w:jc w:val="right"/>
            </w:pPr>
            <w:r>
              <w:rPr>
                <w:rFonts w:ascii="Arial" w:hAnsi="Arial"/>
                <w:sz w:val="15"/>
              </w:rPr>
              <w:t xml:space="preserve">2.67x</w:t>
            </w:r>
          </w:p>
        </w:tc>
        <w:tc>
          <w:tcPr>
            <w:tcW w:type="dxa" w:w="1273"/>
            <w:shd w:val="clear" w:color="auto" w:fill="F1F2F5"/>
          </w:tcPr>
          <w:p>
            <w:pPr>
              <w:pStyle w:val="Compact"/>
              <w:spacing w:after="0" w:before="0" w:line="240" w:lineRule="auto"/>
              <w:jc w:val="right"/>
            </w:pPr>
            <w:r>
              <w:rPr>
                <w:rFonts w:ascii="Arial" w:hAnsi="Arial"/>
                <w:sz w:val="15"/>
              </w:rPr>
              <w:t xml:space="preserve">10.64x</w:t>
            </w:r>
          </w:p>
        </w:tc>
        <w:tc>
          <w:tcPr>
            <w:tcW w:type="dxa" w:w="1315"/>
            <w:shd w:val="clear" w:color="auto" w:fill="F1F2F5"/>
          </w:tcPr>
          <w:p>
            <w:pPr>
              <w:pStyle w:val="Compact"/>
              <w:spacing w:after="0" w:before="0" w:line="240" w:lineRule="auto"/>
              <w:jc w:val="right"/>
            </w:pPr>
            <w:r>
              <w:rPr>
                <w:rFonts w:ascii="Arial" w:hAnsi="Arial"/>
                <w:sz w:val="15"/>
              </w:rPr>
              <w:t xml:space="preserve">9.04x</w:t>
            </w:r>
          </w:p>
        </w:tc>
        <w:tc>
          <w:tcPr>
            <w:tcW w:type="dxa" w:w="1065"/>
            <w:shd w:val="clear" w:color="auto" w:fill="F1F2F5"/>
          </w:tcPr>
          <w:p>
            <w:pPr>
              <w:pStyle w:val="Compact"/>
              <w:spacing w:after="0" w:before="0" w:line="240" w:lineRule="auto"/>
              <w:jc w:val="right"/>
            </w:pPr>
            <w:r>
              <w:rPr>
                <w:rFonts w:ascii="Arial" w:hAnsi="Arial"/>
                <w:sz w:val="15"/>
              </w:rPr>
              <w:t xml:space="preserve">19.1x</w:t>
            </w:r>
          </w:p>
        </w:tc>
        <w:tc>
          <w:tcPr>
            <w:tcW w:type="dxa" w:w="784"/>
            <w:shd w:val="clear" w:color="auto" w:fill="F1F2F5"/>
          </w:tcPr>
          <w:p>
            <w:pPr>
              <w:pStyle w:val="Compact"/>
              <w:spacing w:after="0" w:before="0" w:line="240" w:lineRule="auto"/>
              <w:jc w:val="right"/>
            </w:pPr>
            <w:r>
              <w:rPr>
                <w:rFonts w:ascii="Arial" w:hAnsi="Arial"/>
                <w:sz w:val="15"/>
              </w:rPr>
              <w:t xml:space="preserve">21.5x</w:t>
            </w:r>
          </w:p>
        </w:tc>
        <w:tc>
          <w:tcPr>
            <w:tcW w:type="dxa" w:w="781"/>
            <w:shd w:val="clear" w:color="auto" w:fill="F1F2F5"/>
          </w:tcPr>
          <w:p>
            <w:pPr>
              <w:pStyle w:val="Compact"/>
              <w:spacing w:after="0" w:before="0" w:line="240" w:lineRule="auto"/>
              <w:jc w:val="right"/>
            </w:pPr>
            <w:r>
              <w:rPr>
                <w:rFonts w:ascii="Arial" w:hAnsi="Arial"/>
                <w:sz w:val="15"/>
              </w:rPr>
              <w:t xml:space="preserve">n/a</w:t>
            </w:r>
          </w:p>
        </w:tc>
      </w:tr>
      <w:tr>
        <w:trPr>
          <w:cantSplit/>
        </w:trPr>
        <w:tc>
          <w:tcPr>
            <w:tcW w:type="dxa" w:w="1636"/>
          </w:tcPr>
          <w:p>
            <w:pPr>
              <w:pStyle w:val="Compact"/>
              <w:spacing w:after="0" w:before="0" w:line="240" w:lineRule="auto"/>
              <w:jc w:val="left"/>
            </w:pPr>
            <w:r>
              <w:rPr>
                <w:rFonts w:ascii="Arial" w:hAnsi="Arial"/>
                <w:sz w:val="15"/>
              </w:rPr>
              <w:t xml:space="preserve">Chunghwa Telecom</w:t>
            </w:r>
          </w:p>
        </w:tc>
        <w:tc>
          <w:tcPr>
            <w:tcW w:type="dxa" w:w="923"/>
          </w:tcPr>
          <w:p>
            <w:pPr>
              <w:pStyle w:val="Compact"/>
              <w:spacing w:after="0" w:before="0" w:line="240" w:lineRule="auto"/>
              <w:jc w:val="left"/>
            </w:pPr>
            <w:r>
              <w:rPr>
                <w:rFonts w:ascii="Arial" w:hAnsi="Arial"/>
                <w:sz w:val="15"/>
              </w:rPr>
              <w:t xml:space="preserve">2412 TT</w:t>
            </w:r>
          </w:p>
        </w:tc>
        <w:tc>
          <w:tcPr>
            <w:tcW w:type="dxa" w:w="1030"/>
          </w:tcPr>
          <w:p>
            <w:pPr>
              <w:pStyle w:val="Compact"/>
              <w:spacing w:after="0" w:before="0" w:line="240" w:lineRule="auto"/>
              <w:jc w:val="right"/>
            </w:pPr>
            <w:r>
              <w:rPr>
                <w:rFonts w:ascii="Arial" w:hAnsi="Arial"/>
                <w:sz w:val="15"/>
              </w:rPr>
              <w:t xml:space="preserve">36,555</w:t>
            </w:r>
          </w:p>
        </w:tc>
        <w:tc>
          <w:tcPr>
            <w:tcW w:type="dxa" w:w="1169"/>
          </w:tcPr>
          <w:p>
            <w:pPr>
              <w:pStyle w:val="Compact"/>
              <w:spacing w:after="0" w:before="0" w:line="240" w:lineRule="auto"/>
              <w:jc w:val="right"/>
            </w:pPr>
            <w:r>
              <w:rPr>
                <w:rFonts w:ascii="Arial" w:hAnsi="Arial"/>
                <w:sz w:val="15"/>
              </w:rPr>
              <w:t xml:space="preserve">4.75x</w:t>
            </w:r>
          </w:p>
        </w:tc>
        <w:tc>
          <w:tcPr>
            <w:tcW w:type="dxa" w:w="1273"/>
          </w:tcPr>
          <w:p>
            <w:pPr>
              <w:pStyle w:val="Compact"/>
              <w:spacing w:after="0" w:before="0" w:line="240" w:lineRule="auto"/>
              <w:jc w:val="right"/>
            </w:pPr>
            <w:r>
              <w:rPr>
                <w:rFonts w:ascii="Arial" w:hAnsi="Arial"/>
                <w:sz w:val="15"/>
              </w:rPr>
              <w:t xml:space="preserve">12.87x</w:t>
            </w:r>
          </w:p>
        </w:tc>
        <w:tc>
          <w:tcPr>
            <w:tcW w:type="dxa" w:w="1315"/>
          </w:tcPr>
          <w:p>
            <w:pPr>
              <w:pStyle w:val="Compact"/>
              <w:spacing w:after="0" w:before="0" w:line="240" w:lineRule="auto"/>
              <w:jc w:val="right"/>
            </w:pPr>
            <w:r>
              <w:rPr>
                <w:rFonts w:ascii="Arial" w:hAnsi="Arial"/>
                <w:sz w:val="15"/>
              </w:rPr>
              <w:t xml:space="preserve">12.48x</w:t>
            </w:r>
          </w:p>
        </w:tc>
        <w:tc>
          <w:tcPr>
            <w:tcW w:type="dxa" w:w="1065"/>
          </w:tcPr>
          <w:p>
            <w:pPr>
              <w:pStyle w:val="Compact"/>
              <w:spacing w:after="0" w:before="0" w:line="240" w:lineRule="auto"/>
              <w:jc w:val="right"/>
            </w:pPr>
            <w:r>
              <w:rPr>
                <w:rFonts w:ascii="Arial" w:hAnsi="Arial"/>
                <w:sz w:val="15"/>
              </w:rPr>
              <w:t xml:space="preserve">23.3x</w:t>
            </w:r>
          </w:p>
        </w:tc>
        <w:tc>
          <w:tcPr>
            <w:tcW w:type="dxa" w:w="784"/>
          </w:tcPr>
          <w:p>
            <w:pPr>
              <w:pStyle w:val="Compact"/>
              <w:spacing w:after="0" w:before="0" w:line="240" w:lineRule="auto"/>
              <w:jc w:val="right"/>
            </w:pPr>
            <w:r>
              <w:rPr>
                <w:rFonts w:ascii="Arial" w:hAnsi="Arial"/>
                <w:sz w:val="15"/>
              </w:rPr>
              <w:t xml:space="preserve">30.1x</w:t>
            </w:r>
          </w:p>
        </w:tc>
        <w:tc>
          <w:tcPr>
            <w:tcW w:type="dxa" w:w="781"/>
          </w:tcPr>
          <w:p>
            <w:pPr>
              <w:pStyle w:val="Compact"/>
              <w:spacing w:after="0" w:before="0" w:line="240" w:lineRule="auto"/>
              <w:jc w:val="right"/>
            </w:pPr>
            <w:r>
              <w:rPr>
                <w:rFonts w:ascii="Arial" w:hAnsi="Arial"/>
                <w:sz w:val="15"/>
              </w:rPr>
              <w:t xml:space="preserve">28.4x</w:t>
            </w:r>
          </w:p>
        </w:tc>
      </w:tr>
      <w:tr>
        <w:trPr>
          <w:cantSplit/>
        </w:trPr>
        <w:tc>
          <w:tcPr>
            <w:tcW w:type="dxa" w:w="1636"/>
            <w:shd w:val="clear" w:color="auto" w:fill="F1F2F5"/>
          </w:tcPr>
          <w:p>
            <w:pPr>
              <w:pStyle w:val="Compact"/>
              <w:spacing w:after="0" w:before="0" w:line="240" w:lineRule="auto"/>
              <w:jc w:val="left"/>
            </w:pPr>
            <w:r>
              <w:rPr>
                <w:rFonts w:ascii="Arial" w:hAnsi="Arial"/>
                <w:sz w:val="15"/>
              </w:rPr>
              <w:t xml:space="preserve">Taiwan Mobile</w:t>
            </w:r>
          </w:p>
        </w:tc>
        <w:tc>
          <w:tcPr>
            <w:tcW w:type="dxa" w:w="923"/>
            <w:shd w:val="clear" w:color="auto" w:fill="F1F2F5"/>
          </w:tcPr>
          <w:p>
            <w:pPr>
              <w:pStyle w:val="Compact"/>
              <w:spacing w:after="0" w:before="0" w:line="240" w:lineRule="auto"/>
              <w:jc w:val="left"/>
            </w:pPr>
            <w:r>
              <w:rPr>
                <w:rFonts w:ascii="Arial" w:hAnsi="Arial"/>
                <w:sz w:val="15"/>
              </w:rPr>
              <w:t xml:space="preserve">3045 TT</w:t>
            </w:r>
          </w:p>
        </w:tc>
        <w:tc>
          <w:tcPr>
            <w:tcW w:type="dxa" w:w="1030"/>
            <w:shd w:val="clear" w:color="auto" w:fill="F1F2F5"/>
          </w:tcPr>
          <w:p>
            <w:pPr>
              <w:pStyle w:val="Compact"/>
              <w:spacing w:after="0" w:before="0" w:line="240" w:lineRule="auto"/>
              <w:jc w:val="right"/>
            </w:pPr>
            <w:r>
              <w:rPr>
                <w:rFonts w:ascii="Arial" w:hAnsi="Arial"/>
                <w:sz w:val="15"/>
              </w:rPr>
              <w:t xml:space="preserve">12,181</w:t>
            </w:r>
          </w:p>
        </w:tc>
        <w:tc>
          <w:tcPr>
            <w:tcW w:type="dxa" w:w="1169"/>
            <w:shd w:val="clear" w:color="auto" w:fill="F1F2F5"/>
          </w:tcPr>
          <w:p>
            <w:pPr>
              <w:pStyle w:val="Compact"/>
              <w:spacing w:after="0" w:before="0" w:line="240" w:lineRule="auto"/>
              <w:jc w:val="right"/>
            </w:pPr>
            <w:r>
              <w:rPr>
                <w:rFonts w:ascii="Arial" w:hAnsi="Arial"/>
                <w:sz w:val="15"/>
              </w:rPr>
              <w:t xml:space="preserve">2.35x</w:t>
            </w:r>
          </w:p>
        </w:tc>
        <w:tc>
          <w:tcPr>
            <w:tcW w:type="dxa" w:w="1273"/>
            <w:shd w:val="clear" w:color="auto" w:fill="F1F2F5"/>
          </w:tcPr>
          <w:p>
            <w:pPr>
              <w:pStyle w:val="Compact"/>
              <w:spacing w:after="0" w:before="0" w:line="240" w:lineRule="auto"/>
              <w:jc w:val="right"/>
            </w:pPr>
            <w:r>
              <w:rPr>
                <w:rFonts w:ascii="Arial" w:hAnsi="Arial"/>
                <w:sz w:val="15"/>
              </w:rPr>
              <w:t xml:space="preserve">10.69x</w:t>
            </w:r>
          </w:p>
        </w:tc>
        <w:tc>
          <w:tcPr>
            <w:tcW w:type="dxa" w:w="1315"/>
            <w:shd w:val="clear" w:color="auto" w:fill="F1F2F5"/>
          </w:tcPr>
          <w:p>
            <w:pPr>
              <w:pStyle w:val="Compact"/>
              <w:spacing w:after="0" w:before="0" w:line="240" w:lineRule="auto"/>
              <w:jc w:val="right"/>
            </w:pPr>
            <w:r>
              <w:rPr>
                <w:rFonts w:ascii="Arial" w:hAnsi="Arial"/>
                <w:sz w:val="15"/>
              </w:rPr>
              <w:t xml:space="preserve">10.27x</w:t>
            </w:r>
          </w:p>
        </w:tc>
        <w:tc>
          <w:tcPr>
            <w:tcW w:type="dxa" w:w="1065"/>
            <w:shd w:val="clear" w:color="auto" w:fill="F1F2F5"/>
          </w:tcPr>
          <w:p>
            <w:pPr>
              <w:pStyle w:val="Compact"/>
              <w:spacing w:after="0" w:before="0" w:line="240" w:lineRule="auto"/>
              <w:jc w:val="right"/>
            </w:pPr>
            <w:r>
              <w:rPr>
                <w:rFonts w:ascii="Arial" w:hAnsi="Arial"/>
                <w:sz w:val="15"/>
              </w:rPr>
              <w:t xml:space="preserve">20.3x</w:t>
            </w:r>
          </w:p>
        </w:tc>
        <w:tc>
          <w:tcPr>
            <w:tcW w:type="dxa" w:w="784"/>
            <w:shd w:val="clear" w:color="auto" w:fill="F1F2F5"/>
          </w:tcPr>
          <w:p>
            <w:pPr>
              <w:pStyle w:val="Compact"/>
              <w:spacing w:after="0" w:before="0" w:line="240" w:lineRule="auto"/>
              <w:jc w:val="right"/>
            </w:pPr>
            <w:r>
              <w:rPr>
                <w:rFonts w:ascii="Arial" w:hAnsi="Arial"/>
                <w:sz w:val="15"/>
              </w:rPr>
              <w:t xml:space="preserve">25.0x</w:t>
            </w:r>
          </w:p>
        </w:tc>
        <w:tc>
          <w:tcPr>
            <w:tcW w:type="dxa" w:w="781"/>
            <w:shd w:val="clear" w:color="auto" w:fill="F1F2F5"/>
          </w:tcPr>
          <w:p>
            <w:pPr>
              <w:pStyle w:val="Compact"/>
              <w:spacing w:after="0" w:before="0" w:line="240" w:lineRule="auto"/>
              <w:jc w:val="right"/>
            </w:pPr>
            <w:r>
              <w:rPr>
                <w:rFonts w:ascii="Arial" w:hAnsi="Arial"/>
                <w:sz w:val="15"/>
              </w:rPr>
              <w:t xml:space="preserve">24.0x</w:t>
            </w:r>
          </w:p>
        </w:tc>
      </w:tr>
      <w:tr>
        <w:trPr>
          <w:cantSplit/>
        </w:trPr>
        <w:tc>
          <w:tcPr>
            <w:tcW w:type="dxa" w:w="1636"/>
          </w:tcPr>
          <w:p>
            <w:pPr>
              <w:pStyle w:val="Compact"/>
              <w:spacing w:after="0" w:before="0" w:line="240" w:lineRule="auto"/>
              <w:jc w:val="left"/>
            </w:pPr>
            <w:r>
              <w:rPr>
                <w:rFonts w:ascii="Arial" w:hAnsi="Arial"/>
                <w:sz w:val="15"/>
              </w:rPr>
              <w:t xml:space="preserve">Far EasTone</w:t>
            </w:r>
          </w:p>
        </w:tc>
        <w:tc>
          <w:tcPr>
            <w:tcW w:type="dxa" w:w="923"/>
          </w:tcPr>
          <w:p>
            <w:pPr>
              <w:pStyle w:val="Compact"/>
              <w:spacing w:after="0" w:before="0" w:line="240" w:lineRule="auto"/>
              <w:jc w:val="left"/>
            </w:pPr>
            <w:r>
              <w:rPr>
                <w:rFonts w:ascii="Arial" w:hAnsi="Arial"/>
                <w:sz w:val="15"/>
              </w:rPr>
              <w:t xml:space="preserve">4904 TT</w:t>
            </w:r>
          </w:p>
        </w:tc>
        <w:tc>
          <w:tcPr>
            <w:tcW w:type="dxa" w:w="1030"/>
          </w:tcPr>
          <w:p>
            <w:pPr>
              <w:pStyle w:val="Compact"/>
              <w:spacing w:after="0" w:before="0" w:line="240" w:lineRule="auto"/>
              <w:jc w:val="right"/>
            </w:pPr>
            <w:r>
              <w:rPr>
                <w:rFonts w:ascii="Arial" w:hAnsi="Arial"/>
                <w:sz w:val="15"/>
              </w:rPr>
              <w:t xml:space="preserve">12,604</w:t>
            </w:r>
          </w:p>
        </w:tc>
        <w:tc>
          <w:tcPr>
            <w:tcW w:type="dxa" w:w="1169"/>
          </w:tcPr>
          <w:p>
            <w:pPr>
              <w:pStyle w:val="Compact"/>
              <w:spacing w:after="0" w:before="0" w:line="240" w:lineRule="auto"/>
              <w:jc w:val="right"/>
            </w:pPr>
            <w:r>
              <w:rPr>
                <w:rFonts w:ascii="Arial" w:hAnsi="Arial"/>
                <w:sz w:val="15"/>
              </w:rPr>
              <w:t xml:space="preserve">3.91x</w:t>
            </w:r>
          </w:p>
        </w:tc>
        <w:tc>
          <w:tcPr>
            <w:tcW w:type="dxa" w:w="1273"/>
          </w:tcPr>
          <w:p>
            <w:pPr>
              <w:pStyle w:val="Compact"/>
              <w:spacing w:after="0" w:before="0" w:line="240" w:lineRule="auto"/>
              <w:jc w:val="right"/>
            </w:pPr>
            <w:r>
              <w:rPr>
                <w:rFonts w:ascii="Arial" w:hAnsi="Arial"/>
                <w:sz w:val="15"/>
              </w:rPr>
              <w:t xml:space="preserve">11.65x</w:t>
            </w:r>
          </w:p>
        </w:tc>
        <w:tc>
          <w:tcPr>
            <w:tcW w:type="dxa" w:w="1315"/>
          </w:tcPr>
          <w:p>
            <w:pPr>
              <w:pStyle w:val="Compact"/>
              <w:spacing w:after="0" w:before="0" w:line="240" w:lineRule="auto"/>
              <w:jc w:val="right"/>
            </w:pPr>
            <w:r>
              <w:rPr>
                <w:rFonts w:ascii="Arial" w:hAnsi="Arial"/>
                <w:sz w:val="15"/>
              </w:rPr>
              <w:t xml:space="preserve">10.57x</w:t>
            </w:r>
          </w:p>
        </w:tc>
        <w:tc>
          <w:tcPr>
            <w:tcW w:type="dxa" w:w="1065"/>
          </w:tcPr>
          <w:p>
            <w:pPr>
              <w:pStyle w:val="Compact"/>
              <w:spacing w:after="0" w:before="0" w:line="240" w:lineRule="auto"/>
              <w:jc w:val="right"/>
            </w:pPr>
            <w:r>
              <w:rPr>
                <w:rFonts w:ascii="Arial" w:hAnsi="Arial"/>
                <w:sz w:val="15"/>
              </w:rPr>
              <w:t xml:space="preserve">23.7x</w:t>
            </w:r>
          </w:p>
        </w:tc>
        <w:tc>
          <w:tcPr>
            <w:tcW w:type="dxa" w:w="784"/>
          </w:tcPr>
          <w:p>
            <w:pPr>
              <w:pStyle w:val="Compact"/>
              <w:spacing w:after="0" w:before="0" w:line="240" w:lineRule="auto"/>
              <w:jc w:val="right"/>
            </w:pPr>
            <w:r>
              <w:rPr>
                <w:rFonts w:ascii="Arial" w:hAnsi="Arial"/>
                <w:sz w:val="15"/>
              </w:rPr>
              <w:t xml:space="preserve">27.6x</w:t>
            </w:r>
          </w:p>
        </w:tc>
        <w:tc>
          <w:tcPr>
            <w:tcW w:type="dxa" w:w="781"/>
          </w:tcPr>
          <w:p>
            <w:pPr>
              <w:pStyle w:val="Compact"/>
              <w:spacing w:after="0" w:before="0" w:line="240" w:lineRule="auto"/>
              <w:jc w:val="right"/>
            </w:pPr>
            <w:r>
              <w:rPr>
                <w:rFonts w:ascii="Arial" w:hAnsi="Arial"/>
                <w:sz w:val="15"/>
              </w:rPr>
              <w:t xml:space="preserve">26.0x</w:t>
            </w:r>
          </w:p>
        </w:tc>
      </w:tr>
      <w:tr>
        <w:trPr>
          <w:cantSplit/>
        </w:trPr>
        <w:tc>
          <w:tcPr>
            <w:tcW w:type="dxa" w:w="1636"/>
            <w:shd w:val="clear" w:color="auto" w:fill="F1F2F5"/>
          </w:tcPr>
          <w:p>
            <w:pPr>
              <w:pStyle w:val="Compact"/>
              <w:spacing w:after="0" w:before="0" w:line="240" w:lineRule="auto"/>
              <w:jc w:val="left"/>
            </w:pPr>
            <w:r>
              <w:rPr>
                <w:rFonts w:ascii="Arial" w:hAnsi="Arial"/>
                <w:sz w:val="15"/>
              </w:rPr>
              <w:t xml:space="preserve">Singtel</w:t>
            </w:r>
          </w:p>
        </w:tc>
        <w:tc>
          <w:tcPr>
            <w:tcW w:type="dxa" w:w="923"/>
            <w:shd w:val="clear" w:color="auto" w:fill="F1F2F5"/>
          </w:tcPr>
          <w:p>
            <w:pPr>
              <w:pStyle w:val="Compact"/>
              <w:spacing w:after="0" w:before="0" w:line="240" w:lineRule="auto"/>
              <w:jc w:val="left"/>
            </w:pPr>
            <w:r>
              <w:rPr>
                <w:rFonts w:ascii="Arial" w:hAnsi="Arial"/>
                <w:sz w:val="15"/>
              </w:rPr>
              <w:t xml:space="preserve">ST SP</w:t>
            </w:r>
          </w:p>
        </w:tc>
        <w:tc>
          <w:tcPr>
            <w:tcW w:type="dxa" w:w="1030"/>
            <w:shd w:val="clear" w:color="auto" w:fill="F1F2F5"/>
          </w:tcPr>
          <w:p>
            <w:pPr>
              <w:pStyle w:val="Compact"/>
              <w:spacing w:after="0" w:before="0" w:line="240" w:lineRule="auto"/>
              <w:jc w:val="right"/>
            </w:pPr>
            <w:r>
              <w:rPr>
                <w:rFonts w:ascii="Arial" w:hAnsi="Arial"/>
                <w:sz w:val="15"/>
              </w:rPr>
              <w:t xml:space="preserve">53,176</w:t>
            </w:r>
          </w:p>
        </w:tc>
        <w:tc>
          <w:tcPr>
            <w:tcW w:type="dxa" w:w="1169"/>
            <w:shd w:val="clear" w:color="auto" w:fill="F1F2F5"/>
          </w:tcPr>
          <w:p>
            <w:pPr>
              <w:pStyle w:val="Compact"/>
              <w:spacing w:after="0" w:before="0" w:line="240" w:lineRule="auto"/>
              <w:jc w:val="right"/>
            </w:pPr>
            <w:r>
              <w:rPr>
                <w:rFonts w:ascii="Arial" w:hAnsi="Arial"/>
                <w:sz w:val="15"/>
              </w:rPr>
              <w:t xml:space="preserve">5.28x</w:t>
            </w:r>
          </w:p>
        </w:tc>
        <w:tc>
          <w:tcPr>
            <w:tcW w:type="dxa" w:w="1273"/>
            <w:shd w:val="clear" w:color="auto" w:fill="F1F2F5"/>
          </w:tcPr>
          <w:p>
            <w:pPr>
              <w:pStyle w:val="Compact"/>
              <w:spacing w:after="0" w:before="0" w:line="240" w:lineRule="auto"/>
              <w:jc w:val="right"/>
            </w:pPr>
            <w:r>
              <w:rPr>
                <w:rFonts w:ascii="Arial" w:hAnsi="Arial"/>
                <w:sz w:val="15"/>
              </w:rPr>
              <w:t xml:space="preserve">12.90x</w:t>
            </w:r>
          </w:p>
        </w:tc>
        <w:tc>
          <w:tcPr>
            <w:tcW w:type="dxa" w:w="1315"/>
            <w:shd w:val="clear" w:color="auto" w:fill="F1F2F5"/>
          </w:tcPr>
          <w:p>
            <w:pPr>
              <w:pStyle w:val="Compact"/>
              <w:spacing w:after="0" w:before="0" w:line="240" w:lineRule="auto"/>
              <w:jc w:val="right"/>
            </w:pPr>
            <w:r>
              <w:rPr>
                <w:rFonts w:ascii="Arial" w:hAnsi="Arial"/>
                <w:sz w:val="15"/>
              </w:rPr>
              <w:t xml:space="preserve">18.28x</w:t>
            </w:r>
          </w:p>
        </w:tc>
        <w:tc>
          <w:tcPr>
            <w:tcW w:type="dxa" w:w="1065"/>
            <w:shd w:val="clear" w:color="auto" w:fill="F1F2F5"/>
          </w:tcPr>
          <w:p>
            <w:pPr>
              <w:pStyle w:val="Compact"/>
              <w:spacing w:after="0" w:before="0" w:line="240" w:lineRule="auto"/>
              <w:jc w:val="right"/>
            </w:pPr>
            <w:r>
              <w:rPr>
                <w:rFonts w:ascii="Arial" w:hAnsi="Arial"/>
                <w:sz w:val="15"/>
              </w:rPr>
              <w:t xml:space="preserve">21.3x</w:t>
            </w:r>
          </w:p>
        </w:tc>
        <w:tc>
          <w:tcPr>
            <w:tcW w:type="dxa" w:w="784"/>
            <w:shd w:val="clear" w:color="auto" w:fill="F1F2F5"/>
          </w:tcPr>
          <w:p>
            <w:pPr>
              <w:pStyle w:val="Compact"/>
              <w:spacing w:after="0" w:before="0" w:line="240" w:lineRule="auto"/>
              <w:jc w:val="right"/>
            </w:pPr>
            <w:r>
              <w:rPr>
                <w:rFonts w:ascii="Arial" w:hAnsi="Arial"/>
                <w:sz w:val="15"/>
              </w:rPr>
              <w:t xml:space="preserve">19.6x</w:t>
            </w:r>
          </w:p>
        </w:tc>
        <w:tc>
          <w:tcPr>
            <w:tcW w:type="dxa" w:w="781"/>
            <w:shd w:val="clear" w:color="auto" w:fill="F1F2F5"/>
          </w:tcPr>
          <w:p>
            <w:pPr>
              <w:pStyle w:val="Compact"/>
              <w:spacing w:after="0" w:before="0" w:line="240" w:lineRule="auto"/>
              <w:jc w:val="right"/>
            </w:pPr>
            <w:r>
              <w:rPr>
                <w:rFonts w:ascii="Arial" w:hAnsi="Arial"/>
                <w:sz w:val="15"/>
              </w:rPr>
              <w:t xml:space="preserve">19.6x</w:t>
            </w:r>
          </w:p>
        </w:tc>
      </w:tr>
      <w:tr>
        <w:trPr>
          <w:cantSplit/>
        </w:trPr>
        <w:tc>
          <w:tcPr>
            <w:tcW w:type="dxa" w:w="1636"/>
          </w:tcPr>
          <w:p>
            <w:pPr>
              <w:pStyle w:val="Compact"/>
              <w:spacing w:after="0" w:before="0" w:line="240" w:lineRule="auto"/>
              <w:jc w:val="left"/>
            </w:pPr>
            <w:r>
              <w:rPr>
                <w:rFonts w:ascii="Arial" w:hAnsi="Arial"/>
                <w:sz w:val="15"/>
              </w:rPr>
              <w:t xml:space="preserve">AIS</w:t>
            </w:r>
          </w:p>
        </w:tc>
        <w:tc>
          <w:tcPr>
            <w:tcW w:type="dxa" w:w="923"/>
          </w:tcPr>
          <w:p>
            <w:pPr>
              <w:pStyle w:val="Compact"/>
              <w:spacing w:after="0" w:before="0" w:line="240" w:lineRule="auto"/>
              <w:jc w:val="left"/>
            </w:pPr>
            <w:r>
              <w:rPr>
                <w:rFonts w:ascii="Arial" w:hAnsi="Arial"/>
                <w:sz w:val="15"/>
              </w:rPr>
              <w:t xml:space="preserve">ADVANC TB</w:t>
            </w:r>
          </w:p>
        </w:tc>
        <w:tc>
          <w:tcPr>
            <w:tcW w:type="dxa" w:w="1030"/>
          </w:tcPr>
          <w:p>
            <w:pPr>
              <w:pStyle w:val="Compact"/>
              <w:spacing w:after="0" w:before="0" w:line="240" w:lineRule="auto"/>
              <w:jc w:val="right"/>
            </w:pPr>
            <w:r>
              <w:rPr>
                <w:rFonts w:ascii="Arial" w:hAnsi="Arial"/>
                <w:sz w:val="15"/>
              </w:rPr>
              <w:t xml:space="preserve">29,700</w:t>
            </w:r>
          </w:p>
        </w:tc>
        <w:tc>
          <w:tcPr>
            <w:tcW w:type="dxa" w:w="1169"/>
          </w:tcPr>
          <w:p>
            <w:pPr>
              <w:pStyle w:val="Compact"/>
              <w:spacing w:after="0" w:before="0" w:line="240" w:lineRule="auto"/>
              <w:jc w:val="right"/>
            </w:pPr>
            <w:r>
              <w:rPr>
                <w:rFonts w:ascii="Arial" w:hAnsi="Arial"/>
                <w:sz w:val="15"/>
              </w:rPr>
              <w:t xml:space="preserve">5.33x</w:t>
            </w:r>
          </w:p>
        </w:tc>
        <w:tc>
          <w:tcPr>
            <w:tcW w:type="dxa" w:w="1273"/>
          </w:tcPr>
          <w:p>
            <w:pPr>
              <w:pStyle w:val="Compact"/>
              <w:spacing w:after="0" w:before="0" w:line="240" w:lineRule="auto"/>
              <w:jc w:val="right"/>
            </w:pPr>
            <w:r>
              <w:rPr>
                <w:rFonts w:ascii="Arial" w:hAnsi="Arial"/>
                <w:sz w:val="15"/>
              </w:rPr>
              <w:t xml:space="preserve">9.92x</w:t>
            </w:r>
          </w:p>
        </w:tc>
        <w:tc>
          <w:tcPr>
            <w:tcW w:type="dxa" w:w="1315"/>
          </w:tcPr>
          <w:p>
            <w:pPr>
              <w:pStyle w:val="Compact"/>
              <w:spacing w:after="0" w:before="0" w:line="240" w:lineRule="auto"/>
              <w:jc w:val="right"/>
            </w:pPr>
            <w:r>
              <w:rPr>
                <w:rFonts w:ascii="Arial" w:hAnsi="Arial"/>
                <w:sz w:val="15"/>
              </w:rPr>
              <w:t xml:space="preserve">9.31x</w:t>
            </w:r>
          </w:p>
        </w:tc>
        <w:tc>
          <w:tcPr>
            <w:tcW w:type="dxa" w:w="1065"/>
          </w:tcPr>
          <w:p>
            <w:pPr>
              <w:pStyle w:val="Compact"/>
              <w:spacing w:after="0" w:before="0" w:line="240" w:lineRule="auto"/>
              <w:jc w:val="right"/>
            </w:pPr>
            <w:r>
              <w:rPr>
                <w:rFonts w:ascii="Arial" w:hAnsi="Arial"/>
                <w:sz w:val="15"/>
              </w:rPr>
              <w:t xml:space="preserve">17.0x</w:t>
            </w:r>
          </w:p>
        </w:tc>
        <w:tc>
          <w:tcPr>
            <w:tcW w:type="dxa" w:w="784"/>
          </w:tcPr>
          <w:p>
            <w:pPr>
              <w:pStyle w:val="Compact"/>
              <w:spacing w:after="0" w:before="0" w:line="240" w:lineRule="auto"/>
              <w:jc w:val="right"/>
            </w:pPr>
            <w:r>
              <w:rPr>
                <w:rFonts w:ascii="Arial" w:hAnsi="Arial"/>
                <w:sz w:val="15"/>
              </w:rPr>
              <w:t xml:space="preserve">18.6x</w:t>
            </w:r>
          </w:p>
        </w:tc>
        <w:tc>
          <w:tcPr>
            <w:tcW w:type="dxa" w:w="781"/>
          </w:tcPr>
          <w:p>
            <w:pPr>
              <w:pStyle w:val="Compact"/>
              <w:spacing w:after="0" w:before="0" w:line="240" w:lineRule="auto"/>
              <w:jc w:val="right"/>
            </w:pPr>
            <w:r>
              <w:rPr>
                <w:rFonts w:ascii="Arial" w:hAnsi="Arial"/>
                <w:sz w:val="15"/>
              </w:rPr>
              <w:t xml:space="preserve">18.4x</w:t>
            </w:r>
          </w:p>
        </w:tc>
      </w:tr>
      <w:tr>
        <w:trPr>
          <w:cantSplit/>
        </w:trPr>
        <w:tc>
          <w:tcPr>
            <w:tcW w:type="dxa" w:w="1636"/>
            <w:shd w:val="clear" w:color="auto" w:fill="F1F2F5"/>
          </w:tcPr>
          <w:p>
            <w:pPr>
              <w:pStyle w:val="Compact"/>
              <w:spacing w:after="0" w:before="0" w:line="240" w:lineRule="auto"/>
              <w:jc w:val="left"/>
            </w:pPr>
            <w:r>
              <w:rPr>
                <w:rFonts w:ascii="Arial" w:hAnsi="Arial"/>
                <w:sz w:val="15"/>
              </w:rPr>
              <w:t xml:space="preserve">True Corp</w:t>
            </w:r>
          </w:p>
        </w:tc>
        <w:tc>
          <w:tcPr>
            <w:tcW w:type="dxa" w:w="923"/>
            <w:shd w:val="clear" w:color="auto" w:fill="F1F2F5"/>
          </w:tcPr>
          <w:p>
            <w:pPr>
              <w:pStyle w:val="Compact"/>
              <w:spacing w:after="0" w:before="0" w:line="240" w:lineRule="auto"/>
              <w:jc w:val="left"/>
            </w:pPr>
            <w:r>
              <w:rPr>
                <w:rFonts w:ascii="Arial" w:hAnsi="Arial"/>
                <w:sz w:val="15"/>
              </w:rPr>
              <w:t xml:space="preserve">TRUE TB</w:t>
            </w:r>
          </w:p>
        </w:tc>
        <w:tc>
          <w:tcPr>
            <w:tcW w:type="dxa" w:w="1030"/>
            <w:shd w:val="clear" w:color="auto" w:fill="F1F2F5"/>
          </w:tcPr>
          <w:p>
            <w:pPr>
              <w:pStyle w:val="Compact"/>
              <w:spacing w:after="0" w:before="0" w:line="240" w:lineRule="auto"/>
              <w:jc w:val="right"/>
            </w:pPr>
            <w:r>
              <w:rPr>
                <w:rFonts w:ascii="Arial" w:hAnsi="Arial"/>
                <w:sz w:val="15"/>
              </w:rPr>
              <w:t xml:space="preserve">13,016</w:t>
            </w:r>
          </w:p>
        </w:tc>
        <w:tc>
          <w:tcPr>
            <w:tcW w:type="dxa" w:w="1169"/>
            <w:shd w:val="clear" w:color="auto" w:fill="F1F2F5"/>
          </w:tcPr>
          <w:p>
            <w:pPr>
              <w:pStyle w:val="Compact"/>
              <w:spacing w:after="0" w:before="0" w:line="240" w:lineRule="auto"/>
              <w:jc w:val="right"/>
            </w:pPr>
            <w:r>
              <w:rPr>
                <w:rFonts w:ascii="Arial" w:hAnsi="Arial"/>
                <w:sz w:val="15"/>
              </w:rPr>
              <w:t xml:space="preserve">4.53x</w:t>
            </w:r>
          </w:p>
        </w:tc>
        <w:tc>
          <w:tcPr>
            <w:tcW w:type="dxa" w:w="1273"/>
            <w:shd w:val="clear" w:color="auto" w:fill="F1F2F5"/>
          </w:tcPr>
          <w:p>
            <w:pPr>
              <w:pStyle w:val="Compact"/>
              <w:spacing w:after="0" w:before="0" w:line="240" w:lineRule="auto"/>
              <w:jc w:val="right"/>
            </w:pPr>
            <w:r>
              <w:rPr>
                <w:rFonts w:ascii="Arial" w:hAnsi="Arial"/>
                <w:sz w:val="15"/>
              </w:rPr>
              <w:t xml:space="preserve">8.25x</w:t>
            </w:r>
          </w:p>
        </w:tc>
        <w:tc>
          <w:tcPr>
            <w:tcW w:type="dxa" w:w="1315"/>
            <w:shd w:val="clear" w:color="auto" w:fill="F1F2F5"/>
          </w:tcPr>
          <w:p>
            <w:pPr>
              <w:pStyle w:val="Compact"/>
              <w:spacing w:after="0" w:before="0" w:line="240" w:lineRule="auto"/>
              <w:jc w:val="right"/>
            </w:pPr>
            <w:r>
              <w:rPr>
                <w:rFonts w:ascii="Arial" w:hAnsi="Arial"/>
                <w:sz w:val="15"/>
              </w:rPr>
              <w:t xml:space="preserve">7.27x</w:t>
            </w:r>
          </w:p>
        </w:tc>
        <w:tc>
          <w:tcPr>
            <w:tcW w:type="dxa" w:w="1065"/>
            <w:shd w:val="clear" w:color="auto" w:fill="F1F2F5"/>
          </w:tcPr>
          <w:p>
            <w:pPr>
              <w:pStyle w:val="Compact"/>
              <w:spacing w:after="0" w:before="0" w:line="240" w:lineRule="auto"/>
              <w:jc w:val="right"/>
            </w:pPr>
            <w:r>
              <w:rPr>
                <w:rFonts w:ascii="Arial" w:hAnsi="Arial"/>
                <w:sz w:val="15"/>
              </w:rPr>
              <w:t xml:space="preserve">19.1x</w:t>
            </w:r>
          </w:p>
        </w:tc>
        <w:tc>
          <w:tcPr>
            <w:tcW w:type="dxa" w:w="784"/>
            <w:shd w:val="clear" w:color="auto" w:fill="F1F2F5"/>
          </w:tcPr>
          <w:p>
            <w:pPr>
              <w:pStyle w:val="Compact"/>
              <w:spacing w:after="0" w:before="0" w:line="240" w:lineRule="auto"/>
              <w:jc w:val="right"/>
            </w:pPr>
            <w:r>
              <w:rPr>
                <w:rFonts w:ascii="Arial" w:hAnsi="Arial"/>
                <w:sz w:val="15"/>
              </w:rPr>
              <w:t xml:space="preserve">23.7x</w:t>
            </w:r>
          </w:p>
        </w:tc>
        <w:tc>
          <w:tcPr>
            <w:tcW w:type="dxa" w:w="781"/>
            <w:shd w:val="clear" w:color="auto" w:fill="F1F2F5"/>
          </w:tcPr>
          <w:p>
            <w:pPr>
              <w:pStyle w:val="Compact"/>
              <w:spacing w:after="0" w:before="0" w:line="240" w:lineRule="auto"/>
              <w:jc w:val="right"/>
            </w:pPr>
            <w:r>
              <w:rPr>
                <w:rFonts w:ascii="Arial" w:hAnsi="Arial"/>
                <w:sz w:val="15"/>
              </w:rPr>
              <w:t xml:space="preserve">14.6x</w:t>
            </w:r>
          </w:p>
        </w:tc>
      </w:tr>
      <w:tr>
        <w:trPr>
          <w:cantSplit/>
        </w:trPr>
        <w:tc>
          <w:tcPr>
            <w:tcW w:type="dxa" w:w="1636"/>
          </w:tcPr>
          <w:p>
            <w:pPr>
              <w:pStyle w:val="Compact"/>
              <w:spacing w:after="0" w:before="0" w:line="240" w:lineRule="auto"/>
              <w:jc w:val="left"/>
            </w:pPr>
            <w:r>
              <w:rPr>
                <w:rFonts w:ascii="Arial" w:hAnsi="Arial"/>
                <w:sz w:val="15"/>
              </w:rPr>
              <w:t xml:space="preserve">Telkom Indonesia</w:t>
            </w:r>
          </w:p>
        </w:tc>
        <w:tc>
          <w:tcPr>
            <w:tcW w:type="dxa" w:w="923"/>
          </w:tcPr>
          <w:p>
            <w:pPr>
              <w:pStyle w:val="Compact"/>
              <w:spacing w:after="0" w:before="0" w:line="240" w:lineRule="auto"/>
              <w:jc w:val="left"/>
            </w:pPr>
            <w:r>
              <w:rPr>
                <w:rFonts w:ascii="Arial" w:hAnsi="Arial"/>
                <w:sz w:val="15"/>
              </w:rPr>
              <w:t xml:space="preserve">TLKM IJ</w:t>
            </w:r>
          </w:p>
        </w:tc>
        <w:tc>
          <w:tcPr>
            <w:tcW w:type="dxa" w:w="1030"/>
          </w:tcPr>
          <w:p>
            <w:pPr>
              <w:pStyle w:val="Compact"/>
              <w:spacing w:after="0" w:before="0" w:line="240" w:lineRule="auto"/>
              <w:jc w:val="right"/>
            </w:pPr>
            <w:r>
              <w:rPr>
                <w:rFonts w:ascii="Arial" w:hAnsi="Arial"/>
                <w:sz w:val="15"/>
              </w:rPr>
              <w:t xml:space="preserve">10,404</w:t>
            </w:r>
          </w:p>
        </w:tc>
        <w:tc>
          <w:tcPr>
            <w:tcW w:type="dxa" w:w="1169"/>
          </w:tcPr>
          <w:p>
            <w:pPr>
              <w:pStyle w:val="Compact"/>
              <w:spacing w:after="0" w:before="0" w:line="240" w:lineRule="auto"/>
              <w:jc w:val="right"/>
            </w:pPr>
            <w:r>
              <w:rPr>
                <w:rFonts w:ascii="Arial" w:hAnsi="Arial"/>
                <w:sz w:val="15"/>
              </w:rPr>
              <w:t xml:space="preserve">1.53x</w:t>
            </w:r>
          </w:p>
        </w:tc>
        <w:tc>
          <w:tcPr>
            <w:tcW w:type="dxa" w:w="1273"/>
          </w:tcPr>
          <w:p>
            <w:pPr>
              <w:pStyle w:val="Compact"/>
              <w:spacing w:after="0" w:before="0" w:line="240" w:lineRule="auto"/>
              <w:jc w:val="right"/>
            </w:pPr>
            <w:r>
              <w:rPr>
                <w:rFonts w:ascii="Arial" w:hAnsi="Arial"/>
                <w:sz w:val="15"/>
              </w:rPr>
              <w:t xml:space="preserve">3.27x</w:t>
            </w:r>
          </w:p>
        </w:tc>
        <w:tc>
          <w:tcPr>
            <w:tcW w:type="dxa" w:w="1315"/>
          </w:tcPr>
          <w:p>
            <w:pPr>
              <w:pStyle w:val="Compact"/>
              <w:spacing w:after="0" w:before="0" w:line="240" w:lineRule="auto"/>
              <w:jc w:val="right"/>
            </w:pPr>
            <w:r>
              <w:rPr>
                <w:rFonts w:ascii="Arial" w:hAnsi="Arial"/>
                <w:sz w:val="15"/>
              </w:rPr>
              <w:t xml:space="preserve">3.04x</w:t>
            </w:r>
          </w:p>
        </w:tc>
        <w:tc>
          <w:tcPr>
            <w:tcW w:type="dxa" w:w="1065"/>
          </w:tcPr>
          <w:p>
            <w:pPr>
              <w:pStyle w:val="Compact"/>
              <w:spacing w:after="0" w:before="0" w:line="240" w:lineRule="auto"/>
              <w:jc w:val="right"/>
            </w:pPr>
            <w:r>
              <w:rPr>
                <w:rFonts w:ascii="Arial" w:hAnsi="Arial"/>
                <w:sz w:val="15"/>
              </w:rPr>
              <w:t xml:space="preserve">6.3x</w:t>
            </w:r>
          </w:p>
        </w:tc>
        <w:tc>
          <w:tcPr>
            <w:tcW w:type="dxa" w:w="784"/>
          </w:tcPr>
          <w:p>
            <w:pPr>
              <w:pStyle w:val="Compact"/>
              <w:spacing w:after="0" w:before="0" w:line="240" w:lineRule="auto"/>
              <w:jc w:val="right"/>
            </w:pPr>
            <w:r>
              <w:rPr>
                <w:rFonts w:ascii="Arial" w:hAnsi="Arial"/>
                <w:sz w:val="15"/>
              </w:rPr>
              <w:t xml:space="preserve">10.5x</w:t>
            </w:r>
          </w:p>
        </w:tc>
        <w:tc>
          <w:tcPr>
            <w:tcW w:type="dxa" w:w="781"/>
          </w:tcPr>
          <w:p>
            <w:pPr>
              <w:pStyle w:val="Compact"/>
              <w:spacing w:after="0" w:before="0" w:line="240" w:lineRule="auto"/>
              <w:jc w:val="right"/>
            </w:pPr>
            <w:r>
              <w:rPr>
                <w:rFonts w:ascii="Arial" w:hAnsi="Arial"/>
                <w:sz w:val="15"/>
              </w:rPr>
              <w:t xml:space="preserve">9.4x</w:t>
            </w:r>
          </w:p>
        </w:tc>
      </w:tr>
      <w:tr>
        <w:trPr>
          <w:cantSplit/>
        </w:trPr>
        <w:tc>
          <w:tcPr>
            <w:tcW w:type="dxa" w:w="1636"/>
            <w:shd w:val="clear" w:color="auto" w:fill="F1F2F5"/>
          </w:tcPr>
          <w:p>
            <w:pPr>
              <w:pStyle w:val="Compact"/>
              <w:spacing w:after="0" w:before="0" w:line="240" w:lineRule="auto"/>
              <w:jc w:val="left"/>
            </w:pPr>
            <w:r>
              <w:rPr>
                <w:rFonts w:ascii="Arial" w:hAnsi="Arial"/>
                <w:sz w:val="15"/>
              </w:rPr>
              <w:t xml:space="preserve">Maxis</w:t>
            </w:r>
          </w:p>
        </w:tc>
        <w:tc>
          <w:tcPr>
            <w:tcW w:type="dxa" w:w="923"/>
            <w:shd w:val="clear" w:color="auto" w:fill="F1F2F5"/>
          </w:tcPr>
          <w:p>
            <w:pPr>
              <w:pStyle w:val="Compact"/>
              <w:spacing w:after="0" w:before="0" w:line="240" w:lineRule="auto"/>
              <w:jc w:val="left"/>
            </w:pPr>
            <w:r>
              <w:rPr>
                <w:rFonts w:ascii="Arial" w:hAnsi="Arial"/>
                <w:sz w:val="15"/>
              </w:rPr>
              <w:t xml:space="preserve">MAXIS MK</w:t>
            </w:r>
          </w:p>
        </w:tc>
        <w:tc>
          <w:tcPr>
            <w:tcW w:type="dxa" w:w="1030"/>
            <w:shd w:val="clear" w:color="auto" w:fill="F1F2F5"/>
          </w:tcPr>
          <w:p>
            <w:pPr>
              <w:pStyle w:val="Compact"/>
              <w:spacing w:after="0" w:before="0" w:line="240" w:lineRule="auto"/>
              <w:jc w:val="right"/>
            </w:pPr>
            <w:r>
              <w:rPr>
                <w:rFonts w:ascii="Arial" w:hAnsi="Arial"/>
                <w:sz w:val="15"/>
              </w:rPr>
              <w:t xml:space="preserve">6,780</w:t>
            </w:r>
          </w:p>
        </w:tc>
        <w:tc>
          <w:tcPr>
            <w:tcW w:type="dxa" w:w="1169"/>
            <w:shd w:val="clear" w:color="auto" w:fill="F1F2F5"/>
          </w:tcPr>
          <w:p>
            <w:pPr>
              <w:pStyle w:val="Compact"/>
              <w:spacing w:after="0" w:before="0" w:line="240" w:lineRule="auto"/>
              <w:jc w:val="right"/>
            </w:pPr>
            <w:r>
              <w:rPr>
                <w:rFonts w:ascii="Arial" w:hAnsi="Arial"/>
                <w:sz w:val="15"/>
              </w:rPr>
              <w:t xml:space="preserve">3.37x</w:t>
            </w:r>
          </w:p>
        </w:tc>
        <w:tc>
          <w:tcPr>
            <w:tcW w:type="dxa" w:w="1273"/>
            <w:shd w:val="clear" w:color="auto" w:fill="F1F2F5"/>
          </w:tcPr>
          <w:p>
            <w:pPr>
              <w:pStyle w:val="Compact"/>
              <w:spacing w:after="0" w:before="0" w:line="240" w:lineRule="auto"/>
              <w:jc w:val="right"/>
            </w:pPr>
            <w:r>
              <w:rPr>
                <w:rFonts w:ascii="Arial" w:hAnsi="Arial"/>
                <w:sz w:val="15"/>
              </w:rPr>
              <w:t xml:space="preserve">9.55x</w:t>
            </w:r>
          </w:p>
        </w:tc>
        <w:tc>
          <w:tcPr>
            <w:tcW w:type="dxa" w:w="1315"/>
            <w:shd w:val="clear" w:color="auto" w:fill="F1F2F5"/>
          </w:tcPr>
          <w:p>
            <w:pPr>
              <w:pStyle w:val="Compact"/>
              <w:spacing w:after="0" w:before="0" w:line="240" w:lineRule="auto"/>
              <w:jc w:val="right"/>
            </w:pPr>
            <w:r>
              <w:rPr>
                <w:rFonts w:ascii="Arial" w:hAnsi="Arial"/>
                <w:sz w:val="15"/>
              </w:rPr>
              <w:t xml:space="preserve">8.18x</w:t>
            </w:r>
          </w:p>
        </w:tc>
        <w:tc>
          <w:tcPr>
            <w:tcW w:type="dxa" w:w="1065"/>
            <w:shd w:val="clear" w:color="auto" w:fill="F1F2F5"/>
          </w:tcPr>
          <w:p>
            <w:pPr>
              <w:pStyle w:val="Compact"/>
              <w:spacing w:after="0" w:before="0" w:line="240" w:lineRule="auto"/>
              <w:jc w:val="right"/>
            </w:pPr>
            <w:r>
              <w:rPr>
                <w:rFonts w:ascii="Arial" w:hAnsi="Arial"/>
                <w:sz w:val="15"/>
              </w:rPr>
              <w:t xml:space="preserve">16.6x</w:t>
            </w:r>
          </w:p>
        </w:tc>
        <w:tc>
          <w:tcPr>
            <w:tcW w:type="dxa" w:w="784"/>
            <w:shd w:val="clear" w:color="auto" w:fill="F1F2F5"/>
          </w:tcPr>
          <w:p>
            <w:pPr>
              <w:pStyle w:val="Compact"/>
              <w:spacing w:after="0" w:before="0" w:line="240" w:lineRule="auto"/>
              <w:jc w:val="right"/>
            </w:pPr>
            <w:r>
              <w:rPr>
                <w:rFonts w:ascii="Arial" w:hAnsi="Arial"/>
                <w:sz w:val="15"/>
              </w:rPr>
              <w:t xml:space="preserve">16.8x</w:t>
            </w:r>
          </w:p>
        </w:tc>
        <w:tc>
          <w:tcPr>
            <w:tcW w:type="dxa" w:w="781"/>
            <w:shd w:val="clear" w:color="auto" w:fill="F1F2F5"/>
          </w:tcPr>
          <w:p>
            <w:pPr>
              <w:pStyle w:val="Compact"/>
              <w:spacing w:after="0" w:before="0" w:line="240" w:lineRule="auto"/>
              <w:jc w:val="right"/>
            </w:pPr>
            <w:r>
              <w:rPr>
                <w:rFonts w:ascii="Arial" w:hAnsi="Arial"/>
                <w:sz w:val="15"/>
              </w:rPr>
              <w:t xml:space="preserve">17.2x</w:t>
            </w:r>
          </w:p>
        </w:tc>
      </w:tr>
      <w:tr>
        <w:trPr>
          <w:cantSplit/>
        </w:trPr>
        <w:tc>
          <w:tcPr>
            <w:tcW w:type="dxa" w:w="1636"/>
          </w:tcPr>
          <w:p>
            <w:pPr>
              <w:pStyle w:val="Compact"/>
              <w:spacing w:after="0" w:before="0" w:line="240" w:lineRule="auto"/>
              <w:jc w:val="left"/>
            </w:pPr>
            <w:r>
              <w:rPr>
                <w:rFonts w:ascii="Arial" w:hAnsi="Arial"/>
                <w:sz w:val="15"/>
              </w:rPr>
              <w:t xml:space="preserve">CelcomDigi</w:t>
            </w:r>
          </w:p>
        </w:tc>
        <w:tc>
          <w:tcPr>
            <w:tcW w:type="dxa" w:w="923"/>
          </w:tcPr>
          <w:p>
            <w:pPr>
              <w:pStyle w:val="Compact"/>
              <w:spacing w:after="0" w:before="0" w:line="240" w:lineRule="auto"/>
              <w:jc w:val="left"/>
            </w:pPr>
            <w:r>
              <w:rPr>
                <w:rFonts w:ascii="Arial" w:hAnsi="Arial"/>
                <w:sz w:val="15"/>
              </w:rPr>
              <w:t xml:space="preserve">CDB MK</w:t>
            </w:r>
          </w:p>
        </w:tc>
        <w:tc>
          <w:tcPr>
            <w:tcW w:type="dxa" w:w="1030"/>
          </w:tcPr>
          <w:p>
            <w:pPr>
              <w:pStyle w:val="Compact"/>
              <w:spacing w:after="0" w:before="0" w:line="240" w:lineRule="auto"/>
              <w:jc w:val="right"/>
            </w:pPr>
            <w:r>
              <w:rPr>
                <w:rFonts w:ascii="Arial" w:hAnsi="Arial"/>
                <w:sz w:val="15"/>
              </w:rPr>
              <w:t xml:space="preserve">7,327</w:t>
            </w:r>
          </w:p>
        </w:tc>
        <w:tc>
          <w:tcPr>
            <w:tcW w:type="dxa" w:w="1169"/>
          </w:tcPr>
          <w:p>
            <w:pPr>
              <w:pStyle w:val="Compact"/>
              <w:spacing w:after="0" w:before="0" w:line="240" w:lineRule="auto"/>
              <w:jc w:val="right"/>
            </w:pPr>
            <w:r>
              <w:rPr>
                <w:rFonts w:ascii="Arial" w:hAnsi="Arial"/>
                <w:sz w:val="15"/>
              </w:rPr>
              <w:t xml:space="preserve">3.35x</w:t>
            </w:r>
          </w:p>
        </w:tc>
        <w:tc>
          <w:tcPr>
            <w:tcW w:type="dxa" w:w="1273"/>
          </w:tcPr>
          <w:p>
            <w:pPr>
              <w:pStyle w:val="Compact"/>
              <w:spacing w:after="0" w:before="0" w:line="240" w:lineRule="auto"/>
              <w:jc w:val="right"/>
            </w:pPr>
            <w:r>
              <w:rPr>
                <w:rFonts w:ascii="Arial" w:hAnsi="Arial"/>
                <w:sz w:val="15"/>
              </w:rPr>
              <w:t xml:space="preserve">6.55x</w:t>
            </w:r>
          </w:p>
        </w:tc>
        <w:tc>
          <w:tcPr>
            <w:tcW w:type="dxa" w:w="1315"/>
          </w:tcPr>
          <w:p>
            <w:pPr>
              <w:pStyle w:val="Compact"/>
              <w:spacing w:after="0" w:before="0" w:line="240" w:lineRule="auto"/>
              <w:jc w:val="right"/>
            </w:pPr>
            <w:r>
              <w:rPr>
                <w:rFonts w:ascii="Arial" w:hAnsi="Arial"/>
                <w:sz w:val="15"/>
              </w:rPr>
              <w:t xml:space="preserve">7.47x</w:t>
            </w:r>
          </w:p>
        </w:tc>
        <w:tc>
          <w:tcPr>
            <w:tcW w:type="dxa" w:w="1065"/>
          </w:tcPr>
          <w:p>
            <w:pPr>
              <w:pStyle w:val="Compact"/>
              <w:spacing w:after="0" w:before="0" w:line="240" w:lineRule="auto"/>
              <w:jc w:val="right"/>
            </w:pPr>
            <w:r>
              <w:rPr>
                <w:rFonts w:ascii="Arial" w:hAnsi="Arial"/>
                <w:sz w:val="15"/>
              </w:rPr>
              <w:t xml:space="preserve">11.1x</w:t>
            </w:r>
          </w:p>
        </w:tc>
        <w:tc>
          <w:tcPr>
            <w:tcW w:type="dxa" w:w="784"/>
          </w:tcPr>
          <w:p>
            <w:pPr>
              <w:pStyle w:val="Compact"/>
              <w:spacing w:after="0" w:before="0" w:line="240" w:lineRule="auto"/>
              <w:jc w:val="right"/>
            </w:pPr>
            <w:r>
              <w:rPr>
                <w:rFonts w:ascii="Arial" w:hAnsi="Arial"/>
                <w:sz w:val="15"/>
              </w:rPr>
              <w:t xml:space="preserve">19.9x</w:t>
            </w:r>
          </w:p>
        </w:tc>
        <w:tc>
          <w:tcPr>
            <w:tcW w:type="dxa" w:w="781"/>
          </w:tcPr>
          <w:p>
            <w:pPr>
              <w:pStyle w:val="Compact"/>
              <w:spacing w:after="0" w:before="0" w:line="240" w:lineRule="auto"/>
              <w:jc w:val="right"/>
            </w:pPr>
            <w:r>
              <w:rPr>
                <w:rFonts w:ascii="Arial" w:hAnsi="Arial"/>
                <w:sz w:val="15"/>
              </w:rPr>
              <w:t xml:space="preserve">17.1x</w:t>
            </w:r>
          </w:p>
        </w:tc>
      </w:tr>
      <w:tr>
        <w:trPr>
          <w:cantSplit/>
        </w:trPr>
        <w:tc>
          <w:tcPr>
            <w:tcW w:type="dxa" w:w="1636"/>
            <w:shd w:val="clear" w:color="auto" w:fill="F1F2F5"/>
          </w:tcPr>
          <w:p>
            <w:pPr>
              <w:pStyle w:val="Compact"/>
              <w:spacing w:after="0" w:before="0" w:line="240" w:lineRule="auto"/>
              <w:jc w:val="left"/>
            </w:pPr>
            <w:r>
              <w:rPr>
                <w:rFonts w:ascii="Arial" w:hAnsi="Arial"/>
                <w:sz w:val="15"/>
              </w:rPr>
              <w:t xml:space="preserve">Globe Telecom</w:t>
            </w:r>
          </w:p>
        </w:tc>
        <w:tc>
          <w:tcPr>
            <w:tcW w:type="dxa" w:w="923"/>
            <w:shd w:val="clear" w:color="auto" w:fill="F1F2F5"/>
          </w:tcPr>
          <w:p>
            <w:pPr>
              <w:pStyle w:val="Compact"/>
              <w:spacing w:after="0" w:before="0" w:line="240" w:lineRule="auto"/>
              <w:jc w:val="left"/>
            </w:pPr>
            <w:r>
              <w:rPr>
                <w:rFonts w:ascii="Arial" w:hAnsi="Arial"/>
                <w:sz w:val="15"/>
              </w:rPr>
              <w:t xml:space="preserve">GLO PM</w:t>
            </w:r>
          </w:p>
        </w:tc>
        <w:tc>
          <w:tcPr>
            <w:tcW w:type="dxa" w:w="1030"/>
            <w:shd w:val="clear" w:color="auto" w:fill="F1F2F5"/>
          </w:tcPr>
          <w:p>
            <w:pPr>
              <w:pStyle w:val="Compact"/>
              <w:spacing w:after="0" w:before="0" w:line="240" w:lineRule="auto"/>
              <w:jc w:val="right"/>
            </w:pPr>
            <w:r>
              <w:rPr>
                <w:rFonts w:ascii="Arial" w:hAnsi="Arial"/>
                <w:sz w:val="15"/>
              </w:rPr>
              <w:t xml:space="preserve">3,588</w:t>
            </w:r>
          </w:p>
        </w:tc>
        <w:tc>
          <w:tcPr>
            <w:tcW w:type="dxa" w:w="1169"/>
            <w:shd w:val="clear" w:color="auto" w:fill="F1F2F5"/>
          </w:tcPr>
          <w:p>
            <w:pPr>
              <w:pStyle w:val="Compact"/>
              <w:spacing w:after="0" w:before="0" w:line="240" w:lineRule="auto"/>
              <w:jc w:val="right"/>
            </w:pPr>
            <w:r>
              <w:rPr>
                <w:rFonts w:ascii="Arial" w:hAnsi="Arial"/>
                <w:sz w:val="15"/>
              </w:rPr>
              <w:t xml:space="preserve">3.31x</w:t>
            </w:r>
          </w:p>
        </w:tc>
        <w:tc>
          <w:tcPr>
            <w:tcW w:type="dxa" w:w="1273"/>
            <w:shd w:val="clear" w:color="auto" w:fill="F1F2F5"/>
          </w:tcPr>
          <w:p>
            <w:pPr>
              <w:pStyle w:val="Compact"/>
              <w:spacing w:after="0" w:before="0" w:line="240" w:lineRule="auto"/>
              <w:jc w:val="right"/>
            </w:pPr>
            <w:r>
              <w:rPr>
                <w:rFonts w:ascii="Arial" w:hAnsi="Arial"/>
                <w:sz w:val="15"/>
              </w:rPr>
              <w:t xml:space="preserve">6.49x</w:t>
            </w:r>
          </w:p>
        </w:tc>
        <w:tc>
          <w:tcPr>
            <w:tcW w:type="dxa" w:w="1315"/>
            <w:shd w:val="clear" w:color="auto" w:fill="F1F2F5"/>
          </w:tcPr>
          <w:p>
            <w:pPr>
              <w:pStyle w:val="Compact"/>
              <w:spacing w:after="0" w:before="0" w:line="240" w:lineRule="auto"/>
              <w:jc w:val="right"/>
            </w:pPr>
            <w:r>
              <w:rPr>
                <w:rFonts w:ascii="Arial" w:hAnsi="Arial"/>
                <w:sz w:val="15"/>
              </w:rPr>
              <w:t xml:space="preserve">6.60x</w:t>
            </w:r>
          </w:p>
        </w:tc>
        <w:tc>
          <w:tcPr>
            <w:tcW w:type="dxa" w:w="1065"/>
            <w:shd w:val="clear" w:color="auto" w:fill="F1F2F5"/>
          </w:tcPr>
          <w:p>
            <w:pPr>
              <w:pStyle w:val="Compact"/>
              <w:spacing w:after="0" w:before="0" w:line="240" w:lineRule="auto"/>
              <w:jc w:val="right"/>
            </w:pPr>
            <w:r>
              <w:rPr>
                <w:rFonts w:ascii="Arial" w:hAnsi="Arial"/>
                <w:sz w:val="15"/>
              </w:rPr>
              <w:t xml:space="preserve">14.1x</w:t>
            </w:r>
          </w:p>
        </w:tc>
        <w:tc>
          <w:tcPr>
            <w:tcW w:type="dxa" w:w="784"/>
            <w:shd w:val="clear" w:color="auto" w:fill="F1F2F5"/>
          </w:tcPr>
          <w:p>
            <w:pPr>
              <w:pStyle w:val="Compact"/>
              <w:spacing w:after="0" w:before="0" w:line="240" w:lineRule="auto"/>
              <w:jc w:val="right"/>
            </w:pPr>
            <w:r>
              <w:rPr>
                <w:rFonts w:ascii="Arial" w:hAnsi="Arial"/>
                <w:sz w:val="15"/>
              </w:rPr>
              <w:t xml:space="preserve">11.4x</w:t>
            </w:r>
          </w:p>
        </w:tc>
        <w:tc>
          <w:tcPr>
            <w:tcW w:type="dxa" w:w="781"/>
            <w:shd w:val="clear" w:color="auto" w:fill="F1F2F5"/>
          </w:tcPr>
          <w:p>
            <w:pPr>
              <w:pStyle w:val="Compact"/>
              <w:spacing w:after="0" w:before="0" w:line="240" w:lineRule="auto"/>
              <w:jc w:val="right"/>
            </w:pPr>
            <w:r>
              <w:rPr>
                <w:rFonts w:ascii="Arial" w:hAnsi="Arial"/>
                <w:sz w:val="15"/>
              </w:rPr>
              <w:t xml:space="preserve">10.5x</w:t>
            </w:r>
          </w:p>
        </w:tc>
      </w:tr>
      <w:tr>
        <w:trPr>
          <w:cantSplit/>
        </w:trPr>
        <w:tc>
          <w:tcPr>
            <w:tcW w:type="dxa" w:w="1636"/>
          </w:tcPr>
          <w:p>
            <w:pPr>
              <w:pStyle w:val="Compact"/>
              <w:spacing w:after="0" w:before="0" w:line="240" w:lineRule="auto"/>
              <w:jc w:val="left"/>
            </w:pPr>
            <w:r>
              <w:rPr>
                <w:rFonts w:ascii="Arial" w:hAnsi="Arial"/>
                <w:sz w:val="15"/>
              </w:rPr>
              <w:t xml:space="preserve">PLDT</w:t>
            </w:r>
          </w:p>
        </w:tc>
        <w:tc>
          <w:tcPr>
            <w:tcW w:type="dxa" w:w="923"/>
          </w:tcPr>
          <w:p>
            <w:pPr>
              <w:pStyle w:val="Compact"/>
              <w:spacing w:after="0" w:before="0" w:line="240" w:lineRule="auto"/>
              <w:jc w:val="left"/>
            </w:pPr>
            <w:r>
              <w:rPr>
                <w:rFonts w:ascii="Arial" w:hAnsi="Arial"/>
                <w:sz w:val="15"/>
              </w:rPr>
              <w:t xml:space="preserve">TEL PM</w:t>
            </w:r>
          </w:p>
        </w:tc>
        <w:tc>
          <w:tcPr>
            <w:tcW w:type="dxa" w:w="1030"/>
          </w:tcPr>
          <w:p>
            <w:pPr>
              <w:pStyle w:val="Compact"/>
              <w:spacing w:after="0" w:before="0" w:line="240" w:lineRule="auto"/>
              <w:jc w:val="right"/>
            </w:pPr>
            <w:r>
              <w:rPr>
                <w:rFonts w:ascii="Arial" w:hAnsi="Arial"/>
                <w:sz w:val="15"/>
              </w:rPr>
              <w:t xml:space="preserve">4,281</w:t>
            </w:r>
          </w:p>
        </w:tc>
        <w:tc>
          <w:tcPr>
            <w:tcW w:type="dxa" w:w="1169"/>
          </w:tcPr>
          <w:p>
            <w:pPr>
              <w:pStyle w:val="Compact"/>
              <w:spacing w:after="0" w:before="0" w:line="240" w:lineRule="auto"/>
              <w:jc w:val="right"/>
            </w:pPr>
            <w:r>
              <w:rPr>
                <w:rFonts w:ascii="Arial" w:hAnsi="Arial"/>
                <w:sz w:val="15"/>
              </w:rPr>
              <w:t xml:space="preserve">2.81x</w:t>
            </w:r>
          </w:p>
        </w:tc>
        <w:tc>
          <w:tcPr>
            <w:tcW w:type="dxa" w:w="1273"/>
          </w:tcPr>
          <w:p>
            <w:pPr>
              <w:pStyle w:val="Compact"/>
              <w:spacing w:after="0" w:before="0" w:line="240" w:lineRule="auto"/>
              <w:jc w:val="right"/>
            </w:pPr>
            <w:r>
              <w:rPr>
                <w:rFonts w:ascii="Arial" w:hAnsi="Arial"/>
                <w:sz w:val="15"/>
              </w:rPr>
              <w:t xml:space="preserve">6.26x</w:t>
            </w:r>
          </w:p>
        </w:tc>
        <w:tc>
          <w:tcPr>
            <w:tcW w:type="dxa" w:w="1315"/>
          </w:tcPr>
          <w:p>
            <w:pPr>
              <w:pStyle w:val="Compact"/>
              <w:spacing w:after="0" w:before="0" w:line="240" w:lineRule="auto"/>
              <w:jc w:val="right"/>
            </w:pPr>
            <w:r>
              <w:rPr>
                <w:rFonts w:ascii="Arial" w:hAnsi="Arial"/>
                <w:sz w:val="15"/>
              </w:rPr>
              <w:t xml:space="preserve">5.44x</w:t>
            </w:r>
          </w:p>
        </w:tc>
        <w:tc>
          <w:tcPr>
            <w:tcW w:type="dxa" w:w="1065"/>
          </w:tcPr>
          <w:p>
            <w:pPr>
              <w:pStyle w:val="Compact"/>
              <w:spacing w:after="0" w:before="0" w:line="240" w:lineRule="auto"/>
              <w:jc w:val="right"/>
            </w:pPr>
            <w:r>
              <w:rPr>
                <w:rFonts w:ascii="Arial" w:hAnsi="Arial"/>
                <w:sz w:val="15"/>
              </w:rPr>
              <w:t xml:space="preserve">10.8x</w:t>
            </w:r>
          </w:p>
        </w:tc>
        <w:tc>
          <w:tcPr>
            <w:tcW w:type="dxa" w:w="784"/>
          </w:tcPr>
          <w:p>
            <w:pPr>
              <w:pStyle w:val="Compact"/>
              <w:spacing w:after="0" w:before="0" w:line="240" w:lineRule="auto"/>
              <w:jc w:val="right"/>
            </w:pPr>
            <w:r>
              <w:rPr>
                <w:rFonts w:ascii="Arial" w:hAnsi="Arial"/>
                <w:sz w:val="15"/>
              </w:rPr>
              <w:t xml:space="preserve">9.3x</w:t>
            </w:r>
          </w:p>
        </w:tc>
        <w:tc>
          <w:tcPr>
            <w:tcW w:type="dxa" w:w="781"/>
          </w:tcPr>
          <w:p>
            <w:pPr>
              <w:pStyle w:val="Compact"/>
              <w:spacing w:after="0" w:before="0" w:line="240" w:lineRule="auto"/>
              <w:jc w:val="right"/>
            </w:pPr>
            <w:r>
              <w:rPr>
                <w:rFonts w:ascii="Arial" w:hAnsi="Arial"/>
                <w:sz w:val="15"/>
              </w:rPr>
              <w:t xml:space="preserve">9.7x</w:t>
            </w:r>
          </w:p>
        </w:tc>
      </w:tr>
      <w:tr>
        <w:trPr>
          <w:cantSplit/>
        </w:trPr>
        <w:tc>
          <w:tcPr>
            <w:tcW w:type="dxa" w:w="1636"/>
            <w:shd w:val="clear" w:color="auto" w:fill="F1F2F5"/>
          </w:tcPr>
          <w:p>
            <w:pPr>
              <w:pStyle w:val="Compact"/>
              <w:spacing w:after="0" w:before="0" w:line="240" w:lineRule="auto"/>
              <w:jc w:val="left"/>
            </w:pPr>
            <w:r>
              <w:rPr>
                <w:rFonts w:ascii="Arial" w:hAnsi="Arial"/>
                <w:sz w:val="15"/>
              </w:rPr>
              <w:t xml:space="preserve">China Mobile</w:t>
            </w:r>
          </w:p>
        </w:tc>
        <w:tc>
          <w:tcPr>
            <w:tcW w:type="dxa" w:w="923"/>
            <w:shd w:val="clear" w:color="auto" w:fill="F1F2F5"/>
          </w:tcPr>
          <w:p>
            <w:pPr>
              <w:pStyle w:val="Compact"/>
              <w:spacing w:after="0" w:before="0" w:line="240" w:lineRule="auto"/>
              <w:jc w:val="left"/>
            </w:pPr>
            <w:r>
              <w:rPr>
                <w:rFonts w:ascii="Arial" w:hAnsi="Arial"/>
                <w:sz w:val="15"/>
              </w:rPr>
              <w:t xml:space="preserve">941 HK</w:t>
            </w:r>
          </w:p>
        </w:tc>
        <w:tc>
          <w:tcPr>
            <w:tcW w:type="dxa" w:w="1030"/>
            <w:shd w:val="clear" w:color="auto" w:fill="F1F2F5"/>
          </w:tcPr>
          <w:p>
            <w:pPr>
              <w:pStyle w:val="Compact"/>
              <w:spacing w:after="0" w:before="0" w:line="240" w:lineRule="auto"/>
              <w:jc w:val="right"/>
            </w:pPr>
            <w:r>
              <w:rPr>
                <w:rFonts w:ascii="Arial" w:hAnsi="Arial"/>
                <w:sz w:val="15"/>
              </w:rPr>
              <w:t xml:space="preserve">228,033</w:t>
            </w:r>
          </w:p>
        </w:tc>
        <w:tc>
          <w:tcPr>
            <w:tcW w:type="dxa" w:w="1169"/>
            <w:shd w:val="clear" w:color="auto" w:fill="F1F2F5"/>
          </w:tcPr>
          <w:p>
            <w:pPr>
              <w:pStyle w:val="Compact"/>
              <w:spacing w:after="0" w:before="0" w:line="240" w:lineRule="auto"/>
              <w:jc w:val="right"/>
            </w:pPr>
            <w:r>
              <w:rPr>
                <w:rFonts w:ascii="Arial" w:hAnsi="Arial"/>
                <w:sz w:val="15"/>
              </w:rPr>
              <w:t xml:space="preserve">1.27x</w:t>
            </w:r>
          </w:p>
        </w:tc>
        <w:tc>
          <w:tcPr>
            <w:tcW w:type="dxa" w:w="1273"/>
            <w:shd w:val="clear" w:color="auto" w:fill="F1F2F5"/>
          </w:tcPr>
          <w:p>
            <w:pPr>
              <w:pStyle w:val="Compact"/>
              <w:spacing w:after="0" w:before="0" w:line="240" w:lineRule="auto"/>
              <w:jc w:val="right"/>
            </w:pPr>
            <w:r>
              <w:rPr>
                <w:rFonts w:ascii="Arial" w:hAnsi="Arial"/>
                <w:sz w:val="15"/>
              </w:rPr>
              <w:t xml:space="preserve">4.53x</w:t>
            </w:r>
          </w:p>
        </w:tc>
        <w:tc>
          <w:tcPr>
            <w:tcW w:type="dxa" w:w="1315"/>
            <w:shd w:val="clear" w:color="auto" w:fill="F1F2F5"/>
          </w:tcPr>
          <w:p>
            <w:pPr>
              <w:pStyle w:val="Compact"/>
              <w:spacing w:after="0" w:before="0" w:line="240" w:lineRule="auto"/>
              <w:jc w:val="right"/>
            </w:pPr>
            <w:r>
              <w:rPr>
                <w:rFonts w:ascii="Arial" w:hAnsi="Arial"/>
                <w:sz w:val="15"/>
              </w:rPr>
              <w:t xml:space="preserve">4.09x</w:t>
            </w:r>
          </w:p>
        </w:tc>
        <w:tc>
          <w:tcPr>
            <w:tcW w:type="dxa" w:w="1065"/>
            <w:shd w:val="clear" w:color="auto" w:fill="F1F2F5"/>
          </w:tcPr>
          <w:p>
            <w:pPr>
              <w:pStyle w:val="Compact"/>
              <w:spacing w:after="0" w:before="0" w:line="240" w:lineRule="auto"/>
              <w:jc w:val="right"/>
            </w:pPr>
            <w:r>
              <w:rPr>
                <w:rFonts w:ascii="Arial" w:hAnsi="Arial"/>
                <w:sz w:val="15"/>
              </w:rPr>
              <w:t xml:space="preserve">9.7x</w:t>
            </w:r>
          </w:p>
        </w:tc>
        <w:tc>
          <w:tcPr>
            <w:tcW w:type="dxa" w:w="784"/>
            <w:shd w:val="clear" w:color="auto" w:fill="F1F2F5"/>
          </w:tcPr>
          <w:p>
            <w:pPr>
              <w:pStyle w:val="Compact"/>
              <w:spacing w:after="0" w:before="0" w:line="240" w:lineRule="auto"/>
              <w:jc w:val="right"/>
            </w:pPr>
            <w:r>
              <w:rPr>
                <w:rFonts w:ascii="Arial" w:hAnsi="Arial"/>
                <w:sz w:val="15"/>
              </w:rPr>
              <w:t xml:space="preserve">11.6x</w:t>
            </w:r>
          </w:p>
        </w:tc>
        <w:tc>
          <w:tcPr>
            <w:tcW w:type="dxa" w:w="781"/>
            <w:shd w:val="clear" w:color="auto" w:fill="F1F2F5"/>
          </w:tcPr>
          <w:p>
            <w:pPr>
              <w:pStyle w:val="Compact"/>
              <w:spacing w:after="0" w:before="0" w:line="240" w:lineRule="auto"/>
              <w:jc w:val="right"/>
            </w:pPr>
            <w:r>
              <w:rPr>
                <w:rFonts w:ascii="Arial" w:hAnsi="Arial"/>
                <w:sz w:val="15"/>
              </w:rPr>
              <w:t xml:space="preserve">11.3x</w:t>
            </w:r>
          </w:p>
        </w:tc>
      </w:tr>
      <w:tr>
        <w:trPr>
          <w:cantSplit/>
        </w:trPr>
        <w:tc>
          <w:tcPr>
            <w:tcW w:type="dxa" w:w="1636"/>
          </w:tcPr>
          <w:p>
            <w:pPr>
              <w:pStyle w:val="Compact"/>
              <w:spacing w:after="0" w:before="0" w:line="240" w:lineRule="auto"/>
              <w:jc w:val="left"/>
            </w:pPr>
            <w:r>
              <w:rPr>
                <w:rFonts w:ascii="Arial" w:hAnsi="Arial"/>
                <w:sz w:val="15"/>
              </w:rPr>
              <w:t xml:space="preserve">China Telecom</w:t>
            </w:r>
          </w:p>
        </w:tc>
        <w:tc>
          <w:tcPr>
            <w:tcW w:type="dxa" w:w="923"/>
          </w:tcPr>
          <w:p>
            <w:pPr>
              <w:pStyle w:val="Compact"/>
              <w:spacing w:after="0" w:before="0" w:line="240" w:lineRule="auto"/>
              <w:jc w:val="left"/>
            </w:pPr>
            <w:r>
              <w:rPr>
                <w:rFonts w:ascii="Arial" w:hAnsi="Arial"/>
                <w:sz w:val="15"/>
              </w:rPr>
              <w:t xml:space="preserve">728 HK</w:t>
            </w:r>
          </w:p>
        </w:tc>
        <w:tc>
          <w:tcPr>
            <w:tcW w:type="dxa" w:w="1030"/>
          </w:tcPr>
          <w:p>
            <w:pPr>
              <w:pStyle w:val="Compact"/>
              <w:spacing w:after="0" w:before="0" w:line="240" w:lineRule="auto"/>
              <w:jc w:val="right"/>
            </w:pPr>
            <w:r>
              <w:rPr>
                <w:rFonts w:ascii="Arial" w:hAnsi="Arial"/>
                <w:sz w:val="15"/>
              </w:rPr>
              <w:t xml:space="preserve">87,711</w:t>
            </w:r>
          </w:p>
        </w:tc>
        <w:tc>
          <w:tcPr>
            <w:tcW w:type="dxa" w:w="1169"/>
          </w:tcPr>
          <w:p>
            <w:pPr>
              <w:pStyle w:val="Compact"/>
              <w:spacing w:after="0" w:before="0" w:line="240" w:lineRule="auto"/>
              <w:jc w:val="right"/>
            </w:pPr>
            <w:r>
              <w:rPr>
                <w:rFonts w:ascii="Arial" w:hAnsi="Arial"/>
                <w:sz w:val="15"/>
              </w:rPr>
              <w:t xml:space="preserve">1.09x</w:t>
            </w:r>
          </w:p>
        </w:tc>
        <w:tc>
          <w:tcPr>
            <w:tcW w:type="dxa" w:w="1273"/>
          </w:tcPr>
          <w:p>
            <w:pPr>
              <w:pStyle w:val="Compact"/>
              <w:spacing w:after="0" w:before="0" w:line="240" w:lineRule="auto"/>
              <w:jc w:val="right"/>
            </w:pPr>
            <w:r>
              <w:rPr>
                <w:rFonts w:ascii="Arial" w:hAnsi="Arial"/>
                <w:sz w:val="15"/>
              </w:rPr>
              <w:t xml:space="preserve">4.46x</w:t>
            </w:r>
          </w:p>
        </w:tc>
        <w:tc>
          <w:tcPr>
            <w:tcW w:type="dxa" w:w="1315"/>
          </w:tcPr>
          <w:p>
            <w:pPr>
              <w:pStyle w:val="Compact"/>
              <w:spacing w:after="0" w:before="0" w:line="240" w:lineRule="auto"/>
              <w:jc w:val="right"/>
            </w:pPr>
            <w:r>
              <w:rPr>
                <w:rFonts w:ascii="Arial" w:hAnsi="Arial"/>
                <w:sz w:val="15"/>
              </w:rPr>
              <w:t xml:space="preserve">4.17x</w:t>
            </w:r>
          </w:p>
        </w:tc>
        <w:tc>
          <w:tcPr>
            <w:tcW w:type="dxa" w:w="1065"/>
          </w:tcPr>
          <w:p>
            <w:pPr>
              <w:pStyle w:val="Compact"/>
              <w:spacing w:after="0" w:before="0" w:line="240" w:lineRule="auto"/>
              <w:jc w:val="right"/>
            </w:pPr>
            <w:r>
              <w:rPr>
                <w:rFonts w:ascii="Arial" w:hAnsi="Arial"/>
                <w:sz w:val="15"/>
              </w:rPr>
              <w:t xml:space="preserve">16.0x</w:t>
            </w:r>
          </w:p>
        </w:tc>
        <w:tc>
          <w:tcPr>
            <w:tcW w:type="dxa" w:w="784"/>
          </w:tcPr>
          <w:p>
            <w:pPr>
              <w:pStyle w:val="Compact"/>
              <w:spacing w:after="0" w:before="0" w:line="240" w:lineRule="auto"/>
              <w:jc w:val="right"/>
            </w:pPr>
            <w:r>
              <w:rPr>
                <w:rFonts w:ascii="Arial" w:hAnsi="Arial"/>
                <w:sz w:val="15"/>
              </w:rPr>
              <w:t xml:space="preserve">12.6x</w:t>
            </w:r>
          </w:p>
        </w:tc>
        <w:tc>
          <w:tcPr>
            <w:tcW w:type="dxa" w:w="781"/>
          </w:tcPr>
          <w:p>
            <w:pPr>
              <w:pStyle w:val="Compact"/>
              <w:spacing w:after="0" w:before="0" w:line="240" w:lineRule="auto"/>
              <w:jc w:val="right"/>
            </w:pPr>
            <w:r>
              <w:rPr>
                <w:rFonts w:ascii="Arial" w:hAnsi="Arial"/>
                <w:sz w:val="15"/>
              </w:rPr>
              <w:t xml:space="preserve">12.0x</w:t>
            </w:r>
          </w:p>
        </w:tc>
      </w:tr>
      <w:tr>
        <w:trPr>
          <w:cantSplit/>
        </w:trPr>
        <w:tc>
          <w:tcPr>
            <w:tcW w:type="dxa" w:w="1636"/>
            <w:shd w:val="clear" w:color="auto" w:fill="F1F2F5"/>
          </w:tcPr>
          <w:p>
            <w:pPr>
              <w:pStyle w:val="Compact"/>
              <w:spacing w:after="0" w:before="0" w:line="240" w:lineRule="auto"/>
              <w:jc w:val="left"/>
            </w:pPr>
            <w:r>
              <w:rPr>
                <w:rFonts w:ascii="Arial" w:hAnsi="Arial"/>
                <w:sz w:val="15"/>
              </w:rPr>
              <w:t xml:space="preserve">HKT Trust</w:t>
            </w:r>
          </w:p>
        </w:tc>
        <w:tc>
          <w:tcPr>
            <w:tcW w:type="dxa" w:w="923"/>
            <w:shd w:val="clear" w:color="auto" w:fill="F1F2F5"/>
          </w:tcPr>
          <w:p>
            <w:pPr>
              <w:pStyle w:val="Compact"/>
              <w:spacing w:after="0" w:before="0" w:line="240" w:lineRule="auto"/>
              <w:jc w:val="left"/>
            </w:pPr>
            <w:r>
              <w:rPr>
                <w:rFonts w:ascii="Arial" w:hAnsi="Arial"/>
                <w:sz w:val="15"/>
              </w:rPr>
              <w:t xml:space="preserve">6823 HK</w:t>
            </w:r>
          </w:p>
        </w:tc>
        <w:tc>
          <w:tcPr>
            <w:tcW w:type="dxa" w:w="1030"/>
            <w:shd w:val="clear" w:color="auto" w:fill="F1F2F5"/>
          </w:tcPr>
          <w:p>
            <w:pPr>
              <w:pStyle w:val="Compact"/>
              <w:spacing w:after="0" w:before="0" w:line="240" w:lineRule="auto"/>
              <w:jc w:val="right"/>
            </w:pPr>
            <w:r>
              <w:rPr>
                <w:rFonts w:ascii="Arial" w:hAnsi="Arial"/>
                <w:sz w:val="15"/>
              </w:rPr>
              <w:t xml:space="preserve">11,662</w:t>
            </w:r>
          </w:p>
        </w:tc>
        <w:tc>
          <w:tcPr>
            <w:tcW w:type="dxa" w:w="1169"/>
            <w:shd w:val="clear" w:color="auto" w:fill="F1F2F5"/>
          </w:tcPr>
          <w:p>
            <w:pPr>
              <w:pStyle w:val="Compact"/>
              <w:spacing w:after="0" w:before="0" w:line="240" w:lineRule="auto"/>
              <w:jc w:val="right"/>
            </w:pPr>
            <w:r>
              <w:rPr>
                <w:rFonts w:ascii="Arial" w:hAnsi="Arial"/>
                <w:sz w:val="15"/>
              </w:rPr>
              <w:t xml:space="preserve">3.73x</w:t>
            </w:r>
          </w:p>
        </w:tc>
        <w:tc>
          <w:tcPr>
            <w:tcW w:type="dxa" w:w="1273"/>
            <w:shd w:val="clear" w:color="auto" w:fill="F1F2F5"/>
          </w:tcPr>
          <w:p>
            <w:pPr>
              <w:pStyle w:val="Compact"/>
              <w:spacing w:after="0" w:before="0" w:line="240" w:lineRule="auto"/>
              <w:jc w:val="right"/>
            </w:pPr>
            <w:r>
              <w:rPr>
                <w:rFonts w:ascii="Arial" w:hAnsi="Arial"/>
                <w:sz w:val="15"/>
              </w:rPr>
              <w:t xml:space="preserve">12.48x</w:t>
            </w:r>
          </w:p>
        </w:tc>
        <w:tc>
          <w:tcPr>
            <w:tcW w:type="dxa" w:w="1315"/>
            <w:shd w:val="clear" w:color="auto" w:fill="F1F2F5"/>
          </w:tcPr>
          <w:p>
            <w:pPr>
              <w:pStyle w:val="Compact"/>
              <w:spacing w:after="0" w:before="0" w:line="240" w:lineRule="auto"/>
              <w:jc w:val="right"/>
            </w:pPr>
            <w:r>
              <w:rPr>
                <w:rFonts w:ascii="Arial" w:hAnsi="Arial"/>
                <w:sz w:val="15"/>
              </w:rPr>
              <w:t xml:space="preserve">9.69x</w:t>
            </w:r>
          </w:p>
        </w:tc>
        <w:tc>
          <w:tcPr>
            <w:tcW w:type="dxa" w:w="1065"/>
            <w:shd w:val="clear" w:color="auto" w:fill="F1F2F5"/>
          </w:tcPr>
          <w:p>
            <w:pPr>
              <w:pStyle w:val="Compact"/>
              <w:spacing w:after="0" w:before="0" w:line="240" w:lineRule="auto"/>
              <w:jc w:val="right"/>
            </w:pPr>
            <w:r>
              <w:rPr>
                <w:rFonts w:ascii="Arial" w:hAnsi="Arial"/>
                <w:sz w:val="15"/>
              </w:rPr>
              <w:t xml:space="preserve">17.3x</w:t>
            </w:r>
          </w:p>
        </w:tc>
        <w:tc>
          <w:tcPr>
            <w:tcW w:type="dxa" w:w="784"/>
            <w:shd w:val="clear" w:color="auto" w:fill="F1F2F5"/>
          </w:tcPr>
          <w:p>
            <w:pPr>
              <w:pStyle w:val="Compact"/>
              <w:spacing w:after="0" w:before="0" w:line="240" w:lineRule="auto"/>
              <w:jc w:val="right"/>
            </w:pPr>
            <w:r>
              <w:rPr>
                <w:rFonts w:ascii="Arial" w:hAnsi="Arial"/>
                <w:sz w:val="15"/>
              </w:rPr>
              <w:t xml:space="preserve">17.1x</w:t>
            </w:r>
          </w:p>
        </w:tc>
        <w:tc>
          <w:tcPr>
            <w:tcW w:type="dxa" w:w="781"/>
            <w:shd w:val="clear" w:color="auto" w:fill="F1F2F5"/>
          </w:tcPr>
          <w:p>
            <w:pPr>
              <w:pStyle w:val="Compact"/>
              <w:spacing w:after="0" w:before="0" w:line="240" w:lineRule="auto"/>
              <w:jc w:val="right"/>
            </w:pPr>
            <w:r>
              <w:rPr>
                <w:rFonts w:ascii="Arial" w:hAnsi="Arial"/>
                <w:sz w:val="15"/>
              </w:rPr>
              <w:t xml:space="preserve">n/a</w:t>
            </w:r>
          </w:p>
        </w:tc>
      </w:tr>
      <w:tr>
        <w:trPr>
          <w:cantSplit/>
        </w:trPr>
        <w:tc>
          <w:tcPr>
            <w:tcW w:type="dxa" w:w="1636"/>
          </w:tcPr>
          <w:p>
            <w:pPr>
              <w:pStyle w:val="Compact"/>
              <w:spacing w:after="0" w:before="0" w:line="240" w:lineRule="auto"/>
              <w:jc w:val="left"/>
            </w:pPr>
            <w:r>
              <w:rPr>
                <w:rFonts w:ascii="Arial" w:hAnsi="Arial"/>
                <w:sz w:val="15"/>
              </w:rPr>
              <w:t xml:space="preserve">Bharti Airtel</w:t>
            </w:r>
          </w:p>
        </w:tc>
        <w:tc>
          <w:tcPr>
            <w:tcW w:type="dxa" w:w="923"/>
          </w:tcPr>
          <w:p>
            <w:pPr>
              <w:pStyle w:val="Compact"/>
              <w:spacing w:after="0" w:before="0" w:line="240" w:lineRule="auto"/>
              <w:jc w:val="left"/>
            </w:pPr>
            <w:r>
              <w:rPr>
                <w:rFonts w:ascii="Arial" w:hAnsi="Arial"/>
                <w:sz w:val="15"/>
              </w:rPr>
              <w:t xml:space="preserve">BHARTI IN</w:t>
            </w:r>
          </w:p>
        </w:tc>
        <w:tc>
          <w:tcPr>
            <w:tcW w:type="dxa" w:w="1030"/>
          </w:tcPr>
          <w:p>
            <w:pPr>
              <w:pStyle w:val="Compact"/>
              <w:spacing w:after="0" w:before="0" w:line="240" w:lineRule="auto"/>
              <w:jc w:val="right"/>
            </w:pPr>
            <w:r>
              <w:rPr>
                <w:rFonts w:ascii="Arial" w:hAnsi="Arial"/>
                <w:sz w:val="15"/>
              </w:rPr>
              <w:t xml:space="preserve">125,068</w:t>
            </w:r>
          </w:p>
        </w:tc>
        <w:tc>
          <w:tcPr>
            <w:tcW w:type="dxa" w:w="1169"/>
          </w:tcPr>
          <w:p>
            <w:pPr>
              <w:pStyle w:val="Compact"/>
              <w:spacing w:after="0" w:before="0" w:line="240" w:lineRule="auto"/>
              <w:jc w:val="right"/>
            </w:pPr>
            <w:r>
              <w:rPr>
                <w:rFonts w:ascii="Arial" w:hAnsi="Arial"/>
                <w:sz w:val="15"/>
              </w:rPr>
              <w:t xml:space="preserve">6.23x</w:t>
            </w:r>
          </w:p>
        </w:tc>
        <w:tc>
          <w:tcPr>
            <w:tcW w:type="dxa" w:w="1273"/>
          </w:tcPr>
          <w:p>
            <w:pPr>
              <w:pStyle w:val="Compact"/>
              <w:spacing w:after="0" w:before="0" w:line="240" w:lineRule="auto"/>
              <w:jc w:val="right"/>
            </w:pPr>
            <w:r>
              <w:rPr>
                <w:rFonts w:ascii="Arial" w:hAnsi="Arial"/>
                <w:sz w:val="15"/>
              </w:rPr>
              <w:t xml:space="preserve">10.96x</w:t>
            </w:r>
          </w:p>
        </w:tc>
        <w:tc>
          <w:tcPr>
            <w:tcW w:type="dxa" w:w="1315"/>
          </w:tcPr>
          <w:p>
            <w:pPr>
              <w:pStyle w:val="Compact"/>
              <w:spacing w:after="0" w:before="0" w:line="240" w:lineRule="auto"/>
              <w:jc w:val="right"/>
            </w:pPr>
            <w:r>
              <w:rPr>
                <w:rFonts w:ascii="Arial" w:hAnsi="Arial"/>
                <w:sz w:val="15"/>
              </w:rPr>
              <w:t xml:space="preserve">9.60x</w:t>
            </w:r>
          </w:p>
        </w:tc>
        <w:tc>
          <w:tcPr>
            <w:tcW w:type="dxa" w:w="1065"/>
          </w:tcPr>
          <w:p>
            <w:pPr>
              <w:pStyle w:val="Compact"/>
              <w:spacing w:after="0" w:before="0" w:line="240" w:lineRule="auto"/>
              <w:jc w:val="right"/>
            </w:pPr>
            <w:r>
              <w:rPr>
                <w:rFonts w:ascii="Arial" w:hAnsi="Arial"/>
                <w:sz w:val="15"/>
              </w:rPr>
              <w:t xml:space="preserve">19.2x</w:t>
            </w:r>
          </w:p>
        </w:tc>
        <w:tc>
          <w:tcPr>
            <w:tcW w:type="dxa" w:w="784"/>
          </w:tcPr>
          <w:p>
            <w:pPr>
              <w:pStyle w:val="Compact"/>
              <w:spacing w:after="0" w:before="0" w:line="240" w:lineRule="auto"/>
              <w:jc w:val="right"/>
            </w:pPr>
            <w:r>
              <w:rPr>
                <w:rFonts w:ascii="Arial" w:hAnsi="Arial"/>
                <w:sz w:val="15"/>
              </w:rPr>
              <w:t xml:space="preserve">39.8x</w:t>
            </w:r>
          </w:p>
        </w:tc>
        <w:tc>
          <w:tcPr>
            <w:tcW w:type="dxa" w:w="781"/>
          </w:tcPr>
          <w:p>
            <w:pPr>
              <w:pStyle w:val="Compact"/>
              <w:spacing w:after="0" w:before="0" w:line="240" w:lineRule="auto"/>
              <w:jc w:val="right"/>
            </w:pPr>
            <w:r>
              <w:rPr>
                <w:rFonts w:ascii="Arial" w:hAnsi="Arial"/>
                <w:sz w:val="15"/>
              </w:rPr>
              <w:t xml:space="preserve">27.8x</w:t>
            </w:r>
          </w:p>
        </w:tc>
      </w:tr>
      <w:tr>
        <w:trPr>
          <w:cantSplit/>
        </w:trPr>
        <w:tc>
          <w:tcPr>
            <w:tcW w:type="dxa" w:w="1636"/>
            <w:shd w:val="clear" w:color="auto" w:fill="F1F2F5"/>
          </w:tcPr>
          <w:p>
            <w:pPr>
              <w:pStyle w:val="Compact"/>
              <w:spacing w:after="0" w:before="0" w:line="240" w:lineRule="auto"/>
              <w:jc w:val="left"/>
            </w:pPr>
            <w:r>
              <w:rPr>
                <w:rFonts w:ascii="Arial" w:hAnsi="Arial"/>
                <w:sz w:val="15"/>
              </w:rPr>
              <w:t xml:space="preserve">Telstra</w:t>
            </w:r>
          </w:p>
        </w:tc>
        <w:tc>
          <w:tcPr>
            <w:tcW w:type="dxa" w:w="923"/>
            <w:shd w:val="clear" w:color="auto" w:fill="F1F2F5"/>
          </w:tcPr>
          <w:p>
            <w:pPr>
              <w:pStyle w:val="Compact"/>
              <w:spacing w:after="0" w:before="0" w:line="240" w:lineRule="auto"/>
              <w:jc w:val="left"/>
            </w:pPr>
            <w:r>
              <w:rPr>
                <w:rFonts w:ascii="Arial" w:hAnsi="Arial"/>
                <w:sz w:val="15"/>
              </w:rPr>
              <w:t xml:space="preserve">TLS AU</w:t>
            </w:r>
          </w:p>
        </w:tc>
        <w:tc>
          <w:tcPr>
            <w:tcW w:type="dxa" w:w="1030"/>
            <w:shd w:val="clear" w:color="auto" w:fill="F1F2F5"/>
          </w:tcPr>
          <w:p>
            <w:pPr>
              <w:pStyle w:val="Compact"/>
              <w:spacing w:after="0" w:before="0" w:line="240" w:lineRule="auto"/>
              <w:jc w:val="right"/>
            </w:pPr>
            <w:r>
              <w:rPr>
                <w:rFonts w:ascii="Arial" w:hAnsi="Arial"/>
                <w:sz w:val="15"/>
              </w:rPr>
              <w:t xml:space="preserve">36,638</w:t>
            </w:r>
          </w:p>
        </w:tc>
        <w:tc>
          <w:tcPr>
            <w:tcW w:type="dxa" w:w="1169"/>
            <w:shd w:val="clear" w:color="auto" w:fill="F1F2F5"/>
          </w:tcPr>
          <w:p>
            <w:pPr>
              <w:pStyle w:val="Compact"/>
              <w:spacing w:after="0" w:before="0" w:line="240" w:lineRule="auto"/>
              <w:jc w:val="right"/>
            </w:pPr>
            <w:r>
              <w:rPr>
                <w:rFonts w:ascii="Arial" w:hAnsi="Arial"/>
                <w:sz w:val="15"/>
              </w:rPr>
              <w:t xml:space="preserve">3.18x</w:t>
            </w:r>
          </w:p>
        </w:tc>
        <w:tc>
          <w:tcPr>
            <w:tcW w:type="dxa" w:w="1273"/>
            <w:shd w:val="clear" w:color="auto" w:fill="F1F2F5"/>
          </w:tcPr>
          <w:p>
            <w:pPr>
              <w:pStyle w:val="Compact"/>
              <w:spacing w:after="0" w:before="0" w:line="240" w:lineRule="auto"/>
              <w:jc w:val="right"/>
            </w:pPr>
            <w:r>
              <w:rPr>
                <w:rFonts w:ascii="Arial" w:hAnsi="Arial"/>
                <w:sz w:val="15"/>
              </w:rPr>
              <w:t xml:space="preserve">9.46x</w:t>
            </w:r>
          </w:p>
        </w:tc>
        <w:tc>
          <w:tcPr>
            <w:tcW w:type="dxa" w:w="1315"/>
            <w:shd w:val="clear" w:color="auto" w:fill="F1F2F5"/>
          </w:tcPr>
          <w:p>
            <w:pPr>
              <w:pStyle w:val="Compact"/>
              <w:spacing w:after="0" w:before="0" w:line="240" w:lineRule="auto"/>
              <w:jc w:val="right"/>
            </w:pPr>
            <w:r>
              <w:rPr>
                <w:rFonts w:ascii="Arial" w:hAnsi="Arial"/>
                <w:sz w:val="15"/>
              </w:rPr>
              <w:t xml:space="preserve">7.93x</w:t>
            </w:r>
          </w:p>
        </w:tc>
        <w:tc>
          <w:tcPr>
            <w:tcW w:type="dxa" w:w="1065"/>
            <w:shd w:val="clear" w:color="auto" w:fill="F1F2F5"/>
          </w:tcPr>
          <w:p>
            <w:pPr>
              <w:pStyle w:val="Compact"/>
              <w:spacing w:after="0" w:before="0" w:line="240" w:lineRule="auto"/>
              <w:jc w:val="right"/>
            </w:pPr>
            <w:r>
              <w:rPr>
                <w:rFonts w:ascii="Arial" w:hAnsi="Arial"/>
                <w:sz w:val="15"/>
              </w:rPr>
              <w:t xml:space="preserve">17.3x</w:t>
            </w:r>
          </w:p>
        </w:tc>
        <w:tc>
          <w:tcPr>
            <w:tcW w:type="dxa" w:w="784"/>
            <w:shd w:val="clear" w:color="auto" w:fill="F1F2F5"/>
          </w:tcPr>
          <w:p>
            <w:pPr>
              <w:pStyle w:val="Compact"/>
              <w:spacing w:after="0" w:before="0" w:line="240" w:lineRule="auto"/>
              <w:jc w:val="right"/>
            </w:pPr>
            <w:r>
              <w:rPr>
                <w:rFonts w:ascii="Arial" w:hAnsi="Arial"/>
                <w:sz w:val="15"/>
              </w:rPr>
              <w:t xml:space="preserve">23.8x</w:t>
            </w:r>
          </w:p>
        </w:tc>
        <w:tc>
          <w:tcPr>
            <w:tcW w:type="dxa" w:w="781"/>
            <w:shd w:val="clear" w:color="auto" w:fill="F1F2F5"/>
          </w:tcPr>
          <w:p>
            <w:pPr>
              <w:pStyle w:val="Compact"/>
              <w:spacing w:after="0" w:before="0" w:line="240" w:lineRule="auto"/>
              <w:jc w:val="right"/>
            </w:pPr>
            <w:r>
              <w:rPr>
                <w:rFonts w:ascii="Arial" w:hAnsi="Arial"/>
                <w:sz w:val="15"/>
              </w:rPr>
              <w:t xml:space="preserve">22.0x</w:t>
            </w:r>
          </w:p>
        </w:tc>
      </w:tr>
      <w:tr>
        <w:trPr>
          <w:cantSplit/>
        </w:trPr>
        <w:tc>
          <w:tcPr>
            <w:tcW w:type="dxa" w:w="1636"/>
          </w:tcPr>
          <w:p>
            <w:pPr>
              <w:pStyle w:val="Compact"/>
              <w:spacing w:after="0" w:before="0" w:line="240" w:lineRule="auto"/>
              <w:jc w:val="left"/>
            </w:pPr>
            <w:r>
              <w:rPr>
                <w:rFonts w:ascii="Arial" w:hAnsi="Arial"/>
                <w:sz w:val="15"/>
              </w:rPr>
              <w:t xml:space="preserve">Deutsche Telekom</w:t>
            </w:r>
          </w:p>
        </w:tc>
        <w:tc>
          <w:tcPr>
            <w:tcW w:type="dxa" w:w="923"/>
          </w:tcPr>
          <w:p>
            <w:pPr>
              <w:pStyle w:val="Compact"/>
              <w:spacing w:after="0" w:before="0" w:line="240" w:lineRule="auto"/>
              <w:jc w:val="left"/>
            </w:pPr>
            <w:r>
              <w:rPr>
                <w:rFonts w:ascii="Arial" w:hAnsi="Arial"/>
                <w:sz w:val="15"/>
              </w:rPr>
              <w:t xml:space="preserve">DTE GY</w:t>
            </w:r>
          </w:p>
        </w:tc>
        <w:tc>
          <w:tcPr>
            <w:tcW w:type="dxa" w:w="1030"/>
          </w:tcPr>
          <w:p>
            <w:pPr>
              <w:pStyle w:val="Compact"/>
              <w:spacing w:after="0" w:before="0" w:line="240" w:lineRule="auto"/>
              <w:jc w:val="right"/>
            </w:pPr>
            <w:r>
              <w:rPr>
                <w:rFonts w:ascii="Arial" w:hAnsi="Arial"/>
                <w:sz w:val="15"/>
              </w:rPr>
              <w:t xml:space="preserve">139,590</w:t>
            </w:r>
          </w:p>
        </w:tc>
        <w:tc>
          <w:tcPr>
            <w:tcW w:type="dxa" w:w="1169"/>
          </w:tcPr>
          <w:p>
            <w:pPr>
              <w:pStyle w:val="Compact"/>
              <w:spacing w:after="0" w:before="0" w:line="240" w:lineRule="auto"/>
              <w:jc w:val="right"/>
            </w:pPr>
            <w:r>
              <w:rPr>
                <w:rFonts w:ascii="Arial" w:hAnsi="Arial"/>
                <w:sz w:val="15"/>
              </w:rPr>
              <w:t xml:space="preserve">2.39x</w:t>
            </w:r>
          </w:p>
        </w:tc>
        <w:tc>
          <w:tcPr>
            <w:tcW w:type="dxa" w:w="1273"/>
          </w:tcPr>
          <w:p>
            <w:pPr>
              <w:pStyle w:val="Compact"/>
              <w:spacing w:after="0" w:before="0" w:line="240" w:lineRule="auto"/>
              <w:jc w:val="right"/>
            </w:pPr>
            <w:r>
              <w:rPr>
                <w:rFonts w:ascii="Arial" w:hAnsi="Arial"/>
                <w:sz w:val="15"/>
              </w:rPr>
              <w:t xml:space="preserve">6.15x</w:t>
            </w:r>
          </w:p>
        </w:tc>
        <w:tc>
          <w:tcPr>
            <w:tcW w:type="dxa" w:w="1315"/>
          </w:tcPr>
          <w:p>
            <w:pPr>
              <w:pStyle w:val="Compact"/>
              <w:spacing w:after="0" w:before="0" w:line="240" w:lineRule="auto"/>
              <w:jc w:val="right"/>
            </w:pPr>
            <w:r>
              <w:rPr>
                <w:rFonts w:ascii="Arial" w:hAnsi="Arial"/>
                <w:sz w:val="15"/>
              </w:rPr>
              <w:t xml:space="preserve">5.95x</w:t>
            </w:r>
          </w:p>
        </w:tc>
        <w:tc>
          <w:tcPr>
            <w:tcW w:type="dxa" w:w="1065"/>
          </w:tcPr>
          <w:p>
            <w:pPr>
              <w:pStyle w:val="Compact"/>
              <w:spacing w:after="0" w:before="0" w:line="240" w:lineRule="auto"/>
              <w:jc w:val="right"/>
            </w:pPr>
            <w:r>
              <w:rPr>
                <w:rFonts w:ascii="Arial" w:hAnsi="Arial"/>
                <w:sz w:val="15"/>
              </w:rPr>
              <w:t xml:space="preserve">11.4x</w:t>
            </w:r>
          </w:p>
        </w:tc>
        <w:tc>
          <w:tcPr>
            <w:tcW w:type="dxa" w:w="784"/>
          </w:tcPr>
          <w:p>
            <w:pPr>
              <w:pStyle w:val="Compact"/>
              <w:spacing w:after="0" w:before="0" w:line="240" w:lineRule="auto"/>
              <w:jc w:val="right"/>
            </w:pPr>
            <w:r>
              <w:rPr>
                <w:rFonts w:ascii="Arial" w:hAnsi="Arial"/>
                <w:sz w:val="15"/>
              </w:rPr>
              <w:t xml:space="preserve">14.5x</w:t>
            </w:r>
          </w:p>
        </w:tc>
        <w:tc>
          <w:tcPr>
            <w:tcW w:type="dxa" w:w="781"/>
          </w:tcPr>
          <w:p>
            <w:pPr>
              <w:pStyle w:val="Compact"/>
              <w:spacing w:after="0" w:before="0" w:line="240" w:lineRule="auto"/>
              <w:jc w:val="right"/>
            </w:pPr>
            <w:r>
              <w:rPr>
                <w:rFonts w:ascii="Arial" w:hAnsi="Arial"/>
                <w:sz w:val="15"/>
              </w:rPr>
              <w:t xml:space="preserve">10.7x</w:t>
            </w:r>
          </w:p>
        </w:tc>
      </w:tr>
      <w:tr>
        <w:trPr>
          <w:cantSplit/>
        </w:trPr>
        <w:tc>
          <w:tcPr>
            <w:tcW w:type="dxa" w:w="1636"/>
            <w:shd w:val="clear" w:color="auto" w:fill="F1F2F5"/>
          </w:tcPr>
          <w:p>
            <w:pPr>
              <w:pStyle w:val="Compact"/>
              <w:spacing w:after="0" w:before="0" w:line="240" w:lineRule="auto"/>
              <w:jc w:val="left"/>
            </w:pPr>
            <w:r>
              <w:rPr>
                <w:rFonts w:ascii="Arial" w:hAnsi="Arial"/>
                <w:sz w:val="15"/>
              </w:rPr>
              <w:t xml:space="preserve">Verizon</w:t>
            </w:r>
          </w:p>
        </w:tc>
        <w:tc>
          <w:tcPr>
            <w:tcW w:type="dxa" w:w="923"/>
            <w:shd w:val="clear" w:color="auto" w:fill="F1F2F5"/>
          </w:tcPr>
          <w:p>
            <w:pPr>
              <w:pStyle w:val="Compact"/>
              <w:spacing w:after="0" w:before="0" w:line="240" w:lineRule="auto"/>
              <w:jc w:val="left"/>
            </w:pPr>
            <w:r>
              <w:rPr>
                <w:rFonts w:ascii="Arial" w:hAnsi="Arial"/>
                <w:sz w:val="15"/>
              </w:rPr>
              <w:t xml:space="preserve">VZ US</w:t>
            </w:r>
          </w:p>
        </w:tc>
        <w:tc>
          <w:tcPr>
            <w:tcW w:type="dxa" w:w="1030"/>
            <w:shd w:val="clear" w:color="auto" w:fill="F1F2F5"/>
          </w:tcPr>
          <w:p>
            <w:pPr>
              <w:pStyle w:val="Compact"/>
              <w:spacing w:after="0" w:before="0" w:line="240" w:lineRule="auto"/>
              <w:jc w:val="right"/>
            </w:pPr>
            <w:r>
              <w:rPr>
                <w:rFonts w:ascii="Arial" w:hAnsi="Arial"/>
                <w:sz w:val="15"/>
              </w:rPr>
              <w:t xml:space="preserve">186,092</w:t>
            </w:r>
          </w:p>
        </w:tc>
        <w:tc>
          <w:tcPr>
            <w:tcW w:type="dxa" w:w="1169"/>
            <w:shd w:val="clear" w:color="auto" w:fill="F1F2F5"/>
          </w:tcPr>
          <w:p>
            <w:pPr>
              <w:pStyle w:val="Compact"/>
              <w:spacing w:after="0" w:before="0" w:line="240" w:lineRule="auto"/>
              <w:jc w:val="right"/>
            </w:pPr>
            <w:r>
              <w:rPr>
                <w:rFonts w:ascii="Arial" w:hAnsi="Arial"/>
                <w:sz w:val="15"/>
              </w:rPr>
              <w:t xml:space="preserve">2.73x</w:t>
            </w:r>
          </w:p>
        </w:tc>
        <w:tc>
          <w:tcPr>
            <w:tcW w:type="dxa" w:w="1273"/>
            <w:shd w:val="clear" w:color="auto" w:fill="F1F2F5"/>
          </w:tcPr>
          <w:p>
            <w:pPr>
              <w:pStyle w:val="Compact"/>
              <w:spacing w:after="0" w:before="0" w:line="240" w:lineRule="auto"/>
              <w:jc w:val="right"/>
            </w:pPr>
            <w:r>
              <w:rPr>
                <w:rFonts w:ascii="Arial" w:hAnsi="Arial"/>
                <w:sz w:val="15"/>
              </w:rPr>
              <w:t xml:space="preserve">6.63x</w:t>
            </w:r>
          </w:p>
        </w:tc>
        <w:tc>
          <w:tcPr>
            <w:tcW w:type="dxa" w:w="1315"/>
            <w:shd w:val="clear" w:color="auto" w:fill="F1F2F5"/>
          </w:tcPr>
          <w:p>
            <w:pPr>
              <w:pStyle w:val="Compact"/>
              <w:spacing w:after="0" w:before="0" w:line="240" w:lineRule="auto"/>
              <w:jc w:val="right"/>
            </w:pPr>
            <w:r>
              <w:rPr>
                <w:rFonts w:ascii="Arial" w:hAnsi="Arial"/>
                <w:sz w:val="15"/>
              </w:rPr>
              <w:t xml:space="preserve">6.91x</w:t>
            </w:r>
          </w:p>
        </w:tc>
        <w:tc>
          <w:tcPr>
            <w:tcW w:type="dxa" w:w="1065"/>
            <w:shd w:val="clear" w:color="auto" w:fill="F1F2F5"/>
          </w:tcPr>
          <w:p>
            <w:pPr>
              <w:pStyle w:val="Compact"/>
              <w:spacing w:after="0" w:before="0" w:line="240" w:lineRule="auto"/>
              <w:jc w:val="right"/>
            </w:pPr>
            <w:r>
              <w:rPr>
                <w:rFonts w:ascii="Arial" w:hAnsi="Arial"/>
                <w:sz w:val="15"/>
              </w:rPr>
              <w:t xml:space="preserve">11.8x</w:t>
            </w:r>
          </w:p>
        </w:tc>
        <w:tc>
          <w:tcPr>
            <w:tcW w:type="dxa" w:w="784"/>
            <w:shd w:val="clear" w:color="auto" w:fill="F1F2F5"/>
          </w:tcPr>
          <w:p>
            <w:pPr>
              <w:pStyle w:val="Compact"/>
              <w:spacing w:after="0" w:before="0" w:line="240" w:lineRule="auto"/>
              <w:jc w:val="right"/>
            </w:pPr>
            <w:r>
              <w:rPr>
                <w:rFonts w:ascii="Arial" w:hAnsi="Arial"/>
                <w:sz w:val="15"/>
              </w:rPr>
              <w:t xml:space="preserve">11.7x</w:t>
            </w:r>
          </w:p>
        </w:tc>
        <w:tc>
          <w:tcPr>
            <w:tcW w:type="dxa" w:w="781"/>
            <w:shd w:val="clear" w:color="auto" w:fill="F1F2F5"/>
          </w:tcPr>
          <w:p>
            <w:pPr>
              <w:pStyle w:val="Compact"/>
              <w:spacing w:after="0" w:before="0" w:line="240" w:lineRule="auto"/>
              <w:jc w:val="right"/>
            </w:pPr>
            <w:r>
              <w:rPr>
                <w:rFonts w:ascii="Arial" w:hAnsi="Arial"/>
                <w:sz w:val="15"/>
              </w:rPr>
              <w:t xml:space="preserve">8.8x</w:t>
            </w:r>
          </w:p>
        </w:tc>
      </w:tr>
      <w:tr>
        <w:trPr>
          <w:cantSplit/>
        </w:trPr>
        <w:tc>
          <w:tcPr>
            <w:tcW w:type="dxa" w:w="1636"/>
          </w:tcPr>
          <w:p>
            <w:pPr>
              <w:pStyle w:val="Compact"/>
              <w:spacing w:after="0" w:before="0" w:line="240" w:lineRule="auto"/>
              <w:jc w:val="left"/>
            </w:pPr>
            <w:r>
              <w:rPr>
                <w:rFonts w:ascii="Arial" w:hAnsi="Arial"/>
                <w:sz w:val="15"/>
              </w:rPr>
              <w:t xml:space="preserve">AT&amp;T</w:t>
            </w:r>
          </w:p>
        </w:tc>
        <w:tc>
          <w:tcPr>
            <w:tcW w:type="dxa" w:w="923"/>
          </w:tcPr>
          <w:p>
            <w:pPr>
              <w:pStyle w:val="Compact"/>
              <w:spacing w:after="0" w:before="0" w:line="240" w:lineRule="auto"/>
              <w:jc w:val="left"/>
            </w:pPr>
            <w:r>
              <w:rPr>
                <w:rFonts w:ascii="Arial" w:hAnsi="Arial"/>
                <w:sz w:val="15"/>
              </w:rPr>
              <w:t xml:space="preserve">T US</w:t>
            </w:r>
          </w:p>
        </w:tc>
        <w:tc>
          <w:tcPr>
            <w:tcW w:type="dxa" w:w="1030"/>
          </w:tcPr>
          <w:p>
            <w:pPr>
              <w:pStyle w:val="Compact"/>
              <w:spacing w:after="0" w:before="0" w:line="240" w:lineRule="auto"/>
              <w:jc w:val="right"/>
            </w:pPr>
            <w:r>
              <w:rPr>
                <w:rFonts w:ascii="Arial" w:hAnsi="Arial"/>
                <w:sz w:val="15"/>
              </w:rPr>
              <w:t xml:space="preserve">160,620</w:t>
            </w:r>
          </w:p>
        </w:tc>
        <w:tc>
          <w:tcPr>
            <w:tcW w:type="dxa" w:w="1169"/>
          </w:tcPr>
          <w:p>
            <w:pPr>
              <w:pStyle w:val="Compact"/>
              <w:spacing w:after="0" w:before="0" w:line="240" w:lineRule="auto"/>
              <w:jc w:val="right"/>
            </w:pPr>
            <w:r>
              <w:rPr>
                <w:rFonts w:ascii="Arial" w:hAnsi="Arial"/>
                <w:sz w:val="15"/>
              </w:rPr>
              <w:t xml:space="preserve">2.57x</w:t>
            </w:r>
          </w:p>
        </w:tc>
        <w:tc>
          <w:tcPr>
            <w:tcW w:type="dxa" w:w="1273"/>
          </w:tcPr>
          <w:p>
            <w:pPr>
              <w:pStyle w:val="Compact"/>
              <w:spacing w:after="0" w:before="0" w:line="240" w:lineRule="auto"/>
              <w:jc w:val="right"/>
            </w:pPr>
            <w:r>
              <w:rPr>
                <w:rFonts w:ascii="Arial" w:hAnsi="Arial"/>
                <w:sz w:val="15"/>
              </w:rPr>
              <w:t xml:space="preserve">6.43x</w:t>
            </w:r>
          </w:p>
        </w:tc>
        <w:tc>
          <w:tcPr>
            <w:tcW w:type="dxa" w:w="1315"/>
          </w:tcPr>
          <w:p>
            <w:pPr>
              <w:pStyle w:val="Compact"/>
              <w:spacing w:after="0" w:before="0" w:line="240" w:lineRule="auto"/>
              <w:jc w:val="right"/>
            </w:pPr>
            <w:r>
              <w:rPr>
                <w:rFonts w:ascii="Arial" w:hAnsi="Arial"/>
                <w:sz w:val="15"/>
              </w:rPr>
              <w:t xml:space="preserve">6.66x</w:t>
            </w:r>
          </w:p>
        </w:tc>
        <w:tc>
          <w:tcPr>
            <w:tcW w:type="dxa" w:w="1065"/>
          </w:tcPr>
          <w:p>
            <w:pPr>
              <w:pStyle w:val="Compact"/>
              <w:spacing w:after="0" w:before="0" w:line="240" w:lineRule="auto"/>
              <w:jc w:val="right"/>
            </w:pPr>
            <w:r>
              <w:rPr>
                <w:rFonts w:ascii="Arial" w:hAnsi="Arial"/>
                <w:sz w:val="15"/>
              </w:rPr>
              <w:t xml:space="preserve">11.8x</w:t>
            </w:r>
          </w:p>
        </w:tc>
        <w:tc>
          <w:tcPr>
            <w:tcW w:type="dxa" w:w="784"/>
          </w:tcPr>
          <w:p>
            <w:pPr>
              <w:pStyle w:val="Compact"/>
              <w:spacing w:after="0" w:before="0" w:line="240" w:lineRule="auto"/>
              <w:jc w:val="right"/>
            </w:pPr>
            <w:r>
              <w:rPr>
                <w:rFonts w:ascii="Arial" w:hAnsi="Arial"/>
                <w:sz w:val="15"/>
              </w:rPr>
              <w:t xml:space="preserve">7.7x</w:t>
            </w:r>
          </w:p>
        </w:tc>
        <w:tc>
          <w:tcPr>
            <w:tcW w:type="dxa" w:w="781"/>
          </w:tcPr>
          <w:p>
            <w:pPr>
              <w:pStyle w:val="Compact"/>
              <w:spacing w:after="0" w:before="0" w:line="240" w:lineRule="auto"/>
              <w:jc w:val="right"/>
            </w:pPr>
            <w:r>
              <w:rPr>
                <w:rFonts w:ascii="Arial" w:hAnsi="Arial"/>
                <w:sz w:val="15"/>
              </w:rPr>
              <w:t xml:space="preserve">9.7x</w:t>
            </w:r>
          </w:p>
        </w:tc>
      </w:tr>
      <w:tr>
        <w:trPr>
          <w:cantSplit/>
        </w:trPr>
        <w:tc>
          <w:tcPr>
            <w:tcW w:type="dxa" w:w="1636"/>
            <w:shd w:val="clear" w:color="auto" w:fill="F1F2F5"/>
          </w:tcPr>
          <w:p>
            <w:pPr>
              <w:pStyle w:val="Compact"/>
              <w:spacing w:after="0" w:before="0" w:line="240" w:lineRule="auto"/>
              <w:jc w:val="left"/>
            </w:pPr>
            <w:r>
              <w:rPr>
                <w:rFonts w:ascii="Arial" w:hAnsi="Arial"/>
                <w:sz w:val="15"/>
              </w:rPr>
              <w:t xml:space="preserve">T-Mobile US</w:t>
            </w:r>
          </w:p>
        </w:tc>
        <w:tc>
          <w:tcPr>
            <w:tcW w:type="dxa" w:w="923"/>
            <w:shd w:val="clear" w:color="auto" w:fill="F1F2F5"/>
          </w:tcPr>
          <w:p>
            <w:pPr>
              <w:pStyle w:val="Compact"/>
              <w:spacing w:after="0" w:before="0" w:line="240" w:lineRule="auto"/>
              <w:jc w:val="left"/>
            </w:pPr>
            <w:r>
              <w:rPr>
                <w:rFonts w:ascii="Arial" w:hAnsi="Arial"/>
                <w:sz w:val="15"/>
              </w:rPr>
              <w:t xml:space="preserve">TMUS US</w:t>
            </w:r>
          </w:p>
        </w:tc>
        <w:tc>
          <w:tcPr>
            <w:tcW w:type="dxa" w:w="1030"/>
            <w:shd w:val="clear" w:color="auto" w:fill="F1F2F5"/>
          </w:tcPr>
          <w:p>
            <w:pPr>
              <w:pStyle w:val="Compact"/>
              <w:spacing w:after="0" w:before="0" w:line="240" w:lineRule="auto"/>
              <w:jc w:val="right"/>
            </w:pPr>
            <w:r>
              <w:rPr>
                <w:rFonts w:ascii="Arial" w:hAnsi="Arial"/>
                <w:sz w:val="15"/>
              </w:rPr>
              <w:t xml:space="preserve">170,662</w:t>
            </w:r>
          </w:p>
        </w:tc>
        <w:tc>
          <w:tcPr>
            <w:tcW w:type="dxa" w:w="1169"/>
            <w:shd w:val="clear" w:color="auto" w:fill="F1F2F5"/>
          </w:tcPr>
          <w:p>
            <w:pPr>
              <w:pStyle w:val="Compact"/>
              <w:spacing w:after="0" w:before="0" w:line="240" w:lineRule="auto"/>
              <w:jc w:val="right"/>
            </w:pPr>
            <w:r>
              <w:rPr>
                <w:rFonts w:ascii="Arial" w:hAnsi="Arial"/>
                <w:sz w:val="15"/>
              </w:rPr>
              <w:t xml:space="preserve">3.13x</w:t>
            </w:r>
          </w:p>
        </w:tc>
        <w:tc>
          <w:tcPr>
            <w:tcW w:type="dxa" w:w="1273"/>
            <w:shd w:val="clear" w:color="auto" w:fill="F1F2F5"/>
          </w:tcPr>
          <w:p>
            <w:pPr>
              <w:pStyle w:val="Compact"/>
              <w:spacing w:after="0" w:before="0" w:line="240" w:lineRule="auto"/>
              <w:jc w:val="right"/>
            </w:pPr>
            <w:r>
              <w:rPr>
                <w:rFonts w:ascii="Arial" w:hAnsi="Arial"/>
                <w:sz w:val="15"/>
              </w:rPr>
              <w:t xml:space="preserve">7.20x</w:t>
            </w:r>
          </w:p>
        </w:tc>
        <w:tc>
          <w:tcPr>
            <w:tcW w:type="dxa" w:w="1315"/>
            <w:shd w:val="clear" w:color="auto" w:fill="F1F2F5"/>
          </w:tcPr>
          <w:p>
            <w:pPr>
              <w:pStyle w:val="Compact"/>
              <w:spacing w:after="0" w:before="0" w:line="240" w:lineRule="auto"/>
              <w:jc w:val="right"/>
            </w:pPr>
            <w:r>
              <w:rPr>
                <w:rFonts w:ascii="Arial" w:hAnsi="Arial"/>
                <w:sz w:val="15"/>
              </w:rPr>
              <w:t xml:space="preserve">7.45x</w:t>
            </w:r>
          </w:p>
        </w:tc>
        <w:tc>
          <w:tcPr>
            <w:tcW w:type="dxa" w:w="1065"/>
            <w:shd w:val="clear" w:color="auto" w:fill="F1F2F5"/>
          </w:tcPr>
          <w:p>
            <w:pPr>
              <w:pStyle w:val="Compact"/>
              <w:spacing w:after="0" w:before="0" w:line="240" w:lineRule="auto"/>
              <w:jc w:val="right"/>
            </w:pPr>
            <w:r>
              <w:rPr>
                <w:rFonts w:ascii="Arial" w:hAnsi="Arial"/>
                <w:sz w:val="15"/>
              </w:rPr>
              <w:t xml:space="preserve">14.2x</w:t>
            </w:r>
          </w:p>
        </w:tc>
        <w:tc>
          <w:tcPr>
            <w:tcW w:type="dxa" w:w="784"/>
            <w:shd w:val="clear" w:color="auto" w:fill="F1F2F5"/>
          </w:tcPr>
          <w:p>
            <w:pPr>
              <w:pStyle w:val="Compact"/>
              <w:spacing w:after="0" w:before="0" w:line="240" w:lineRule="auto"/>
              <w:jc w:val="right"/>
            </w:pPr>
            <w:r>
              <w:rPr>
                <w:rFonts w:ascii="Arial" w:hAnsi="Arial"/>
                <w:sz w:val="15"/>
              </w:rPr>
              <w:t xml:space="preserve">16.7x</w:t>
            </w:r>
          </w:p>
        </w:tc>
        <w:tc>
          <w:tcPr>
            <w:tcW w:type="dxa" w:w="781"/>
            <w:shd w:val="clear" w:color="auto" w:fill="F1F2F5"/>
          </w:tcPr>
          <w:p>
            <w:pPr>
              <w:pStyle w:val="Compact"/>
              <w:spacing w:after="0" w:before="0" w:line="240" w:lineRule="auto"/>
              <w:jc w:val="right"/>
            </w:pPr>
            <w:r>
              <w:rPr>
                <w:rFonts w:ascii="Arial" w:hAnsi="Arial"/>
                <w:sz w:val="15"/>
              </w:rPr>
              <w:t xml:space="preserve">12.7x</w:t>
            </w:r>
          </w:p>
        </w:tc>
      </w:tr>
      <w:tr>
        <w:trPr>
          <w:cantSplit/>
        </w:trPr>
        <w:tc>
          <w:tcPr>
            <w:tcW w:type="dxa" w:w="1636"/>
          </w:tcPr>
          <w:p>
            <w:pPr>
              <w:pStyle w:val="Compact"/>
              <w:spacing w:after="0" w:before="0" w:line="240" w:lineRule="auto"/>
              <w:jc w:val="left"/>
            </w:pPr>
            <w:r>
              <w:rPr>
                <w:rFonts w:ascii="Arial" w:hAnsi="Arial"/>
                <w:sz w:val="15"/>
              </w:rPr>
              <w:t xml:space="preserve">Orange</w:t>
            </w:r>
          </w:p>
        </w:tc>
        <w:tc>
          <w:tcPr>
            <w:tcW w:type="dxa" w:w="923"/>
          </w:tcPr>
          <w:p>
            <w:pPr>
              <w:pStyle w:val="Compact"/>
              <w:spacing w:after="0" w:before="0" w:line="240" w:lineRule="auto"/>
              <w:jc w:val="left"/>
            </w:pPr>
            <w:r>
              <w:rPr>
                <w:rFonts w:ascii="Arial" w:hAnsi="Arial"/>
                <w:sz w:val="15"/>
              </w:rPr>
              <w:t xml:space="preserve">ORA FP</w:t>
            </w:r>
          </w:p>
        </w:tc>
        <w:tc>
          <w:tcPr>
            <w:tcW w:type="dxa" w:w="1030"/>
          </w:tcPr>
          <w:p>
            <w:pPr>
              <w:pStyle w:val="Compact"/>
              <w:spacing w:after="0" w:before="0" w:line="240" w:lineRule="auto"/>
              <w:jc w:val="right"/>
            </w:pPr>
            <w:r>
              <w:rPr>
                <w:rFonts w:ascii="Arial" w:hAnsi="Arial"/>
                <w:sz w:val="15"/>
              </w:rPr>
              <w:t xml:space="preserve">43,500</w:t>
            </w:r>
          </w:p>
        </w:tc>
        <w:tc>
          <w:tcPr>
            <w:tcW w:type="dxa" w:w="1169"/>
          </w:tcPr>
          <w:p>
            <w:pPr>
              <w:pStyle w:val="Compact"/>
              <w:spacing w:after="0" w:before="0" w:line="240" w:lineRule="auto"/>
              <w:jc w:val="right"/>
            </w:pPr>
            <w:r>
              <w:rPr>
                <w:rFonts w:ascii="Arial" w:hAnsi="Arial"/>
                <w:sz w:val="15"/>
              </w:rPr>
              <w:t xml:space="preserve">2.10x</w:t>
            </w:r>
          </w:p>
        </w:tc>
        <w:tc>
          <w:tcPr>
            <w:tcW w:type="dxa" w:w="1273"/>
          </w:tcPr>
          <w:p>
            <w:pPr>
              <w:pStyle w:val="Compact"/>
              <w:spacing w:after="0" w:before="0" w:line="240" w:lineRule="auto"/>
              <w:jc w:val="right"/>
            </w:pPr>
            <w:r>
              <w:rPr>
                <w:rFonts w:ascii="Arial" w:hAnsi="Arial"/>
                <w:sz w:val="15"/>
              </w:rPr>
              <w:t xml:space="preserve">6.59x</w:t>
            </w:r>
          </w:p>
        </w:tc>
        <w:tc>
          <w:tcPr>
            <w:tcW w:type="dxa" w:w="1315"/>
          </w:tcPr>
          <w:p>
            <w:pPr>
              <w:pStyle w:val="Compact"/>
              <w:spacing w:after="0" w:before="0" w:line="240" w:lineRule="auto"/>
              <w:jc w:val="right"/>
            </w:pPr>
            <w:r>
              <w:rPr>
                <w:rFonts w:ascii="Arial" w:hAnsi="Arial"/>
                <w:sz w:val="15"/>
              </w:rPr>
              <w:t xml:space="preserve">5.62x</w:t>
            </w:r>
          </w:p>
        </w:tc>
        <w:tc>
          <w:tcPr>
            <w:tcW w:type="dxa" w:w="1065"/>
          </w:tcPr>
          <w:p>
            <w:pPr>
              <w:pStyle w:val="Compact"/>
              <w:spacing w:after="0" w:before="0" w:line="240" w:lineRule="auto"/>
              <w:jc w:val="right"/>
            </w:pPr>
            <w:r>
              <w:rPr>
                <w:rFonts w:ascii="Arial" w:hAnsi="Arial"/>
                <w:sz w:val="15"/>
              </w:rPr>
              <w:t xml:space="preserve">15.6x</w:t>
            </w:r>
          </w:p>
        </w:tc>
        <w:tc>
          <w:tcPr>
            <w:tcW w:type="dxa" w:w="784"/>
          </w:tcPr>
          <w:p>
            <w:pPr>
              <w:pStyle w:val="Compact"/>
              <w:spacing w:after="0" w:before="0" w:line="240" w:lineRule="auto"/>
              <w:jc w:val="right"/>
            </w:pPr>
            <w:r>
              <w:rPr>
                <w:rFonts w:ascii="Arial" w:hAnsi="Arial"/>
                <w:sz w:val="15"/>
              </w:rPr>
              <w:t xml:space="preserve">11.0x</w:t>
            </w:r>
          </w:p>
        </w:tc>
        <w:tc>
          <w:tcPr>
            <w:tcW w:type="dxa" w:w="781"/>
          </w:tcPr>
          <w:p>
            <w:pPr>
              <w:pStyle w:val="Compact"/>
              <w:spacing w:after="0" w:before="0" w:line="240" w:lineRule="auto"/>
              <w:jc w:val="right"/>
            </w:pPr>
            <w:r>
              <w:rPr>
                <w:rFonts w:ascii="Arial" w:hAnsi="Arial"/>
                <w:sz w:val="15"/>
              </w:rPr>
              <w:t xml:space="preserve">11.6x</w:t>
            </w:r>
          </w:p>
        </w:tc>
      </w:tr>
      <w:tr>
        <w:trPr>
          <w:cantSplit/>
        </w:trPr>
        <w:tc>
          <w:tcPr>
            <w:tcW w:type="dxa" w:w="1636"/>
            <w:shd w:val="clear" w:color="auto" w:fill="F1F2F5"/>
          </w:tcPr>
          <w:p>
            <w:pPr>
              <w:pStyle w:val="Compact"/>
              <w:spacing w:after="0" w:before="0" w:line="240" w:lineRule="auto"/>
              <w:jc w:val="left"/>
            </w:pPr>
            <w:r>
              <w:rPr>
                <w:rFonts w:ascii="Arial" w:hAnsi="Arial"/>
                <w:sz w:val="15"/>
              </w:rPr>
              <w:t xml:space="preserve">Swisscom</w:t>
            </w:r>
          </w:p>
        </w:tc>
        <w:tc>
          <w:tcPr>
            <w:tcW w:type="dxa" w:w="923"/>
            <w:shd w:val="clear" w:color="auto" w:fill="F1F2F5"/>
          </w:tcPr>
          <w:p>
            <w:pPr>
              <w:pStyle w:val="Compact"/>
              <w:spacing w:after="0" w:before="0" w:line="240" w:lineRule="auto"/>
              <w:jc w:val="left"/>
            </w:pPr>
            <w:r>
              <w:rPr>
                <w:rFonts w:ascii="Arial" w:hAnsi="Arial"/>
                <w:sz w:val="15"/>
              </w:rPr>
              <w:t xml:space="preserve">SCMN SW</w:t>
            </w:r>
          </w:p>
        </w:tc>
        <w:tc>
          <w:tcPr>
            <w:tcW w:type="dxa" w:w="1030"/>
            <w:shd w:val="clear" w:color="auto" w:fill="F1F2F5"/>
          </w:tcPr>
          <w:p>
            <w:pPr>
              <w:pStyle w:val="Compact"/>
              <w:spacing w:after="0" w:before="0" w:line="240" w:lineRule="auto"/>
              <w:jc w:val="right"/>
            </w:pPr>
            <w:r>
              <w:rPr>
                <w:rFonts w:ascii="Arial" w:hAnsi="Arial"/>
                <w:sz w:val="15"/>
              </w:rPr>
              <w:t xml:space="preserve">42,027</w:t>
            </w:r>
          </w:p>
        </w:tc>
        <w:tc>
          <w:tcPr>
            <w:tcW w:type="dxa" w:w="1169"/>
            <w:shd w:val="clear" w:color="auto" w:fill="F1F2F5"/>
          </w:tcPr>
          <w:p>
            <w:pPr>
              <w:pStyle w:val="Compact"/>
              <w:spacing w:after="0" w:before="0" w:line="240" w:lineRule="auto"/>
              <w:jc w:val="right"/>
            </w:pPr>
            <w:r>
              <w:rPr>
                <w:rFonts w:ascii="Arial" w:hAnsi="Arial"/>
                <w:sz w:val="15"/>
              </w:rPr>
              <w:t xml:space="preserve">3.43x</w:t>
            </w:r>
          </w:p>
        </w:tc>
        <w:tc>
          <w:tcPr>
            <w:tcW w:type="dxa" w:w="1273"/>
            <w:shd w:val="clear" w:color="auto" w:fill="F1F2F5"/>
          </w:tcPr>
          <w:p>
            <w:pPr>
              <w:pStyle w:val="Compact"/>
              <w:spacing w:after="0" w:before="0" w:line="240" w:lineRule="auto"/>
              <w:jc w:val="right"/>
            </w:pPr>
            <w:r>
              <w:rPr>
                <w:rFonts w:ascii="Arial" w:hAnsi="Arial"/>
                <w:sz w:val="15"/>
              </w:rPr>
              <w:t xml:space="preserve">8.66x</w:t>
            </w:r>
          </w:p>
        </w:tc>
        <w:tc>
          <w:tcPr>
            <w:tcW w:type="dxa" w:w="1315"/>
            <w:shd w:val="clear" w:color="auto" w:fill="F1F2F5"/>
          </w:tcPr>
          <w:p>
            <w:pPr>
              <w:pStyle w:val="Compact"/>
              <w:spacing w:after="0" w:before="0" w:line="240" w:lineRule="auto"/>
              <w:jc w:val="right"/>
            </w:pPr>
            <w:r>
              <w:rPr>
                <w:rFonts w:ascii="Arial" w:hAnsi="Arial"/>
                <w:sz w:val="15"/>
              </w:rPr>
              <w:t xml:space="preserve">7.54x</w:t>
            </w:r>
          </w:p>
        </w:tc>
        <w:tc>
          <w:tcPr>
            <w:tcW w:type="dxa" w:w="1065"/>
            <w:shd w:val="clear" w:color="auto" w:fill="F1F2F5"/>
          </w:tcPr>
          <w:p>
            <w:pPr>
              <w:pStyle w:val="Compact"/>
              <w:spacing w:after="0" w:before="0" w:line="240" w:lineRule="auto"/>
              <w:jc w:val="right"/>
            </w:pPr>
            <w:r>
              <w:rPr>
                <w:rFonts w:ascii="Arial" w:hAnsi="Arial"/>
                <w:sz w:val="15"/>
              </w:rPr>
              <w:t xml:space="preserve">25.4x</w:t>
            </w:r>
          </w:p>
        </w:tc>
        <w:tc>
          <w:tcPr>
            <w:tcW w:type="dxa" w:w="784"/>
            <w:shd w:val="clear" w:color="auto" w:fill="F1F2F5"/>
          </w:tcPr>
          <w:p>
            <w:pPr>
              <w:pStyle w:val="Compact"/>
              <w:spacing w:after="0" w:before="0" w:line="240" w:lineRule="auto"/>
              <w:jc w:val="right"/>
            </w:pPr>
            <w:r>
              <w:rPr>
                <w:rFonts w:ascii="Arial" w:hAnsi="Arial"/>
                <w:sz w:val="15"/>
              </w:rPr>
              <w:t xml:space="preserve">26.3x</w:t>
            </w:r>
          </w:p>
        </w:tc>
        <w:tc>
          <w:tcPr>
            <w:tcW w:type="dxa" w:w="781"/>
            <w:shd w:val="clear" w:color="auto" w:fill="F1F2F5"/>
          </w:tcPr>
          <w:p>
            <w:pPr>
              <w:pStyle w:val="Compact"/>
              <w:spacing w:after="0" w:before="0" w:line="240" w:lineRule="auto"/>
              <w:jc w:val="right"/>
            </w:pPr>
            <w:r>
              <w:rPr>
                <w:rFonts w:ascii="Arial" w:hAnsi="Arial"/>
                <w:sz w:val="15"/>
              </w:rPr>
              <w:t xml:space="preserve">22.5x</w:t>
            </w:r>
          </w:p>
        </w:tc>
      </w:tr>
      <w:tr>
        <w:trPr>
          <w:cantSplit/>
        </w:trPr>
        <w:tc>
          <w:tcPr>
            <w:tcW w:type="dxa" w:w="1636"/>
            <w:shd w:val="clear" w:color="auto" w:fill="DCE4F2"/>
          </w:tcPr>
          <w:p>
            <w:pPr>
              <w:pStyle w:val="Compact"/>
              <w:spacing w:after="0" w:before="0" w:line="240" w:lineRule="auto"/>
              <w:jc w:val="left"/>
            </w:pPr>
            <w:r>
              <w:rPr>
                <w:bCs/>
                <w:rFonts w:ascii="Arial" w:hAnsi="Arial"/>
                <w:b/>
                <w:sz w:val="15"/>
              </w:rPr>
              <w:t xml:space="preserve">Median ex-LGU (29)</w:t>
            </w:r>
          </w:p>
        </w:tc>
        <w:tc>
          <w:tcPr>
            <w:tcW w:type="dxa" w:w="923"/>
            <w:shd w:val="clear" w:color="auto" w:fill="DCE4F2"/>
          </w:tcPr>
          <w:p>
            <w:pPr>
              <w:pStyle w:val="Compact"/>
              <w:spacing w:after="0" w:before="0" w:line="240" w:lineRule="auto"/>
            </w:pPr>
          </w:p>
        </w:tc>
        <w:tc>
          <w:tcPr>
            <w:tcW w:type="dxa" w:w="1030"/>
            <w:shd w:val="clear" w:color="auto" w:fill="DCE4F2"/>
          </w:tcPr>
          <w:p>
            <w:pPr>
              <w:pStyle w:val="Compact"/>
              <w:spacing w:after="0" w:before="0" w:line="240" w:lineRule="auto"/>
            </w:pPr>
          </w:p>
        </w:tc>
        <w:tc>
          <w:tcPr>
            <w:tcW w:type="dxa" w:w="1169"/>
            <w:shd w:val="clear" w:color="auto" w:fill="DCE4F2"/>
          </w:tcPr>
          <w:p>
            <w:pPr>
              <w:pStyle w:val="Compact"/>
              <w:spacing w:after="0" w:before="0" w:line="240" w:lineRule="auto"/>
              <w:jc w:val="right"/>
            </w:pPr>
            <w:r>
              <w:rPr>
                <w:bCs/>
                <w:rFonts w:ascii="Arial" w:hAnsi="Arial"/>
                <w:b/>
                <w:sz w:val="15"/>
              </w:rPr>
              <w:t xml:space="preserve">2.73x</w:t>
            </w:r>
          </w:p>
        </w:tc>
        <w:tc>
          <w:tcPr>
            <w:tcW w:type="dxa" w:w="1273"/>
            <w:shd w:val="clear" w:color="auto" w:fill="DCE4F2"/>
          </w:tcPr>
          <w:p>
            <w:pPr>
              <w:pStyle w:val="Compact"/>
              <w:spacing w:after="0" w:before="0" w:line="240" w:lineRule="auto"/>
              <w:jc w:val="right"/>
            </w:pPr>
            <w:r>
              <w:rPr>
                <w:bCs/>
                <w:rFonts w:ascii="Arial" w:hAnsi="Arial"/>
                <w:b/>
                <w:sz w:val="15"/>
              </w:rPr>
              <w:t xml:space="preserve">7.20x</w:t>
            </w:r>
          </w:p>
        </w:tc>
        <w:tc>
          <w:tcPr>
            <w:tcW w:type="dxa" w:w="1315"/>
            <w:shd w:val="clear" w:color="auto" w:fill="DCE4F2"/>
          </w:tcPr>
          <w:p>
            <w:pPr>
              <w:pStyle w:val="Compact"/>
              <w:spacing w:after="0" w:before="0" w:line="240" w:lineRule="auto"/>
              <w:jc w:val="right"/>
            </w:pPr>
            <w:r>
              <w:rPr>
                <w:rFonts w:ascii="Arial" w:hAnsi="Arial"/>
                <w:b/>
                <w:sz w:val="15"/>
              </w:rPr>
              <w:t xml:space="preserve">–</w:t>
            </w:r>
          </w:p>
        </w:tc>
        <w:tc>
          <w:tcPr>
            <w:tcW w:type="dxa" w:w="1065"/>
            <w:shd w:val="clear" w:color="auto" w:fill="DCE4F2"/>
          </w:tcPr>
          <w:p>
            <w:pPr>
              <w:pStyle w:val="Compact"/>
              <w:spacing w:after="0" w:before="0" w:line="240" w:lineRule="auto"/>
              <w:jc w:val="right"/>
            </w:pPr>
            <w:r>
              <w:rPr>
                <w:bCs/>
                <w:rFonts w:ascii="Arial" w:hAnsi="Arial"/>
                <w:b/>
                <w:sz w:val="15"/>
              </w:rPr>
              <w:t xml:space="preserve">16.6x</w:t>
            </w:r>
          </w:p>
        </w:tc>
        <w:tc>
          <w:tcPr>
            <w:tcW w:type="dxa" w:w="784"/>
            <w:shd w:val="clear" w:color="auto" w:fill="DCE4F2"/>
          </w:tcPr>
          <w:p>
            <w:pPr>
              <w:pStyle w:val="Compact"/>
              <w:spacing w:after="0" w:before="0" w:line="240" w:lineRule="auto"/>
              <w:jc w:val="right"/>
            </w:pPr>
            <w:r>
              <w:rPr>
                <w:bCs/>
                <w:rFonts w:ascii="Arial" w:hAnsi="Arial"/>
                <w:b/>
                <w:sz w:val="15"/>
              </w:rPr>
              <w:t xml:space="preserve">16.9x</w:t>
            </w:r>
          </w:p>
        </w:tc>
        <w:tc>
          <w:tcPr>
            <w:tcW w:type="dxa" w:w="781"/>
            <w:shd w:val="clear" w:color="auto" w:fill="DCE4F2"/>
          </w:tcPr>
          <w:p>
            <w:pPr>
              <w:pStyle w:val="Compact"/>
              <w:spacing w:after="0" w:before="0" w:line="240" w:lineRule="auto"/>
              <w:jc w:val="right"/>
            </w:pPr>
            <w:r>
              <w:rPr>
                <w:bCs/>
                <w:rFonts w:ascii="Arial" w:hAnsi="Arial"/>
                <w:b/>
                <w:sz w:val="15"/>
              </w:rPr>
              <w:t xml:space="preserve">12.7x</w:t>
            </w:r>
          </w:p>
        </w:tc>
      </w:tr>
      <w:tr>
        <w:trPr>
          <w:cantSplit/>
        </w:trPr>
        <w:tc>
          <w:tcPr>
            <w:tcW w:type="dxa" w:w="1636"/>
            <w:shd w:val="clear" w:color="auto" w:fill="F1F2F5"/>
          </w:tcPr>
          <w:p>
            <w:pPr>
              <w:pStyle w:val="Compact"/>
              <w:spacing w:after="0" w:before="0" w:line="240" w:lineRule="auto"/>
              <w:jc w:val="left"/>
            </w:pPr>
            <w:r>
              <w:rPr>
                <w:bCs/>
                <w:rFonts w:ascii="Arial" w:hAnsi="Arial"/>
                <w:b/>
                <w:sz w:val="15"/>
              </w:rPr>
              <w:t xml:space="preserve">Korean MNO average (SKT, KT)</w:t>
            </w:r>
          </w:p>
        </w:tc>
        <w:tc>
          <w:tcPr>
            <w:tcW w:type="dxa" w:w="923"/>
            <w:shd w:val="clear" w:color="auto" w:fill="F1F2F5"/>
          </w:tcPr>
          <w:p>
            <w:pPr>
              <w:pStyle w:val="Compact"/>
              <w:spacing w:after="0" w:before="0" w:line="240" w:lineRule="auto"/>
            </w:pPr>
          </w:p>
        </w:tc>
        <w:tc>
          <w:tcPr>
            <w:tcW w:type="dxa" w:w="1030"/>
            <w:shd w:val="clear" w:color="auto" w:fill="F1F2F5"/>
          </w:tcPr>
          <w:p>
            <w:pPr>
              <w:pStyle w:val="Compact"/>
              <w:spacing w:after="0" w:before="0" w:line="240" w:lineRule="auto"/>
            </w:pPr>
          </w:p>
        </w:tc>
        <w:tc>
          <w:tcPr>
            <w:tcW w:type="dxa" w:w="1169"/>
            <w:shd w:val="clear" w:color="auto" w:fill="F1F2F5"/>
          </w:tcPr>
          <w:p>
            <w:pPr>
              <w:pStyle w:val="Compact"/>
              <w:spacing w:after="0" w:before="0" w:line="240" w:lineRule="auto"/>
              <w:jc w:val="right"/>
            </w:pPr>
            <w:r>
              <w:rPr>
                <w:bCs/>
                <w:rFonts w:ascii="Arial" w:hAnsi="Arial"/>
                <w:b/>
                <w:sz w:val="15"/>
              </w:rPr>
              <w:t xml:space="preserve">1.08x</w:t>
            </w:r>
          </w:p>
        </w:tc>
        <w:tc>
          <w:tcPr>
            <w:tcW w:type="dxa" w:w="1273"/>
            <w:shd w:val="clear" w:color="auto" w:fill="F1F2F5"/>
          </w:tcPr>
          <w:p>
            <w:pPr>
              <w:pStyle w:val="Compact"/>
              <w:spacing w:after="0" w:before="0" w:line="240" w:lineRule="auto"/>
              <w:jc w:val="right"/>
            </w:pPr>
            <w:r>
              <w:rPr>
                <w:bCs/>
                <w:rFonts w:ascii="Arial" w:hAnsi="Arial"/>
                <w:b/>
                <w:sz w:val="15"/>
              </w:rPr>
              <w:t xml:space="preserve">4.47x</w:t>
            </w:r>
          </w:p>
        </w:tc>
        <w:tc>
          <w:tcPr>
            <w:tcW w:type="dxa" w:w="1315"/>
            <w:shd w:val="clear" w:color="auto" w:fill="F1F2F5"/>
          </w:tcPr>
          <w:p>
            <w:pPr>
              <w:pStyle w:val="Compact"/>
              <w:spacing w:after="0" w:before="0" w:line="240" w:lineRule="auto"/>
              <w:jc w:val="right"/>
            </w:pPr>
            <w:r>
              <w:rPr>
                <w:bCs/>
                <w:rFonts w:ascii="Arial" w:hAnsi="Arial"/>
                <w:b/>
                <w:sz w:val="15"/>
              </w:rPr>
              <w:t xml:space="preserve">3.86x</w:t>
            </w:r>
          </w:p>
        </w:tc>
        <w:tc>
          <w:tcPr>
            <w:tcW w:type="dxa" w:w="1065"/>
            <w:shd w:val="clear" w:color="auto" w:fill="F1F2F5"/>
          </w:tcPr>
          <w:p>
            <w:pPr>
              <w:pStyle w:val="Compact"/>
              <w:spacing w:after="0" w:before="0" w:line="240" w:lineRule="auto"/>
              <w:jc w:val="right"/>
            </w:pPr>
            <w:r>
              <w:rPr>
                <w:bCs/>
                <w:rFonts w:ascii="Arial" w:hAnsi="Arial"/>
                <w:b/>
                <w:sz w:val="15"/>
              </w:rPr>
              <w:t xml:space="preserve">14.8x</w:t>
            </w:r>
          </w:p>
        </w:tc>
        <w:tc>
          <w:tcPr>
            <w:tcW w:type="dxa" w:w="784"/>
            <w:shd w:val="clear" w:color="auto" w:fill="F1F2F5"/>
          </w:tcPr>
          <w:p>
            <w:pPr>
              <w:pStyle w:val="Compact"/>
              <w:spacing w:after="0" w:before="0" w:line="240" w:lineRule="auto"/>
              <w:jc w:val="right"/>
            </w:pPr>
            <w:r>
              <w:rPr>
                <w:bCs/>
                <w:rFonts w:ascii="Arial" w:hAnsi="Arial"/>
                <w:b/>
                <w:sz w:val="15"/>
              </w:rPr>
              <w:t xml:space="preserve">16.2x</w:t>
            </w:r>
          </w:p>
        </w:tc>
        <w:tc>
          <w:tcPr>
            <w:tcW w:type="dxa" w:w="781"/>
            <w:shd w:val="clear" w:color="auto" w:fill="F1F2F5"/>
          </w:tcPr>
          <w:p>
            <w:pPr>
              <w:pStyle w:val="Compact"/>
              <w:spacing w:after="0" w:before="0" w:line="240" w:lineRule="auto"/>
              <w:jc w:val="right"/>
            </w:pPr>
            <w:r>
              <w:rPr>
                <w:bCs/>
                <w:rFonts w:ascii="Arial" w:hAnsi="Arial"/>
                <w:b/>
                <w:sz w:val="15"/>
              </w:rPr>
              <w:t xml:space="preserve">8.8x</w:t>
            </w:r>
          </w:p>
        </w:tc>
      </w:tr>
    </w:tbl>
    <w:p>
      <w:pPr>
        <w:pStyle w:val="BodyText"/>
      </w:pPr>
      <w:r>
        <w:rPr>
          <w:bCs/>
          <w:b/>
        </w:rPr>
        <w:t xml:space="preserve">(b) Operating and financial metrics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2142"/>
        <w:gridCol w:w="1095"/>
        <w:gridCol w:w="951"/>
        <w:gridCol w:w="1050"/>
        <w:gridCol w:w="1367"/>
        <w:gridCol w:w="1000"/>
        <w:gridCol w:w="1022"/>
        <w:gridCol w:w="1346"/>
      </w:tblGrid>
      <w:tr>
        <w:trPr>
          <w:tblHeader w:val="true"/>
          <w:tblHeader w:val="true"/>
          <w:cantSplit/>
        </w:trPr>
        <w:tc>
          <w:tcPr>
            <w:tcW w:type="dxa" w:w="2143"/>
            <w:shd w:val="clear" w:color="auto" w:fill="13213F"/>
          </w:tcPr>
          <w:p>
            <w:pPr>
              <w:pStyle w:val="Compact"/>
              <w:spacing w:after="0" w:before="0" w:line="240" w:lineRule="auto"/>
              <w:jc w:val="left"/>
            </w:pPr>
            <w:r>
              <w:rPr>
                <w:rFonts w:ascii="Arial" w:hAnsi="Arial"/>
                <w:b/>
                <w:color w:val="FFFFFF"/>
                <w:sz w:val="15"/>
              </w:rPr>
              <w:t xml:space="preserve">Company</w:t>
            </w:r>
          </w:p>
        </w:tc>
        <w:tc>
          <w:tcPr>
            <w:tcW w:type="dxa" w:w="1096"/>
            <w:shd w:val="clear" w:color="auto" w:fill="13213F"/>
          </w:tcPr>
          <w:p>
            <w:pPr>
              <w:pStyle w:val="Compact"/>
              <w:spacing w:after="0" w:before="0" w:line="240" w:lineRule="auto"/>
              <w:jc w:val="right"/>
            </w:pPr>
            <w:r>
              <w:rPr>
                <w:rFonts w:ascii="Arial" w:hAnsi="Arial"/>
                <w:b/>
                <w:color w:val="FFFFFF"/>
                <w:sz w:val="15"/>
              </w:rPr>
              <w:t xml:space="preserve">EBITDA m.</w:t>
            </w:r>
          </w:p>
        </w:tc>
        <w:tc>
          <w:tcPr>
            <w:tcW w:type="dxa" w:w="952"/>
            <w:shd w:val="clear" w:color="auto" w:fill="13213F"/>
          </w:tcPr>
          <w:p>
            <w:pPr>
              <w:pStyle w:val="Compact"/>
              <w:spacing w:after="0" w:before="0" w:line="240" w:lineRule="auto"/>
              <w:jc w:val="right"/>
            </w:pPr>
            <w:r>
              <w:rPr>
                <w:rFonts w:ascii="Arial" w:hAnsi="Arial"/>
                <w:b/>
                <w:color w:val="FFFFFF"/>
                <w:sz w:val="15"/>
              </w:rPr>
              <w:t xml:space="preserve">EBIT m.</w:t>
            </w:r>
          </w:p>
        </w:tc>
        <w:tc>
          <w:tcPr>
            <w:tcW w:type="dxa" w:w="1050"/>
            <w:shd w:val="clear" w:color="auto" w:fill="13213F"/>
          </w:tcPr>
          <w:p>
            <w:pPr>
              <w:pStyle w:val="Compact"/>
              <w:spacing w:after="0" w:before="0" w:line="240" w:lineRule="auto"/>
              <w:jc w:val="right"/>
            </w:pPr>
            <w:r>
              <w:rPr>
                <w:rFonts w:ascii="Arial" w:hAnsi="Arial"/>
                <w:b/>
                <w:color w:val="FFFFFF"/>
                <w:sz w:val="15"/>
              </w:rPr>
              <w:t xml:space="preserve">Sales g.</w:t>
            </w:r>
          </w:p>
        </w:tc>
        <w:tc>
          <w:tcPr>
            <w:tcW w:type="dxa" w:w="1367"/>
            <w:shd w:val="clear" w:color="auto" w:fill="13213F"/>
          </w:tcPr>
          <w:p>
            <w:pPr>
              <w:pStyle w:val="Compact"/>
              <w:spacing w:after="0" w:before="0" w:line="240" w:lineRule="auto"/>
              <w:jc w:val="right"/>
            </w:pPr>
            <w:r>
              <w:rPr>
                <w:rFonts w:ascii="Arial" w:hAnsi="Arial"/>
                <w:b/>
                <w:color w:val="FFFFFF"/>
                <w:sz w:val="15"/>
              </w:rPr>
              <w:t xml:space="preserve">ND/EBITDA</w:t>
            </w:r>
          </w:p>
        </w:tc>
        <w:tc>
          <w:tcPr>
            <w:tcW w:type="dxa" w:w="1001"/>
            <w:shd w:val="clear" w:color="auto" w:fill="13213F"/>
          </w:tcPr>
          <w:p>
            <w:pPr>
              <w:pStyle w:val="Compact"/>
              <w:spacing w:after="0" w:before="0" w:line="240" w:lineRule="auto"/>
              <w:jc w:val="right"/>
            </w:pPr>
            <w:r>
              <w:rPr>
                <w:rFonts w:ascii="Arial" w:hAnsi="Arial"/>
                <w:b/>
                <w:color w:val="FFFFFF"/>
                <w:sz w:val="15"/>
              </w:rPr>
              <w:t xml:space="preserve">Div. yield</w:t>
            </w:r>
          </w:p>
        </w:tc>
        <w:tc>
          <w:tcPr>
            <w:tcW w:type="dxa" w:w="1023"/>
            <w:shd w:val="clear" w:color="auto" w:fill="13213F"/>
          </w:tcPr>
          <w:p>
            <w:pPr>
              <w:pStyle w:val="Compact"/>
              <w:spacing w:after="0" w:before="0" w:line="240" w:lineRule="auto"/>
              <w:jc w:val="right"/>
            </w:pPr>
            <w:r>
              <w:rPr>
                <w:rFonts w:ascii="Arial" w:hAnsi="Arial"/>
                <w:b/>
                <w:color w:val="FFFFFF"/>
                <w:sz w:val="15"/>
              </w:rPr>
              <w:t xml:space="preserve">P/B</w:t>
            </w:r>
          </w:p>
        </w:tc>
        <w:tc>
          <w:tcPr>
            <w:tcW w:type="dxa" w:w="1346"/>
            <w:shd w:val="clear" w:color="auto" w:fill="13213F"/>
          </w:tcPr>
          <w:p>
            <w:pPr>
              <w:pStyle w:val="Compact"/>
              <w:spacing w:after="0" w:before="0" w:line="240" w:lineRule="auto"/>
              <w:jc w:val="right"/>
            </w:pPr>
            <w:r>
              <w:rPr>
                <w:rFonts w:ascii="Arial" w:hAnsi="Arial"/>
                <w:b/>
                <w:color w:val="FFFFFF"/>
                <w:sz w:val="15"/>
              </w:rPr>
              <w:t xml:space="preserve">Levered FCF yield</w:t>
            </w:r>
          </w:p>
        </w:tc>
      </w:tr>
      <w:tr>
        <w:trPr>
          <w:cantSplit/>
        </w:trPr>
        <w:tc>
          <w:tcPr>
            <w:tcW w:type="dxa" w:w="2143"/>
          </w:tcPr>
          <w:p>
            <w:pPr>
              <w:pStyle w:val="Compact"/>
              <w:spacing w:after="0" w:before="0" w:line="240" w:lineRule="auto"/>
              <w:jc w:val="left"/>
            </w:pPr>
            <w:r>
              <w:rPr>
                <w:bCs/>
                <w:rFonts w:ascii="Arial" w:hAnsi="Arial"/>
                <w:b/>
                <w:sz w:val="15"/>
              </w:rPr>
              <w:t xml:space="preserve">LG Uplus</w:t>
            </w:r>
          </w:p>
        </w:tc>
        <w:tc>
          <w:tcPr>
            <w:tcW w:type="dxa" w:w="1096"/>
          </w:tcPr>
          <w:p>
            <w:pPr>
              <w:pStyle w:val="Compact"/>
              <w:spacing w:after="0" w:before="0" w:line="240" w:lineRule="auto"/>
              <w:jc w:val="right"/>
            </w:pPr>
            <w:r>
              <w:rPr>
                <w:bCs/>
                <w:rFonts w:ascii="Arial" w:hAnsi="Arial"/>
                <w:b/>
                <w:sz w:val="15"/>
              </w:rPr>
              <w:t xml:space="preserve">24.0%</w:t>
            </w:r>
          </w:p>
        </w:tc>
        <w:tc>
          <w:tcPr>
            <w:tcW w:type="dxa" w:w="952"/>
          </w:tcPr>
          <w:p>
            <w:pPr>
              <w:pStyle w:val="Compact"/>
              <w:spacing w:after="0" w:before="0" w:line="240" w:lineRule="auto"/>
              <w:jc w:val="right"/>
            </w:pPr>
            <w:r>
              <w:rPr>
                <w:bCs/>
                <w:rFonts w:ascii="Arial" w:hAnsi="Arial"/>
                <w:b/>
                <w:sz w:val="15"/>
              </w:rPr>
              <w:t xml:space="preserve">6.2%</w:t>
            </w:r>
          </w:p>
        </w:tc>
        <w:tc>
          <w:tcPr>
            <w:tcW w:type="dxa" w:w="1050"/>
          </w:tcPr>
          <w:p>
            <w:pPr>
              <w:pStyle w:val="Compact"/>
              <w:spacing w:after="0" w:before="0" w:line="240" w:lineRule="auto"/>
              <w:jc w:val="right"/>
            </w:pPr>
            <w:r>
              <w:rPr>
                <w:bCs/>
                <w:rFonts w:ascii="Arial" w:hAnsi="Arial"/>
                <w:b/>
                <w:sz w:val="15"/>
              </w:rPr>
              <w:t xml:space="preserve">1.4%</w:t>
            </w:r>
          </w:p>
        </w:tc>
        <w:tc>
          <w:tcPr>
            <w:tcW w:type="dxa" w:w="1367"/>
          </w:tcPr>
          <w:p>
            <w:pPr>
              <w:pStyle w:val="Compact"/>
              <w:spacing w:after="0" w:before="0" w:line="240" w:lineRule="auto"/>
              <w:jc w:val="right"/>
            </w:pPr>
            <w:r>
              <w:rPr>
                <w:bCs/>
                <w:rFonts w:ascii="Arial" w:hAnsi="Arial"/>
                <w:b/>
                <w:sz w:val="15"/>
              </w:rPr>
              <w:t xml:space="preserve">1.22x</w:t>
            </w:r>
          </w:p>
        </w:tc>
        <w:tc>
          <w:tcPr>
            <w:tcW w:type="dxa" w:w="1001"/>
          </w:tcPr>
          <w:p>
            <w:pPr>
              <w:pStyle w:val="Compact"/>
              <w:spacing w:after="0" w:before="0" w:line="240" w:lineRule="auto"/>
              <w:jc w:val="right"/>
            </w:pPr>
            <w:r>
              <w:rPr>
                <w:bCs/>
                <w:rFonts w:ascii="Arial" w:hAnsi="Arial"/>
                <w:b/>
                <w:sz w:val="15"/>
              </w:rPr>
              <w:t xml:space="preserve">4.5%</w:t>
            </w:r>
            <w:r>
              <w:rPr>
                <w:rFonts w:ascii="Arial" w:hAnsi="Arial"/>
                <w:sz w:val="15"/>
              </w:rPr>
              <w:t xml:space="preserve"> </w:t>
            </w:r>
            <w:r>
              <w:rPr>
                <w:rFonts w:ascii="Arial" w:hAnsi="Arial"/>
                <w:sz w:val="15"/>
              </w:rPr>
              <w:t xml:space="preserve">[e]</w:t>
            </w:r>
          </w:p>
        </w:tc>
        <w:tc>
          <w:tcPr>
            <w:tcW w:type="dxa" w:w="1023"/>
          </w:tcPr>
          <w:p>
            <w:pPr>
              <w:pStyle w:val="Compact"/>
              <w:spacing w:after="0" w:before="0" w:line="240" w:lineRule="auto"/>
              <w:jc w:val="right"/>
            </w:pPr>
            <w:r>
              <w:rPr>
                <w:bCs/>
                <w:rFonts w:ascii="Arial" w:hAnsi="Arial"/>
                <w:b/>
                <w:sz w:val="15"/>
              </w:rPr>
              <w:t xml:space="preserve">0.73x</w:t>
            </w:r>
          </w:p>
        </w:tc>
        <w:tc>
          <w:tcPr>
            <w:tcW w:type="dxa" w:w="1346"/>
          </w:tcPr>
          <w:p>
            <w:pPr>
              <w:pStyle w:val="Compact"/>
              <w:spacing w:after="0" w:before="0" w:line="240" w:lineRule="auto"/>
              <w:jc w:val="right"/>
            </w:pPr>
            <w:r>
              <w:rPr>
                <w:bCs/>
                <w:rFonts w:ascii="Arial" w:hAnsi="Arial"/>
                <w:b/>
                <w:sz w:val="15"/>
              </w:rPr>
              <w:t xml:space="preserve">13.3%</w:t>
            </w:r>
          </w:p>
        </w:tc>
      </w:tr>
      <w:tr>
        <w:trPr>
          <w:cantSplit/>
        </w:trPr>
        <w:tc>
          <w:tcPr>
            <w:tcW w:type="dxa" w:w="2143"/>
            <w:shd w:val="clear" w:color="auto" w:fill="F1F2F5"/>
          </w:tcPr>
          <w:p>
            <w:pPr>
              <w:pStyle w:val="Compact"/>
              <w:spacing w:after="0" w:before="0" w:line="240" w:lineRule="auto"/>
              <w:jc w:val="left"/>
            </w:pPr>
            <w:r>
              <w:rPr>
                <w:rFonts w:ascii="Arial" w:hAnsi="Arial"/>
                <w:sz w:val="15"/>
              </w:rPr>
              <w:t xml:space="preserve">SK Telecom</w:t>
            </w:r>
          </w:p>
        </w:tc>
        <w:tc>
          <w:tcPr>
            <w:tcW w:type="dxa" w:w="1096"/>
            <w:shd w:val="clear" w:color="auto" w:fill="F1F2F5"/>
          </w:tcPr>
          <w:p>
            <w:pPr>
              <w:pStyle w:val="Compact"/>
              <w:spacing w:after="0" w:before="0" w:line="240" w:lineRule="auto"/>
              <w:jc w:val="right"/>
            </w:pPr>
            <w:r>
              <w:rPr>
                <w:rFonts w:ascii="Arial" w:hAnsi="Arial"/>
                <w:sz w:val="15"/>
              </w:rPr>
              <w:t xml:space="preserve">25.8%</w:t>
            </w:r>
          </w:p>
        </w:tc>
        <w:tc>
          <w:tcPr>
            <w:tcW w:type="dxa" w:w="952"/>
            <w:shd w:val="clear" w:color="auto" w:fill="F1F2F5"/>
          </w:tcPr>
          <w:p>
            <w:pPr>
              <w:pStyle w:val="Compact"/>
              <w:spacing w:after="0" w:before="0" w:line="240" w:lineRule="auto"/>
              <w:jc w:val="right"/>
            </w:pPr>
            <w:r>
              <w:rPr>
                <w:rFonts w:ascii="Arial" w:hAnsi="Arial"/>
                <w:sz w:val="15"/>
              </w:rPr>
              <w:t xml:space="preserve">7.5%</w:t>
            </w:r>
          </w:p>
        </w:tc>
        <w:tc>
          <w:tcPr>
            <w:tcW w:type="dxa" w:w="1050"/>
            <w:shd w:val="clear" w:color="auto" w:fill="F1F2F5"/>
          </w:tcPr>
          <w:p>
            <w:pPr>
              <w:pStyle w:val="Compact"/>
              <w:spacing w:after="0" w:before="0" w:line="240" w:lineRule="auto"/>
              <w:jc w:val="right"/>
            </w:pPr>
            <w:r>
              <w:rPr>
                <w:rFonts w:ascii="Arial" w:hAnsi="Arial"/>
                <w:sz w:val="15"/>
              </w:rPr>
              <w:t xml:space="preserve">-4.4%</w:t>
            </w:r>
          </w:p>
        </w:tc>
        <w:tc>
          <w:tcPr>
            <w:tcW w:type="dxa" w:w="1367"/>
            <w:shd w:val="clear" w:color="auto" w:fill="F1F2F5"/>
          </w:tcPr>
          <w:p>
            <w:pPr>
              <w:pStyle w:val="Compact"/>
              <w:spacing w:after="0" w:before="0" w:line="240" w:lineRule="auto"/>
              <w:jc w:val="right"/>
            </w:pPr>
            <w:r>
              <w:rPr>
                <w:rFonts w:ascii="Arial" w:hAnsi="Arial"/>
                <w:sz w:val="15"/>
              </w:rPr>
              <w:t xml:space="preserve">1.86x</w:t>
            </w:r>
          </w:p>
        </w:tc>
        <w:tc>
          <w:tcPr>
            <w:tcW w:type="dxa" w:w="1001"/>
            <w:shd w:val="clear" w:color="auto" w:fill="F1F2F5"/>
          </w:tcPr>
          <w:p>
            <w:pPr>
              <w:pStyle w:val="Compact"/>
              <w:spacing w:after="0" w:before="0" w:line="240" w:lineRule="auto"/>
              <w:jc w:val="right"/>
            </w:pPr>
            <w:r>
              <w:rPr>
                <w:rFonts w:ascii="Arial" w:hAnsi="Arial"/>
                <w:sz w:val="15"/>
              </w:rPr>
              <w:t xml:space="preserve">2.1%</w:t>
            </w:r>
          </w:p>
        </w:tc>
        <w:tc>
          <w:tcPr>
            <w:tcW w:type="dxa" w:w="1023"/>
            <w:shd w:val="clear" w:color="auto" w:fill="F1F2F5"/>
          </w:tcPr>
          <w:p>
            <w:pPr>
              <w:pStyle w:val="Compact"/>
              <w:spacing w:after="0" w:before="0" w:line="240" w:lineRule="auto"/>
              <w:jc w:val="right"/>
            </w:pPr>
            <w:r>
              <w:rPr>
                <w:rFonts w:ascii="Arial" w:hAnsi="Arial"/>
                <w:sz w:val="15"/>
              </w:rPr>
              <w:t xml:space="preserve">1.08x</w:t>
            </w:r>
          </w:p>
        </w:tc>
        <w:tc>
          <w:tcPr>
            <w:tcW w:type="dxa" w:w="1346"/>
            <w:shd w:val="clear" w:color="auto" w:fill="F1F2F5"/>
          </w:tcPr>
          <w:p>
            <w:pPr>
              <w:pStyle w:val="Compact"/>
              <w:spacing w:after="0" w:before="0" w:line="240" w:lineRule="auto"/>
              <w:jc w:val="right"/>
            </w:pPr>
            <w:r>
              <w:rPr>
                <w:rFonts w:ascii="Arial" w:hAnsi="Arial"/>
                <w:sz w:val="15"/>
              </w:rPr>
              <w:t xml:space="preserve">5.6%</w:t>
            </w:r>
          </w:p>
        </w:tc>
      </w:tr>
      <w:tr>
        <w:trPr>
          <w:cantSplit/>
        </w:trPr>
        <w:tc>
          <w:tcPr>
            <w:tcW w:type="dxa" w:w="2143"/>
          </w:tcPr>
          <w:p>
            <w:pPr>
              <w:pStyle w:val="Compact"/>
              <w:spacing w:after="0" w:before="0" w:line="240" w:lineRule="auto"/>
              <w:jc w:val="left"/>
            </w:pPr>
            <w:r>
              <w:rPr>
                <w:rFonts w:ascii="Arial" w:hAnsi="Arial"/>
                <w:sz w:val="15"/>
              </w:rPr>
              <w:t xml:space="preserve">KT Corp</w:t>
            </w:r>
          </w:p>
        </w:tc>
        <w:tc>
          <w:tcPr>
            <w:tcW w:type="dxa" w:w="1096"/>
          </w:tcPr>
          <w:p>
            <w:pPr>
              <w:pStyle w:val="Compact"/>
              <w:spacing w:after="0" w:before="0" w:line="240" w:lineRule="auto"/>
              <w:jc w:val="right"/>
            </w:pPr>
            <w:r>
              <w:rPr>
                <w:rFonts w:ascii="Arial" w:hAnsi="Arial"/>
                <w:sz w:val="15"/>
              </w:rPr>
              <w:t xml:space="preserve">21.0%</w:t>
            </w:r>
          </w:p>
        </w:tc>
        <w:tc>
          <w:tcPr>
            <w:tcW w:type="dxa" w:w="952"/>
          </w:tcPr>
          <w:p>
            <w:pPr>
              <w:pStyle w:val="Compact"/>
              <w:spacing w:after="0" w:before="0" w:line="240" w:lineRule="auto"/>
              <w:jc w:val="right"/>
            </w:pPr>
            <w:r>
              <w:rPr>
                <w:rFonts w:ascii="Arial" w:hAnsi="Arial"/>
                <w:sz w:val="15"/>
              </w:rPr>
              <w:t xml:space="preserve">6.8%</w:t>
            </w:r>
          </w:p>
        </w:tc>
        <w:tc>
          <w:tcPr>
            <w:tcW w:type="dxa" w:w="1050"/>
          </w:tcPr>
          <w:p>
            <w:pPr>
              <w:pStyle w:val="Compact"/>
              <w:spacing w:after="0" w:before="0" w:line="240" w:lineRule="auto"/>
              <w:jc w:val="right"/>
            </w:pPr>
            <w:r>
              <w:rPr>
                <w:rFonts w:ascii="Arial" w:hAnsi="Arial"/>
                <w:sz w:val="15"/>
              </w:rPr>
              <w:t xml:space="preserve">-0.3%</w:t>
            </w:r>
          </w:p>
        </w:tc>
        <w:tc>
          <w:tcPr>
            <w:tcW w:type="dxa" w:w="1367"/>
          </w:tcPr>
          <w:p>
            <w:pPr>
              <w:pStyle w:val="Compact"/>
              <w:spacing w:after="0" w:before="0" w:line="240" w:lineRule="auto"/>
              <w:jc w:val="right"/>
            </w:pPr>
            <w:r>
              <w:rPr>
                <w:rFonts w:ascii="Arial" w:hAnsi="Arial"/>
                <w:sz w:val="15"/>
              </w:rPr>
              <w:t xml:space="preserve">1.33x</w:t>
            </w:r>
          </w:p>
        </w:tc>
        <w:tc>
          <w:tcPr>
            <w:tcW w:type="dxa" w:w="1001"/>
          </w:tcPr>
          <w:p>
            <w:pPr>
              <w:pStyle w:val="Compact"/>
              <w:spacing w:after="0" w:before="0" w:line="240" w:lineRule="auto"/>
              <w:jc w:val="right"/>
            </w:pPr>
            <w:r>
              <w:rPr>
                <w:rFonts w:ascii="Arial" w:hAnsi="Arial"/>
                <w:sz w:val="15"/>
              </w:rPr>
              <w:t xml:space="preserve">4.8%</w:t>
            </w:r>
          </w:p>
        </w:tc>
        <w:tc>
          <w:tcPr>
            <w:tcW w:type="dxa" w:w="1023"/>
          </w:tcPr>
          <w:p>
            <w:pPr>
              <w:pStyle w:val="Compact"/>
              <w:spacing w:after="0" w:before="0" w:line="240" w:lineRule="auto"/>
              <w:jc w:val="right"/>
            </w:pPr>
            <w:r>
              <w:rPr>
                <w:rFonts w:ascii="Arial" w:hAnsi="Arial"/>
                <w:sz w:val="15"/>
              </w:rPr>
              <w:t xml:space="preserve">0.65x</w:t>
            </w:r>
          </w:p>
        </w:tc>
        <w:tc>
          <w:tcPr>
            <w:tcW w:type="dxa" w:w="1346"/>
          </w:tcPr>
          <w:p>
            <w:pPr>
              <w:pStyle w:val="Compact"/>
              <w:spacing w:after="0" w:before="0" w:line="240" w:lineRule="auto"/>
              <w:jc w:val="right"/>
            </w:pPr>
            <w:r>
              <w:rPr>
                <w:rFonts w:ascii="Arial" w:hAnsi="Arial"/>
                <w:sz w:val="15"/>
              </w:rPr>
              <w:t xml:space="preserve">7.2%</w:t>
            </w:r>
          </w:p>
        </w:tc>
      </w:tr>
      <w:tr>
        <w:trPr>
          <w:cantSplit/>
        </w:trPr>
        <w:tc>
          <w:tcPr>
            <w:tcW w:type="dxa" w:w="2143"/>
            <w:shd w:val="clear" w:color="auto" w:fill="F1F2F5"/>
          </w:tcPr>
          <w:p>
            <w:pPr>
              <w:pStyle w:val="Compact"/>
              <w:spacing w:after="0" w:before="0" w:line="240" w:lineRule="auto"/>
              <w:jc w:val="left"/>
            </w:pPr>
            <w:r>
              <w:rPr>
                <w:rFonts w:ascii="Arial" w:hAnsi="Arial"/>
                <w:sz w:val="15"/>
              </w:rPr>
              <w:t xml:space="preserve">KT Skylife</w:t>
            </w:r>
          </w:p>
        </w:tc>
        <w:tc>
          <w:tcPr>
            <w:tcW w:type="dxa" w:w="1096"/>
            <w:shd w:val="clear" w:color="auto" w:fill="F1F2F5"/>
          </w:tcPr>
          <w:p>
            <w:pPr>
              <w:pStyle w:val="Compact"/>
              <w:spacing w:after="0" w:before="0" w:line="240" w:lineRule="auto"/>
              <w:jc w:val="right"/>
            </w:pPr>
            <w:r>
              <w:rPr>
                <w:rFonts w:ascii="Arial" w:hAnsi="Arial"/>
                <w:sz w:val="15"/>
              </w:rPr>
              <w:t xml:space="preserve">15.1%</w:t>
            </w:r>
          </w:p>
        </w:tc>
        <w:tc>
          <w:tcPr>
            <w:tcW w:type="dxa" w:w="952"/>
            <w:shd w:val="clear" w:color="auto" w:fill="F1F2F5"/>
          </w:tcPr>
          <w:p>
            <w:pPr>
              <w:pStyle w:val="Compact"/>
              <w:spacing w:after="0" w:before="0" w:line="240" w:lineRule="auto"/>
              <w:jc w:val="right"/>
            </w:pPr>
            <w:r>
              <w:rPr>
                <w:rFonts w:ascii="Arial" w:hAnsi="Arial"/>
                <w:sz w:val="15"/>
              </w:rPr>
              <w:t xml:space="preserve">2.0%</w:t>
            </w:r>
          </w:p>
        </w:tc>
        <w:tc>
          <w:tcPr>
            <w:tcW w:type="dxa" w:w="1050"/>
            <w:shd w:val="clear" w:color="auto" w:fill="F1F2F5"/>
          </w:tcPr>
          <w:p>
            <w:pPr>
              <w:pStyle w:val="Compact"/>
              <w:spacing w:after="0" w:before="0" w:line="240" w:lineRule="auto"/>
              <w:jc w:val="right"/>
            </w:pPr>
            <w:r>
              <w:rPr>
                <w:rFonts w:ascii="Arial" w:hAnsi="Arial"/>
                <w:sz w:val="15"/>
              </w:rPr>
              <w:t xml:space="preserve">-2.1%</w:t>
            </w:r>
          </w:p>
        </w:tc>
        <w:tc>
          <w:tcPr>
            <w:tcW w:type="dxa" w:w="1367"/>
            <w:shd w:val="clear" w:color="auto" w:fill="F1F2F5"/>
          </w:tcPr>
          <w:p>
            <w:pPr>
              <w:pStyle w:val="Compact"/>
              <w:spacing w:after="0" w:before="0" w:line="240" w:lineRule="auto"/>
              <w:jc w:val="right"/>
            </w:pPr>
            <w:r>
              <w:rPr>
                <w:rFonts w:ascii="Arial" w:hAnsi="Arial"/>
                <w:sz w:val="15"/>
              </w:rPr>
              <w:t xml:space="preserve">0.19x</w:t>
            </w:r>
          </w:p>
        </w:tc>
        <w:tc>
          <w:tcPr>
            <w:tcW w:type="dxa" w:w="1001"/>
            <w:shd w:val="clear" w:color="auto" w:fill="F1F2F5"/>
          </w:tcPr>
          <w:p>
            <w:pPr>
              <w:pStyle w:val="Compact"/>
              <w:spacing w:after="0" w:before="0" w:line="240" w:lineRule="auto"/>
              <w:jc w:val="right"/>
            </w:pPr>
            <w:r>
              <w:rPr>
                <w:rFonts w:ascii="Arial" w:hAnsi="Arial"/>
                <w:sz w:val="15"/>
              </w:rPr>
              <w:t xml:space="preserve">8.7%</w:t>
            </w:r>
          </w:p>
        </w:tc>
        <w:tc>
          <w:tcPr>
            <w:tcW w:type="dxa" w:w="1023"/>
            <w:shd w:val="clear" w:color="auto" w:fill="F1F2F5"/>
          </w:tcPr>
          <w:p>
            <w:pPr>
              <w:pStyle w:val="Compact"/>
              <w:spacing w:after="0" w:before="0" w:line="240" w:lineRule="auto"/>
              <w:jc w:val="right"/>
            </w:pPr>
            <w:r>
              <w:rPr>
                <w:rFonts w:ascii="Arial" w:hAnsi="Arial"/>
                <w:sz w:val="15"/>
              </w:rPr>
              <w:t xml:space="preserve">0.35x</w:t>
            </w:r>
          </w:p>
        </w:tc>
        <w:tc>
          <w:tcPr>
            <w:tcW w:type="dxa" w:w="1346"/>
            <w:shd w:val="clear" w:color="auto" w:fill="F1F2F5"/>
          </w:tcPr>
          <w:p>
            <w:pPr>
              <w:pStyle w:val="Compact"/>
              <w:spacing w:after="0" w:before="0" w:line="240" w:lineRule="auto"/>
              <w:jc w:val="right"/>
            </w:pPr>
            <w:r>
              <w:rPr>
                <w:rFonts w:ascii="Arial" w:hAnsi="Arial"/>
                <w:sz w:val="15"/>
              </w:rPr>
              <w:t xml:space="preserve">4.0%</w:t>
            </w:r>
          </w:p>
        </w:tc>
      </w:tr>
      <w:tr>
        <w:trPr>
          <w:cantSplit/>
        </w:trPr>
        <w:tc>
          <w:tcPr>
            <w:tcW w:type="dxa" w:w="2143"/>
          </w:tcPr>
          <w:p>
            <w:pPr>
              <w:pStyle w:val="Compact"/>
              <w:spacing w:after="0" w:before="0" w:line="240" w:lineRule="auto"/>
              <w:jc w:val="left"/>
            </w:pPr>
            <w:r>
              <w:rPr>
                <w:rFonts w:ascii="Arial" w:hAnsi="Arial"/>
                <w:sz w:val="15"/>
              </w:rPr>
              <w:t xml:space="preserve">LG HelloVision</w:t>
            </w:r>
          </w:p>
        </w:tc>
        <w:tc>
          <w:tcPr>
            <w:tcW w:type="dxa" w:w="1096"/>
          </w:tcPr>
          <w:p>
            <w:pPr>
              <w:pStyle w:val="Compact"/>
              <w:spacing w:after="0" w:before="0" w:line="240" w:lineRule="auto"/>
              <w:jc w:val="right"/>
            </w:pPr>
            <w:r>
              <w:rPr>
                <w:rFonts w:ascii="Arial" w:hAnsi="Arial"/>
                <w:sz w:val="15"/>
              </w:rPr>
              <w:t xml:space="preserve">10.2%</w:t>
            </w:r>
          </w:p>
        </w:tc>
        <w:tc>
          <w:tcPr>
            <w:tcW w:type="dxa" w:w="952"/>
          </w:tcPr>
          <w:p>
            <w:pPr>
              <w:pStyle w:val="Compact"/>
              <w:spacing w:after="0" w:before="0" w:line="240" w:lineRule="auto"/>
              <w:jc w:val="right"/>
            </w:pPr>
            <w:r>
              <w:rPr>
                <w:rFonts w:ascii="Arial" w:hAnsi="Arial"/>
                <w:sz w:val="15"/>
              </w:rPr>
              <w:t xml:space="preserve">0.8%</w:t>
            </w:r>
          </w:p>
        </w:tc>
        <w:tc>
          <w:tcPr>
            <w:tcW w:type="dxa" w:w="1050"/>
          </w:tcPr>
          <w:p>
            <w:pPr>
              <w:pStyle w:val="Compact"/>
              <w:spacing w:after="0" w:before="0" w:line="240" w:lineRule="auto"/>
              <w:jc w:val="right"/>
            </w:pPr>
            <w:r>
              <w:rPr>
                <w:rFonts w:ascii="Arial" w:hAnsi="Arial"/>
                <w:sz w:val="15"/>
              </w:rPr>
              <w:t xml:space="preserve">-16.5%</w:t>
            </w:r>
          </w:p>
        </w:tc>
        <w:tc>
          <w:tcPr>
            <w:tcW w:type="dxa" w:w="1367"/>
          </w:tcPr>
          <w:p>
            <w:pPr>
              <w:pStyle w:val="Compact"/>
              <w:spacing w:after="0" w:before="0" w:line="240" w:lineRule="auto"/>
              <w:jc w:val="right"/>
            </w:pPr>
            <w:r>
              <w:rPr>
                <w:rFonts w:ascii="Arial" w:hAnsi="Arial"/>
                <w:sz w:val="15"/>
              </w:rPr>
              <w:t xml:space="preserve">3.56x</w:t>
            </w:r>
          </w:p>
        </w:tc>
        <w:tc>
          <w:tcPr>
            <w:tcW w:type="dxa" w:w="1001"/>
          </w:tcPr>
          <w:p>
            <w:pPr>
              <w:pStyle w:val="Compact"/>
              <w:spacing w:after="0" w:before="0" w:line="240" w:lineRule="auto"/>
              <w:jc w:val="right"/>
            </w:pPr>
            <w:r>
              <w:rPr>
                <w:rFonts w:ascii="Arial" w:hAnsi="Arial"/>
                <w:sz w:val="15"/>
              </w:rPr>
              <w:t xml:space="preserve">n/a</w:t>
            </w:r>
          </w:p>
        </w:tc>
        <w:tc>
          <w:tcPr>
            <w:tcW w:type="dxa" w:w="1023"/>
          </w:tcPr>
          <w:p>
            <w:pPr>
              <w:pStyle w:val="Compact"/>
              <w:spacing w:after="0" w:before="0" w:line="240" w:lineRule="auto"/>
              <w:jc w:val="right"/>
            </w:pPr>
            <w:r>
              <w:rPr>
                <w:rFonts w:ascii="Arial" w:hAnsi="Arial"/>
                <w:sz w:val="15"/>
              </w:rPr>
              <w:t xml:space="preserve">0.26x</w:t>
            </w:r>
          </w:p>
        </w:tc>
        <w:tc>
          <w:tcPr>
            <w:tcW w:type="dxa" w:w="1346"/>
          </w:tcPr>
          <w:p>
            <w:pPr>
              <w:pStyle w:val="Compact"/>
              <w:spacing w:after="0" w:before="0" w:line="240" w:lineRule="auto"/>
              <w:jc w:val="right"/>
            </w:pPr>
            <w:r>
              <w:rPr>
                <w:rFonts w:ascii="Arial" w:hAnsi="Arial"/>
                <w:sz w:val="15"/>
              </w:rPr>
              <w:t xml:space="preserve">18.5%</w:t>
            </w:r>
          </w:p>
        </w:tc>
      </w:tr>
      <w:tr>
        <w:trPr>
          <w:cantSplit/>
        </w:trPr>
        <w:tc>
          <w:tcPr>
            <w:tcW w:type="dxa" w:w="2143"/>
            <w:shd w:val="clear" w:color="auto" w:fill="F1F2F5"/>
          </w:tcPr>
          <w:p>
            <w:pPr>
              <w:pStyle w:val="Compact"/>
              <w:spacing w:after="0" w:before="0" w:line="240" w:lineRule="auto"/>
              <w:jc w:val="left"/>
            </w:pPr>
            <w:r>
              <w:rPr>
                <w:rFonts w:ascii="Arial" w:hAnsi="Arial"/>
                <w:sz w:val="15"/>
              </w:rPr>
              <w:t xml:space="preserve">NTT</w:t>
            </w:r>
          </w:p>
        </w:tc>
        <w:tc>
          <w:tcPr>
            <w:tcW w:type="dxa" w:w="1096"/>
            <w:shd w:val="clear" w:color="auto" w:fill="F1F2F5"/>
          </w:tcPr>
          <w:p>
            <w:pPr>
              <w:pStyle w:val="Compact"/>
              <w:spacing w:after="0" w:before="0" w:line="240" w:lineRule="auto"/>
              <w:jc w:val="right"/>
            </w:pPr>
            <w:r>
              <w:rPr>
                <w:rFonts w:ascii="Arial" w:hAnsi="Arial"/>
                <w:sz w:val="15"/>
              </w:rPr>
              <w:t xml:space="preserve">25.3%</w:t>
            </w:r>
          </w:p>
        </w:tc>
        <w:tc>
          <w:tcPr>
            <w:tcW w:type="dxa" w:w="952"/>
            <w:shd w:val="clear" w:color="auto" w:fill="F1F2F5"/>
          </w:tcPr>
          <w:p>
            <w:pPr>
              <w:pStyle w:val="Compact"/>
              <w:spacing w:after="0" w:before="0" w:line="240" w:lineRule="auto"/>
              <w:jc w:val="right"/>
            </w:pPr>
            <w:r>
              <w:rPr>
                <w:rFonts w:ascii="Arial" w:hAnsi="Arial"/>
                <w:sz w:val="15"/>
              </w:rPr>
              <w:t xml:space="preserve">13.1%</w:t>
            </w:r>
          </w:p>
        </w:tc>
        <w:tc>
          <w:tcPr>
            <w:tcW w:type="dxa" w:w="1050"/>
            <w:shd w:val="clear" w:color="auto" w:fill="F1F2F5"/>
          </w:tcPr>
          <w:p>
            <w:pPr>
              <w:pStyle w:val="Compact"/>
              <w:spacing w:after="0" w:before="0" w:line="240" w:lineRule="auto"/>
              <w:jc w:val="right"/>
            </w:pPr>
            <w:r>
              <w:rPr>
                <w:rFonts w:ascii="Arial" w:hAnsi="Arial"/>
                <w:sz w:val="15"/>
              </w:rPr>
              <w:t xml:space="preserve">7.6%</w:t>
            </w:r>
          </w:p>
        </w:tc>
        <w:tc>
          <w:tcPr>
            <w:tcW w:type="dxa" w:w="1367"/>
            <w:shd w:val="clear" w:color="auto" w:fill="F1F2F5"/>
          </w:tcPr>
          <w:p>
            <w:pPr>
              <w:pStyle w:val="Compact"/>
              <w:spacing w:after="0" w:before="0" w:line="240" w:lineRule="auto"/>
              <w:jc w:val="right"/>
            </w:pPr>
            <w:r>
              <w:rPr>
                <w:rFonts w:ascii="Arial" w:hAnsi="Arial"/>
                <w:sz w:val="15"/>
              </w:rPr>
              <w:t xml:space="preserve">4.03x</w:t>
            </w:r>
          </w:p>
        </w:tc>
        <w:tc>
          <w:tcPr>
            <w:tcW w:type="dxa" w:w="1001"/>
            <w:shd w:val="clear" w:color="auto" w:fill="F1F2F5"/>
          </w:tcPr>
          <w:p>
            <w:pPr>
              <w:pStyle w:val="Compact"/>
              <w:spacing w:after="0" w:before="0" w:line="240" w:lineRule="auto"/>
              <w:jc w:val="right"/>
            </w:pPr>
            <w:r>
              <w:rPr>
                <w:rFonts w:ascii="Arial" w:hAnsi="Arial"/>
                <w:sz w:val="15"/>
              </w:rPr>
              <w:t xml:space="preserve">3.1%</w:t>
            </w:r>
          </w:p>
        </w:tc>
        <w:tc>
          <w:tcPr>
            <w:tcW w:type="dxa" w:w="1023"/>
            <w:shd w:val="clear" w:color="auto" w:fill="F1F2F5"/>
          </w:tcPr>
          <w:p>
            <w:pPr>
              <w:pStyle w:val="Compact"/>
              <w:spacing w:after="0" w:before="0" w:line="240" w:lineRule="auto"/>
              <w:jc w:val="right"/>
            </w:pPr>
            <w:r>
              <w:rPr>
                <w:rFonts w:ascii="Arial" w:hAnsi="Arial"/>
                <w:sz w:val="15"/>
              </w:rPr>
              <w:t xml:space="preserve">1.44x</w:t>
            </w:r>
          </w:p>
        </w:tc>
        <w:tc>
          <w:tcPr>
            <w:tcW w:type="dxa" w:w="1346"/>
            <w:shd w:val="clear" w:color="auto" w:fill="F1F2F5"/>
          </w:tcPr>
          <w:p>
            <w:pPr>
              <w:pStyle w:val="Compact"/>
              <w:spacing w:after="0" w:before="0" w:line="240" w:lineRule="auto"/>
              <w:jc w:val="right"/>
            </w:pPr>
            <w:r>
              <w:rPr>
                <w:rFonts w:ascii="Arial" w:hAnsi="Arial"/>
                <w:sz w:val="15"/>
              </w:rPr>
              <w:t xml:space="preserve">n/a</w:t>
            </w:r>
          </w:p>
        </w:tc>
      </w:tr>
      <w:tr>
        <w:trPr>
          <w:cantSplit/>
        </w:trPr>
        <w:tc>
          <w:tcPr>
            <w:tcW w:type="dxa" w:w="2143"/>
          </w:tcPr>
          <w:p>
            <w:pPr>
              <w:pStyle w:val="Compact"/>
              <w:spacing w:after="0" w:before="0" w:line="240" w:lineRule="auto"/>
              <w:jc w:val="left"/>
            </w:pPr>
            <w:r>
              <w:rPr>
                <w:rFonts w:ascii="Arial" w:hAnsi="Arial"/>
                <w:sz w:val="15"/>
              </w:rPr>
              <w:t xml:space="preserve">KDDI</w:t>
            </w:r>
          </w:p>
        </w:tc>
        <w:tc>
          <w:tcPr>
            <w:tcW w:type="dxa" w:w="1096"/>
          </w:tcPr>
          <w:p>
            <w:pPr>
              <w:pStyle w:val="Compact"/>
              <w:spacing w:after="0" w:before="0" w:line="240" w:lineRule="auto"/>
              <w:jc w:val="right"/>
            </w:pPr>
            <w:r>
              <w:rPr>
                <w:rFonts w:ascii="Arial" w:hAnsi="Arial"/>
                <w:sz w:val="15"/>
              </w:rPr>
              <w:t xml:space="preserve">29.3%</w:t>
            </w:r>
          </w:p>
        </w:tc>
        <w:tc>
          <w:tcPr>
            <w:tcW w:type="dxa" w:w="952"/>
          </w:tcPr>
          <w:p>
            <w:pPr>
              <w:pStyle w:val="Compact"/>
              <w:spacing w:after="0" w:before="0" w:line="240" w:lineRule="auto"/>
              <w:jc w:val="right"/>
            </w:pPr>
            <w:r>
              <w:rPr>
                <w:rFonts w:ascii="Arial" w:hAnsi="Arial"/>
                <w:sz w:val="15"/>
              </w:rPr>
              <w:t xml:space="preserve">18.1%</w:t>
            </w:r>
          </w:p>
        </w:tc>
        <w:tc>
          <w:tcPr>
            <w:tcW w:type="dxa" w:w="1050"/>
          </w:tcPr>
          <w:p>
            <w:pPr>
              <w:pStyle w:val="Compact"/>
              <w:spacing w:after="0" w:before="0" w:line="240" w:lineRule="auto"/>
              <w:jc w:val="right"/>
            </w:pPr>
            <w:r>
              <w:rPr>
                <w:rFonts w:ascii="Arial" w:hAnsi="Arial"/>
                <w:sz w:val="15"/>
              </w:rPr>
              <w:t xml:space="preserve">3.0%</w:t>
            </w:r>
          </w:p>
        </w:tc>
        <w:tc>
          <w:tcPr>
            <w:tcW w:type="dxa" w:w="1367"/>
          </w:tcPr>
          <w:p>
            <w:pPr>
              <w:pStyle w:val="Compact"/>
              <w:spacing w:after="0" w:before="0" w:line="240" w:lineRule="auto"/>
              <w:jc w:val="right"/>
            </w:pPr>
            <w:r>
              <w:rPr>
                <w:rFonts w:ascii="Arial" w:hAnsi="Arial"/>
                <w:sz w:val="15"/>
              </w:rPr>
              <w:t xml:space="preserve">2.48x</w:t>
            </w:r>
          </w:p>
        </w:tc>
        <w:tc>
          <w:tcPr>
            <w:tcW w:type="dxa" w:w="1001"/>
          </w:tcPr>
          <w:p>
            <w:pPr>
              <w:pStyle w:val="Compact"/>
              <w:spacing w:after="0" w:before="0" w:line="240" w:lineRule="auto"/>
              <w:jc w:val="right"/>
            </w:pPr>
            <w:r>
              <w:rPr>
                <w:rFonts w:ascii="Arial" w:hAnsi="Arial"/>
                <w:sz w:val="15"/>
              </w:rPr>
              <w:t xml:space="preserve">2.8%</w:t>
            </w:r>
          </w:p>
        </w:tc>
        <w:tc>
          <w:tcPr>
            <w:tcW w:type="dxa" w:w="1023"/>
          </w:tcPr>
          <w:p>
            <w:pPr>
              <w:pStyle w:val="Compact"/>
              <w:spacing w:after="0" w:before="0" w:line="240" w:lineRule="auto"/>
              <w:jc w:val="right"/>
            </w:pPr>
            <w:r>
              <w:rPr>
                <w:rFonts w:ascii="Arial" w:hAnsi="Arial"/>
                <w:sz w:val="15"/>
              </w:rPr>
              <w:t xml:space="preserve">2.16x</w:t>
            </w:r>
          </w:p>
        </w:tc>
        <w:tc>
          <w:tcPr>
            <w:tcW w:type="dxa" w:w="1346"/>
          </w:tcPr>
          <w:p>
            <w:pPr>
              <w:pStyle w:val="Compact"/>
              <w:spacing w:after="0" w:before="0" w:line="240" w:lineRule="auto"/>
              <w:jc w:val="right"/>
            </w:pPr>
            <w:r>
              <w:rPr>
                <w:rFonts w:ascii="Arial" w:hAnsi="Arial"/>
                <w:sz w:val="15"/>
              </w:rPr>
              <w:t xml:space="preserve">13.8%</w:t>
            </w:r>
          </w:p>
        </w:tc>
      </w:tr>
      <w:tr>
        <w:trPr>
          <w:cantSplit/>
        </w:trPr>
        <w:tc>
          <w:tcPr>
            <w:tcW w:type="dxa" w:w="2143"/>
            <w:shd w:val="clear" w:color="auto" w:fill="F1F2F5"/>
          </w:tcPr>
          <w:p>
            <w:pPr>
              <w:pStyle w:val="Compact"/>
              <w:spacing w:after="0" w:before="0" w:line="240" w:lineRule="auto"/>
              <w:jc w:val="left"/>
            </w:pPr>
            <w:r>
              <w:rPr>
                <w:rFonts w:ascii="Arial" w:hAnsi="Arial"/>
                <w:sz w:val="15"/>
              </w:rPr>
              <w:t xml:space="preserve">SoftBank Corp</w:t>
            </w:r>
          </w:p>
        </w:tc>
        <w:tc>
          <w:tcPr>
            <w:tcW w:type="dxa" w:w="1096"/>
            <w:shd w:val="clear" w:color="auto" w:fill="F1F2F5"/>
          </w:tcPr>
          <w:p>
            <w:pPr>
              <w:pStyle w:val="Compact"/>
              <w:spacing w:after="0" w:before="0" w:line="240" w:lineRule="auto"/>
              <w:jc w:val="right"/>
            </w:pPr>
            <w:r>
              <w:rPr>
                <w:rFonts w:ascii="Arial" w:hAnsi="Arial"/>
                <w:sz w:val="15"/>
              </w:rPr>
              <w:t xml:space="preserve">25.2%</w:t>
            </w:r>
          </w:p>
        </w:tc>
        <w:tc>
          <w:tcPr>
            <w:tcW w:type="dxa" w:w="952"/>
            <w:shd w:val="clear" w:color="auto" w:fill="F1F2F5"/>
          </w:tcPr>
          <w:p>
            <w:pPr>
              <w:pStyle w:val="Compact"/>
              <w:spacing w:after="0" w:before="0" w:line="240" w:lineRule="auto"/>
              <w:jc w:val="right"/>
            </w:pPr>
            <w:r>
              <w:rPr>
                <w:rFonts w:ascii="Arial" w:hAnsi="Arial"/>
                <w:sz w:val="15"/>
              </w:rPr>
              <w:t xml:space="preserve">14.1%</w:t>
            </w:r>
          </w:p>
        </w:tc>
        <w:tc>
          <w:tcPr>
            <w:tcW w:type="dxa" w:w="1050"/>
            <w:shd w:val="clear" w:color="auto" w:fill="F1F2F5"/>
          </w:tcPr>
          <w:p>
            <w:pPr>
              <w:pStyle w:val="Compact"/>
              <w:spacing w:after="0" w:before="0" w:line="240" w:lineRule="auto"/>
              <w:jc w:val="right"/>
            </w:pPr>
            <w:r>
              <w:rPr>
                <w:rFonts w:ascii="Arial" w:hAnsi="Arial"/>
                <w:sz w:val="15"/>
              </w:rPr>
              <w:t xml:space="preserve">7.9%</w:t>
            </w:r>
          </w:p>
        </w:tc>
        <w:tc>
          <w:tcPr>
            <w:tcW w:type="dxa" w:w="1367"/>
            <w:shd w:val="clear" w:color="auto" w:fill="F1F2F5"/>
          </w:tcPr>
          <w:p>
            <w:pPr>
              <w:pStyle w:val="Compact"/>
              <w:spacing w:after="0" w:before="0" w:line="240" w:lineRule="auto"/>
              <w:jc w:val="right"/>
            </w:pPr>
            <w:r>
              <w:rPr>
                <w:rFonts w:ascii="Arial" w:hAnsi="Arial"/>
                <w:sz w:val="15"/>
              </w:rPr>
              <w:t xml:space="preserve">3.18x</w:t>
            </w:r>
          </w:p>
        </w:tc>
        <w:tc>
          <w:tcPr>
            <w:tcW w:type="dxa" w:w="1001"/>
            <w:shd w:val="clear" w:color="auto" w:fill="F1F2F5"/>
          </w:tcPr>
          <w:p>
            <w:pPr>
              <w:pStyle w:val="Compact"/>
              <w:spacing w:after="0" w:before="0" w:line="240" w:lineRule="auto"/>
              <w:jc w:val="right"/>
            </w:pPr>
            <w:r>
              <w:rPr>
                <w:rFonts w:ascii="Arial" w:hAnsi="Arial"/>
                <w:sz w:val="15"/>
              </w:rPr>
              <w:t xml:space="preserve">3.5%</w:t>
            </w:r>
          </w:p>
        </w:tc>
        <w:tc>
          <w:tcPr>
            <w:tcW w:type="dxa" w:w="1023"/>
            <w:shd w:val="clear" w:color="auto" w:fill="F1F2F5"/>
          </w:tcPr>
          <w:p>
            <w:pPr>
              <w:pStyle w:val="Compact"/>
              <w:spacing w:after="0" w:before="0" w:line="240" w:lineRule="auto"/>
              <w:jc w:val="right"/>
            </w:pPr>
            <w:r>
              <w:rPr>
                <w:rFonts w:ascii="Arial" w:hAnsi="Arial"/>
                <w:sz w:val="15"/>
              </w:rPr>
              <w:t xml:space="preserve">4.02x</w:t>
            </w:r>
          </w:p>
        </w:tc>
        <w:tc>
          <w:tcPr>
            <w:tcW w:type="dxa" w:w="1346"/>
            <w:shd w:val="clear" w:color="auto" w:fill="F1F2F5"/>
          </w:tcPr>
          <w:p>
            <w:pPr>
              <w:pStyle w:val="Compact"/>
              <w:spacing w:after="0" w:before="0" w:line="240" w:lineRule="auto"/>
              <w:jc w:val="right"/>
            </w:pPr>
            <w:r>
              <w:rPr>
                <w:rFonts w:ascii="Arial" w:hAnsi="Arial"/>
                <w:sz w:val="15"/>
              </w:rPr>
              <w:t xml:space="preserve">10.8%</w:t>
            </w:r>
          </w:p>
        </w:tc>
      </w:tr>
      <w:tr>
        <w:trPr>
          <w:cantSplit/>
        </w:trPr>
        <w:tc>
          <w:tcPr>
            <w:tcW w:type="dxa" w:w="2143"/>
          </w:tcPr>
          <w:p>
            <w:pPr>
              <w:pStyle w:val="Compact"/>
              <w:spacing w:after="0" w:before="0" w:line="240" w:lineRule="auto"/>
              <w:jc w:val="left"/>
            </w:pPr>
            <w:r>
              <w:rPr>
                <w:rFonts w:ascii="Arial" w:hAnsi="Arial"/>
                <w:sz w:val="15"/>
              </w:rPr>
              <w:t xml:space="preserve">Chunghwa Telecom</w:t>
            </w:r>
          </w:p>
        </w:tc>
        <w:tc>
          <w:tcPr>
            <w:tcW w:type="dxa" w:w="1096"/>
          </w:tcPr>
          <w:p>
            <w:pPr>
              <w:pStyle w:val="Compact"/>
              <w:spacing w:after="0" w:before="0" w:line="240" w:lineRule="auto"/>
              <w:jc w:val="right"/>
            </w:pPr>
            <w:r>
              <w:rPr>
                <w:rFonts w:ascii="Arial" w:hAnsi="Arial"/>
                <w:sz w:val="15"/>
              </w:rPr>
              <w:t xml:space="preserve">35.1%</w:t>
            </w:r>
          </w:p>
        </w:tc>
        <w:tc>
          <w:tcPr>
            <w:tcW w:type="dxa" w:w="952"/>
          </w:tcPr>
          <w:p>
            <w:pPr>
              <w:pStyle w:val="Compact"/>
              <w:spacing w:after="0" w:before="0" w:line="240" w:lineRule="auto"/>
              <w:jc w:val="right"/>
            </w:pPr>
            <w:r>
              <w:rPr>
                <w:rFonts w:ascii="Arial" w:hAnsi="Arial"/>
                <w:sz w:val="15"/>
              </w:rPr>
              <w:t xml:space="preserve">20.4%</w:t>
            </w:r>
          </w:p>
        </w:tc>
        <w:tc>
          <w:tcPr>
            <w:tcW w:type="dxa" w:w="1050"/>
          </w:tcPr>
          <w:p>
            <w:pPr>
              <w:pStyle w:val="Compact"/>
              <w:spacing w:after="0" w:before="0" w:line="240" w:lineRule="auto"/>
              <w:jc w:val="right"/>
            </w:pPr>
            <w:r>
              <w:rPr>
                <w:rFonts w:ascii="Arial" w:hAnsi="Arial"/>
                <w:sz w:val="15"/>
              </w:rPr>
              <w:t xml:space="preserve">4.9%</w:t>
            </w:r>
          </w:p>
        </w:tc>
        <w:tc>
          <w:tcPr>
            <w:tcW w:type="dxa" w:w="1367"/>
          </w:tcPr>
          <w:p>
            <w:pPr>
              <w:pStyle w:val="Compact"/>
              <w:spacing w:after="0" w:before="0" w:line="240" w:lineRule="auto"/>
              <w:jc w:val="right"/>
            </w:pPr>
            <w:r>
              <w:rPr>
                <w:rFonts w:ascii="Arial" w:hAnsi="Arial"/>
                <w:sz w:val="15"/>
              </w:rPr>
              <w:t xml:space="preserve">-0.44x</w:t>
            </w:r>
          </w:p>
        </w:tc>
        <w:tc>
          <w:tcPr>
            <w:tcW w:type="dxa" w:w="1001"/>
          </w:tcPr>
          <w:p>
            <w:pPr>
              <w:pStyle w:val="Compact"/>
              <w:spacing w:after="0" w:before="0" w:line="240" w:lineRule="auto"/>
              <w:jc w:val="right"/>
            </w:pPr>
            <w:r>
              <w:rPr>
                <w:rFonts w:ascii="Arial" w:hAnsi="Arial"/>
                <w:sz w:val="15"/>
              </w:rPr>
              <w:t xml:space="preserve">3.4%</w:t>
            </w:r>
          </w:p>
        </w:tc>
        <w:tc>
          <w:tcPr>
            <w:tcW w:type="dxa" w:w="1023"/>
          </w:tcPr>
          <w:p>
            <w:pPr>
              <w:pStyle w:val="Compact"/>
              <w:spacing w:after="0" w:before="0" w:line="240" w:lineRule="auto"/>
              <w:jc w:val="right"/>
            </w:pPr>
            <w:r>
              <w:rPr>
                <w:rFonts w:ascii="Arial" w:hAnsi="Arial"/>
                <w:sz w:val="15"/>
              </w:rPr>
              <w:t xml:space="preserve">3.24x</w:t>
            </w:r>
          </w:p>
        </w:tc>
        <w:tc>
          <w:tcPr>
            <w:tcW w:type="dxa" w:w="1346"/>
          </w:tcPr>
          <w:p>
            <w:pPr>
              <w:pStyle w:val="Compact"/>
              <w:spacing w:after="0" w:before="0" w:line="240" w:lineRule="auto"/>
              <w:jc w:val="right"/>
            </w:pPr>
            <w:r>
              <w:rPr>
                <w:rFonts w:ascii="Arial" w:hAnsi="Arial"/>
                <w:sz w:val="15"/>
              </w:rPr>
              <w:t xml:space="preserve">4.2%</w:t>
            </w:r>
          </w:p>
        </w:tc>
      </w:tr>
      <w:tr>
        <w:trPr>
          <w:cantSplit/>
        </w:trPr>
        <w:tc>
          <w:tcPr>
            <w:tcW w:type="dxa" w:w="2143"/>
            <w:shd w:val="clear" w:color="auto" w:fill="F1F2F5"/>
          </w:tcPr>
          <w:p>
            <w:pPr>
              <w:pStyle w:val="Compact"/>
              <w:spacing w:after="0" w:before="0" w:line="240" w:lineRule="auto"/>
              <w:jc w:val="left"/>
            </w:pPr>
            <w:r>
              <w:rPr>
                <w:rFonts w:ascii="Arial" w:hAnsi="Arial"/>
                <w:sz w:val="15"/>
              </w:rPr>
              <w:t xml:space="preserve">Taiwan Mobile</w:t>
            </w:r>
          </w:p>
        </w:tc>
        <w:tc>
          <w:tcPr>
            <w:tcW w:type="dxa" w:w="1096"/>
            <w:shd w:val="clear" w:color="auto" w:fill="F1F2F5"/>
          </w:tcPr>
          <w:p>
            <w:pPr>
              <w:pStyle w:val="Compact"/>
              <w:spacing w:after="0" w:before="0" w:line="240" w:lineRule="auto"/>
              <w:jc w:val="right"/>
            </w:pPr>
            <w:r>
              <w:rPr>
                <w:rFonts w:ascii="Arial" w:hAnsi="Arial"/>
                <w:sz w:val="15"/>
              </w:rPr>
              <w:t xml:space="preserve">19.5%</w:t>
            </w:r>
          </w:p>
        </w:tc>
        <w:tc>
          <w:tcPr>
            <w:tcW w:type="dxa" w:w="952"/>
            <w:shd w:val="clear" w:color="auto" w:fill="F1F2F5"/>
          </w:tcPr>
          <w:p>
            <w:pPr>
              <w:pStyle w:val="Compact"/>
              <w:spacing w:after="0" w:before="0" w:line="240" w:lineRule="auto"/>
              <w:jc w:val="right"/>
            </w:pPr>
            <w:r>
              <w:rPr>
                <w:rFonts w:ascii="Arial" w:hAnsi="Arial"/>
                <w:sz w:val="15"/>
              </w:rPr>
              <w:t xml:space="preserve">11.5%</w:t>
            </w:r>
          </w:p>
        </w:tc>
        <w:tc>
          <w:tcPr>
            <w:tcW w:type="dxa" w:w="1050"/>
            <w:shd w:val="clear" w:color="auto" w:fill="F1F2F5"/>
          </w:tcPr>
          <w:p>
            <w:pPr>
              <w:pStyle w:val="Compact"/>
              <w:spacing w:after="0" w:before="0" w:line="240" w:lineRule="auto"/>
              <w:jc w:val="right"/>
            </w:pPr>
            <w:r>
              <w:rPr>
                <w:rFonts w:ascii="Arial" w:hAnsi="Arial"/>
                <w:sz w:val="15"/>
              </w:rPr>
              <w:t xml:space="preserve">1.7%</w:t>
            </w:r>
          </w:p>
        </w:tc>
        <w:tc>
          <w:tcPr>
            <w:tcW w:type="dxa" w:w="1367"/>
            <w:shd w:val="clear" w:color="auto" w:fill="F1F2F5"/>
          </w:tcPr>
          <w:p>
            <w:pPr>
              <w:pStyle w:val="Compact"/>
              <w:spacing w:after="0" w:before="0" w:line="240" w:lineRule="auto"/>
              <w:jc w:val="right"/>
            </w:pPr>
            <w:r>
              <w:rPr>
                <w:rFonts w:ascii="Arial" w:hAnsi="Arial"/>
                <w:sz w:val="15"/>
              </w:rPr>
              <w:t xml:space="preserve">1.65x</w:t>
            </w:r>
          </w:p>
        </w:tc>
        <w:tc>
          <w:tcPr>
            <w:tcW w:type="dxa" w:w="1001"/>
            <w:shd w:val="clear" w:color="auto" w:fill="F1F2F5"/>
          </w:tcPr>
          <w:p>
            <w:pPr>
              <w:pStyle w:val="Compact"/>
              <w:spacing w:after="0" w:before="0" w:line="240" w:lineRule="auto"/>
              <w:jc w:val="right"/>
            </w:pPr>
            <w:r>
              <w:rPr>
                <w:rFonts w:ascii="Arial" w:hAnsi="Arial"/>
                <w:sz w:val="15"/>
              </w:rPr>
              <w:t xml:space="preserve">3.7%</w:t>
            </w:r>
          </w:p>
        </w:tc>
        <w:tc>
          <w:tcPr>
            <w:tcW w:type="dxa" w:w="1023"/>
            <w:shd w:val="clear" w:color="auto" w:fill="F1F2F5"/>
          </w:tcPr>
          <w:p>
            <w:pPr>
              <w:pStyle w:val="Compact"/>
              <w:spacing w:after="0" w:before="0" w:line="240" w:lineRule="auto"/>
              <w:jc w:val="right"/>
            </w:pPr>
            <w:r>
              <w:rPr>
                <w:rFonts w:ascii="Arial" w:hAnsi="Arial"/>
                <w:sz w:val="15"/>
              </w:rPr>
              <w:t xml:space="preserve">4.73x</w:t>
            </w:r>
          </w:p>
        </w:tc>
        <w:tc>
          <w:tcPr>
            <w:tcW w:type="dxa" w:w="1346"/>
            <w:shd w:val="clear" w:color="auto" w:fill="F1F2F5"/>
          </w:tcPr>
          <w:p>
            <w:pPr>
              <w:pStyle w:val="Compact"/>
              <w:spacing w:after="0" w:before="0" w:line="240" w:lineRule="auto"/>
              <w:jc w:val="right"/>
            </w:pPr>
            <w:r>
              <w:rPr>
                <w:rFonts w:ascii="Arial" w:hAnsi="Arial"/>
                <w:sz w:val="15"/>
              </w:rPr>
              <w:t xml:space="preserve">7.0%</w:t>
            </w:r>
          </w:p>
        </w:tc>
      </w:tr>
      <w:tr>
        <w:trPr>
          <w:cantSplit/>
        </w:trPr>
        <w:tc>
          <w:tcPr>
            <w:tcW w:type="dxa" w:w="2143"/>
          </w:tcPr>
          <w:p>
            <w:pPr>
              <w:pStyle w:val="Compact"/>
              <w:spacing w:after="0" w:before="0" w:line="240" w:lineRule="auto"/>
              <w:jc w:val="left"/>
            </w:pPr>
            <w:r>
              <w:rPr>
                <w:rFonts w:ascii="Arial" w:hAnsi="Arial"/>
                <w:sz w:val="15"/>
              </w:rPr>
              <w:t xml:space="preserve">Far EasTone</w:t>
            </w:r>
          </w:p>
        </w:tc>
        <w:tc>
          <w:tcPr>
            <w:tcW w:type="dxa" w:w="1096"/>
          </w:tcPr>
          <w:p>
            <w:pPr>
              <w:pStyle w:val="Compact"/>
              <w:spacing w:after="0" w:before="0" w:line="240" w:lineRule="auto"/>
              <w:jc w:val="right"/>
            </w:pPr>
            <w:r>
              <w:rPr>
                <w:rFonts w:ascii="Arial" w:hAnsi="Arial"/>
                <w:sz w:val="15"/>
              </w:rPr>
              <w:t xml:space="preserve">29.8%</w:t>
            </w:r>
          </w:p>
        </w:tc>
        <w:tc>
          <w:tcPr>
            <w:tcW w:type="dxa" w:w="952"/>
          </w:tcPr>
          <w:p>
            <w:pPr>
              <w:pStyle w:val="Compact"/>
              <w:spacing w:after="0" w:before="0" w:line="240" w:lineRule="auto"/>
              <w:jc w:val="right"/>
            </w:pPr>
            <w:r>
              <w:rPr>
                <w:rFonts w:ascii="Arial" w:hAnsi="Arial"/>
                <w:sz w:val="15"/>
              </w:rPr>
              <w:t xml:space="preserve">16.3%</w:t>
            </w:r>
          </w:p>
        </w:tc>
        <w:tc>
          <w:tcPr>
            <w:tcW w:type="dxa" w:w="1050"/>
          </w:tcPr>
          <w:p>
            <w:pPr>
              <w:pStyle w:val="Compact"/>
              <w:spacing w:after="0" w:before="0" w:line="240" w:lineRule="auto"/>
              <w:jc w:val="right"/>
            </w:pPr>
            <w:r>
              <w:rPr>
                <w:rFonts w:ascii="Arial" w:hAnsi="Arial"/>
                <w:sz w:val="15"/>
              </w:rPr>
              <w:t xml:space="preserve">6.8%</w:t>
            </w:r>
          </w:p>
        </w:tc>
        <w:tc>
          <w:tcPr>
            <w:tcW w:type="dxa" w:w="1367"/>
          </w:tcPr>
          <w:p>
            <w:pPr>
              <w:pStyle w:val="Compact"/>
              <w:spacing w:after="0" w:before="0" w:line="240" w:lineRule="auto"/>
              <w:jc w:val="right"/>
            </w:pPr>
            <w:r>
              <w:rPr>
                <w:rFonts w:ascii="Arial" w:hAnsi="Arial"/>
                <w:sz w:val="15"/>
              </w:rPr>
              <w:t xml:space="preserve">0.85x</w:t>
            </w:r>
          </w:p>
        </w:tc>
        <w:tc>
          <w:tcPr>
            <w:tcW w:type="dxa" w:w="1001"/>
          </w:tcPr>
          <w:p>
            <w:pPr>
              <w:pStyle w:val="Compact"/>
              <w:spacing w:after="0" w:before="0" w:line="240" w:lineRule="auto"/>
              <w:jc w:val="right"/>
            </w:pPr>
            <w:r>
              <w:rPr>
                <w:rFonts w:ascii="Arial" w:hAnsi="Arial"/>
                <w:sz w:val="15"/>
              </w:rPr>
              <w:t xml:space="preserve">3.4%</w:t>
            </w:r>
          </w:p>
        </w:tc>
        <w:tc>
          <w:tcPr>
            <w:tcW w:type="dxa" w:w="1023"/>
          </w:tcPr>
          <w:p>
            <w:pPr>
              <w:pStyle w:val="Compact"/>
              <w:spacing w:after="0" w:before="0" w:line="240" w:lineRule="auto"/>
              <w:jc w:val="right"/>
            </w:pPr>
            <w:r>
              <w:rPr>
                <w:rFonts w:ascii="Arial" w:hAnsi="Arial"/>
                <w:sz w:val="15"/>
              </w:rPr>
              <w:t xml:space="preserve">4.75x</w:t>
            </w:r>
          </w:p>
        </w:tc>
        <w:tc>
          <w:tcPr>
            <w:tcW w:type="dxa" w:w="1346"/>
          </w:tcPr>
          <w:p>
            <w:pPr>
              <w:pStyle w:val="Compact"/>
              <w:spacing w:after="0" w:before="0" w:line="240" w:lineRule="auto"/>
              <w:jc w:val="right"/>
            </w:pPr>
            <w:r>
              <w:rPr>
                <w:rFonts w:ascii="Arial" w:hAnsi="Arial"/>
                <w:sz w:val="15"/>
              </w:rPr>
              <w:t xml:space="preserve">6.1%</w:t>
            </w:r>
          </w:p>
        </w:tc>
      </w:tr>
      <w:tr>
        <w:trPr>
          <w:cantSplit/>
        </w:trPr>
        <w:tc>
          <w:tcPr>
            <w:tcW w:type="dxa" w:w="2143"/>
            <w:shd w:val="clear" w:color="auto" w:fill="F1F2F5"/>
          </w:tcPr>
          <w:p>
            <w:pPr>
              <w:pStyle w:val="Compact"/>
              <w:spacing w:after="0" w:before="0" w:line="240" w:lineRule="auto"/>
              <w:jc w:val="left"/>
            </w:pPr>
            <w:r>
              <w:rPr>
                <w:rFonts w:ascii="Arial" w:hAnsi="Arial"/>
                <w:sz w:val="15"/>
              </w:rPr>
              <w:t xml:space="preserve">Singtel</w:t>
            </w:r>
          </w:p>
        </w:tc>
        <w:tc>
          <w:tcPr>
            <w:tcW w:type="dxa" w:w="1096"/>
            <w:shd w:val="clear" w:color="auto" w:fill="F1F2F5"/>
          </w:tcPr>
          <w:p>
            <w:pPr>
              <w:pStyle w:val="Compact"/>
              <w:spacing w:after="0" w:before="0" w:line="240" w:lineRule="auto"/>
              <w:jc w:val="right"/>
            </w:pPr>
            <w:r>
              <w:rPr>
                <w:rFonts w:ascii="Arial" w:hAnsi="Arial"/>
                <w:sz w:val="15"/>
              </w:rPr>
              <w:t xml:space="preserve">23.9%</w:t>
            </w:r>
          </w:p>
        </w:tc>
        <w:tc>
          <w:tcPr>
            <w:tcW w:type="dxa" w:w="952"/>
            <w:shd w:val="clear" w:color="auto" w:fill="F1F2F5"/>
          </w:tcPr>
          <w:p>
            <w:pPr>
              <w:pStyle w:val="Compact"/>
              <w:spacing w:after="0" w:before="0" w:line="240" w:lineRule="auto"/>
              <w:jc w:val="right"/>
            </w:pPr>
            <w:r>
              <w:rPr>
                <w:rFonts w:ascii="Arial" w:hAnsi="Arial"/>
                <w:sz w:val="15"/>
              </w:rPr>
              <w:t xml:space="preserve">10.7%</w:t>
            </w:r>
          </w:p>
        </w:tc>
        <w:tc>
          <w:tcPr>
            <w:tcW w:type="dxa" w:w="1050"/>
            <w:shd w:val="clear" w:color="auto" w:fill="F1F2F5"/>
          </w:tcPr>
          <w:p>
            <w:pPr>
              <w:pStyle w:val="Compact"/>
              <w:spacing w:after="0" w:before="0" w:line="240" w:lineRule="auto"/>
              <w:jc w:val="right"/>
            </w:pPr>
            <w:r>
              <w:rPr>
                <w:rFonts w:ascii="Arial" w:hAnsi="Arial"/>
                <w:sz w:val="15"/>
              </w:rPr>
              <w:t xml:space="preserve">2.1%</w:t>
            </w:r>
          </w:p>
        </w:tc>
        <w:tc>
          <w:tcPr>
            <w:tcW w:type="dxa" w:w="1367"/>
            <w:shd w:val="clear" w:color="auto" w:fill="F1F2F5"/>
          </w:tcPr>
          <w:p>
            <w:pPr>
              <w:pStyle w:val="Compact"/>
              <w:spacing w:after="0" w:before="0" w:line="240" w:lineRule="auto"/>
              <w:jc w:val="right"/>
            </w:pPr>
            <w:r>
              <w:rPr>
                <w:rFonts w:ascii="Arial" w:hAnsi="Arial"/>
                <w:sz w:val="15"/>
              </w:rPr>
              <w:t xml:space="preserve">2.07x</w:t>
            </w:r>
          </w:p>
        </w:tc>
        <w:tc>
          <w:tcPr>
            <w:tcW w:type="dxa" w:w="1001"/>
            <w:shd w:val="clear" w:color="auto" w:fill="F1F2F5"/>
          </w:tcPr>
          <w:p>
            <w:pPr>
              <w:pStyle w:val="Compact"/>
              <w:spacing w:after="0" w:before="0" w:line="240" w:lineRule="auto"/>
              <w:jc w:val="right"/>
            </w:pPr>
            <w:r>
              <w:rPr>
                <w:rFonts w:ascii="Arial" w:hAnsi="Arial"/>
                <w:sz w:val="15"/>
              </w:rPr>
              <w:t xml:space="preserve">4.4%</w:t>
            </w:r>
          </w:p>
        </w:tc>
        <w:tc>
          <w:tcPr>
            <w:tcW w:type="dxa" w:w="1023"/>
            <w:shd w:val="clear" w:color="auto" w:fill="F1F2F5"/>
          </w:tcPr>
          <w:p>
            <w:pPr>
              <w:pStyle w:val="Compact"/>
              <w:spacing w:after="0" w:before="0" w:line="240" w:lineRule="auto"/>
              <w:jc w:val="right"/>
            </w:pPr>
            <w:r>
              <w:rPr>
                <w:rFonts w:ascii="Arial" w:hAnsi="Arial"/>
                <w:sz w:val="15"/>
              </w:rPr>
              <w:t xml:space="preserve">2.49x</w:t>
            </w:r>
          </w:p>
        </w:tc>
        <w:tc>
          <w:tcPr>
            <w:tcW w:type="dxa" w:w="1346"/>
            <w:shd w:val="clear" w:color="auto" w:fill="F1F2F5"/>
          </w:tcPr>
          <w:p>
            <w:pPr>
              <w:pStyle w:val="Compact"/>
              <w:spacing w:after="0" w:before="0" w:line="240" w:lineRule="auto"/>
              <w:jc w:val="right"/>
            </w:pPr>
            <w:r>
              <w:rPr>
                <w:rFonts w:ascii="Arial" w:hAnsi="Arial"/>
                <w:sz w:val="15"/>
              </w:rPr>
              <w:t xml:space="preserve">n/a</w:t>
            </w:r>
          </w:p>
        </w:tc>
      </w:tr>
      <w:tr>
        <w:trPr>
          <w:cantSplit/>
        </w:trPr>
        <w:tc>
          <w:tcPr>
            <w:tcW w:type="dxa" w:w="2143"/>
          </w:tcPr>
          <w:p>
            <w:pPr>
              <w:pStyle w:val="Compact"/>
              <w:spacing w:after="0" w:before="0" w:line="240" w:lineRule="auto"/>
              <w:jc w:val="left"/>
            </w:pPr>
            <w:r>
              <w:rPr>
                <w:rFonts w:ascii="Arial" w:hAnsi="Arial"/>
                <w:sz w:val="15"/>
              </w:rPr>
              <w:t xml:space="preserve">AIS</w:t>
            </w:r>
          </w:p>
        </w:tc>
        <w:tc>
          <w:tcPr>
            <w:tcW w:type="dxa" w:w="1096"/>
          </w:tcPr>
          <w:p>
            <w:pPr>
              <w:pStyle w:val="Compact"/>
              <w:spacing w:after="0" w:before="0" w:line="240" w:lineRule="auto"/>
              <w:jc w:val="right"/>
            </w:pPr>
            <w:r>
              <w:rPr>
                <w:rFonts w:ascii="Arial" w:hAnsi="Arial"/>
                <w:sz w:val="15"/>
              </w:rPr>
              <w:t xml:space="preserve">47.2%</w:t>
            </w:r>
          </w:p>
        </w:tc>
        <w:tc>
          <w:tcPr>
            <w:tcW w:type="dxa" w:w="952"/>
          </w:tcPr>
          <w:p>
            <w:pPr>
              <w:pStyle w:val="Compact"/>
              <w:spacing w:after="0" w:before="0" w:line="240" w:lineRule="auto"/>
              <w:jc w:val="right"/>
            </w:pPr>
            <w:r>
              <w:rPr>
                <w:rFonts w:ascii="Arial" w:hAnsi="Arial"/>
                <w:sz w:val="15"/>
              </w:rPr>
              <w:t xml:space="preserve">30.9%</w:t>
            </w:r>
          </w:p>
        </w:tc>
        <w:tc>
          <w:tcPr>
            <w:tcW w:type="dxa" w:w="1050"/>
          </w:tcPr>
          <w:p>
            <w:pPr>
              <w:pStyle w:val="Compact"/>
              <w:spacing w:after="0" w:before="0" w:line="240" w:lineRule="auto"/>
              <w:jc w:val="right"/>
            </w:pPr>
            <w:r>
              <w:rPr>
                <w:rFonts w:ascii="Arial" w:hAnsi="Arial"/>
                <w:sz w:val="15"/>
              </w:rPr>
              <w:t xml:space="preserve">3.3%</w:t>
            </w:r>
          </w:p>
        </w:tc>
        <w:tc>
          <w:tcPr>
            <w:tcW w:type="dxa" w:w="1367"/>
          </w:tcPr>
          <w:p>
            <w:pPr>
              <w:pStyle w:val="Compact"/>
              <w:spacing w:after="0" w:before="0" w:line="240" w:lineRule="auto"/>
              <w:jc w:val="right"/>
            </w:pPr>
            <w:r>
              <w:rPr>
                <w:rFonts w:ascii="Arial" w:hAnsi="Arial"/>
                <w:sz w:val="15"/>
              </w:rPr>
              <w:t xml:space="preserve">1.84x</w:t>
            </w:r>
          </w:p>
        </w:tc>
        <w:tc>
          <w:tcPr>
            <w:tcW w:type="dxa" w:w="1001"/>
          </w:tcPr>
          <w:p>
            <w:pPr>
              <w:pStyle w:val="Compact"/>
              <w:spacing w:after="0" w:before="0" w:line="240" w:lineRule="auto"/>
              <w:jc w:val="right"/>
            </w:pPr>
            <w:r>
              <w:rPr>
                <w:rFonts w:ascii="Arial" w:hAnsi="Arial"/>
                <w:sz w:val="15"/>
              </w:rPr>
              <w:t xml:space="preserve">5.1%</w:t>
            </w:r>
          </w:p>
        </w:tc>
        <w:tc>
          <w:tcPr>
            <w:tcW w:type="dxa" w:w="1023"/>
          </w:tcPr>
          <w:p>
            <w:pPr>
              <w:pStyle w:val="Compact"/>
              <w:spacing w:after="0" w:before="0" w:line="240" w:lineRule="auto"/>
              <w:jc w:val="right"/>
            </w:pPr>
            <w:r>
              <w:rPr>
                <w:rFonts w:ascii="Arial" w:hAnsi="Arial"/>
                <w:sz w:val="15"/>
              </w:rPr>
              <w:t xml:space="preserve">19.00x</w:t>
            </w:r>
          </w:p>
        </w:tc>
        <w:tc>
          <w:tcPr>
            <w:tcW w:type="dxa" w:w="1346"/>
          </w:tcPr>
          <w:p>
            <w:pPr>
              <w:pStyle w:val="Compact"/>
              <w:spacing w:after="0" w:before="0" w:line="240" w:lineRule="auto"/>
              <w:jc w:val="right"/>
            </w:pPr>
            <w:r>
              <w:rPr>
                <w:rFonts w:ascii="Arial" w:hAnsi="Arial"/>
                <w:sz w:val="15"/>
              </w:rPr>
              <w:t xml:space="preserve">5.0%</w:t>
            </w:r>
          </w:p>
        </w:tc>
      </w:tr>
      <w:tr>
        <w:trPr>
          <w:cantSplit/>
        </w:trPr>
        <w:tc>
          <w:tcPr>
            <w:tcW w:type="dxa" w:w="2143"/>
            <w:shd w:val="clear" w:color="auto" w:fill="F1F2F5"/>
          </w:tcPr>
          <w:p>
            <w:pPr>
              <w:pStyle w:val="Compact"/>
              <w:spacing w:after="0" w:before="0" w:line="240" w:lineRule="auto"/>
              <w:jc w:val="left"/>
            </w:pPr>
            <w:r>
              <w:rPr>
                <w:rFonts w:ascii="Arial" w:hAnsi="Arial"/>
                <w:sz w:val="15"/>
              </w:rPr>
              <w:t xml:space="preserve">True Corp</w:t>
            </w:r>
          </w:p>
        </w:tc>
        <w:tc>
          <w:tcPr>
            <w:tcW w:type="dxa" w:w="1096"/>
            <w:shd w:val="clear" w:color="auto" w:fill="F1F2F5"/>
          </w:tcPr>
          <w:p>
            <w:pPr>
              <w:pStyle w:val="Compact"/>
              <w:spacing w:after="0" w:before="0" w:line="240" w:lineRule="auto"/>
              <w:jc w:val="right"/>
            </w:pPr>
            <w:r>
              <w:rPr>
                <w:rFonts w:ascii="Arial" w:hAnsi="Arial"/>
                <w:sz w:val="15"/>
              </w:rPr>
              <w:t xml:space="preserve">44.2%</w:t>
            </w:r>
          </w:p>
        </w:tc>
        <w:tc>
          <w:tcPr>
            <w:tcW w:type="dxa" w:w="952"/>
            <w:shd w:val="clear" w:color="auto" w:fill="F1F2F5"/>
          </w:tcPr>
          <w:p>
            <w:pPr>
              <w:pStyle w:val="Compact"/>
              <w:spacing w:after="0" w:before="0" w:line="240" w:lineRule="auto"/>
              <w:jc w:val="right"/>
            </w:pPr>
            <w:r>
              <w:rPr>
                <w:rFonts w:ascii="Arial" w:hAnsi="Arial"/>
                <w:sz w:val="15"/>
              </w:rPr>
              <w:t xml:space="preserve">21.9%</w:t>
            </w:r>
          </w:p>
        </w:tc>
        <w:tc>
          <w:tcPr>
            <w:tcW w:type="dxa" w:w="1050"/>
            <w:shd w:val="clear" w:color="auto" w:fill="F1F2F5"/>
          </w:tcPr>
          <w:p>
            <w:pPr>
              <w:pStyle w:val="Compact"/>
              <w:spacing w:after="0" w:before="0" w:line="240" w:lineRule="auto"/>
              <w:jc w:val="right"/>
            </w:pPr>
            <w:r>
              <w:rPr>
                <w:rFonts w:ascii="Arial" w:hAnsi="Arial"/>
                <w:sz w:val="15"/>
              </w:rPr>
              <w:t xml:space="preserve">-8.6%</w:t>
            </w:r>
          </w:p>
        </w:tc>
        <w:tc>
          <w:tcPr>
            <w:tcW w:type="dxa" w:w="1367"/>
            <w:shd w:val="clear" w:color="auto" w:fill="F1F2F5"/>
          </w:tcPr>
          <w:p>
            <w:pPr>
              <w:pStyle w:val="Compact"/>
              <w:spacing w:after="0" w:before="0" w:line="240" w:lineRule="auto"/>
              <w:jc w:val="right"/>
            </w:pPr>
            <w:r>
              <w:rPr>
                <w:rFonts w:ascii="Arial" w:hAnsi="Arial"/>
                <w:sz w:val="15"/>
              </w:rPr>
              <w:t xml:space="preserve">4.15x</w:t>
            </w:r>
          </w:p>
        </w:tc>
        <w:tc>
          <w:tcPr>
            <w:tcW w:type="dxa" w:w="1001"/>
            <w:shd w:val="clear" w:color="auto" w:fill="F1F2F5"/>
          </w:tcPr>
          <w:p>
            <w:pPr>
              <w:pStyle w:val="Compact"/>
              <w:spacing w:after="0" w:before="0" w:line="240" w:lineRule="auto"/>
              <w:jc w:val="right"/>
            </w:pPr>
            <w:r>
              <w:rPr>
                <w:rFonts w:ascii="Arial" w:hAnsi="Arial"/>
                <w:sz w:val="15"/>
              </w:rPr>
              <w:t xml:space="preserve">3.3%</w:t>
            </w:r>
          </w:p>
        </w:tc>
        <w:tc>
          <w:tcPr>
            <w:tcW w:type="dxa" w:w="1023"/>
            <w:shd w:val="clear" w:color="auto" w:fill="F1F2F5"/>
          </w:tcPr>
          <w:p>
            <w:pPr>
              <w:pStyle w:val="Compact"/>
              <w:spacing w:after="0" w:before="0" w:line="240" w:lineRule="auto"/>
              <w:jc w:val="right"/>
            </w:pPr>
            <w:r>
              <w:rPr>
                <w:rFonts w:ascii="Arial" w:hAnsi="Arial"/>
                <w:sz w:val="15"/>
              </w:rPr>
              <w:t xml:space="preserve">5.48x</w:t>
            </w:r>
          </w:p>
        </w:tc>
        <w:tc>
          <w:tcPr>
            <w:tcW w:type="dxa" w:w="1346"/>
            <w:shd w:val="clear" w:color="auto" w:fill="F1F2F5"/>
          </w:tcPr>
          <w:p>
            <w:pPr>
              <w:pStyle w:val="Compact"/>
              <w:spacing w:after="0" w:before="0" w:line="240" w:lineRule="auto"/>
              <w:jc w:val="right"/>
            </w:pPr>
            <w:r>
              <w:rPr>
                <w:rFonts w:ascii="Arial" w:hAnsi="Arial"/>
                <w:sz w:val="15"/>
              </w:rPr>
              <w:t xml:space="preserve">6.7%</w:t>
            </w:r>
          </w:p>
        </w:tc>
      </w:tr>
      <w:tr>
        <w:trPr>
          <w:cantSplit/>
        </w:trPr>
        <w:tc>
          <w:tcPr>
            <w:tcW w:type="dxa" w:w="2143"/>
          </w:tcPr>
          <w:p>
            <w:pPr>
              <w:pStyle w:val="Compact"/>
              <w:spacing w:after="0" w:before="0" w:line="240" w:lineRule="auto"/>
              <w:jc w:val="left"/>
            </w:pPr>
            <w:r>
              <w:rPr>
                <w:rFonts w:ascii="Arial" w:hAnsi="Arial"/>
                <w:sz w:val="15"/>
              </w:rPr>
              <w:t xml:space="preserve">Telkom Indonesia</w:t>
            </w:r>
          </w:p>
        </w:tc>
        <w:tc>
          <w:tcPr>
            <w:tcW w:type="dxa" w:w="1096"/>
          </w:tcPr>
          <w:p>
            <w:pPr>
              <w:pStyle w:val="Compact"/>
              <w:spacing w:after="0" w:before="0" w:line="240" w:lineRule="auto"/>
              <w:jc w:val="right"/>
            </w:pPr>
            <w:r>
              <w:rPr>
                <w:rFonts w:ascii="Arial" w:hAnsi="Arial"/>
                <w:sz w:val="15"/>
              </w:rPr>
              <w:t xml:space="preserve">42.8%</w:t>
            </w:r>
          </w:p>
        </w:tc>
        <w:tc>
          <w:tcPr>
            <w:tcW w:type="dxa" w:w="952"/>
          </w:tcPr>
          <w:p>
            <w:pPr>
              <w:pStyle w:val="Compact"/>
              <w:spacing w:after="0" w:before="0" w:line="240" w:lineRule="auto"/>
              <w:jc w:val="right"/>
            </w:pPr>
            <w:r>
              <w:rPr>
                <w:rFonts w:ascii="Arial" w:hAnsi="Arial"/>
                <w:sz w:val="15"/>
              </w:rPr>
              <w:t xml:space="preserve">24.2%</w:t>
            </w:r>
          </w:p>
        </w:tc>
        <w:tc>
          <w:tcPr>
            <w:tcW w:type="dxa" w:w="1050"/>
          </w:tcPr>
          <w:p>
            <w:pPr>
              <w:pStyle w:val="Compact"/>
              <w:spacing w:after="0" w:before="0" w:line="240" w:lineRule="auto"/>
              <w:jc w:val="right"/>
            </w:pPr>
            <w:r>
              <w:rPr>
                <w:rFonts w:ascii="Arial" w:hAnsi="Arial"/>
                <w:sz w:val="15"/>
              </w:rPr>
              <w:t xml:space="preserve">1.3%</w:t>
            </w:r>
          </w:p>
        </w:tc>
        <w:tc>
          <w:tcPr>
            <w:tcW w:type="dxa" w:w="1367"/>
          </w:tcPr>
          <w:p>
            <w:pPr>
              <w:pStyle w:val="Compact"/>
              <w:spacing w:after="0" w:before="0" w:line="240" w:lineRule="auto"/>
              <w:jc w:val="right"/>
            </w:pPr>
            <w:r>
              <w:rPr>
                <w:rFonts w:ascii="Arial" w:hAnsi="Arial"/>
                <w:sz w:val="15"/>
              </w:rPr>
              <w:t xml:space="preserve">0.35x</w:t>
            </w:r>
          </w:p>
        </w:tc>
        <w:tc>
          <w:tcPr>
            <w:tcW w:type="dxa" w:w="1001"/>
          </w:tcPr>
          <w:p>
            <w:pPr>
              <w:pStyle w:val="Compact"/>
              <w:spacing w:after="0" w:before="0" w:line="240" w:lineRule="auto"/>
              <w:jc w:val="right"/>
            </w:pPr>
            <w:r>
              <w:rPr>
                <w:rFonts w:ascii="Arial" w:hAnsi="Arial"/>
                <w:sz w:val="15"/>
              </w:rPr>
              <w:t xml:space="preserve">11.8%</w:t>
            </w:r>
          </w:p>
        </w:tc>
        <w:tc>
          <w:tcPr>
            <w:tcW w:type="dxa" w:w="1023"/>
          </w:tcPr>
          <w:p>
            <w:pPr>
              <w:pStyle w:val="Compact"/>
              <w:spacing w:after="0" w:before="0" w:line="240" w:lineRule="auto"/>
              <w:jc w:val="right"/>
            </w:pPr>
            <w:r>
              <w:rPr>
                <w:rFonts w:ascii="Arial" w:hAnsi="Arial"/>
                <w:sz w:val="15"/>
              </w:rPr>
              <w:t xml:space="preserve">1.58x</w:t>
            </w:r>
          </w:p>
        </w:tc>
        <w:tc>
          <w:tcPr>
            <w:tcW w:type="dxa" w:w="1346"/>
          </w:tcPr>
          <w:p>
            <w:pPr>
              <w:pStyle w:val="Compact"/>
              <w:spacing w:after="0" w:before="0" w:line="240" w:lineRule="auto"/>
              <w:jc w:val="right"/>
            </w:pPr>
            <w:r>
              <w:rPr>
                <w:rFonts w:ascii="Arial" w:hAnsi="Arial"/>
                <w:sz w:val="15"/>
              </w:rPr>
              <w:t xml:space="preserve">30.6%</w:t>
            </w:r>
          </w:p>
        </w:tc>
      </w:tr>
      <w:tr>
        <w:trPr>
          <w:cantSplit/>
        </w:trPr>
        <w:tc>
          <w:tcPr>
            <w:tcW w:type="dxa" w:w="2143"/>
            <w:shd w:val="clear" w:color="auto" w:fill="F1F2F5"/>
          </w:tcPr>
          <w:p>
            <w:pPr>
              <w:pStyle w:val="Compact"/>
              <w:spacing w:after="0" w:before="0" w:line="240" w:lineRule="auto"/>
              <w:jc w:val="left"/>
            </w:pPr>
            <w:r>
              <w:rPr>
                <w:rFonts w:ascii="Arial" w:hAnsi="Arial"/>
                <w:sz w:val="15"/>
              </w:rPr>
              <w:t xml:space="preserve">Maxis</w:t>
            </w:r>
          </w:p>
        </w:tc>
        <w:tc>
          <w:tcPr>
            <w:tcW w:type="dxa" w:w="1096"/>
            <w:shd w:val="clear" w:color="auto" w:fill="F1F2F5"/>
          </w:tcPr>
          <w:p>
            <w:pPr>
              <w:pStyle w:val="Compact"/>
              <w:spacing w:after="0" w:before="0" w:line="240" w:lineRule="auto"/>
              <w:jc w:val="right"/>
            </w:pPr>
            <w:r>
              <w:rPr>
                <w:rFonts w:ascii="Arial" w:hAnsi="Arial"/>
                <w:sz w:val="15"/>
              </w:rPr>
              <w:t xml:space="preserve">32.2%</w:t>
            </w:r>
          </w:p>
        </w:tc>
        <w:tc>
          <w:tcPr>
            <w:tcW w:type="dxa" w:w="952"/>
            <w:shd w:val="clear" w:color="auto" w:fill="F1F2F5"/>
          </w:tcPr>
          <w:p>
            <w:pPr>
              <w:pStyle w:val="Compact"/>
              <w:spacing w:after="0" w:before="0" w:line="240" w:lineRule="auto"/>
              <w:jc w:val="right"/>
            </w:pPr>
            <w:r>
              <w:rPr>
                <w:rFonts w:ascii="Arial" w:hAnsi="Arial"/>
                <w:sz w:val="15"/>
              </w:rPr>
              <w:t xml:space="preserve">20.4%</w:t>
            </w:r>
          </w:p>
        </w:tc>
        <w:tc>
          <w:tcPr>
            <w:tcW w:type="dxa" w:w="1050"/>
            <w:shd w:val="clear" w:color="auto" w:fill="F1F2F5"/>
          </w:tcPr>
          <w:p>
            <w:pPr>
              <w:pStyle w:val="Compact"/>
              <w:spacing w:after="0" w:before="0" w:line="240" w:lineRule="auto"/>
              <w:jc w:val="right"/>
            </w:pPr>
            <w:r>
              <w:rPr>
                <w:rFonts w:ascii="Arial" w:hAnsi="Arial"/>
                <w:sz w:val="15"/>
              </w:rPr>
              <w:t xml:space="preserve">3.2%</w:t>
            </w:r>
          </w:p>
        </w:tc>
        <w:tc>
          <w:tcPr>
            <w:tcW w:type="dxa" w:w="1367"/>
            <w:shd w:val="clear" w:color="auto" w:fill="F1F2F5"/>
          </w:tcPr>
          <w:p>
            <w:pPr>
              <w:pStyle w:val="Compact"/>
              <w:spacing w:after="0" w:before="0" w:line="240" w:lineRule="auto"/>
              <w:jc w:val="right"/>
            </w:pPr>
            <w:r>
              <w:rPr>
                <w:rFonts w:ascii="Arial" w:hAnsi="Arial"/>
                <w:sz w:val="15"/>
              </w:rPr>
              <w:t xml:space="preserve">2.33x</w:t>
            </w:r>
          </w:p>
        </w:tc>
        <w:tc>
          <w:tcPr>
            <w:tcW w:type="dxa" w:w="1001"/>
            <w:shd w:val="clear" w:color="auto" w:fill="F1F2F5"/>
          </w:tcPr>
          <w:p>
            <w:pPr>
              <w:pStyle w:val="Compact"/>
              <w:spacing w:after="0" w:before="0" w:line="240" w:lineRule="auto"/>
              <w:jc w:val="right"/>
            </w:pPr>
            <w:r>
              <w:rPr>
                <w:rFonts w:ascii="Arial" w:hAnsi="Arial"/>
                <w:sz w:val="15"/>
              </w:rPr>
              <w:t xml:space="preserve">4.5%</w:t>
            </w:r>
          </w:p>
        </w:tc>
        <w:tc>
          <w:tcPr>
            <w:tcW w:type="dxa" w:w="1023"/>
            <w:shd w:val="clear" w:color="auto" w:fill="F1F2F5"/>
          </w:tcPr>
          <w:p>
            <w:pPr>
              <w:pStyle w:val="Compact"/>
              <w:spacing w:after="0" w:before="0" w:line="240" w:lineRule="auto"/>
              <w:jc w:val="right"/>
            </w:pPr>
            <w:r>
              <w:rPr>
                <w:rFonts w:ascii="Arial" w:hAnsi="Arial"/>
                <w:sz w:val="15"/>
              </w:rPr>
              <w:t xml:space="preserve">4.41x</w:t>
            </w:r>
          </w:p>
        </w:tc>
        <w:tc>
          <w:tcPr>
            <w:tcW w:type="dxa" w:w="1346"/>
            <w:shd w:val="clear" w:color="auto" w:fill="F1F2F5"/>
          </w:tcPr>
          <w:p>
            <w:pPr>
              <w:pStyle w:val="Compact"/>
              <w:spacing w:after="0" w:before="0" w:line="240" w:lineRule="auto"/>
              <w:jc w:val="right"/>
            </w:pPr>
            <w:r>
              <w:rPr>
                <w:rFonts w:ascii="Arial" w:hAnsi="Arial"/>
                <w:sz w:val="15"/>
              </w:rPr>
              <w:t xml:space="preserve">7.1%</w:t>
            </w:r>
          </w:p>
        </w:tc>
      </w:tr>
      <w:tr>
        <w:trPr>
          <w:cantSplit/>
        </w:trPr>
        <w:tc>
          <w:tcPr>
            <w:tcW w:type="dxa" w:w="2143"/>
          </w:tcPr>
          <w:p>
            <w:pPr>
              <w:pStyle w:val="Compact"/>
              <w:spacing w:after="0" w:before="0" w:line="240" w:lineRule="auto"/>
              <w:jc w:val="left"/>
            </w:pPr>
            <w:r>
              <w:rPr>
                <w:rFonts w:ascii="Arial" w:hAnsi="Arial"/>
                <w:sz w:val="15"/>
              </w:rPr>
              <w:t xml:space="preserve">CelcomDigi</w:t>
            </w:r>
          </w:p>
        </w:tc>
        <w:tc>
          <w:tcPr>
            <w:tcW w:type="dxa" w:w="1096"/>
          </w:tcPr>
          <w:p>
            <w:pPr>
              <w:pStyle w:val="Compact"/>
              <w:spacing w:after="0" w:before="0" w:line="240" w:lineRule="auto"/>
              <w:jc w:val="right"/>
            </w:pPr>
            <w:r>
              <w:rPr>
                <w:rFonts w:ascii="Arial" w:hAnsi="Arial"/>
                <w:sz w:val="15"/>
              </w:rPr>
              <w:t xml:space="preserve">41.9%</w:t>
            </w:r>
          </w:p>
        </w:tc>
        <w:tc>
          <w:tcPr>
            <w:tcW w:type="dxa" w:w="952"/>
          </w:tcPr>
          <w:p>
            <w:pPr>
              <w:pStyle w:val="Compact"/>
              <w:spacing w:after="0" w:before="0" w:line="240" w:lineRule="auto"/>
              <w:jc w:val="right"/>
            </w:pPr>
            <w:r>
              <w:rPr>
                <w:rFonts w:ascii="Arial" w:hAnsi="Arial"/>
                <w:sz w:val="15"/>
              </w:rPr>
              <w:t xml:space="preserve">30.2%</w:t>
            </w:r>
          </w:p>
        </w:tc>
        <w:tc>
          <w:tcPr>
            <w:tcW w:type="dxa" w:w="1050"/>
          </w:tcPr>
          <w:p>
            <w:pPr>
              <w:pStyle w:val="Compact"/>
              <w:spacing w:after="0" w:before="0" w:line="240" w:lineRule="auto"/>
              <w:jc w:val="right"/>
            </w:pPr>
            <w:r>
              <w:rPr>
                <w:rFonts w:ascii="Arial" w:hAnsi="Arial"/>
                <w:sz w:val="15"/>
              </w:rPr>
              <w:t xml:space="preserve">1.4%</w:t>
            </w:r>
          </w:p>
        </w:tc>
        <w:tc>
          <w:tcPr>
            <w:tcW w:type="dxa" w:w="1367"/>
          </w:tcPr>
          <w:p>
            <w:pPr>
              <w:pStyle w:val="Compact"/>
              <w:spacing w:after="0" w:before="0" w:line="240" w:lineRule="auto"/>
              <w:jc w:val="right"/>
            </w:pPr>
            <w:r>
              <w:rPr>
                <w:rFonts w:ascii="Arial" w:hAnsi="Arial"/>
                <w:sz w:val="15"/>
              </w:rPr>
              <w:t xml:space="preserve">2.04x</w:t>
            </w:r>
          </w:p>
        </w:tc>
        <w:tc>
          <w:tcPr>
            <w:tcW w:type="dxa" w:w="1001"/>
          </w:tcPr>
          <w:p>
            <w:pPr>
              <w:pStyle w:val="Compact"/>
              <w:spacing w:after="0" w:before="0" w:line="240" w:lineRule="auto"/>
              <w:jc w:val="right"/>
            </w:pPr>
            <w:r>
              <w:rPr>
                <w:rFonts w:ascii="Arial" w:hAnsi="Arial"/>
                <w:sz w:val="15"/>
              </w:rPr>
              <w:t xml:space="preserve">5.5%</w:t>
            </w:r>
          </w:p>
        </w:tc>
        <w:tc>
          <w:tcPr>
            <w:tcW w:type="dxa" w:w="1023"/>
          </w:tcPr>
          <w:p>
            <w:pPr>
              <w:pStyle w:val="Compact"/>
              <w:spacing w:after="0" w:before="0" w:line="240" w:lineRule="auto"/>
              <w:jc w:val="right"/>
            </w:pPr>
            <w:r>
              <w:rPr>
                <w:rFonts w:ascii="Arial" w:hAnsi="Arial"/>
                <w:sz w:val="15"/>
              </w:rPr>
              <w:t xml:space="preserve">1.89x</w:t>
            </w:r>
          </w:p>
        </w:tc>
        <w:tc>
          <w:tcPr>
            <w:tcW w:type="dxa" w:w="1346"/>
          </w:tcPr>
          <w:p>
            <w:pPr>
              <w:pStyle w:val="Compact"/>
              <w:spacing w:after="0" w:before="0" w:line="240" w:lineRule="auto"/>
              <w:jc w:val="right"/>
            </w:pPr>
            <w:r>
              <w:rPr>
                <w:rFonts w:ascii="Arial" w:hAnsi="Arial"/>
                <w:sz w:val="15"/>
              </w:rPr>
              <w:t xml:space="preserve">7.0%</w:t>
            </w:r>
          </w:p>
        </w:tc>
      </w:tr>
      <w:tr>
        <w:trPr>
          <w:cantSplit/>
        </w:trPr>
        <w:tc>
          <w:tcPr>
            <w:tcW w:type="dxa" w:w="2143"/>
            <w:shd w:val="clear" w:color="auto" w:fill="F1F2F5"/>
          </w:tcPr>
          <w:p>
            <w:pPr>
              <w:pStyle w:val="Compact"/>
              <w:spacing w:after="0" w:before="0" w:line="240" w:lineRule="auto"/>
              <w:jc w:val="left"/>
            </w:pPr>
            <w:r>
              <w:rPr>
                <w:rFonts w:ascii="Arial" w:hAnsi="Arial"/>
                <w:sz w:val="15"/>
              </w:rPr>
              <w:t xml:space="preserve">Globe Telecom</w:t>
            </w:r>
          </w:p>
        </w:tc>
        <w:tc>
          <w:tcPr>
            <w:tcW w:type="dxa" w:w="1096"/>
            <w:shd w:val="clear" w:color="auto" w:fill="F1F2F5"/>
          </w:tcPr>
          <w:p>
            <w:pPr>
              <w:pStyle w:val="Compact"/>
              <w:spacing w:after="0" w:before="0" w:line="240" w:lineRule="auto"/>
              <w:jc w:val="right"/>
            </w:pPr>
            <w:r>
              <w:rPr>
                <w:rFonts w:ascii="Arial" w:hAnsi="Arial"/>
                <w:sz w:val="15"/>
              </w:rPr>
              <w:t xml:space="preserve">40.8%</w:t>
            </w:r>
          </w:p>
        </w:tc>
        <w:tc>
          <w:tcPr>
            <w:tcW w:type="dxa" w:w="952"/>
            <w:shd w:val="clear" w:color="auto" w:fill="F1F2F5"/>
          </w:tcPr>
          <w:p>
            <w:pPr>
              <w:pStyle w:val="Compact"/>
              <w:spacing w:after="0" w:before="0" w:line="240" w:lineRule="auto"/>
              <w:jc w:val="right"/>
            </w:pPr>
            <w:r>
              <w:rPr>
                <w:rFonts w:ascii="Arial" w:hAnsi="Arial"/>
                <w:sz w:val="15"/>
              </w:rPr>
              <w:t xml:space="preserve">20.0%</w:t>
            </w:r>
          </w:p>
        </w:tc>
        <w:tc>
          <w:tcPr>
            <w:tcW w:type="dxa" w:w="1050"/>
            <w:shd w:val="clear" w:color="auto" w:fill="F1F2F5"/>
          </w:tcPr>
          <w:p>
            <w:pPr>
              <w:pStyle w:val="Compact"/>
              <w:spacing w:after="0" w:before="0" w:line="240" w:lineRule="auto"/>
              <w:jc w:val="right"/>
            </w:pPr>
            <w:r>
              <w:rPr>
                <w:rFonts w:ascii="Arial" w:hAnsi="Arial"/>
                <w:sz w:val="15"/>
              </w:rPr>
              <w:t xml:space="preserve">3.0%</w:t>
            </w:r>
          </w:p>
        </w:tc>
        <w:tc>
          <w:tcPr>
            <w:tcW w:type="dxa" w:w="1367"/>
            <w:shd w:val="clear" w:color="auto" w:fill="F1F2F5"/>
          </w:tcPr>
          <w:p>
            <w:pPr>
              <w:pStyle w:val="Compact"/>
              <w:spacing w:after="0" w:before="0" w:line="240" w:lineRule="auto"/>
              <w:jc w:val="right"/>
            </w:pPr>
            <w:r>
              <w:rPr>
                <w:rFonts w:ascii="Arial" w:hAnsi="Arial"/>
                <w:sz w:val="15"/>
              </w:rPr>
              <w:t xml:space="preserve">4.35x</w:t>
            </w:r>
          </w:p>
        </w:tc>
        <w:tc>
          <w:tcPr>
            <w:tcW w:type="dxa" w:w="1001"/>
            <w:shd w:val="clear" w:color="auto" w:fill="F1F2F5"/>
          </w:tcPr>
          <w:p>
            <w:pPr>
              <w:pStyle w:val="Compact"/>
              <w:spacing w:after="0" w:before="0" w:line="240" w:lineRule="auto"/>
              <w:jc w:val="right"/>
            </w:pPr>
            <w:r>
              <w:rPr>
                <w:rFonts w:ascii="Arial" w:hAnsi="Arial"/>
                <w:sz w:val="15"/>
              </w:rPr>
              <w:t xml:space="preserve">6.4%</w:t>
            </w:r>
          </w:p>
        </w:tc>
        <w:tc>
          <w:tcPr>
            <w:tcW w:type="dxa" w:w="1023"/>
            <w:shd w:val="clear" w:color="auto" w:fill="F1F2F5"/>
          </w:tcPr>
          <w:p>
            <w:pPr>
              <w:pStyle w:val="Compact"/>
              <w:spacing w:after="0" w:before="0" w:line="240" w:lineRule="auto"/>
              <w:jc w:val="right"/>
            </w:pPr>
            <w:r>
              <w:rPr>
                <w:rFonts w:ascii="Arial" w:hAnsi="Arial"/>
                <w:sz w:val="15"/>
              </w:rPr>
              <w:t xml:space="preserve">1.29x</w:t>
            </w:r>
          </w:p>
        </w:tc>
        <w:tc>
          <w:tcPr>
            <w:tcW w:type="dxa" w:w="1346"/>
            <w:shd w:val="clear" w:color="auto" w:fill="F1F2F5"/>
          </w:tcPr>
          <w:p>
            <w:pPr>
              <w:pStyle w:val="Compact"/>
              <w:spacing w:after="0" w:before="0" w:line="240" w:lineRule="auto"/>
              <w:jc w:val="right"/>
            </w:pPr>
            <w:r>
              <w:rPr>
                <w:rFonts w:ascii="Arial" w:hAnsi="Arial"/>
                <w:sz w:val="15"/>
              </w:rPr>
              <w:t xml:space="preserve">6.0%</w:t>
            </w:r>
          </w:p>
        </w:tc>
      </w:tr>
      <w:tr>
        <w:trPr>
          <w:cantSplit/>
        </w:trPr>
        <w:tc>
          <w:tcPr>
            <w:tcW w:type="dxa" w:w="2143"/>
          </w:tcPr>
          <w:p>
            <w:pPr>
              <w:pStyle w:val="Compact"/>
              <w:spacing w:after="0" w:before="0" w:line="240" w:lineRule="auto"/>
              <w:jc w:val="left"/>
            </w:pPr>
            <w:r>
              <w:rPr>
                <w:rFonts w:ascii="Arial" w:hAnsi="Arial"/>
                <w:sz w:val="15"/>
              </w:rPr>
              <w:t xml:space="preserve">PLDT</w:t>
            </w:r>
          </w:p>
        </w:tc>
        <w:tc>
          <w:tcPr>
            <w:tcW w:type="dxa" w:w="1096"/>
          </w:tcPr>
          <w:p>
            <w:pPr>
              <w:pStyle w:val="Compact"/>
              <w:spacing w:after="0" w:before="0" w:line="240" w:lineRule="auto"/>
              <w:jc w:val="right"/>
            </w:pPr>
            <w:r>
              <w:rPr>
                <w:rFonts w:ascii="Arial" w:hAnsi="Arial"/>
                <w:sz w:val="15"/>
              </w:rPr>
              <w:t xml:space="preserve">40.2%</w:t>
            </w:r>
          </w:p>
        </w:tc>
        <w:tc>
          <w:tcPr>
            <w:tcW w:type="dxa" w:w="952"/>
          </w:tcPr>
          <w:p>
            <w:pPr>
              <w:pStyle w:val="Compact"/>
              <w:spacing w:after="0" w:before="0" w:line="240" w:lineRule="auto"/>
              <w:jc w:val="right"/>
            </w:pPr>
            <w:r>
              <w:rPr>
                <w:rFonts w:ascii="Arial" w:hAnsi="Arial"/>
                <w:sz w:val="15"/>
              </w:rPr>
              <w:t xml:space="preserve">25.8%</w:t>
            </w:r>
          </w:p>
        </w:tc>
        <w:tc>
          <w:tcPr>
            <w:tcW w:type="dxa" w:w="1050"/>
          </w:tcPr>
          <w:p>
            <w:pPr>
              <w:pStyle w:val="Compact"/>
              <w:spacing w:after="0" w:before="0" w:line="240" w:lineRule="auto"/>
              <w:jc w:val="right"/>
            </w:pPr>
            <w:r>
              <w:rPr>
                <w:rFonts w:ascii="Arial" w:hAnsi="Arial"/>
                <w:sz w:val="15"/>
              </w:rPr>
              <w:t xml:space="preserve">1.0%</w:t>
            </w:r>
          </w:p>
        </w:tc>
        <w:tc>
          <w:tcPr>
            <w:tcW w:type="dxa" w:w="1367"/>
          </w:tcPr>
          <w:p>
            <w:pPr>
              <w:pStyle w:val="Compact"/>
              <w:spacing w:after="0" w:before="0" w:line="240" w:lineRule="auto"/>
              <w:jc w:val="right"/>
            </w:pPr>
            <w:r>
              <w:rPr>
                <w:rFonts w:ascii="Arial" w:hAnsi="Arial"/>
                <w:sz w:val="15"/>
              </w:rPr>
              <w:t xml:space="preserve">3.53x</w:t>
            </w:r>
          </w:p>
        </w:tc>
        <w:tc>
          <w:tcPr>
            <w:tcW w:type="dxa" w:w="1001"/>
          </w:tcPr>
          <w:p>
            <w:pPr>
              <w:pStyle w:val="Compact"/>
              <w:spacing w:after="0" w:before="0" w:line="240" w:lineRule="auto"/>
              <w:jc w:val="right"/>
            </w:pPr>
            <w:r>
              <w:rPr>
                <w:rFonts w:ascii="Arial" w:hAnsi="Arial"/>
                <w:sz w:val="15"/>
              </w:rPr>
              <w:t xml:space="preserve">7.4%</w:t>
            </w:r>
          </w:p>
        </w:tc>
        <w:tc>
          <w:tcPr>
            <w:tcW w:type="dxa" w:w="1023"/>
          </w:tcPr>
          <w:p>
            <w:pPr>
              <w:pStyle w:val="Compact"/>
              <w:spacing w:after="0" w:before="0" w:line="240" w:lineRule="auto"/>
              <w:jc w:val="right"/>
            </w:pPr>
            <w:r>
              <w:rPr>
                <w:rFonts w:ascii="Arial" w:hAnsi="Arial"/>
                <w:sz w:val="15"/>
              </w:rPr>
              <w:t xml:space="preserve">2.03x</w:t>
            </w:r>
          </w:p>
        </w:tc>
        <w:tc>
          <w:tcPr>
            <w:tcW w:type="dxa" w:w="1346"/>
          </w:tcPr>
          <w:p>
            <w:pPr>
              <w:pStyle w:val="Compact"/>
              <w:spacing w:after="0" w:before="0" w:line="240" w:lineRule="auto"/>
              <w:jc w:val="right"/>
            </w:pPr>
            <w:r>
              <w:rPr>
                <w:rFonts w:ascii="Arial" w:hAnsi="Arial"/>
                <w:sz w:val="15"/>
              </w:rPr>
              <w:t xml:space="preserve">0.5%</w:t>
            </w:r>
          </w:p>
        </w:tc>
      </w:tr>
      <w:tr>
        <w:trPr>
          <w:cantSplit/>
        </w:trPr>
        <w:tc>
          <w:tcPr>
            <w:tcW w:type="dxa" w:w="2143"/>
            <w:shd w:val="clear" w:color="auto" w:fill="F1F2F5"/>
          </w:tcPr>
          <w:p>
            <w:pPr>
              <w:pStyle w:val="Compact"/>
              <w:spacing w:after="0" w:before="0" w:line="240" w:lineRule="auto"/>
              <w:jc w:val="left"/>
            </w:pPr>
            <w:r>
              <w:rPr>
                <w:rFonts w:ascii="Arial" w:hAnsi="Arial"/>
                <w:sz w:val="15"/>
              </w:rPr>
              <w:t xml:space="preserve">China Mobile</w:t>
            </w:r>
          </w:p>
        </w:tc>
        <w:tc>
          <w:tcPr>
            <w:tcW w:type="dxa" w:w="1096"/>
            <w:shd w:val="clear" w:color="auto" w:fill="F1F2F5"/>
          </w:tcPr>
          <w:p>
            <w:pPr>
              <w:pStyle w:val="Compact"/>
              <w:spacing w:after="0" w:before="0" w:line="240" w:lineRule="auto"/>
              <w:jc w:val="right"/>
            </w:pPr>
            <w:r>
              <w:rPr>
                <w:rFonts w:ascii="Arial" w:hAnsi="Arial"/>
                <w:sz w:val="15"/>
              </w:rPr>
              <w:t xml:space="preserve">24.9%</w:t>
            </w:r>
          </w:p>
        </w:tc>
        <w:tc>
          <w:tcPr>
            <w:tcW w:type="dxa" w:w="952"/>
            <w:shd w:val="clear" w:color="auto" w:fill="F1F2F5"/>
          </w:tcPr>
          <w:p>
            <w:pPr>
              <w:pStyle w:val="Compact"/>
              <w:spacing w:after="0" w:before="0" w:line="240" w:lineRule="auto"/>
              <w:jc w:val="right"/>
            </w:pPr>
            <w:r>
              <w:rPr>
                <w:rFonts w:ascii="Arial" w:hAnsi="Arial"/>
                <w:sz w:val="15"/>
              </w:rPr>
              <w:t xml:space="preserve">13.1%</w:t>
            </w:r>
          </w:p>
        </w:tc>
        <w:tc>
          <w:tcPr>
            <w:tcW w:type="dxa" w:w="1050"/>
            <w:shd w:val="clear" w:color="auto" w:fill="F1F2F5"/>
          </w:tcPr>
          <w:p>
            <w:pPr>
              <w:pStyle w:val="Compact"/>
              <w:spacing w:after="0" w:before="0" w:line="240" w:lineRule="auto"/>
              <w:jc w:val="right"/>
            </w:pPr>
            <w:r>
              <w:rPr>
                <w:rFonts w:ascii="Arial" w:hAnsi="Arial"/>
                <w:sz w:val="15"/>
              </w:rPr>
              <w:t xml:space="preserve">0.6%</w:t>
            </w:r>
          </w:p>
        </w:tc>
        <w:tc>
          <w:tcPr>
            <w:tcW w:type="dxa" w:w="1367"/>
            <w:shd w:val="clear" w:color="auto" w:fill="F1F2F5"/>
          </w:tcPr>
          <w:p>
            <w:pPr>
              <w:pStyle w:val="Compact"/>
              <w:spacing w:after="0" w:before="0" w:line="240" w:lineRule="auto"/>
              <w:jc w:val="right"/>
            </w:pPr>
            <w:r>
              <w:rPr>
                <w:rFonts w:ascii="Arial" w:hAnsi="Arial"/>
                <w:sz w:val="15"/>
              </w:rPr>
              <w:t xml:space="preserve">-0.76x</w:t>
            </w:r>
          </w:p>
        </w:tc>
        <w:tc>
          <w:tcPr>
            <w:tcW w:type="dxa" w:w="1001"/>
            <w:shd w:val="clear" w:color="auto" w:fill="F1F2F5"/>
          </w:tcPr>
          <w:p>
            <w:pPr>
              <w:pStyle w:val="Compact"/>
              <w:spacing w:after="0" w:before="0" w:line="240" w:lineRule="auto"/>
              <w:jc w:val="right"/>
            </w:pPr>
            <w:r>
              <w:rPr>
                <w:rFonts w:ascii="Arial" w:hAnsi="Arial"/>
                <w:sz w:val="15"/>
              </w:rPr>
              <w:t xml:space="preserve">6.8%</w:t>
            </w:r>
          </w:p>
        </w:tc>
        <w:tc>
          <w:tcPr>
            <w:tcW w:type="dxa" w:w="1023"/>
            <w:shd w:val="clear" w:color="auto" w:fill="F1F2F5"/>
          </w:tcPr>
          <w:p>
            <w:pPr>
              <w:pStyle w:val="Compact"/>
              <w:spacing w:after="0" w:before="0" w:line="240" w:lineRule="auto"/>
              <w:jc w:val="right"/>
            </w:pPr>
            <w:r>
              <w:rPr>
                <w:rFonts w:ascii="Arial" w:hAnsi="Arial"/>
                <w:sz w:val="15"/>
              </w:rPr>
              <w:t xml:space="preserve">1.07x</w:t>
            </w:r>
          </w:p>
        </w:tc>
        <w:tc>
          <w:tcPr>
            <w:tcW w:type="dxa" w:w="1346"/>
            <w:shd w:val="clear" w:color="auto" w:fill="F1F2F5"/>
          </w:tcPr>
          <w:p>
            <w:pPr>
              <w:pStyle w:val="Compact"/>
              <w:spacing w:after="0" w:before="0" w:line="240" w:lineRule="auto"/>
              <w:jc w:val="right"/>
            </w:pPr>
            <w:r>
              <w:rPr>
                <w:rFonts w:ascii="Arial" w:hAnsi="Arial"/>
                <w:sz w:val="15"/>
              </w:rPr>
              <w:t xml:space="preserve">6.9%</w:t>
            </w:r>
          </w:p>
        </w:tc>
      </w:tr>
      <w:tr>
        <w:trPr>
          <w:cantSplit/>
        </w:trPr>
        <w:tc>
          <w:tcPr>
            <w:tcW w:type="dxa" w:w="2143"/>
          </w:tcPr>
          <w:p>
            <w:pPr>
              <w:pStyle w:val="Compact"/>
              <w:spacing w:after="0" w:before="0" w:line="240" w:lineRule="auto"/>
              <w:jc w:val="left"/>
            </w:pPr>
            <w:r>
              <w:rPr>
                <w:rFonts w:ascii="Arial" w:hAnsi="Arial"/>
                <w:sz w:val="15"/>
              </w:rPr>
              <w:t xml:space="preserve">China Telecom</w:t>
            </w:r>
          </w:p>
        </w:tc>
        <w:tc>
          <w:tcPr>
            <w:tcW w:type="dxa" w:w="1096"/>
          </w:tcPr>
          <w:p>
            <w:pPr>
              <w:pStyle w:val="Compact"/>
              <w:spacing w:after="0" w:before="0" w:line="240" w:lineRule="auto"/>
              <w:jc w:val="right"/>
            </w:pPr>
            <w:r>
              <w:rPr>
                <w:rFonts w:ascii="Arial" w:hAnsi="Arial"/>
                <w:sz w:val="15"/>
              </w:rPr>
              <w:t xml:space="preserve">21.3%</w:t>
            </w:r>
          </w:p>
        </w:tc>
        <w:tc>
          <w:tcPr>
            <w:tcW w:type="dxa" w:w="952"/>
          </w:tcPr>
          <w:p>
            <w:pPr>
              <w:pStyle w:val="Compact"/>
              <w:spacing w:after="0" w:before="0" w:line="240" w:lineRule="auto"/>
              <w:jc w:val="right"/>
            </w:pPr>
            <w:r>
              <w:rPr>
                <w:rFonts w:ascii="Arial" w:hAnsi="Arial"/>
                <w:sz w:val="15"/>
              </w:rPr>
              <w:t xml:space="preserve">6.8%</w:t>
            </w:r>
          </w:p>
        </w:tc>
        <w:tc>
          <w:tcPr>
            <w:tcW w:type="dxa" w:w="1050"/>
          </w:tcPr>
          <w:p>
            <w:pPr>
              <w:pStyle w:val="Compact"/>
              <w:spacing w:after="0" w:before="0" w:line="240" w:lineRule="auto"/>
              <w:jc w:val="right"/>
            </w:pPr>
            <w:r>
              <w:rPr>
                <w:rFonts w:ascii="Arial" w:hAnsi="Arial"/>
                <w:sz w:val="15"/>
              </w:rPr>
              <w:t xml:space="preserve">-2.2%</w:t>
            </w:r>
          </w:p>
        </w:tc>
        <w:tc>
          <w:tcPr>
            <w:tcW w:type="dxa" w:w="1367"/>
          </w:tcPr>
          <w:p>
            <w:pPr>
              <w:pStyle w:val="Compact"/>
              <w:spacing w:after="0" w:before="0" w:line="240" w:lineRule="auto"/>
              <w:jc w:val="right"/>
            </w:pPr>
            <w:r>
              <w:rPr>
                <w:rFonts w:ascii="Arial" w:hAnsi="Arial"/>
                <w:sz w:val="15"/>
              </w:rPr>
              <w:t xml:space="preserve">-0.37x</w:t>
            </w:r>
          </w:p>
        </w:tc>
        <w:tc>
          <w:tcPr>
            <w:tcW w:type="dxa" w:w="1001"/>
          </w:tcPr>
          <w:p>
            <w:pPr>
              <w:pStyle w:val="Compact"/>
              <w:spacing w:after="0" w:before="0" w:line="240" w:lineRule="auto"/>
              <w:jc w:val="right"/>
            </w:pPr>
            <w:r>
              <w:rPr>
                <w:rFonts w:ascii="Arial" w:hAnsi="Arial"/>
                <w:sz w:val="15"/>
              </w:rPr>
              <w:t xml:space="preserve">6.2%</w:t>
            </w:r>
          </w:p>
        </w:tc>
        <w:tc>
          <w:tcPr>
            <w:tcW w:type="dxa" w:w="1023"/>
          </w:tcPr>
          <w:p>
            <w:pPr>
              <w:pStyle w:val="Compact"/>
              <w:spacing w:after="0" w:before="0" w:line="240" w:lineRule="auto"/>
              <w:jc w:val="right"/>
            </w:pPr>
            <w:r>
              <w:rPr>
                <w:rFonts w:ascii="Arial" w:hAnsi="Arial"/>
                <w:sz w:val="15"/>
              </w:rPr>
              <w:t xml:space="preserve">0.78x</w:t>
            </w:r>
          </w:p>
        </w:tc>
        <w:tc>
          <w:tcPr>
            <w:tcW w:type="dxa" w:w="1346"/>
          </w:tcPr>
          <w:p>
            <w:pPr>
              <w:pStyle w:val="Compact"/>
              <w:spacing w:after="0" w:before="0" w:line="240" w:lineRule="auto"/>
              <w:jc w:val="right"/>
            </w:pPr>
            <w:r>
              <w:rPr>
                <w:rFonts w:ascii="Arial" w:hAnsi="Arial"/>
                <w:sz w:val="15"/>
              </w:rPr>
              <w:t xml:space="preserve">6.3%</w:t>
            </w:r>
          </w:p>
        </w:tc>
      </w:tr>
      <w:tr>
        <w:trPr>
          <w:cantSplit/>
        </w:trPr>
        <w:tc>
          <w:tcPr>
            <w:tcW w:type="dxa" w:w="2143"/>
            <w:shd w:val="clear" w:color="auto" w:fill="F1F2F5"/>
          </w:tcPr>
          <w:p>
            <w:pPr>
              <w:pStyle w:val="Compact"/>
              <w:spacing w:after="0" w:before="0" w:line="240" w:lineRule="auto"/>
              <w:jc w:val="left"/>
            </w:pPr>
            <w:r>
              <w:rPr>
                <w:rFonts w:ascii="Arial" w:hAnsi="Arial"/>
                <w:sz w:val="15"/>
              </w:rPr>
              <w:t xml:space="preserve">HKT Trust</w:t>
            </w:r>
          </w:p>
        </w:tc>
        <w:tc>
          <w:tcPr>
            <w:tcW w:type="dxa" w:w="1096"/>
            <w:shd w:val="clear" w:color="auto" w:fill="F1F2F5"/>
          </w:tcPr>
          <w:p>
            <w:pPr>
              <w:pStyle w:val="Compact"/>
              <w:spacing w:after="0" w:before="0" w:line="240" w:lineRule="auto"/>
              <w:jc w:val="right"/>
            </w:pPr>
            <w:r>
              <w:rPr>
                <w:rFonts w:ascii="Arial" w:hAnsi="Arial"/>
                <w:sz w:val="15"/>
              </w:rPr>
              <w:t xml:space="preserve">26.9%</w:t>
            </w:r>
          </w:p>
        </w:tc>
        <w:tc>
          <w:tcPr>
            <w:tcW w:type="dxa" w:w="952"/>
            <w:shd w:val="clear" w:color="auto" w:fill="F1F2F5"/>
          </w:tcPr>
          <w:p>
            <w:pPr>
              <w:pStyle w:val="Compact"/>
              <w:spacing w:after="0" w:before="0" w:line="240" w:lineRule="auto"/>
              <w:jc w:val="right"/>
            </w:pPr>
            <w:r>
              <w:rPr>
                <w:rFonts w:ascii="Arial" w:hAnsi="Arial"/>
                <w:sz w:val="15"/>
              </w:rPr>
              <w:t xml:space="preserve">21.8%</w:t>
            </w:r>
          </w:p>
        </w:tc>
        <w:tc>
          <w:tcPr>
            <w:tcW w:type="dxa" w:w="1050"/>
            <w:shd w:val="clear" w:color="auto" w:fill="F1F2F5"/>
          </w:tcPr>
          <w:p>
            <w:pPr>
              <w:pStyle w:val="Compact"/>
              <w:spacing w:after="0" w:before="0" w:line="240" w:lineRule="auto"/>
              <w:jc w:val="right"/>
            </w:pPr>
            <w:r>
              <w:rPr>
                <w:rFonts w:ascii="Arial" w:hAnsi="Arial"/>
                <w:sz w:val="15"/>
              </w:rPr>
              <w:t xml:space="preserve">7.1%</w:t>
            </w:r>
          </w:p>
        </w:tc>
        <w:tc>
          <w:tcPr>
            <w:tcW w:type="dxa" w:w="1367"/>
            <w:shd w:val="clear" w:color="auto" w:fill="F1F2F5"/>
          </w:tcPr>
          <w:p>
            <w:pPr>
              <w:pStyle w:val="Compact"/>
              <w:spacing w:after="0" w:before="0" w:line="240" w:lineRule="auto"/>
              <w:jc w:val="right"/>
            </w:pPr>
            <w:r>
              <w:rPr>
                <w:rFonts w:ascii="Arial" w:hAnsi="Arial"/>
                <w:sz w:val="15"/>
              </w:rPr>
              <w:t xml:space="preserve">4.73x</w:t>
            </w:r>
          </w:p>
        </w:tc>
        <w:tc>
          <w:tcPr>
            <w:tcW w:type="dxa" w:w="1001"/>
            <w:shd w:val="clear" w:color="auto" w:fill="F1F2F5"/>
          </w:tcPr>
          <w:p>
            <w:pPr>
              <w:pStyle w:val="Compact"/>
              <w:spacing w:after="0" w:before="0" w:line="240" w:lineRule="auto"/>
              <w:jc w:val="right"/>
            </w:pPr>
            <w:r>
              <w:rPr>
                <w:rFonts w:ascii="Arial" w:hAnsi="Arial"/>
                <w:sz w:val="15"/>
              </w:rPr>
              <w:t xml:space="preserve">6.9%</w:t>
            </w:r>
          </w:p>
        </w:tc>
        <w:tc>
          <w:tcPr>
            <w:tcW w:type="dxa" w:w="1023"/>
            <w:shd w:val="clear" w:color="auto" w:fill="F1F2F5"/>
          </w:tcPr>
          <w:p>
            <w:pPr>
              <w:pStyle w:val="Compact"/>
              <w:spacing w:after="0" w:before="0" w:line="240" w:lineRule="auto"/>
              <w:jc w:val="right"/>
            </w:pPr>
            <w:r>
              <w:rPr>
                <w:rFonts w:ascii="Arial" w:hAnsi="Arial"/>
                <w:sz w:val="15"/>
              </w:rPr>
              <w:t xml:space="preserve">2.58x</w:t>
            </w:r>
          </w:p>
        </w:tc>
        <w:tc>
          <w:tcPr>
            <w:tcW w:type="dxa" w:w="1346"/>
            <w:shd w:val="clear" w:color="auto" w:fill="F1F2F5"/>
          </w:tcPr>
          <w:p>
            <w:pPr>
              <w:pStyle w:val="Compact"/>
              <w:spacing w:after="0" w:before="0" w:line="240" w:lineRule="auto"/>
              <w:jc w:val="right"/>
            </w:pPr>
            <w:r>
              <w:rPr>
                <w:rFonts w:ascii="Arial" w:hAnsi="Arial"/>
                <w:sz w:val="15"/>
              </w:rPr>
              <w:t xml:space="preserve">5.7%</w:t>
            </w:r>
          </w:p>
        </w:tc>
      </w:tr>
      <w:tr>
        <w:trPr>
          <w:cantSplit/>
        </w:trPr>
        <w:tc>
          <w:tcPr>
            <w:tcW w:type="dxa" w:w="2143"/>
          </w:tcPr>
          <w:p>
            <w:pPr>
              <w:pStyle w:val="Compact"/>
              <w:spacing w:after="0" w:before="0" w:line="240" w:lineRule="auto"/>
              <w:jc w:val="left"/>
            </w:pPr>
            <w:r>
              <w:rPr>
                <w:rFonts w:ascii="Arial" w:hAnsi="Arial"/>
                <w:sz w:val="15"/>
              </w:rPr>
              <w:t xml:space="preserve">Bharti Airtel</w:t>
            </w:r>
          </w:p>
        </w:tc>
        <w:tc>
          <w:tcPr>
            <w:tcW w:type="dxa" w:w="1096"/>
          </w:tcPr>
          <w:p>
            <w:pPr>
              <w:pStyle w:val="Compact"/>
              <w:spacing w:after="0" w:before="0" w:line="240" w:lineRule="auto"/>
              <w:jc w:val="right"/>
            </w:pPr>
            <w:r>
              <w:rPr>
                <w:rFonts w:ascii="Arial" w:hAnsi="Arial"/>
                <w:sz w:val="15"/>
              </w:rPr>
              <w:t xml:space="preserve">52.1%</w:t>
            </w:r>
          </w:p>
        </w:tc>
        <w:tc>
          <w:tcPr>
            <w:tcW w:type="dxa" w:w="952"/>
          </w:tcPr>
          <w:p>
            <w:pPr>
              <w:pStyle w:val="Compact"/>
              <w:spacing w:after="0" w:before="0" w:line="240" w:lineRule="auto"/>
              <w:jc w:val="right"/>
            </w:pPr>
            <w:r>
              <w:rPr>
                <w:rFonts w:ascii="Arial" w:hAnsi="Arial"/>
                <w:sz w:val="15"/>
              </w:rPr>
              <w:t xml:space="preserve">32.2%</w:t>
            </w:r>
          </w:p>
        </w:tc>
        <w:tc>
          <w:tcPr>
            <w:tcW w:type="dxa" w:w="1050"/>
          </w:tcPr>
          <w:p>
            <w:pPr>
              <w:pStyle w:val="Compact"/>
              <w:spacing w:after="0" w:before="0" w:line="240" w:lineRule="auto"/>
              <w:jc w:val="right"/>
            </w:pPr>
            <w:r>
              <w:rPr>
                <w:rFonts w:ascii="Arial" w:hAnsi="Arial"/>
                <w:sz w:val="15"/>
              </w:rPr>
              <w:t xml:space="preserve">19.6%</w:t>
            </w:r>
          </w:p>
        </w:tc>
        <w:tc>
          <w:tcPr>
            <w:tcW w:type="dxa" w:w="1367"/>
          </w:tcPr>
          <w:p>
            <w:pPr>
              <w:pStyle w:val="Compact"/>
              <w:spacing w:after="0" w:before="0" w:line="240" w:lineRule="auto"/>
              <w:jc w:val="right"/>
            </w:pPr>
            <w:r>
              <w:rPr>
                <w:rFonts w:ascii="Arial" w:hAnsi="Arial"/>
                <w:sz w:val="15"/>
              </w:rPr>
              <w:t xml:space="preserve">1.15x</w:t>
            </w:r>
          </w:p>
        </w:tc>
        <w:tc>
          <w:tcPr>
            <w:tcW w:type="dxa" w:w="1001"/>
          </w:tcPr>
          <w:p>
            <w:pPr>
              <w:pStyle w:val="Compact"/>
              <w:spacing w:after="0" w:before="0" w:line="240" w:lineRule="auto"/>
              <w:jc w:val="right"/>
            </w:pPr>
            <w:r>
              <w:rPr>
                <w:rFonts w:ascii="Arial" w:hAnsi="Arial"/>
                <w:sz w:val="15"/>
              </w:rPr>
              <w:t xml:space="preserve">1.3%</w:t>
            </w:r>
          </w:p>
        </w:tc>
        <w:tc>
          <w:tcPr>
            <w:tcW w:type="dxa" w:w="1023"/>
          </w:tcPr>
          <w:p>
            <w:pPr>
              <w:pStyle w:val="Compact"/>
              <w:spacing w:after="0" w:before="0" w:line="240" w:lineRule="auto"/>
              <w:jc w:val="right"/>
            </w:pPr>
            <w:r>
              <w:rPr>
                <w:rFonts w:ascii="Arial" w:hAnsi="Arial"/>
                <w:sz w:val="15"/>
              </w:rPr>
              <w:t xml:space="preserve">7.34x</w:t>
            </w:r>
          </w:p>
        </w:tc>
        <w:tc>
          <w:tcPr>
            <w:tcW w:type="dxa" w:w="1346"/>
          </w:tcPr>
          <w:p>
            <w:pPr>
              <w:pStyle w:val="Compact"/>
              <w:spacing w:after="0" w:before="0" w:line="240" w:lineRule="auto"/>
              <w:jc w:val="right"/>
            </w:pPr>
            <w:r>
              <w:rPr>
                <w:rFonts w:ascii="Arial" w:hAnsi="Arial"/>
                <w:sz w:val="15"/>
              </w:rPr>
              <w:t xml:space="preserve">5.3%</w:t>
            </w:r>
          </w:p>
        </w:tc>
      </w:tr>
      <w:tr>
        <w:trPr>
          <w:cantSplit/>
        </w:trPr>
        <w:tc>
          <w:tcPr>
            <w:tcW w:type="dxa" w:w="2143"/>
            <w:shd w:val="clear" w:color="auto" w:fill="F1F2F5"/>
          </w:tcPr>
          <w:p>
            <w:pPr>
              <w:pStyle w:val="Compact"/>
              <w:spacing w:after="0" w:before="0" w:line="240" w:lineRule="auto"/>
              <w:jc w:val="left"/>
            </w:pPr>
            <w:r>
              <w:rPr>
                <w:rFonts w:ascii="Arial" w:hAnsi="Arial"/>
                <w:sz w:val="15"/>
              </w:rPr>
              <w:t xml:space="preserve">Telstra</w:t>
            </w:r>
          </w:p>
        </w:tc>
        <w:tc>
          <w:tcPr>
            <w:tcW w:type="dxa" w:w="1096"/>
            <w:shd w:val="clear" w:color="auto" w:fill="F1F2F5"/>
          </w:tcPr>
          <w:p>
            <w:pPr>
              <w:pStyle w:val="Compact"/>
              <w:spacing w:after="0" w:before="0" w:line="240" w:lineRule="auto"/>
              <w:jc w:val="right"/>
            </w:pPr>
            <w:r>
              <w:rPr>
                <w:rFonts w:ascii="Arial" w:hAnsi="Arial"/>
                <w:sz w:val="15"/>
              </w:rPr>
              <w:t xml:space="preserve">31.1%</w:t>
            </w:r>
          </w:p>
        </w:tc>
        <w:tc>
          <w:tcPr>
            <w:tcW w:type="dxa" w:w="952"/>
            <w:shd w:val="clear" w:color="auto" w:fill="F1F2F5"/>
          </w:tcPr>
          <w:p>
            <w:pPr>
              <w:pStyle w:val="Compact"/>
              <w:spacing w:after="0" w:before="0" w:line="240" w:lineRule="auto"/>
              <w:jc w:val="right"/>
            </w:pPr>
            <w:r>
              <w:rPr>
                <w:rFonts w:ascii="Arial" w:hAnsi="Arial"/>
                <w:sz w:val="15"/>
              </w:rPr>
              <w:t xml:space="preserve">18.3%</w:t>
            </w:r>
          </w:p>
        </w:tc>
        <w:tc>
          <w:tcPr>
            <w:tcW w:type="dxa" w:w="1050"/>
            <w:shd w:val="clear" w:color="auto" w:fill="F1F2F5"/>
          </w:tcPr>
          <w:p>
            <w:pPr>
              <w:pStyle w:val="Compact"/>
              <w:spacing w:after="0" w:before="0" w:line="240" w:lineRule="auto"/>
              <w:jc w:val="right"/>
            </w:pPr>
            <w:r>
              <w:rPr>
                <w:rFonts w:ascii="Arial" w:hAnsi="Arial"/>
                <w:sz w:val="15"/>
              </w:rPr>
              <w:t xml:space="preserve">-0.8%</w:t>
            </w:r>
          </w:p>
        </w:tc>
        <w:tc>
          <w:tcPr>
            <w:tcW w:type="dxa" w:w="1367"/>
            <w:shd w:val="clear" w:color="auto" w:fill="F1F2F5"/>
          </w:tcPr>
          <w:p>
            <w:pPr>
              <w:pStyle w:val="Compact"/>
              <w:spacing w:after="0" w:before="0" w:line="240" w:lineRule="auto"/>
              <w:jc w:val="right"/>
            </w:pPr>
            <w:r>
              <w:rPr>
                <w:rFonts w:ascii="Arial" w:hAnsi="Arial"/>
                <w:sz w:val="15"/>
              </w:rPr>
              <w:t xml:space="preserve">2.30x</w:t>
            </w:r>
          </w:p>
        </w:tc>
        <w:tc>
          <w:tcPr>
            <w:tcW w:type="dxa" w:w="1001"/>
            <w:shd w:val="clear" w:color="auto" w:fill="F1F2F5"/>
          </w:tcPr>
          <w:p>
            <w:pPr>
              <w:pStyle w:val="Compact"/>
              <w:spacing w:after="0" w:before="0" w:line="240" w:lineRule="auto"/>
              <w:jc w:val="right"/>
            </w:pPr>
            <w:r>
              <w:rPr>
                <w:rFonts w:ascii="Arial" w:hAnsi="Arial"/>
                <w:sz w:val="15"/>
              </w:rPr>
              <w:t xml:space="preserve">4.4%</w:t>
            </w:r>
          </w:p>
        </w:tc>
        <w:tc>
          <w:tcPr>
            <w:tcW w:type="dxa" w:w="1023"/>
            <w:shd w:val="clear" w:color="auto" w:fill="F1F2F5"/>
          </w:tcPr>
          <w:p>
            <w:pPr>
              <w:pStyle w:val="Compact"/>
              <w:spacing w:after="0" w:before="0" w:line="240" w:lineRule="auto"/>
              <w:jc w:val="right"/>
            </w:pPr>
            <w:r>
              <w:rPr>
                <w:rFonts w:ascii="Arial" w:hAnsi="Arial"/>
                <w:sz w:val="15"/>
              </w:rPr>
              <w:t xml:space="preserve">4.19x</w:t>
            </w:r>
          </w:p>
        </w:tc>
        <w:tc>
          <w:tcPr>
            <w:tcW w:type="dxa" w:w="1346"/>
            <w:shd w:val="clear" w:color="auto" w:fill="F1F2F5"/>
          </w:tcPr>
          <w:p>
            <w:pPr>
              <w:pStyle w:val="Compact"/>
              <w:spacing w:after="0" w:before="0" w:line="240" w:lineRule="auto"/>
              <w:jc w:val="right"/>
            </w:pPr>
            <w:r>
              <w:rPr>
                <w:rFonts w:ascii="Arial" w:hAnsi="Arial"/>
                <w:sz w:val="15"/>
              </w:rPr>
              <w:t xml:space="preserve">6.5%</w:t>
            </w:r>
          </w:p>
        </w:tc>
      </w:tr>
      <w:tr>
        <w:trPr>
          <w:cantSplit/>
        </w:trPr>
        <w:tc>
          <w:tcPr>
            <w:tcW w:type="dxa" w:w="2143"/>
          </w:tcPr>
          <w:p>
            <w:pPr>
              <w:pStyle w:val="Compact"/>
              <w:spacing w:after="0" w:before="0" w:line="240" w:lineRule="auto"/>
              <w:jc w:val="left"/>
            </w:pPr>
            <w:r>
              <w:rPr>
                <w:rFonts w:ascii="Arial" w:hAnsi="Arial"/>
                <w:sz w:val="15"/>
              </w:rPr>
              <w:t xml:space="preserve">Deutsche Telekom</w:t>
            </w:r>
          </w:p>
        </w:tc>
        <w:tc>
          <w:tcPr>
            <w:tcW w:type="dxa" w:w="1096"/>
          </w:tcPr>
          <w:p>
            <w:pPr>
              <w:pStyle w:val="Compact"/>
              <w:spacing w:after="0" w:before="0" w:line="240" w:lineRule="auto"/>
              <w:jc w:val="right"/>
            </w:pPr>
            <w:r>
              <w:rPr>
                <w:rFonts w:ascii="Arial" w:hAnsi="Arial"/>
                <w:sz w:val="15"/>
              </w:rPr>
              <w:t xml:space="preserve">34.6%</w:t>
            </w:r>
          </w:p>
        </w:tc>
        <w:tc>
          <w:tcPr>
            <w:tcW w:type="dxa" w:w="952"/>
          </w:tcPr>
          <w:p>
            <w:pPr>
              <w:pStyle w:val="Compact"/>
              <w:spacing w:after="0" w:before="0" w:line="240" w:lineRule="auto"/>
              <w:jc w:val="right"/>
            </w:pPr>
            <w:r>
              <w:rPr>
                <w:rFonts w:ascii="Arial" w:hAnsi="Arial"/>
                <w:sz w:val="15"/>
              </w:rPr>
              <w:t xml:space="preserve">21.1%</w:t>
            </w:r>
          </w:p>
        </w:tc>
        <w:tc>
          <w:tcPr>
            <w:tcW w:type="dxa" w:w="1050"/>
          </w:tcPr>
          <w:p>
            <w:pPr>
              <w:pStyle w:val="Compact"/>
              <w:spacing w:after="0" w:before="0" w:line="240" w:lineRule="auto"/>
              <w:jc w:val="right"/>
            </w:pPr>
            <w:r>
              <w:rPr>
                <w:rFonts w:ascii="Arial" w:hAnsi="Arial"/>
                <w:sz w:val="15"/>
              </w:rPr>
              <w:t xml:space="preserve">2.2%</w:t>
            </w:r>
          </w:p>
        </w:tc>
        <w:tc>
          <w:tcPr>
            <w:tcW w:type="dxa" w:w="1367"/>
          </w:tcPr>
          <w:p>
            <w:pPr>
              <w:pStyle w:val="Compact"/>
              <w:spacing w:after="0" w:before="0" w:line="240" w:lineRule="auto"/>
              <w:jc w:val="right"/>
            </w:pPr>
            <w:r>
              <w:rPr>
                <w:rFonts w:ascii="Arial" w:hAnsi="Arial"/>
                <w:sz w:val="15"/>
              </w:rPr>
              <w:t xml:space="preserve">2.95x</w:t>
            </w:r>
          </w:p>
        </w:tc>
        <w:tc>
          <w:tcPr>
            <w:tcW w:type="dxa" w:w="1001"/>
          </w:tcPr>
          <w:p>
            <w:pPr>
              <w:pStyle w:val="Compact"/>
              <w:spacing w:after="0" w:before="0" w:line="240" w:lineRule="auto"/>
              <w:jc w:val="right"/>
            </w:pPr>
            <w:r>
              <w:rPr>
                <w:rFonts w:ascii="Arial" w:hAnsi="Arial"/>
                <w:sz w:val="15"/>
              </w:rPr>
              <w:t xml:space="preserve">3.9%</w:t>
            </w:r>
          </w:p>
        </w:tc>
        <w:tc>
          <w:tcPr>
            <w:tcW w:type="dxa" w:w="1023"/>
          </w:tcPr>
          <w:p>
            <w:pPr>
              <w:pStyle w:val="Compact"/>
              <w:spacing w:after="0" w:before="0" w:line="240" w:lineRule="auto"/>
              <w:jc w:val="right"/>
            </w:pPr>
            <w:r>
              <w:rPr>
                <w:rFonts w:ascii="Arial" w:hAnsi="Arial"/>
                <w:sz w:val="15"/>
              </w:rPr>
              <w:t xml:space="preserve">2.07x</w:t>
            </w:r>
          </w:p>
        </w:tc>
        <w:tc>
          <w:tcPr>
            <w:tcW w:type="dxa" w:w="1346"/>
          </w:tcPr>
          <w:p>
            <w:pPr>
              <w:pStyle w:val="Compact"/>
              <w:spacing w:after="0" w:before="0" w:line="240" w:lineRule="auto"/>
              <w:jc w:val="right"/>
            </w:pPr>
            <w:r>
              <w:rPr>
                <w:rFonts w:ascii="Arial" w:hAnsi="Arial"/>
                <w:sz w:val="15"/>
              </w:rPr>
              <w:t xml:space="preserve">14.0%</w:t>
            </w:r>
          </w:p>
        </w:tc>
      </w:tr>
      <w:tr>
        <w:trPr>
          <w:cantSplit/>
        </w:trPr>
        <w:tc>
          <w:tcPr>
            <w:tcW w:type="dxa" w:w="2143"/>
            <w:shd w:val="clear" w:color="auto" w:fill="F1F2F5"/>
          </w:tcPr>
          <w:p>
            <w:pPr>
              <w:pStyle w:val="Compact"/>
              <w:spacing w:after="0" w:before="0" w:line="240" w:lineRule="auto"/>
              <w:jc w:val="left"/>
            </w:pPr>
            <w:r>
              <w:rPr>
                <w:rFonts w:ascii="Arial" w:hAnsi="Arial"/>
                <w:sz w:val="15"/>
              </w:rPr>
              <w:t xml:space="preserve">Verizon</w:t>
            </w:r>
          </w:p>
        </w:tc>
        <w:tc>
          <w:tcPr>
            <w:tcW w:type="dxa" w:w="1096"/>
            <w:shd w:val="clear" w:color="auto" w:fill="F1F2F5"/>
          </w:tcPr>
          <w:p>
            <w:pPr>
              <w:pStyle w:val="Compact"/>
              <w:spacing w:after="0" w:before="0" w:line="240" w:lineRule="auto"/>
              <w:jc w:val="right"/>
            </w:pPr>
            <w:r>
              <w:rPr>
                <w:rFonts w:ascii="Arial" w:hAnsi="Arial"/>
                <w:sz w:val="15"/>
              </w:rPr>
              <w:t xml:space="preserve">36.8%</w:t>
            </w:r>
          </w:p>
        </w:tc>
        <w:tc>
          <w:tcPr>
            <w:tcW w:type="dxa" w:w="952"/>
            <w:shd w:val="clear" w:color="auto" w:fill="F1F2F5"/>
          </w:tcPr>
          <w:p>
            <w:pPr>
              <w:pStyle w:val="Compact"/>
              <w:spacing w:after="0" w:before="0" w:line="240" w:lineRule="auto"/>
              <w:jc w:val="right"/>
            </w:pPr>
            <w:r>
              <w:rPr>
                <w:rFonts w:ascii="Arial" w:hAnsi="Arial"/>
                <w:sz w:val="15"/>
              </w:rPr>
              <w:t xml:space="preserve">23.1%</w:t>
            </w:r>
          </w:p>
        </w:tc>
        <w:tc>
          <w:tcPr>
            <w:tcW w:type="dxa" w:w="1050"/>
            <w:shd w:val="clear" w:color="auto" w:fill="F1F2F5"/>
          </w:tcPr>
          <w:p>
            <w:pPr>
              <w:pStyle w:val="Compact"/>
              <w:spacing w:after="0" w:before="0" w:line="240" w:lineRule="auto"/>
              <w:jc w:val="right"/>
            </w:pPr>
            <w:r>
              <w:rPr>
                <w:rFonts w:ascii="Arial" w:hAnsi="Arial"/>
                <w:sz w:val="15"/>
              </w:rPr>
              <w:t xml:space="preserve">1.4%</w:t>
            </w:r>
          </w:p>
        </w:tc>
        <w:tc>
          <w:tcPr>
            <w:tcW w:type="dxa" w:w="1367"/>
            <w:shd w:val="clear" w:color="auto" w:fill="F1F2F5"/>
          </w:tcPr>
          <w:p>
            <w:pPr>
              <w:pStyle w:val="Compact"/>
              <w:spacing w:after="0" w:before="0" w:line="240" w:lineRule="auto"/>
              <w:jc w:val="right"/>
            </w:pPr>
            <w:r>
              <w:rPr>
                <w:rFonts w:ascii="Arial" w:hAnsi="Arial"/>
                <w:sz w:val="15"/>
              </w:rPr>
              <w:t xml:space="preserve">3.35x</w:t>
            </w:r>
          </w:p>
        </w:tc>
        <w:tc>
          <w:tcPr>
            <w:tcW w:type="dxa" w:w="1001"/>
            <w:shd w:val="clear" w:color="auto" w:fill="F1F2F5"/>
          </w:tcPr>
          <w:p>
            <w:pPr>
              <w:pStyle w:val="Compact"/>
              <w:spacing w:after="0" w:before="0" w:line="240" w:lineRule="auto"/>
              <w:jc w:val="right"/>
            </w:pPr>
            <w:r>
              <w:rPr>
                <w:rFonts w:ascii="Arial" w:hAnsi="Arial"/>
                <w:sz w:val="15"/>
              </w:rPr>
              <w:t xml:space="preserve">6.2%</w:t>
            </w:r>
          </w:p>
        </w:tc>
        <w:tc>
          <w:tcPr>
            <w:tcW w:type="dxa" w:w="1023"/>
            <w:shd w:val="clear" w:color="auto" w:fill="F1F2F5"/>
          </w:tcPr>
          <w:p>
            <w:pPr>
              <w:pStyle w:val="Compact"/>
              <w:spacing w:after="0" w:before="0" w:line="240" w:lineRule="auto"/>
              <w:jc w:val="right"/>
            </w:pPr>
            <w:r>
              <w:rPr>
                <w:rFonts w:ascii="Arial" w:hAnsi="Arial"/>
                <w:sz w:val="15"/>
              </w:rPr>
              <w:t xml:space="preserve">1.79x</w:t>
            </w:r>
          </w:p>
        </w:tc>
        <w:tc>
          <w:tcPr>
            <w:tcW w:type="dxa" w:w="1346"/>
            <w:shd w:val="clear" w:color="auto" w:fill="F1F2F5"/>
          </w:tcPr>
          <w:p>
            <w:pPr>
              <w:pStyle w:val="Compact"/>
              <w:spacing w:after="0" w:before="0" w:line="240" w:lineRule="auto"/>
              <w:jc w:val="right"/>
            </w:pPr>
            <w:r>
              <w:rPr>
                <w:rFonts w:ascii="Arial" w:hAnsi="Arial"/>
                <w:sz w:val="15"/>
              </w:rPr>
              <w:t xml:space="preserve">9.4%</w:t>
            </w:r>
          </w:p>
        </w:tc>
      </w:tr>
      <w:tr>
        <w:trPr>
          <w:cantSplit/>
        </w:trPr>
        <w:tc>
          <w:tcPr>
            <w:tcW w:type="dxa" w:w="2143"/>
          </w:tcPr>
          <w:p>
            <w:pPr>
              <w:pStyle w:val="Compact"/>
              <w:spacing w:after="0" w:before="0" w:line="240" w:lineRule="auto"/>
              <w:jc w:val="left"/>
            </w:pPr>
            <w:r>
              <w:rPr>
                <w:rFonts w:ascii="Arial" w:hAnsi="Arial"/>
                <w:sz w:val="15"/>
              </w:rPr>
              <w:t xml:space="preserve">AT&amp;T</w:t>
            </w:r>
          </w:p>
        </w:tc>
        <w:tc>
          <w:tcPr>
            <w:tcW w:type="dxa" w:w="1096"/>
          </w:tcPr>
          <w:p>
            <w:pPr>
              <w:pStyle w:val="Compact"/>
              <w:spacing w:after="0" w:before="0" w:line="240" w:lineRule="auto"/>
              <w:jc w:val="right"/>
            </w:pPr>
            <w:r>
              <w:rPr>
                <w:rFonts w:ascii="Arial" w:hAnsi="Arial"/>
                <w:sz w:val="15"/>
              </w:rPr>
              <w:t xml:space="preserve">35.3%</w:t>
            </w:r>
          </w:p>
        </w:tc>
        <w:tc>
          <w:tcPr>
            <w:tcW w:type="dxa" w:w="952"/>
          </w:tcPr>
          <w:p>
            <w:pPr>
              <w:pStyle w:val="Compact"/>
              <w:spacing w:after="0" w:before="0" w:line="240" w:lineRule="auto"/>
              <w:jc w:val="right"/>
            </w:pPr>
            <w:r>
              <w:rPr>
                <w:rFonts w:ascii="Arial" w:hAnsi="Arial"/>
                <w:sz w:val="15"/>
              </w:rPr>
              <w:t xml:space="preserve">21.8%</w:t>
            </w:r>
          </w:p>
        </w:tc>
        <w:tc>
          <w:tcPr>
            <w:tcW w:type="dxa" w:w="1050"/>
          </w:tcPr>
          <w:p>
            <w:pPr>
              <w:pStyle w:val="Compact"/>
              <w:spacing w:after="0" w:before="0" w:line="240" w:lineRule="auto"/>
              <w:jc w:val="right"/>
            </w:pPr>
            <w:r>
              <w:rPr>
                <w:rFonts w:ascii="Arial" w:hAnsi="Arial"/>
                <w:sz w:val="15"/>
              </w:rPr>
              <w:t xml:space="preserve">2.6%</w:t>
            </w:r>
          </w:p>
        </w:tc>
        <w:tc>
          <w:tcPr>
            <w:tcW w:type="dxa" w:w="1367"/>
          </w:tcPr>
          <w:p>
            <w:pPr>
              <w:pStyle w:val="Compact"/>
              <w:spacing w:after="0" w:before="0" w:line="240" w:lineRule="auto"/>
              <w:jc w:val="right"/>
            </w:pPr>
            <w:r>
              <w:rPr>
                <w:rFonts w:ascii="Arial" w:hAnsi="Arial"/>
                <w:sz w:val="15"/>
              </w:rPr>
              <w:t xml:space="preserve">2.91x</w:t>
            </w:r>
          </w:p>
        </w:tc>
        <w:tc>
          <w:tcPr>
            <w:tcW w:type="dxa" w:w="1001"/>
          </w:tcPr>
          <w:p>
            <w:pPr>
              <w:pStyle w:val="Compact"/>
              <w:spacing w:after="0" w:before="0" w:line="240" w:lineRule="auto"/>
              <w:jc w:val="right"/>
            </w:pPr>
            <w:r>
              <w:rPr>
                <w:rFonts w:ascii="Arial" w:hAnsi="Arial"/>
                <w:sz w:val="15"/>
              </w:rPr>
              <w:t xml:space="preserve">4.7%</w:t>
            </w:r>
          </w:p>
        </w:tc>
        <w:tc>
          <w:tcPr>
            <w:tcW w:type="dxa" w:w="1023"/>
          </w:tcPr>
          <w:p>
            <w:pPr>
              <w:pStyle w:val="Compact"/>
              <w:spacing w:after="0" w:before="0" w:line="240" w:lineRule="auto"/>
              <w:jc w:val="right"/>
            </w:pPr>
            <w:r>
              <w:rPr>
                <w:rFonts w:ascii="Arial" w:hAnsi="Arial"/>
                <w:sz w:val="15"/>
              </w:rPr>
              <w:t xml:space="preserve">1.46x</w:t>
            </w:r>
          </w:p>
        </w:tc>
        <w:tc>
          <w:tcPr>
            <w:tcW w:type="dxa" w:w="1346"/>
          </w:tcPr>
          <w:p>
            <w:pPr>
              <w:pStyle w:val="Compact"/>
              <w:spacing w:after="0" w:before="0" w:line="240" w:lineRule="auto"/>
              <w:jc w:val="right"/>
            </w:pPr>
            <w:r>
              <w:rPr>
                <w:rFonts w:ascii="Arial" w:hAnsi="Arial"/>
                <w:sz w:val="15"/>
              </w:rPr>
              <w:t xml:space="preserve">6.3%</w:t>
            </w:r>
          </w:p>
        </w:tc>
      </w:tr>
      <w:tr>
        <w:trPr>
          <w:cantSplit/>
        </w:trPr>
        <w:tc>
          <w:tcPr>
            <w:tcW w:type="dxa" w:w="2143"/>
            <w:shd w:val="clear" w:color="auto" w:fill="F1F2F5"/>
          </w:tcPr>
          <w:p>
            <w:pPr>
              <w:pStyle w:val="Compact"/>
              <w:spacing w:after="0" w:before="0" w:line="240" w:lineRule="auto"/>
              <w:jc w:val="left"/>
            </w:pPr>
            <w:r>
              <w:rPr>
                <w:rFonts w:ascii="Arial" w:hAnsi="Arial"/>
                <w:sz w:val="15"/>
              </w:rPr>
              <w:t xml:space="preserve">T-Mobile US</w:t>
            </w:r>
          </w:p>
        </w:tc>
        <w:tc>
          <w:tcPr>
            <w:tcW w:type="dxa" w:w="1096"/>
            <w:shd w:val="clear" w:color="auto" w:fill="F1F2F5"/>
          </w:tcPr>
          <w:p>
            <w:pPr>
              <w:pStyle w:val="Compact"/>
              <w:spacing w:after="0" w:before="0" w:line="240" w:lineRule="auto"/>
              <w:jc w:val="right"/>
            </w:pPr>
            <w:r>
              <w:rPr>
                <w:rFonts w:ascii="Arial" w:hAnsi="Arial"/>
                <w:sz w:val="15"/>
              </w:rPr>
              <w:t xml:space="preserve">37.3%</w:t>
            </w:r>
          </w:p>
        </w:tc>
        <w:tc>
          <w:tcPr>
            <w:tcW w:type="dxa" w:w="952"/>
            <w:shd w:val="clear" w:color="auto" w:fill="F1F2F5"/>
          </w:tcPr>
          <w:p>
            <w:pPr>
              <w:pStyle w:val="Compact"/>
              <w:spacing w:after="0" w:before="0" w:line="240" w:lineRule="auto"/>
              <w:jc w:val="right"/>
            </w:pPr>
            <w:r>
              <w:rPr>
                <w:rFonts w:ascii="Arial" w:hAnsi="Arial"/>
                <w:sz w:val="15"/>
              </w:rPr>
              <w:t xml:space="preserve">22.1%</w:t>
            </w:r>
          </w:p>
        </w:tc>
        <w:tc>
          <w:tcPr>
            <w:tcW w:type="dxa" w:w="1050"/>
            <w:shd w:val="clear" w:color="auto" w:fill="F1F2F5"/>
          </w:tcPr>
          <w:p>
            <w:pPr>
              <w:pStyle w:val="Compact"/>
              <w:spacing w:after="0" w:before="0" w:line="240" w:lineRule="auto"/>
              <w:jc w:val="right"/>
            </w:pPr>
            <w:r>
              <w:rPr>
                <w:rFonts w:ascii="Arial" w:hAnsi="Arial"/>
                <w:sz w:val="15"/>
              </w:rPr>
              <w:t xml:space="preserve">9.7%</w:t>
            </w:r>
          </w:p>
        </w:tc>
        <w:tc>
          <w:tcPr>
            <w:tcW w:type="dxa" w:w="1367"/>
            <w:shd w:val="clear" w:color="auto" w:fill="F1F2F5"/>
          </w:tcPr>
          <w:p>
            <w:pPr>
              <w:pStyle w:val="Compact"/>
              <w:spacing w:after="0" w:before="0" w:line="240" w:lineRule="auto"/>
              <w:jc w:val="right"/>
            </w:pPr>
            <w:r>
              <w:rPr>
                <w:rFonts w:ascii="Arial" w:hAnsi="Arial"/>
                <w:sz w:val="15"/>
              </w:rPr>
              <w:t xml:space="preserve">2.94x</w:t>
            </w:r>
          </w:p>
        </w:tc>
        <w:tc>
          <w:tcPr>
            <w:tcW w:type="dxa" w:w="1001"/>
            <w:shd w:val="clear" w:color="auto" w:fill="F1F2F5"/>
          </w:tcPr>
          <w:p>
            <w:pPr>
              <w:pStyle w:val="Compact"/>
              <w:spacing w:after="0" w:before="0" w:line="240" w:lineRule="auto"/>
              <w:jc w:val="right"/>
            </w:pPr>
            <w:r>
              <w:rPr>
                <w:rFonts w:ascii="Arial" w:hAnsi="Arial"/>
                <w:sz w:val="15"/>
              </w:rPr>
              <w:t xml:space="preserve">2.6%</w:t>
            </w:r>
          </w:p>
        </w:tc>
        <w:tc>
          <w:tcPr>
            <w:tcW w:type="dxa" w:w="1023"/>
            <w:shd w:val="clear" w:color="auto" w:fill="F1F2F5"/>
          </w:tcPr>
          <w:p>
            <w:pPr>
              <w:pStyle w:val="Compact"/>
              <w:spacing w:after="0" w:before="0" w:line="240" w:lineRule="auto"/>
              <w:jc w:val="right"/>
            </w:pPr>
            <w:r>
              <w:rPr>
                <w:rFonts w:ascii="Arial" w:hAnsi="Arial"/>
                <w:sz w:val="15"/>
              </w:rPr>
              <w:t xml:space="preserve">3.04x</w:t>
            </w:r>
          </w:p>
        </w:tc>
        <w:tc>
          <w:tcPr>
            <w:tcW w:type="dxa" w:w="1346"/>
            <w:shd w:val="clear" w:color="auto" w:fill="F1F2F5"/>
          </w:tcPr>
          <w:p>
            <w:pPr>
              <w:pStyle w:val="Compact"/>
              <w:spacing w:after="0" w:before="0" w:line="240" w:lineRule="auto"/>
              <w:jc w:val="right"/>
            </w:pPr>
            <w:r>
              <w:rPr>
                <w:rFonts w:ascii="Arial" w:hAnsi="Arial"/>
                <w:sz w:val="15"/>
              </w:rPr>
              <w:t xml:space="preserve">6.6%</w:t>
            </w:r>
          </w:p>
        </w:tc>
      </w:tr>
      <w:tr>
        <w:trPr>
          <w:cantSplit/>
        </w:trPr>
        <w:tc>
          <w:tcPr>
            <w:tcW w:type="dxa" w:w="2143"/>
          </w:tcPr>
          <w:p>
            <w:pPr>
              <w:pStyle w:val="Compact"/>
              <w:spacing w:after="0" w:before="0" w:line="240" w:lineRule="auto"/>
              <w:jc w:val="left"/>
            </w:pPr>
            <w:r>
              <w:rPr>
                <w:rFonts w:ascii="Arial" w:hAnsi="Arial"/>
                <w:sz w:val="15"/>
              </w:rPr>
              <w:t xml:space="preserve">Orange</w:t>
            </w:r>
          </w:p>
        </w:tc>
        <w:tc>
          <w:tcPr>
            <w:tcW w:type="dxa" w:w="1096"/>
          </w:tcPr>
          <w:p>
            <w:pPr>
              <w:pStyle w:val="Compact"/>
              <w:spacing w:after="0" w:before="0" w:line="240" w:lineRule="auto"/>
              <w:jc w:val="right"/>
            </w:pPr>
            <w:r>
              <w:rPr>
                <w:rFonts w:ascii="Arial" w:hAnsi="Arial"/>
                <w:sz w:val="15"/>
              </w:rPr>
              <w:t xml:space="preserve">29.2%</w:t>
            </w:r>
          </w:p>
        </w:tc>
        <w:tc>
          <w:tcPr>
            <w:tcW w:type="dxa" w:w="952"/>
          </w:tcPr>
          <w:p>
            <w:pPr>
              <w:pStyle w:val="Compact"/>
              <w:spacing w:after="0" w:before="0" w:line="240" w:lineRule="auto"/>
              <w:jc w:val="right"/>
            </w:pPr>
            <w:r>
              <w:rPr>
                <w:rFonts w:ascii="Arial" w:hAnsi="Arial"/>
                <w:sz w:val="15"/>
              </w:rPr>
              <w:t xml:space="preserve">14.3%</w:t>
            </w:r>
          </w:p>
        </w:tc>
        <w:tc>
          <w:tcPr>
            <w:tcW w:type="dxa" w:w="1050"/>
          </w:tcPr>
          <w:p>
            <w:pPr>
              <w:pStyle w:val="Compact"/>
              <w:spacing w:after="0" w:before="0" w:line="240" w:lineRule="auto"/>
              <w:jc w:val="right"/>
            </w:pPr>
            <w:r>
              <w:rPr>
                <w:rFonts w:ascii="Arial" w:hAnsi="Arial"/>
                <w:sz w:val="15"/>
              </w:rPr>
              <w:t xml:space="preserve">3.0%</w:t>
            </w:r>
          </w:p>
        </w:tc>
        <w:tc>
          <w:tcPr>
            <w:tcW w:type="dxa" w:w="1367"/>
          </w:tcPr>
          <w:p>
            <w:pPr>
              <w:pStyle w:val="Compact"/>
              <w:spacing w:after="0" w:before="0" w:line="240" w:lineRule="auto"/>
              <w:jc w:val="right"/>
            </w:pPr>
            <w:r>
              <w:rPr>
                <w:rFonts w:ascii="Arial" w:hAnsi="Arial"/>
                <w:sz w:val="15"/>
              </w:rPr>
              <w:t xml:space="preserve">3.34x</w:t>
            </w:r>
          </w:p>
        </w:tc>
        <w:tc>
          <w:tcPr>
            <w:tcW w:type="dxa" w:w="1001"/>
          </w:tcPr>
          <w:p>
            <w:pPr>
              <w:pStyle w:val="Compact"/>
              <w:spacing w:after="0" w:before="0" w:line="240" w:lineRule="auto"/>
              <w:jc w:val="right"/>
            </w:pPr>
            <w:r>
              <w:rPr>
                <w:rFonts w:ascii="Arial" w:hAnsi="Arial"/>
                <w:sz w:val="15"/>
              </w:rPr>
              <w:t xml:space="preserve">5.2%</w:t>
            </w:r>
          </w:p>
        </w:tc>
        <w:tc>
          <w:tcPr>
            <w:tcW w:type="dxa" w:w="1023"/>
          </w:tcPr>
          <w:p>
            <w:pPr>
              <w:pStyle w:val="Compact"/>
              <w:spacing w:after="0" w:before="0" w:line="240" w:lineRule="auto"/>
              <w:jc w:val="right"/>
            </w:pPr>
            <w:r>
              <w:rPr>
                <w:rFonts w:ascii="Arial" w:hAnsi="Arial"/>
                <w:sz w:val="15"/>
              </w:rPr>
              <w:t xml:space="preserve">1.22x</w:t>
            </w:r>
          </w:p>
        </w:tc>
        <w:tc>
          <w:tcPr>
            <w:tcW w:type="dxa" w:w="1346"/>
          </w:tcPr>
          <w:p>
            <w:pPr>
              <w:pStyle w:val="Compact"/>
              <w:spacing w:after="0" w:before="0" w:line="240" w:lineRule="auto"/>
              <w:jc w:val="right"/>
            </w:pPr>
            <w:r>
              <w:rPr>
                <w:rFonts w:ascii="Arial" w:hAnsi="Arial"/>
                <w:sz w:val="15"/>
              </w:rPr>
              <w:t xml:space="preserve">16.5%</w:t>
            </w:r>
          </w:p>
        </w:tc>
      </w:tr>
      <w:tr>
        <w:trPr>
          <w:cantSplit/>
        </w:trPr>
        <w:tc>
          <w:tcPr>
            <w:tcW w:type="dxa" w:w="2143"/>
            <w:shd w:val="clear" w:color="auto" w:fill="F1F2F5"/>
          </w:tcPr>
          <w:p>
            <w:pPr>
              <w:pStyle w:val="Compact"/>
              <w:spacing w:after="0" w:before="0" w:line="240" w:lineRule="auto"/>
              <w:jc w:val="left"/>
            </w:pPr>
            <w:r>
              <w:rPr>
                <w:rFonts w:ascii="Arial" w:hAnsi="Arial"/>
                <w:sz w:val="15"/>
              </w:rPr>
              <w:t xml:space="preserve">Swisscom</w:t>
            </w:r>
          </w:p>
        </w:tc>
        <w:tc>
          <w:tcPr>
            <w:tcW w:type="dxa" w:w="1096"/>
            <w:shd w:val="clear" w:color="auto" w:fill="F1F2F5"/>
          </w:tcPr>
          <w:p>
            <w:pPr>
              <w:pStyle w:val="Compact"/>
              <w:spacing w:after="0" w:before="0" w:line="240" w:lineRule="auto"/>
              <w:jc w:val="right"/>
            </w:pPr>
            <w:r>
              <w:rPr>
                <w:rFonts w:ascii="Arial" w:hAnsi="Arial"/>
                <w:sz w:val="15"/>
              </w:rPr>
              <w:t xml:space="preserve">29.1%</w:t>
            </w:r>
          </w:p>
        </w:tc>
        <w:tc>
          <w:tcPr>
            <w:tcW w:type="dxa" w:w="952"/>
            <w:shd w:val="clear" w:color="auto" w:fill="F1F2F5"/>
          </w:tcPr>
          <w:p>
            <w:pPr>
              <w:pStyle w:val="Compact"/>
              <w:spacing w:after="0" w:before="0" w:line="240" w:lineRule="auto"/>
              <w:jc w:val="right"/>
            </w:pPr>
            <w:r>
              <w:rPr>
                <w:rFonts w:ascii="Arial" w:hAnsi="Arial"/>
                <w:sz w:val="15"/>
              </w:rPr>
              <w:t xml:space="preserve">13.5%</w:t>
            </w:r>
          </w:p>
        </w:tc>
        <w:tc>
          <w:tcPr>
            <w:tcW w:type="dxa" w:w="1050"/>
            <w:shd w:val="clear" w:color="auto" w:fill="F1F2F5"/>
          </w:tcPr>
          <w:p>
            <w:pPr>
              <w:pStyle w:val="Compact"/>
              <w:spacing w:after="0" w:before="0" w:line="240" w:lineRule="auto"/>
              <w:jc w:val="right"/>
            </w:pPr>
            <w:r>
              <w:rPr>
                <w:rFonts w:ascii="Arial" w:hAnsi="Arial"/>
                <w:sz w:val="15"/>
              </w:rPr>
              <w:t xml:space="preserve">13.9%</w:t>
            </w:r>
          </w:p>
        </w:tc>
        <w:tc>
          <w:tcPr>
            <w:tcW w:type="dxa" w:w="1367"/>
            <w:shd w:val="clear" w:color="auto" w:fill="F1F2F5"/>
          </w:tcPr>
          <w:p>
            <w:pPr>
              <w:pStyle w:val="Compact"/>
              <w:spacing w:after="0" w:before="0" w:line="240" w:lineRule="auto"/>
              <w:jc w:val="right"/>
            </w:pPr>
            <w:r>
              <w:rPr>
                <w:rFonts w:ascii="Arial" w:hAnsi="Arial"/>
                <w:sz w:val="15"/>
              </w:rPr>
              <w:t xml:space="preserve">2.76x</w:t>
            </w:r>
          </w:p>
        </w:tc>
        <w:tc>
          <w:tcPr>
            <w:tcW w:type="dxa" w:w="1001"/>
            <w:shd w:val="clear" w:color="auto" w:fill="F1F2F5"/>
          </w:tcPr>
          <w:p>
            <w:pPr>
              <w:pStyle w:val="Compact"/>
              <w:spacing w:after="0" w:before="0" w:line="240" w:lineRule="auto"/>
              <w:jc w:val="right"/>
            </w:pPr>
            <w:r>
              <w:rPr>
                <w:rFonts w:ascii="Arial" w:hAnsi="Arial"/>
                <w:sz w:val="15"/>
              </w:rPr>
              <w:t xml:space="preserve">3.9%</w:t>
            </w:r>
          </w:p>
        </w:tc>
        <w:tc>
          <w:tcPr>
            <w:tcW w:type="dxa" w:w="1023"/>
            <w:shd w:val="clear" w:color="auto" w:fill="F1F2F5"/>
          </w:tcPr>
          <w:p>
            <w:pPr>
              <w:pStyle w:val="Compact"/>
              <w:spacing w:after="0" w:before="0" w:line="240" w:lineRule="auto"/>
              <w:jc w:val="right"/>
            </w:pPr>
            <w:r>
              <w:rPr>
                <w:rFonts w:ascii="Arial" w:hAnsi="Arial"/>
                <w:sz w:val="15"/>
              </w:rPr>
              <w:t xml:space="preserve">3.01x</w:t>
            </w:r>
          </w:p>
        </w:tc>
        <w:tc>
          <w:tcPr>
            <w:tcW w:type="dxa" w:w="1346"/>
            <w:shd w:val="clear" w:color="auto" w:fill="F1F2F5"/>
          </w:tcPr>
          <w:p>
            <w:pPr>
              <w:pStyle w:val="Compact"/>
              <w:spacing w:after="0" w:before="0" w:line="240" w:lineRule="auto"/>
              <w:jc w:val="right"/>
            </w:pPr>
            <w:r>
              <w:rPr>
                <w:rFonts w:ascii="Arial" w:hAnsi="Arial"/>
                <w:sz w:val="15"/>
              </w:rPr>
              <w:t xml:space="preserve">7.9%</w:t>
            </w:r>
          </w:p>
        </w:tc>
      </w:tr>
      <w:tr>
        <w:trPr>
          <w:cantSplit/>
        </w:trPr>
        <w:tc>
          <w:tcPr>
            <w:tcW w:type="dxa" w:w="2143"/>
            <w:shd w:val="clear" w:color="auto" w:fill="DCE4F2"/>
          </w:tcPr>
          <w:p>
            <w:pPr>
              <w:pStyle w:val="Compact"/>
              <w:spacing w:after="0" w:before="0" w:line="240" w:lineRule="auto"/>
              <w:jc w:val="left"/>
            </w:pPr>
            <w:r>
              <w:rPr>
                <w:bCs/>
                <w:rFonts w:ascii="Arial" w:hAnsi="Arial"/>
                <w:b/>
                <w:sz w:val="15"/>
              </w:rPr>
              <w:t xml:space="preserve">Median ex-LGU (29)</w:t>
            </w:r>
          </w:p>
        </w:tc>
        <w:tc>
          <w:tcPr>
            <w:tcW w:type="dxa" w:w="1096"/>
            <w:shd w:val="clear" w:color="auto" w:fill="DCE4F2"/>
          </w:tcPr>
          <w:p>
            <w:pPr>
              <w:pStyle w:val="Compact"/>
              <w:spacing w:after="0" w:before="0" w:line="240" w:lineRule="auto"/>
              <w:jc w:val="right"/>
            </w:pPr>
            <w:r>
              <w:rPr>
                <w:bCs/>
                <w:rFonts w:ascii="Arial" w:hAnsi="Arial"/>
                <w:b/>
                <w:sz w:val="15"/>
              </w:rPr>
              <w:t xml:space="preserve">29.8%</w:t>
            </w:r>
          </w:p>
        </w:tc>
        <w:tc>
          <w:tcPr>
            <w:tcW w:type="dxa" w:w="952"/>
            <w:shd w:val="clear" w:color="auto" w:fill="DCE4F2"/>
          </w:tcPr>
          <w:p>
            <w:pPr>
              <w:pStyle w:val="Compact"/>
              <w:spacing w:after="0" w:before="0" w:line="240" w:lineRule="auto"/>
              <w:jc w:val="right"/>
            </w:pPr>
            <w:r>
              <w:rPr>
                <w:bCs/>
                <w:rFonts w:ascii="Arial" w:hAnsi="Arial"/>
                <w:b/>
                <w:sz w:val="15"/>
              </w:rPr>
              <w:t xml:space="preserve">18.3%</w:t>
            </w:r>
          </w:p>
        </w:tc>
        <w:tc>
          <w:tcPr>
            <w:tcW w:type="dxa" w:w="1050"/>
            <w:shd w:val="clear" w:color="auto" w:fill="DCE4F2"/>
          </w:tcPr>
          <w:p>
            <w:pPr>
              <w:pStyle w:val="Compact"/>
              <w:spacing w:after="0" w:before="0" w:line="240" w:lineRule="auto"/>
              <w:jc w:val="right"/>
            </w:pPr>
            <w:r>
              <w:rPr>
                <w:bCs/>
                <w:rFonts w:ascii="Arial" w:hAnsi="Arial"/>
                <w:b/>
                <w:sz w:val="15"/>
              </w:rPr>
              <w:t xml:space="preserve">2.2%</w:t>
            </w:r>
          </w:p>
        </w:tc>
        <w:tc>
          <w:tcPr>
            <w:tcW w:type="dxa" w:w="1367"/>
            <w:shd w:val="clear" w:color="auto" w:fill="DCE4F2"/>
          </w:tcPr>
          <w:p>
            <w:pPr>
              <w:pStyle w:val="Compact"/>
              <w:spacing w:after="0" w:before="0" w:line="240" w:lineRule="auto"/>
              <w:jc w:val="right"/>
            </w:pPr>
            <w:r>
              <w:rPr>
                <w:bCs/>
                <w:rFonts w:ascii="Arial" w:hAnsi="Arial"/>
                <w:b/>
                <w:sz w:val="15"/>
              </w:rPr>
              <w:t xml:space="preserve">2.33x</w:t>
            </w:r>
          </w:p>
        </w:tc>
        <w:tc>
          <w:tcPr>
            <w:tcW w:type="dxa" w:w="1001"/>
            <w:shd w:val="clear" w:color="auto" w:fill="DCE4F2"/>
          </w:tcPr>
          <w:p>
            <w:pPr>
              <w:pStyle w:val="Compact"/>
              <w:spacing w:after="0" w:before="0" w:line="240" w:lineRule="auto"/>
              <w:jc w:val="right"/>
            </w:pPr>
            <w:r>
              <w:rPr>
                <w:bCs/>
                <w:rFonts w:ascii="Arial" w:hAnsi="Arial"/>
                <w:b/>
                <w:sz w:val="15"/>
              </w:rPr>
              <w:t xml:space="preserve">4.5%</w:t>
            </w:r>
          </w:p>
        </w:tc>
        <w:tc>
          <w:tcPr>
            <w:tcW w:type="dxa" w:w="1023"/>
            <w:shd w:val="clear" w:color="auto" w:fill="DCE4F2"/>
          </w:tcPr>
          <w:p>
            <w:pPr>
              <w:pStyle w:val="Compact"/>
              <w:spacing w:after="0" w:before="0" w:line="240" w:lineRule="auto"/>
              <w:jc w:val="right"/>
            </w:pPr>
            <w:r>
              <w:rPr>
                <w:bCs/>
                <w:rFonts w:ascii="Arial" w:hAnsi="Arial"/>
                <w:b/>
                <w:sz w:val="15"/>
              </w:rPr>
              <w:t xml:space="preserve">2.07x</w:t>
            </w:r>
          </w:p>
        </w:tc>
        <w:tc>
          <w:tcPr>
            <w:tcW w:type="dxa" w:w="1346"/>
            <w:shd w:val="clear" w:color="auto" w:fill="DCE4F2"/>
          </w:tcPr>
          <w:p>
            <w:pPr>
              <w:pStyle w:val="Compact"/>
              <w:spacing w:after="0" w:before="0" w:line="240" w:lineRule="auto"/>
              <w:jc w:val="right"/>
            </w:pPr>
            <w:r>
              <w:rPr>
                <w:bCs/>
                <w:rFonts w:ascii="Arial" w:hAnsi="Arial"/>
                <w:b/>
                <w:sz w:val="15"/>
              </w:rPr>
              <w:t xml:space="preserve">6.7%</w:t>
            </w:r>
          </w:p>
        </w:tc>
      </w:tr>
      <w:tr>
        <w:trPr>
          <w:cantSplit/>
        </w:trPr>
        <w:tc>
          <w:tcPr>
            <w:tcW w:type="dxa" w:w="2143"/>
            <w:shd w:val="clear" w:color="auto" w:fill="F1F2F5"/>
          </w:tcPr>
          <w:p>
            <w:pPr>
              <w:pStyle w:val="Compact"/>
              <w:spacing w:after="0" w:before="0" w:line="240" w:lineRule="auto"/>
              <w:jc w:val="left"/>
            </w:pPr>
            <w:r>
              <w:rPr>
                <w:bCs/>
                <w:rFonts w:ascii="Arial" w:hAnsi="Arial"/>
                <w:b/>
                <w:sz w:val="15"/>
              </w:rPr>
              <w:t xml:space="preserve">Korean MNO average (SKT, KT)</w:t>
            </w:r>
          </w:p>
        </w:tc>
        <w:tc>
          <w:tcPr>
            <w:tcW w:type="dxa" w:w="1096"/>
            <w:shd w:val="clear" w:color="auto" w:fill="F1F2F5"/>
          </w:tcPr>
          <w:p>
            <w:pPr>
              <w:pStyle w:val="Compact"/>
              <w:spacing w:after="0" w:before="0" w:line="240" w:lineRule="auto"/>
              <w:jc w:val="right"/>
            </w:pPr>
            <w:r>
              <w:rPr>
                <w:bCs/>
                <w:rFonts w:ascii="Arial" w:hAnsi="Arial"/>
                <w:b/>
                <w:sz w:val="15"/>
              </w:rPr>
              <w:t xml:space="preserve">23.4%</w:t>
            </w:r>
          </w:p>
        </w:tc>
        <w:tc>
          <w:tcPr>
            <w:tcW w:type="dxa" w:w="952"/>
            <w:shd w:val="clear" w:color="auto" w:fill="F1F2F5"/>
          </w:tcPr>
          <w:p>
            <w:pPr>
              <w:pStyle w:val="Compact"/>
              <w:spacing w:after="0" w:before="0" w:line="240" w:lineRule="auto"/>
              <w:jc w:val="right"/>
            </w:pPr>
            <w:r>
              <w:rPr>
                <w:bCs/>
                <w:rFonts w:ascii="Arial" w:hAnsi="Arial"/>
                <w:b/>
                <w:sz w:val="15"/>
              </w:rPr>
              <w:t xml:space="preserve">7.2%</w:t>
            </w:r>
          </w:p>
        </w:tc>
        <w:tc>
          <w:tcPr>
            <w:tcW w:type="dxa" w:w="1050"/>
            <w:shd w:val="clear" w:color="auto" w:fill="F1F2F5"/>
          </w:tcPr>
          <w:p>
            <w:pPr>
              <w:pStyle w:val="Compact"/>
              <w:spacing w:after="0" w:before="0" w:line="240" w:lineRule="auto"/>
              <w:jc w:val="right"/>
            </w:pPr>
            <w:r>
              <w:rPr>
                <w:bCs/>
                <w:rFonts w:ascii="Arial" w:hAnsi="Arial"/>
                <w:b/>
                <w:sz w:val="15"/>
              </w:rPr>
              <w:t xml:space="preserve">-2.4%</w:t>
            </w:r>
          </w:p>
        </w:tc>
        <w:tc>
          <w:tcPr>
            <w:tcW w:type="dxa" w:w="1367"/>
            <w:shd w:val="clear" w:color="auto" w:fill="F1F2F5"/>
          </w:tcPr>
          <w:p>
            <w:pPr>
              <w:pStyle w:val="Compact"/>
              <w:spacing w:after="0" w:before="0" w:line="240" w:lineRule="auto"/>
              <w:jc w:val="right"/>
            </w:pPr>
            <w:r>
              <w:rPr>
                <w:bCs/>
                <w:rFonts w:ascii="Arial" w:hAnsi="Arial"/>
                <w:b/>
                <w:sz w:val="15"/>
              </w:rPr>
              <w:t xml:space="preserve">1.60x</w:t>
            </w:r>
          </w:p>
        </w:tc>
        <w:tc>
          <w:tcPr>
            <w:tcW w:type="dxa" w:w="1001"/>
            <w:shd w:val="clear" w:color="auto" w:fill="F1F2F5"/>
          </w:tcPr>
          <w:p>
            <w:pPr>
              <w:pStyle w:val="Compact"/>
              <w:spacing w:after="0" w:before="0" w:line="240" w:lineRule="auto"/>
              <w:jc w:val="right"/>
            </w:pPr>
            <w:r>
              <w:rPr>
                <w:bCs/>
                <w:rFonts w:ascii="Arial" w:hAnsi="Arial"/>
                <w:b/>
                <w:sz w:val="15"/>
              </w:rPr>
              <w:t xml:space="preserve">3.5%</w:t>
            </w:r>
          </w:p>
        </w:tc>
        <w:tc>
          <w:tcPr>
            <w:tcW w:type="dxa" w:w="1023"/>
            <w:shd w:val="clear" w:color="auto" w:fill="F1F2F5"/>
          </w:tcPr>
          <w:p>
            <w:pPr>
              <w:pStyle w:val="Compact"/>
              <w:spacing w:after="0" w:before="0" w:line="240" w:lineRule="auto"/>
              <w:jc w:val="right"/>
            </w:pPr>
            <w:r>
              <w:rPr>
                <w:bCs/>
                <w:rFonts w:ascii="Arial" w:hAnsi="Arial"/>
                <w:b/>
                <w:sz w:val="15"/>
              </w:rPr>
              <w:t xml:space="preserve">0.87x</w:t>
            </w:r>
          </w:p>
        </w:tc>
        <w:tc>
          <w:tcPr>
            <w:tcW w:type="dxa" w:w="1346"/>
            <w:shd w:val="clear" w:color="auto" w:fill="F1F2F5"/>
          </w:tcPr>
          <w:p>
            <w:pPr>
              <w:pStyle w:val="Compact"/>
              <w:spacing w:after="0" w:before="0" w:line="240" w:lineRule="auto"/>
              <w:jc w:val="right"/>
            </w:pPr>
            <w:r>
              <w:rPr>
                <w:bCs/>
                <w:rFonts w:ascii="Arial" w:hAnsi="Arial"/>
                <w:b/>
                <w:sz w:val="15"/>
              </w:rPr>
              <w:t xml:space="preserve">6.4%</w:t>
            </w:r>
          </w:p>
        </w:tc>
      </w:tr>
    </w:tbl>
    <w:p>
      <w:pPr>
        <w:pStyle w:val="BodyText"/>
      </w:pPr>
      <w:r>
        <w:rPr>
          <w:iCs/>
          <w:i/>
        </w:rPr>
        <w:t xml:space="preserve">Source: S&amp;P Capital IQ. LG Uplus dividend yield on FY26E DPS of KRW700 (Capital IQ’s LTM DPS of KRW930 double-counts the interim). TEV is Capital IQ basis (net debt excludes leases for LG Uplus at 2Q26; EBITDA is post-IFRS 16), so lease-adjusted TEV/EBITDA is ~0.3x higher. n/m = not meaningful.</w:t>
      </w:r>
    </w:p>
    <w:p>
      <w:pPr>
        <w:pStyle w:val="BodyText"/>
      </w:pPr>
      <w:r>
        <w:rPr>
          <w:bCs/>
          <w:b/>
        </w:rPr>
        <w:t xml:space="preserve">Screening verdict: CHEAP.</w:t>
      </w:r>
    </w:p>
    <w:p>
      <w:pPr>
        <w:numPr>
          <w:ilvl w:val="0"/>
          <w:numId w:val="1031"/>
        </w:numPr>
        <w:pStyle w:val="Compact"/>
      </w:pPr>
      <w:r>
        <w:t xml:space="preserve">LG Uplus is the 2nd-cheapest of 30 on TEV/EBITDA and 4th-cheapest on TEV/Sales.</w:t>
      </w:r>
    </w:p>
    <w:p>
      <w:pPr>
        <w:numPr>
          <w:ilvl w:val="0"/>
          <w:numId w:val="1031"/>
        </w:numPr>
        <w:pStyle w:val="Compact"/>
      </w:pPr>
      <w:r>
        <w:t xml:space="preserve">It trades at ~40% of the global median EV/EBITDA. On forward P/E (8.5x) it is in line with the Korean MNO average (8.8x): below SK Telecom (10.8x), above KT (6.8x).</w:t>
      </w:r>
    </w:p>
    <w:p>
      <w:pPr>
        <w:numPr>
          <w:ilvl w:val="0"/>
          <w:numId w:val="1031"/>
        </w:numPr>
        <w:pStyle w:val="Compact"/>
      </w:pPr>
      <w:r>
        <w:t xml:space="preserve">Its 13% levered FCF yield and 1.2x leverage are both best-in-class.</w:t>
      </w:r>
    </w:p>
    <w:p>
      <w:pPr>
        <w:numPr>
          <w:ilvl w:val="0"/>
          <w:numId w:val="1031"/>
        </w:numPr>
        <w:pStyle w:val="Compact"/>
      </w:pPr>
      <w:r>
        <w:rPr>
          <w:bCs/>
          <w:b/>
        </w:rPr>
        <w:t xml:space="preserve">The discount is partly deserved.</w:t>
      </w:r>
    </w:p>
    <w:p>
      <w:pPr>
        <w:numPr>
          <w:ilvl w:val="1"/>
          <w:numId w:val="1032"/>
        </w:numPr>
        <w:pStyle w:val="Compact"/>
      </w:pPr>
      <w:r>
        <w:t xml:space="preserve">EBIT margin is a third of the peer median (6.2% vs 18.3%), because Korean regulation keeps pricing low while D&amp;A intensity stays high.</w:t>
      </w:r>
    </w:p>
    <w:p>
      <w:pPr>
        <w:numPr>
          <w:ilvl w:val="1"/>
          <w:numId w:val="1032"/>
        </w:numPr>
        <w:pStyle w:val="Compact"/>
      </w:pPr>
      <w:r>
        <w:t xml:space="preserve">ROE has been below the cost of equity for a decade.</w:t>
      </w:r>
    </w:p>
    <w:p>
      <w:pPr>
        <w:numPr>
          <w:ilvl w:val="0"/>
          <w:numId w:val="1031"/>
        </w:numPr>
        <w:pStyle w:val="Compact"/>
      </w:pPr>
      <w:r>
        <w:t xml:space="preserve">On P/E (12.4x LTM, 8.5x NTM) it is less obviously cheap, because earnings are depressed.</w:t>
      </w:r>
    </w:p>
    <w:bookmarkEnd w:id="85"/>
    <w:bookmarkStart w:id="89" w:name="valuation-vs-its-own-history"/>
    <w:p>
      <w:pPr>
        <w:pStyle w:val="Heading2"/>
      </w:pPr>
      <w:r>
        <w:t xml:space="preserve">Valuation vs its own history</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1569"/>
        <w:gridCol w:w="981"/>
        <w:gridCol w:w="1053"/>
        <w:gridCol w:w="1278"/>
        <w:gridCol w:w="1283"/>
        <w:gridCol w:w="1365"/>
        <w:gridCol w:w="1067"/>
        <w:gridCol w:w="1379"/>
      </w:tblGrid>
      <w:tr>
        <w:trPr>
          <w:tblHeader w:val="true"/>
          <w:tblHeader w:val="true"/>
          <w:cantSplit/>
        </w:trPr>
        <w:tc>
          <w:tcPr>
            <w:tcW w:type="dxa" w:w="1570"/>
            <w:shd w:val="clear" w:color="auto" w:fill="13213F"/>
          </w:tcPr>
          <w:p>
            <w:pPr>
              <w:pStyle w:val="Compact"/>
              <w:spacing w:after="0" w:before="0" w:line="240" w:lineRule="auto"/>
              <w:jc w:val="left"/>
            </w:pPr>
            <w:r>
              <w:rPr>
                <w:rFonts w:ascii="Arial" w:hAnsi="Arial"/>
                <w:b/>
                <w:color w:val="FFFFFF"/>
                <w:sz w:val="15"/>
              </w:rPr>
              <w:t xml:space="preserve">Multiple (LTM, month-end)</w:t>
            </w:r>
          </w:p>
        </w:tc>
        <w:tc>
          <w:tcPr>
            <w:tcW w:type="dxa" w:w="981"/>
            <w:shd w:val="clear" w:color="auto" w:fill="13213F"/>
          </w:tcPr>
          <w:p>
            <w:pPr>
              <w:pStyle w:val="Compact"/>
              <w:spacing w:after="0" w:before="0" w:line="240" w:lineRule="auto"/>
              <w:jc w:val="right"/>
            </w:pPr>
            <w:r>
              <w:rPr>
                <w:rFonts w:ascii="Arial" w:hAnsi="Arial"/>
                <w:b/>
                <w:color w:val="FFFFFF"/>
                <w:sz w:val="15"/>
              </w:rPr>
              <w:t xml:space="preserve">Current</w:t>
            </w:r>
          </w:p>
        </w:tc>
        <w:tc>
          <w:tcPr>
            <w:tcW w:type="dxa" w:w="1053"/>
            <w:shd w:val="clear" w:color="auto" w:fill="13213F"/>
          </w:tcPr>
          <w:p>
            <w:pPr>
              <w:pStyle w:val="Compact"/>
              <w:spacing w:after="0" w:before="0" w:line="240" w:lineRule="auto"/>
              <w:jc w:val="right"/>
            </w:pPr>
            <w:r>
              <w:rPr>
                <w:rFonts w:ascii="Arial" w:hAnsi="Arial"/>
                <w:b/>
                <w:color w:val="FFFFFF"/>
                <w:sz w:val="15"/>
              </w:rPr>
              <w:t xml:space="preserve">5-yr average</w:t>
            </w:r>
          </w:p>
        </w:tc>
        <w:tc>
          <w:tcPr>
            <w:tcW w:type="dxa" w:w="1278"/>
            <w:shd w:val="clear" w:color="auto" w:fill="13213F"/>
          </w:tcPr>
          <w:p>
            <w:pPr>
              <w:pStyle w:val="Compact"/>
              <w:spacing w:after="0" w:before="0" w:line="240" w:lineRule="auto"/>
              <w:jc w:val="right"/>
            </w:pPr>
            <w:r>
              <w:rPr>
                <w:rFonts w:ascii="Arial" w:hAnsi="Arial"/>
                <w:b/>
                <w:color w:val="FFFFFF"/>
                <w:sz w:val="15"/>
              </w:rPr>
              <w:t xml:space="preserve">5-yr min</w:t>
            </w:r>
          </w:p>
        </w:tc>
        <w:tc>
          <w:tcPr>
            <w:tcW w:type="dxa" w:w="1284"/>
            <w:shd w:val="clear" w:color="auto" w:fill="13213F"/>
          </w:tcPr>
          <w:p>
            <w:pPr>
              <w:pStyle w:val="Compact"/>
              <w:spacing w:after="0" w:before="0" w:line="240" w:lineRule="auto"/>
              <w:jc w:val="right"/>
            </w:pPr>
            <w:r>
              <w:rPr>
                <w:rFonts w:ascii="Arial" w:hAnsi="Arial"/>
                <w:b/>
                <w:color w:val="FFFFFF"/>
                <w:sz w:val="15"/>
              </w:rPr>
              <w:t xml:space="preserve">5-yr max</w:t>
            </w:r>
          </w:p>
        </w:tc>
        <w:tc>
          <w:tcPr>
            <w:tcW w:type="dxa" w:w="1365"/>
            <w:shd w:val="clear" w:color="auto" w:fill="13213F"/>
          </w:tcPr>
          <w:p>
            <w:pPr>
              <w:pStyle w:val="Compact"/>
              <w:spacing w:after="0" w:before="0" w:line="240" w:lineRule="auto"/>
              <w:jc w:val="right"/>
            </w:pPr>
            <w:r>
              <w:rPr>
                <w:rFonts w:ascii="Arial" w:hAnsi="Arial"/>
                <w:b/>
                <w:color w:val="FFFFFF"/>
                <w:sz w:val="15"/>
              </w:rPr>
              <w:t xml:space="preserve">Percentile (5-yr)</w:t>
            </w:r>
          </w:p>
        </w:tc>
        <w:tc>
          <w:tcPr>
            <w:tcW w:type="dxa" w:w="1068"/>
            <w:shd w:val="clear" w:color="auto" w:fill="13213F"/>
          </w:tcPr>
          <w:p>
            <w:pPr>
              <w:pStyle w:val="Compact"/>
              <w:spacing w:after="0" w:before="0" w:line="240" w:lineRule="auto"/>
              <w:jc w:val="right"/>
            </w:pPr>
            <w:r>
              <w:rPr>
                <w:rFonts w:ascii="Arial" w:hAnsi="Arial"/>
                <w:b/>
                <w:color w:val="FFFFFF"/>
                <w:sz w:val="15"/>
              </w:rPr>
              <w:t xml:space="preserve">10-yr average</w:t>
            </w:r>
          </w:p>
        </w:tc>
        <w:tc>
          <w:tcPr>
            <w:tcW w:type="dxa" w:w="1379"/>
            <w:shd w:val="clear" w:color="auto" w:fill="13213F"/>
          </w:tcPr>
          <w:p>
            <w:pPr>
              <w:pStyle w:val="Compact"/>
              <w:spacing w:after="0" w:before="0" w:line="240" w:lineRule="auto"/>
              <w:jc w:val="right"/>
            </w:pPr>
            <w:r>
              <w:rPr>
                <w:rFonts w:ascii="Arial" w:hAnsi="Arial"/>
                <w:b/>
                <w:color w:val="FFFFFF"/>
                <w:sz w:val="15"/>
              </w:rPr>
              <w:t xml:space="preserve">Percentile (10-yr)</w:t>
            </w:r>
          </w:p>
        </w:tc>
      </w:tr>
      <w:tr>
        <w:trPr>
          <w:cantSplit/>
        </w:trPr>
        <w:tc>
          <w:tcPr>
            <w:tcW w:type="dxa" w:w="1570"/>
          </w:tcPr>
          <w:p>
            <w:pPr>
              <w:pStyle w:val="Compact"/>
              <w:spacing w:after="0" w:before="0" w:line="240" w:lineRule="auto"/>
              <w:jc w:val="left"/>
            </w:pPr>
            <w:r>
              <w:rPr>
                <w:rFonts w:ascii="Arial" w:hAnsi="Arial"/>
                <w:sz w:val="15"/>
              </w:rPr>
              <w:t xml:space="preserve">TEV / Sales</w:t>
            </w:r>
          </w:p>
        </w:tc>
        <w:tc>
          <w:tcPr>
            <w:tcW w:type="dxa" w:w="981"/>
          </w:tcPr>
          <w:p>
            <w:pPr>
              <w:pStyle w:val="Compact"/>
              <w:spacing w:after="0" w:before="0" w:line="240" w:lineRule="auto"/>
              <w:jc w:val="right"/>
            </w:pPr>
            <w:r>
              <w:rPr>
                <w:rFonts w:ascii="Arial" w:hAnsi="Arial"/>
                <w:sz w:val="15"/>
              </w:rPr>
              <w:t xml:space="preserve">0.71x</w:t>
            </w:r>
          </w:p>
        </w:tc>
        <w:tc>
          <w:tcPr>
            <w:tcW w:type="dxa" w:w="1053"/>
          </w:tcPr>
          <w:p>
            <w:pPr>
              <w:pStyle w:val="Compact"/>
              <w:spacing w:after="0" w:before="0" w:line="240" w:lineRule="auto"/>
              <w:jc w:val="right"/>
            </w:pPr>
            <w:r>
              <w:rPr>
                <w:rFonts w:ascii="Arial" w:hAnsi="Arial"/>
                <w:sz w:val="15"/>
              </w:rPr>
              <w:t xml:space="preserve">0.76x</w:t>
            </w:r>
          </w:p>
        </w:tc>
        <w:tc>
          <w:tcPr>
            <w:tcW w:type="dxa" w:w="1278"/>
          </w:tcPr>
          <w:p>
            <w:pPr>
              <w:pStyle w:val="Compact"/>
              <w:spacing w:after="0" w:before="0" w:line="240" w:lineRule="auto"/>
              <w:jc w:val="right"/>
            </w:pPr>
            <w:r>
              <w:rPr>
                <w:rFonts w:ascii="Arial" w:hAnsi="Arial"/>
                <w:sz w:val="15"/>
              </w:rPr>
              <w:t xml:space="preserve">0.56x (Feb-25)</w:t>
            </w:r>
          </w:p>
        </w:tc>
        <w:tc>
          <w:tcPr>
            <w:tcW w:type="dxa" w:w="1284"/>
          </w:tcPr>
          <w:p>
            <w:pPr>
              <w:pStyle w:val="Compact"/>
              <w:spacing w:after="0" w:before="0" w:line="240" w:lineRule="auto"/>
              <w:jc w:val="right"/>
            </w:pPr>
            <w:r>
              <w:rPr>
                <w:rFonts w:ascii="Arial" w:hAnsi="Arial"/>
                <w:sz w:val="15"/>
              </w:rPr>
              <w:t xml:space="preserve">0.91x (Apr-22)</w:t>
            </w:r>
          </w:p>
        </w:tc>
        <w:tc>
          <w:tcPr>
            <w:tcW w:type="dxa" w:w="1365"/>
          </w:tcPr>
          <w:p>
            <w:pPr>
              <w:pStyle w:val="Compact"/>
              <w:spacing w:after="0" w:before="0" w:line="240" w:lineRule="auto"/>
              <w:jc w:val="right"/>
            </w:pPr>
            <w:r>
              <w:rPr>
                <w:rFonts w:ascii="Arial" w:hAnsi="Arial"/>
                <w:sz w:val="15"/>
              </w:rPr>
              <w:t xml:space="preserve">18%</w:t>
            </w:r>
          </w:p>
        </w:tc>
        <w:tc>
          <w:tcPr>
            <w:tcW w:type="dxa" w:w="1068"/>
          </w:tcPr>
          <w:p>
            <w:pPr>
              <w:pStyle w:val="Compact"/>
              <w:spacing w:after="0" w:before="0" w:line="240" w:lineRule="auto"/>
              <w:jc w:val="right"/>
            </w:pPr>
            <w:r>
              <w:rPr>
                <w:rFonts w:ascii="Arial" w:hAnsi="Arial"/>
                <w:sz w:val="15"/>
              </w:rPr>
              <w:t xml:space="preserve">0.78x</w:t>
            </w:r>
          </w:p>
        </w:tc>
        <w:tc>
          <w:tcPr>
            <w:tcW w:type="dxa" w:w="1379"/>
          </w:tcPr>
          <w:p>
            <w:pPr>
              <w:pStyle w:val="Compact"/>
              <w:spacing w:after="0" w:before="0" w:line="240" w:lineRule="auto"/>
              <w:jc w:val="right"/>
            </w:pPr>
            <w:r>
              <w:rPr>
                <w:rFonts w:ascii="Arial" w:hAnsi="Arial"/>
                <w:sz w:val="15"/>
              </w:rPr>
              <w:t xml:space="preserve">15%</w:t>
            </w:r>
          </w:p>
        </w:tc>
      </w:tr>
      <w:tr>
        <w:trPr>
          <w:cantSplit/>
        </w:trPr>
        <w:tc>
          <w:tcPr>
            <w:tcW w:type="dxa" w:w="1570"/>
            <w:shd w:val="clear" w:color="auto" w:fill="F1F2F5"/>
          </w:tcPr>
          <w:p>
            <w:pPr>
              <w:pStyle w:val="Compact"/>
              <w:spacing w:after="0" w:before="0" w:line="240" w:lineRule="auto"/>
              <w:jc w:val="left"/>
            </w:pPr>
            <w:r>
              <w:rPr>
                <w:rFonts w:ascii="Arial" w:hAnsi="Arial"/>
                <w:sz w:val="15"/>
              </w:rPr>
              <w:t xml:space="preserve">TEV / EBITDA</w:t>
            </w:r>
          </w:p>
        </w:tc>
        <w:tc>
          <w:tcPr>
            <w:tcW w:type="dxa" w:w="981"/>
            <w:shd w:val="clear" w:color="auto" w:fill="F1F2F5"/>
          </w:tcPr>
          <w:p>
            <w:pPr>
              <w:pStyle w:val="Compact"/>
              <w:spacing w:after="0" w:before="0" w:line="240" w:lineRule="auto"/>
              <w:jc w:val="right"/>
            </w:pPr>
            <w:r>
              <w:rPr>
                <w:rFonts w:ascii="Arial" w:hAnsi="Arial"/>
                <w:sz w:val="15"/>
              </w:rPr>
              <w:t xml:space="preserve">2.98x</w:t>
            </w:r>
          </w:p>
        </w:tc>
        <w:tc>
          <w:tcPr>
            <w:tcW w:type="dxa" w:w="1053"/>
            <w:shd w:val="clear" w:color="auto" w:fill="F1F2F5"/>
          </w:tcPr>
          <w:p>
            <w:pPr>
              <w:pStyle w:val="Compact"/>
              <w:spacing w:after="0" w:before="0" w:line="240" w:lineRule="auto"/>
              <w:jc w:val="right"/>
            </w:pPr>
            <w:r>
              <w:rPr>
                <w:rFonts w:ascii="Arial" w:hAnsi="Arial"/>
                <w:sz w:val="15"/>
              </w:rPr>
              <w:t xml:space="preserve">3.11x</w:t>
            </w:r>
          </w:p>
        </w:tc>
        <w:tc>
          <w:tcPr>
            <w:tcW w:type="dxa" w:w="1278"/>
            <w:shd w:val="clear" w:color="auto" w:fill="F1F2F5"/>
          </w:tcPr>
          <w:p>
            <w:pPr>
              <w:pStyle w:val="Compact"/>
              <w:spacing w:after="0" w:before="0" w:line="240" w:lineRule="auto"/>
              <w:jc w:val="right"/>
            </w:pPr>
            <w:r>
              <w:rPr>
                <w:rFonts w:ascii="Arial" w:hAnsi="Arial"/>
                <w:sz w:val="15"/>
              </w:rPr>
              <w:t xml:space="preserve">2.30x (Feb-25)</w:t>
            </w:r>
          </w:p>
        </w:tc>
        <w:tc>
          <w:tcPr>
            <w:tcW w:type="dxa" w:w="1284"/>
            <w:shd w:val="clear" w:color="auto" w:fill="F1F2F5"/>
          </w:tcPr>
          <w:p>
            <w:pPr>
              <w:pStyle w:val="Compact"/>
              <w:spacing w:after="0" w:before="0" w:line="240" w:lineRule="auto"/>
              <w:jc w:val="right"/>
            </w:pPr>
            <w:r>
              <w:rPr>
                <w:rFonts w:ascii="Arial" w:hAnsi="Arial"/>
                <w:sz w:val="15"/>
              </w:rPr>
              <w:t xml:space="preserve">3.74x (Apr-26)</w:t>
            </w:r>
          </w:p>
        </w:tc>
        <w:tc>
          <w:tcPr>
            <w:tcW w:type="dxa" w:w="1365"/>
            <w:shd w:val="clear" w:color="auto" w:fill="F1F2F5"/>
          </w:tcPr>
          <w:p>
            <w:pPr>
              <w:pStyle w:val="Compact"/>
              <w:spacing w:after="0" w:before="0" w:line="240" w:lineRule="auto"/>
              <w:jc w:val="right"/>
            </w:pPr>
            <w:r>
              <w:rPr>
                <w:rFonts w:ascii="Arial" w:hAnsi="Arial"/>
                <w:sz w:val="15"/>
              </w:rPr>
              <w:t xml:space="preserve">33%</w:t>
            </w:r>
          </w:p>
        </w:tc>
        <w:tc>
          <w:tcPr>
            <w:tcW w:type="dxa" w:w="1068"/>
            <w:shd w:val="clear" w:color="auto" w:fill="F1F2F5"/>
          </w:tcPr>
          <w:p>
            <w:pPr>
              <w:pStyle w:val="Compact"/>
              <w:spacing w:after="0" w:before="0" w:line="240" w:lineRule="auto"/>
              <w:jc w:val="right"/>
            </w:pPr>
            <w:r>
              <w:rPr>
                <w:rFonts w:ascii="Arial" w:hAnsi="Arial"/>
                <w:sz w:val="15"/>
              </w:rPr>
              <w:t xml:space="preserve">3.43x</w:t>
            </w:r>
          </w:p>
        </w:tc>
        <w:tc>
          <w:tcPr>
            <w:tcW w:type="dxa" w:w="1379"/>
            <w:shd w:val="clear" w:color="auto" w:fill="F1F2F5"/>
          </w:tcPr>
          <w:p>
            <w:pPr>
              <w:pStyle w:val="Compact"/>
              <w:spacing w:after="0" w:before="0" w:line="240" w:lineRule="auto"/>
              <w:jc w:val="right"/>
            </w:pPr>
            <w:r>
              <w:rPr>
                <w:rFonts w:ascii="Arial" w:hAnsi="Arial"/>
                <w:sz w:val="15"/>
              </w:rPr>
              <w:t xml:space="preserve">15%</w:t>
            </w:r>
          </w:p>
        </w:tc>
      </w:tr>
      <w:tr>
        <w:trPr>
          <w:cantSplit/>
        </w:trPr>
        <w:tc>
          <w:tcPr>
            <w:tcW w:type="dxa" w:w="1570"/>
          </w:tcPr>
          <w:p>
            <w:pPr>
              <w:pStyle w:val="Compact"/>
              <w:spacing w:after="0" w:before="0" w:line="240" w:lineRule="auto"/>
              <w:jc w:val="left"/>
            </w:pPr>
            <w:r>
              <w:rPr>
                <w:rFonts w:ascii="Arial" w:hAnsi="Arial"/>
                <w:sz w:val="15"/>
              </w:rPr>
              <w:t xml:space="preserve">TEV / EBIT</w:t>
            </w:r>
          </w:p>
        </w:tc>
        <w:tc>
          <w:tcPr>
            <w:tcW w:type="dxa" w:w="981"/>
          </w:tcPr>
          <w:p>
            <w:pPr>
              <w:pStyle w:val="Compact"/>
              <w:spacing w:after="0" w:before="0" w:line="240" w:lineRule="auto"/>
              <w:jc w:val="right"/>
            </w:pPr>
            <w:r>
              <w:rPr>
                <w:rFonts w:ascii="Arial" w:hAnsi="Arial"/>
                <w:sz w:val="15"/>
              </w:rPr>
              <w:t xml:space="preserve">11.7x</w:t>
            </w:r>
          </w:p>
        </w:tc>
        <w:tc>
          <w:tcPr>
            <w:tcW w:type="dxa" w:w="1053"/>
          </w:tcPr>
          <w:p>
            <w:pPr>
              <w:pStyle w:val="Compact"/>
              <w:spacing w:after="0" w:before="0" w:line="240" w:lineRule="auto"/>
              <w:jc w:val="right"/>
            </w:pPr>
            <w:r>
              <w:rPr>
                <w:rFonts w:ascii="Arial" w:hAnsi="Arial"/>
                <w:sz w:val="15"/>
              </w:rPr>
              <w:t xml:space="preserve">11.5x</w:t>
            </w:r>
          </w:p>
        </w:tc>
        <w:tc>
          <w:tcPr>
            <w:tcW w:type="dxa" w:w="1278"/>
          </w:tcPr>
          <w:p>
            <w:pPr>
              <w:pStyle w:val="Compact"/>
              <w:spacing w:after="0" w:before="0" w:line="240" w:lineRule="auto"/>
              <w:jc w:val="right"/>
            </w:pPr>
            <w:r>
              <w:rPr>
                <w:rFonts w:ascii="Arial" w:hAnsi="Arial"/>
                <w:sz w:val="15"/>
              </w:rPr>
              <w:t xml:space="preserve">8.8x (Oct-23)</w:t>
            </w:r>
          </w:p>
        </w:tc>
        <w:tc>
          <w:tcPr>
            <w:tcW w:type="dxa" w:w="1284"/>
          </w:tcPr>
          <w:p>
            <w:pPr>
              <w:pStyle w:val="Compact"/>
              <w:spacing w:after="0" w:before="0" w:line="240" w:lineRule="auto"/>
              <w:jc w:val="right"/>
            </w:pPr>
            <w:r>
              <w:rPr>
                <w:rFonts w:ascii="Arial" w:hAnsi="Arial"/>
                <w:sz w:val="15"/>
              </w:rPr>
              <w:t xml:space="preserve">15.3x (Apr-26)</w:t>
            </w:r>
          </w:p>
        </w:tc>
        <w:tc>
          <w:tcPr>
            <w:tcW w:type="dxa" w:w="1365"/>
          </w:tcPr>
          <w:p>
            <w:pPr>
              <w:pStyle w:val="Compact"/>
              <w:spacing w:after="0" w:before="0" w:line="240" w:lineRule="auto"/>
              <w:jc w:val="right"/>
            </w:pPr>
            <w:r>
              <w:rPr>
                <w:rFonts w:ascii="Arial" w:hAnsi="Arial"/>
                <w:sz w:val="15"/>
              </w:rPr>
              <w:t xml:space="preserve">56%</w:t>
            </w:r>
          </w:p>
        </w:tc>
        <w:tc>
          <w:tcPr>
            <w:tcW w:type="dxa" w:w="1068"/>
          </w:tcPr>
          <w:p>
            <w:pPr>
              <w:pStyle w:val="Compact"/>
              <w:spacing w:after="0" w:before="0" w:line="240" w:lineRule="auto"/>
              <w:jc w:val="right"/>
            </w:pPr>
            <w:r>
              <w:rPr>
                <w:rFonts w:ascii="Arial" w:hAnsi="Arial"/>
                <w:sz w:val="15"/>
              </w:rPr>
              <w:t xml:space="preserve">12.1x</w:t>
            </w:r>
          </w:p>
        </w:tc>
        <w:tc>
          <w:tcPr>
            <w:tcW w:type="dxa" w:w="1379"/>
          </w:tcPr>
          <w:p>
            <w:pPr>
              <w:pStyle w:val="Compact"/>
              <w:spacing w:after="0" w:before="0" w:line="240" w:lineRule="auto"/>
              <w:jc w:val="right"/>
            </w:pPr>
            <w:r>
              <w:rPr>
                <w:rFonts w:ascii="Arial" w:hAnsi="Arial"/>
                <w:sz w:val="15"/>
              </w:rPr>
              <w:t xml:space="preserve">39%</w:t>
            </w:r>
          </w:p>
        </w:tc>
      </w:tr>
      <w:tr>
        <w:trPr>
          <w:cantSplit/>
        </w:trPr>
        <w:tc>
          <w:tcPr>
            <w:tcW w:type="dxa" w:w="1570"/>
            <w:shd w:val="clear" w:color="auto" w:fill="F1F2F5"/>
          </w:tcPr>
          <w:p>
            <w:pPr>
              <w:pStyle w:val="Compact"/>
              <w:spacing w:after="0" w:before="0" w:line="240" w:lineRule="auto"/>
              <w:jc w:val="left"/>
            </w:pPr>
            <w:r>
              <w:rPr>
                <w:rFonts w:ascii="Arial" w:hAnsi="Arial"/>
                <w:sz w:val="15"/>
              </w:rPr>
              <w:t xml:space="preserve">P / E</w:t>
            </w:r>
          </w:p>
        </w:tc>
        <w:tc>
          <w:tcPr>
            <w:tcW w:type="dxa" w:w="981"/>
            <w:shd w:val="clear" w:color="auto" w:fill="F1F2F5"/>
          </w:tcPr>
          <w:p>
            <w:pPr>
              <w:pStyle w:val="Compact"/>
              <w:spacing w:after="0" w:before="0" w:line="240" w:lineRule="auto"/>
              <w:jc w:val="right"/>
            </w:pPr>
            <w:r>
              <w:rPr>
                <w:rFonts w:ascii="Arial" w:hAnsi="Arial"/>
                <w:sz w:val="15"/>
              </w:rPr>
              <w:t xml:space="preserve">11.7x</w:t>
            </w:r>
          </w:p>
        </w:tc>
        <w:tc>
          <w:tcPr>
            <w:tcW w:type="dxa" w:w="1053"/>
            <w:shd w:val="clear" w:color="auto" w:fill="F1F2F5"/>
          </w:tcPr>
          <w:p>
            <w:pPr>
              <w:pStyle w:val="Compact"/>
              <w:spacing w:after="0" w:before="0" w:line="240" w:lineRule="auto"/>
              <w:jc w:val="right"/>
            </w:pPr>
            <w:r>
              <w:rPr>
                <w:rFonts w:ascii="Arial" w:hAnsi="Arial"/>
                <w:sz w:val="15"/>
              </w:rPr>
              <w:t xml:space="preserve">10.3x</w:t>
            </w:r>
          </w:p>
        </w:tc>
        <w:tc>
          <w:tcPr>
            <w:tcW w:type="dxa" w:w="1278"/>
            <w:shd w:val="clear" w:color="auto" w:fill="F1F2F5"/>
          </w:tcPr>
          <w:p>
            <w:pPr>
              <w:pStyle w:val="Compact"/>
              <w:spacing w:after="0" w:before="0" w:line="240" w:lineRule="auto"/>
              <w:jc w:val="right"/>
            </w:pPr>
            <w:r>
              <w:rPr>
                <w:rFonts w:ascii="Arial" w:hAnsi="Arial"/>
                <w:sz w:val="15"/>
              </w:rPr>
              <w:t xml:space="preserve">6.3x (Jan-24)</w:t>
            </w:r>
          </w:p>
        </w:tc>
        <w:tc>
          <w:tcPr>
            <w:tcW w:type="dxa" w:w="1284"/>
            <w:shd w:val="clear" w:color="auto" w:fill="F1F2F5"/>
          </w:tcPr>
          <w:p>
            <w:pPr>
              <w:pStyle w:val="Compact"/>
              <w:spacing w:after="0" w:before="0" w:line="240" w:lineRule="auto"/>
              <w:jc w:val="right"/>
            </w:pPr>
            <w:r>
              <w:rPr>
                <w:rFonts w:ascii="Arial" w:hAnsi="Arial"/>
                <w:sz w:val="15"/>
              </w:rPr>
              <w:t xml:space="preserve">19.0x (Feb-26)</w:t>
            </w:r>
          </w:p>
        </w:tc>
        <w:tc>
          <w:tcPr>
            <w:tcW w:type="dxa" w:w="1365"/>
            <w:shd w:val="clear" w:color="auto" w:fill="F1F2F5"/>
          </w:tcPr>
          <w:p>
            <w:pPr>
              <w:pStyle w:val="Compact"/>
              <w:spacing w:after="0" w:before="0" w:line="240" w:lineRule="auto"/>
              <w:jc w:val="right"/>
            </w:pPr>
            <w:r>
              <w:rPr>
                <w:rFonts w:ascii="Arial" w:hAnsi="Arial"/>
                <w:sz w:val="15"/>
              </w:rPr>
              <w:t xml:space="preserve">62%</w:t>
            </w:r>
          </w:p>
        </w:tc>
        <w:tc>
          <w:tcPr>
            <w:tcW w:type="dxa" w:w="1068"/>
            <w:shd w:val="clear" w:color="auto" w:fill="F1F2F5"/>
          </w:tcPr>
          <w:p>
            <w:pPr>
              <w:pStyle w:val="Compact"/>
              <w:spacing w:after="0" w:before="0" w:line="240" w:lineRule="auto"/>
              <w:jc w:val="right"/>
            </w:pPr>
            <w:r>
              <w:rPr>
                <w:rFonts w:ascii="Arial" w:hAnsi="Arial"/>
                <w:sz w:val="15"/>
              </w:rPr>
              <w:t xml:space="preserve">11.8x</w:t>
            </w:r>
          </w:p>
        </w:tc>
        <w:tc>
          <w:tcPr>
            <w:tcW w:type="dxa" w:w="1379"/>
            <w:shd w:val="clear" w:color="auto" w:fill="F1F2F5"/>
          </w:tcPr>
          <w:p>
            <w:pPr>
              <w:pStyle w:val="Compact"/>
              <w:spacing w:after="0" w:before="0" w:line="240" w:lineRule="auto"/>
              <w:jc w:val="right"/>
            </w:pPr>
            <w:r>
              <w:rPr>
                <w:rFonts w:ascii="Arial" w:hAnsi="Arial"/>
                <w:sz w:val="15"/>
              </w:rPr>
              <w:t xml:space="preserve">44%</w:t>
            </w:r>
          </w:p>
        </w:tc>
      </w:tr>
      <w:tr>
        <w:trPr>
          <w:cantSplit/>
        </w:trPr>
        <w:tc>
          <w:tcPr>
            <w:tcW w:type="dxa" w:w="1570"/>
          </w:tcPr>
          <w:p>
            <w:pPr>
              <w:pStyle w:val="Compact"/>
              <w:spacing w:after="0" w:before="0" w:line="240" w:lineRule="auto"/>
              <w:jc w:val="left"/>
            </w:pPr>
            <w:r>
              <w:rPr>
                <w:rFonts w:ascii="Arial" w:hAnsi="Arial"/>
                <w:sz w:val="15"/>
              </w:rPr>
              <w:t xml:space="preserve">P / Book</w:t>
            </w:r>
          </w:p>
        </w:tc>
        <w:tc>
          <w:tcPr>
            <w:tcW w:type="dxa" w:w="981"/>
          </w:tcPr>
          <w:p>
            <w:pPr>
              <w:pStyle w:val="Compact"/>
              <w:spacing w:after="0" w:before="0" w:line="240" w:lineRule="auto"/>
              <w:jc w:val="right"/>
            </w:pPr>
            <w:r>
              <w:rPr>
                <w:rFonts w:ascii="Arial" w:hAnsi="Arial"/>
                <w:sz w:val="15"/>
              </w:rPr>
              <w:t xml:space="preserve">0.69x</w:t>
            </w:r>
          </w:p>
        </w:tc>
        <w:tc>
          <w:tcPr>
            <w:tcW w:type="dxa" w:w="1053"/>
          </w:tcPr>
          <w:p>
            <w:pPr>
              <w:pStyle w:val="Compact"/>
              <w:spacing w:after="0" w:before="0" w:line="240" w:lineRule="auto"/>
              <w:jc w:val="right"/>
            </w:pPr>
            <w:r>
              <w:rPr>
                <w:rFonts w:ascii="Arial" w:hAnsi="Arial"/>
                <w:sz w:val="15"/>
              </w:rPr>
              <w:t xml:space="preserve">0.64x</w:t>
            </w:r>
          </w:p>
        </w:tc>
        <w:tc>
          <w:tcPr>
            <w:tcW w:type="dxa" w:w="1278"/>
          </w:tcPr>
          <w:p>
            <w:pPr>
              <w:pStyle w:val="Compact"/>
              <w:spacing w:after="0" w:before="0" w:line="240" w:lineRule="auto"/>
              <w:jc w:val="right"/>
            </w:pPr>
            <w:r>
              <w:rPr>
                <w:rFonts w:ascii="Arial" w:hAnsi="Arial"/>
                <w:sz w:val="15"/>
              </w:rPr>
              <w:t xml:space="preserve">0.49x (Apr-24)</w:t>
            </w:r>
          </w:p>
        </w:tc>
        <w:tc>
          <w:tcPr>
            <w:tcW w:type="dxa" w:w="1284"/>
          </w:tcPr>
          <w:p>
            <w:pPr>
              <w:pStyle w:val="Compact"/>
              <w:spacing w:after="0" w:before="0" w:line="240" w:lineRule="auto"/>
              <w:jc w:val="right"/>
            </w:pPr>
            <w:r>
              <w:rPr>
                <w:rFonts w:ascii="Arial" w:hAnsi="Arial"/>
                <w:sz w:val="15"/>
              </w:rPr>
              <w:t xml:space="preserve">0.85x (Oct-21)</w:t>
            </w:r>
          </w:p>
        </w:tc>
        <w:tc>
          <w:tcPr>
            <w:tcW w:type="dxa" w:w="1365"/>
          </w:tcPr>
          <w:p>
            <w:pPr>
              <w:pStyle w:val="Compact"/>
              <w:spacing w:after="0" w:before="0" w:line="240" w:lineRule="auto"/>
              <w:jc w:val="right"/>
            </w:pPr>
            <w:r>
              <w:rPr>
                <w:rFonts w:ascii="Arial" w:hAnsi="Arial"/>
                <w:sz w:val="15"/>
              </w:rPr>
              <w:t xml:space="preserve">57%</w:t>
            </w:r>
          </w:p>
        </w:tc>
        <w:tc>
          <w:tcPr>
            <w:tcW w:type="dxa" w:w="1068"/>
          </w:tcPr>
          <w:p>
            <w:pPr>
              <w:pStyle w:val="Compact"/>
              <w:spacing w:after="0" w:before="0" w:line="240" w:lineRule="auto"/>
              <w:jc w:val="right"/>
            </w:pPr>
            <w:r>
              <w:rPr>
                <w:rFonts w:ascii="Arial" w:hAnsi="Arial"/>
                <w:sz w:val="15"/>
              </w:rPr>
              <w:t xml:space="preserve">0.82x</w:t>
            </w:r>
          </w:p>
        </w:tc>
        <w:tc>
          <w:tcPr>
            <w:tcW w:type="dxa" w:w="1379"/>
          </w:tcPr>
          <w:p>
            <w:pPr>
              <w:pStyle w:val="Compact"/>
              <w:spacing w:after="0" w:before="0" w:line="240" w:lineRule="auto"/>
              <w:jc w:val="right"/>
            </w:pPr>
            <w:r>
              <w:rPr>
                <w:rFonts w:ascii="Arial" w:hAnsi="Arial"/>
                <w:sz w:val="15"/>
              </w:rPr>
              <w:t xml:space="preserve">29%</w:t>
            </w:r>
          </w:p>
        </w:tc>
      </w:tr>
    </w:tbl>
    <w:p>
      <w:pPr>
        <w:pStyle w:val="BodyText"/>
      </w:pPr>
      <w:r>
        <w:rPr>
          <w:iCs/>
          <w:i/>
        </w:rPr>
        <w:t xml:space="preserve">Source: S&amp;P Capital IQ monthly series; the snapshot and the series differ by ~3–5% on the same date. P/E history is noisy because of EPS step-changes.</w:t>
      </w:r>
    </w:p>
    <w:p>
      <w:pPr>
        <w:pStyle w:val="CaptionedFigure"/>
      </w:pPr>
      <w:r>
        <w:drawing>
          <wp:inline>
            <wp:extent cx="6261100" cy="2578100"/>
            <wp:effectExtent b="0" l="0" r="0" t="0"/>
            <wp:docPr descr="TEV/EBITDA and P/B history vs SKT and KT" title="" id="87" name="Picture"/>
            <a:graphic>
              <a:graphicData uri="http://schemas.openxmlformats.org/drawingml/2006/picture">
                <pic:pic>
                  <pic:nvPicPr>
                    <pic:cNvPr descr="../charts/hist_multiples.png" id="88" name="Picture"/>
                    <pic:cNvPicPr>
                      <a:picLocks noChangeArrowheads="1" noChangeAspect="1"/>
                    </pic:cNvPicPr>
                  </pic:nvPicPr>
                  <pic:blipFill>
                    <a:blip r:embed="rId86"/>
                    <a:stretch>
                      <a:fillRect/>
                    </a:stretch>
                  </pic:blipFill>
                  <pic:spPr bwMode="auto">
                    <a:xfrm>
                      <a:off x="0" y="0"/>
                      <a:ext cx="6261100" cy="2578100"/>
                    </a:xfrm>
                    <a:prstGeom prst="rect">
                      <a:avLst/>
                    </a:prstGeom>
                    <a:noFill/>
                    <a:ln w="9525">
                      <a:noFill/>
                      <a:headEnd/>
                      <a:tailEnd/>
                    </a:ln>
                  </pic:spPr>
                </pic:pic>
              </a:graphicData>
            </a:graphic>
          </wp:inline>
        </w:drawing>
      </w:r>
    </w:p>
    <w:p>
      <w:pPr>
        <w:pStyle w:val="ImageCaption"/>
      </w:pPr>
      <w:r>
        <w:t xml:space="preserve">TEV/EBITDA and P/B history vs SKT and KT</w:t>
      </w:r>
    </w:p>
    <w:p>
      <w:pPr>
        <w:pStyle w:val="BodyText"/>
      </w:pPr>
      <w:r>
        <w:rPr>
          <w:bCs/>
          <w:b/>
        </w:rPr>
        <w:t xml:space="preserve">Relative to its own history LG Uplus looks cheap on EV-based multiples (15th percentile of ten years) and fair on P/E and P/B.</w:t>
      </w:r>
      <w:r>
        <w:t xml:space="preserve"> </w:t>
      </w:r>
      <w:r>
        <w:t xml:space="preserve">The P/E and P/B readings are depressed by weak earnings rather than a re-rating. Relative to peers, LG Uplus has de-rated against KT since 2023 (TEV/EBITDA ratio 0.92x now vs 1.1–1.45x in 2016–22) and against SK Telecom in 2026 (0.50x). SK Telecom’s re-rating partly reflects depressed LTM EBITDA after its breach, but it also reflects the SK Horizon data-centre mark. That is exactly the re-rating LG Uplus has not yet received.</w:t>
      </w:r>
    </w:p>
    <w:bookmarkEnd w:id="89"/>
    <w:bookmarkStart w:id="93" w:name="regression-tevsales-vs-ebit-margin"/>
    <w:p>
      <w:pPr>
        <w:pStyle w:val="Heading2"/>
      </w:pPr>
      <w:r>
        <w:t xml:space="preserve">Regression: TEV/Sales vs EBIT margin</w:t>
      </w:r>
    </w:p>
    <w:p>
      <w:pPr>
        <w:pStyle w:val="CaptionedFigure"/>
      </w:pPr>
      <w:r>
        <w:drawing>
          <wp:inline>
            <wp:extent cx="6261100" cy="3440388"/>
            <wp:effectExtent b="0" l="0" r="0" t="0"/>
            <wp:docPr descr="TEV/Sales vs EBIT margin regression" title="" id="91" name="Picture"/>
            <a:graphic>
              <a:graphicData uri="http://schemas.openxmlformats.org/drawingml/2006/picture">
                <pic:pic>
                  <pic:nvPicPr>
                    <pic:cNvPr descr="../charts/regression.png" id="92" name="Picture"/>
                    <pic:cNvPicPr>
                      <a:picLocks noChangeArrowheads="1" noChangeAspect="1"/>
                    </pic:cNvPicPr>
                  </pic:nvPicPr>
                  <pic:blipFill>
                    <a:blip r:embed="rId90"/>
                    <a:stretch>
                      <a:fillRect/>
                    </a:stretch>
                  </pic:blipFill>
                  <pic:spPr bwMode="auto">
                    <a:xfrm>
                      <a:off x="0" y="0"/>
                      <a:ext cx="6261100" cy="3440388"/>
                    </a:xfrm>
                    <a:prstGeom prst="rect">
                      <a:avLst/>
                    </a:prstGeom>
                    <a:noFill/>
                    <a:ln w="9525">
                      <a:noFill/>
                      <a:headEnd/>
                      <a:tailEnd/>
                    </a:ln>
                  </pic:spPr>
                </pic:pic>
              </a:graphicData>
            </a:graphic>
          </wp:inline>
        </w:drawing>
      </w:r>
    </w:p>
    <w:p>
      <w:pPr>
        <w:pStyle w:val="ImageCaption"/>
      </w:pPr>
      <w:r>
        <w:t xml:space="preserve">TEV/Sales vs EBIT margin regression</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2228"/>
        <w:gridCol w:w="1248"/>
        <w:gridCol w:w="1529"/>
        <w:gridCol w:w="1144"/>
        <w:gridCol w:w="665"/>
        <w:gridCol w:w="425"/>
        <w:gridCol w:w="1650"/>
        <w:gridCol w:w="1085"/>
      </w:tblGrid>
      <w:tr>
        <w:trPr>
          <w:tblHeader w:val="true"/>
          <w:tblHeader w:val="true"/>
          <w:cantSplit/>
        </w:trPr>
        <w:tc>
          <w:tcPr>
            <w:tcW w:type="dxa" w:w="2228"/>
            <w:shd w:val="clear" w:color="auto" w:fill="13213F"/>
          </w:tcPr>
          <w:p>
            <w:pPr>
              <w:pStyle w:val="Compact"/>
              <w:spacing w:after="0" w:before="0" w:line="240" w:lineRule="auto"/>
              <w:jc w:val="left"/>
            </w:pPr>
            <w:r>
              <w:rPr>
                <w:rFonts w:ascii="Arial" w:hAnsi="Arial"/>
                <w:b/>
                <w:color w:val="FFFFFF"/>
                <w:sz w:val="15"/>
              </w:rPr>
              <w:t xml:space="preserve">Specification</w:t>
            </w:r>
          </w:p>
        </w:tc>
        <w:tc>
          <w:tcPr>
            <w:tcW w:type="dxa" w:w="1248"/>
            <w:shd w:val="clear" w:color="auto" w:fill="13213F"/>
          </w:tcPr>
          <w:p>
            <w:pPr>
              <w:pStyle w:val="Compact"/>
              <w:spacing w:after="0" w:before="0" w:line="240" w:lineRule="auto"/>
              <w:jc w:val="right"/>
            </w:pPr>
            <w:r>
              <w:rPr>
                <w:rFonts w:ascii="Arial" w:hAnsi="Arial"/>
                <w:b/>
                <w:color w:val="FFFFFF"/>
                <w:sz w:val="15"/>
              </w:rPr>
              <w:t xml:space="preserve">Intercept</w:t>
            </w:r>
          </w:p>
        </w:tc>
        <w:tc>
          <w:tcPr>
            <w:tcW w:type="dxa" w:w="1529"/>
            <w:shd w:val="clear" w:color="auto" w:fill="13213F"/>
          </w:tcPr>
          <w:p>
            <w:pPr>
              <w:pStyle w:val="Compact"/>
              <w:spacing w:after="0" w:before="0" w:line="240" w:lineRule="auto"/>
              <w:jc w:val="right"/>
            </w:pPr>
            <w:r>
              <w:rPr>
                <w:rFonts w:ascii="Arial" w:hAnsi="Arial"/>
                <w:b/>
                <w:color w:val="FFFFFF"/>
                <w:sz w:val="15"/>
              </w:rPr>
              <w:t xml:space="preserve">Slope (per 1pp EBIT margin)</w:t>
            </w:r>
          </w:p>
        </w:tc>
        <w:tc>
          <w:tcPr>
            <w:tcW w:type="dxa" w:w="1145"/>
            <w:shd w:val="clear" w:color="auto" w:fill="13213F"/>
          </w:tcPr>
          <w:p>
            <w:pPr>
              <w:pStyle w:val="Compact"/>
              <w:spacing w:after="0" w:before="0" w:line="240" w:lineRule="auto"/>
              <w:jc w:val="right"/>
            </w:pPr>
            <w:r>
              <w:rPr>
                <w:rFonts w:ascii="Arial" w:hAnsi="Arial"/>
                <w:b/>
                <w:color w:val="FFFFFF"/>
                <w:sz w:val="15"/>
              </w:rPr>
              <w:t xml:space="preserve">Korea dummy</w:t>
            </w:r>
          </w:p>
        </w:tc>
        <w:tc>
          <w:tcPr>
            <w:tcW w:type="dxa" w:w="665"/>
            <w:shd w:val="clear" w:color="auto" w:fill="13213F"/>
          </w:tcPr>
          <w:p>
            <w:pPr>
              <w:pStyle w:val="Compact"/>
              <w:spacing w:after="0" w:before="0" w:line="240" w:lineRule="auto"/>
              <w:jc w:val="right"/>
            </w:pPr>
            <w:r>
              <w:rPr>
                <w:rFonts w:ascii="Arial" w:hAnsi="Arial"/>
                <w:b/>
                <w:color w:val="FFFFFF"/>
                <w:sz w:val="15"/>
              </w:rPr>
              <w:t xml:space="preserve">R²</w:t>
            </w:r>
          </w:p>
        </w:tc>
        <w:tc>
          <w:tcPr>
            <w:tcW w:type="dxa" w:w="425"/>
            <w:shd w:val="clear" w:color="auto" w:fill="13213F"/>
          </w:tcPr>
          <w:p>
            <w:pPr>
              <w:pStyle w:val="Compact"/>
              <w:spacing w:after="0" w:before="0" w:line="240" w:lineRule="auto"/>
              <w:jc w:val="right"/>
            </w:pPr>
            <w:r>
              <w:rPr>
                <w:rFonts w:ascii="Arial" w:hAnsi="Arial"/>
                <w:b/>
                <w:color w:val="FFFFFF"/>
                <w:sz w:val="15"/>
              </w:rPr>
              <w:t xml:space="preserve">n</w:t>
            </w:r>
          </w:p>
        </w:tc>
        <w:tc>
          <w:tcPr>
            <w:tcW w:type="dxa" w:w="1651"/>
            <w:shd w:val="clear" w:color="auto" w:fill="13213F"/>
          </w:tcPr>
          <w:p>
            <w:pPr>
              <w:pStyle w:val="Compact"/>
              <w:spacing w:after="0" w:before="0" w:line="240" w:lineRule="auto"/>
              <w:jc w:val="right"/>
            </w:pPr>
            <w:r>
              <w:rPr>
                <w:rFonts w:ascii="Arial" w:hAnsi="Arial"/>
                <w:b/>
                <w:color w:val="FFFFFF"/>
                <w:sz w:val="15"/>
              </w:rPr>
              <w:t xml:space="preserve">Implied TEV/Sales for LG Uplus</w:t>
            </w:r>
          </w:p>
        </w:tc>
        <w:tc>
          <w:tcPr>
            <w:tcW w:type="dxa" w:w="1086"/>
            <w:shd w:val="clear" w:color="auto" w:fill="13213F"/>
          </w:tcPr>
          <w:p>
            <w:pPr>
              <w:pStyle w:val="Compact"/>
              <w:spacing w:after="0" w:before="0" w:line="240" w:lineRule="auto"/>
              <w:jc w:val="right"/>
            </w:pPr>
            <w:r>
              <w:rPr>
                <w:rFonts w:ascii="Arial" w:hAnsi="Arial"/>
                <w:b/>
                <w:color w:val="FFFFFF"/>
                <w:sz w:val="15"/>
              </w:rPr>
              <w:t xml:space="preserve">vs actual 0.74x</w:t>
            </w:r>
          </w:p>
        </w:tc>
      </w:tr>
      <w:tr>
        <w:trPr>
          <w:cantSplit/>
        </w:trPr>
        <w:tc>
          <w:tcPr>
            <w:tcW w:type="dxa" w:w="2228"/>
          </w:tcPr>
          <w:p>
            <w:pPr>
              <w:pStyle w:val="Compact"/>
              <w:spacing w:after="0" w:before="0" w:line="240" w:lineRule="auto"/>
              <w:jc w:val="left"/>
            </w:pPr>
            <w:r>
              <w:rPr>
                <w:rFonts w:ascii="Arial" w:hAnsi="Arial"/>
                <w:sz w:val="15"/>
              </w:rPr>
              <w:t xml:space="preserve">All peers ex-LGU</w:t>
            </w:r>
          </w:p>
        </w:tc>
        <w:tc>
          <w:tcPr>
            <w:tcW w:type="dxa" w:w="1248"/>
          </w:tcPr>
          <w:p>
            <w:pPr>
              <w:pStyle w:val="Compact"/>
              <w:spacing w:after="0" w:before="0" w:line="240" w:lineRule="auto"/>
              <w:jc w:val="right"/>
            </w:pPr>
            <w:r>
              <w:rPr>
                <w:rFonts w:ascii="Arial" w:hAnsi="Arial"/>
                <w:sz w:val="15"/>
              </w:rPr>
              <w:t xml:space="preserve">0.661</w:t>
            </w:r>
          </w:p>
        </w:tc>
        <w:tc>
          <w:tcPr>
            <w:tcW w:type="dxa" w:w="1529"/>
          </w:tcPr>
          <w:p>
            <w:pPr>
              <w:pStyle w:val="Compact"/>
              <w:spacing w:after="0" w:before="0" w:line="240" w:lineRule="auto"/>
              <w:jc w:val="right"/>
            </w:pPr>
            <w:r>
              <w:rPr>
                <w:rFonts w:ascii="Arial" w:hAnsi="Arial"/>
                <w:sz w:val="15"/>
              </w:rPr>
              <w:t xml:space="preserve">0.126 (s.e. 0.026)</w:t>
            </w:r>
          </w:p>
        </w:tc>
        <w:tc>
          <w:tcPr>
            <w:tcW w:type="dxa" w:w="1145"/>
          </w:tcPr>
          <w:p>
            <w:pPr>
              <w:pStyle w:val="Compact"/>
              <w:spacing w:after="0" w:before="0" w:line="240" w:lineRule="auto"/>
              <w:jc w:val="right"/>
            </w:pPr>
            <w:r>
              <w:rPr>
                <w:rFonts w:ascii="Arial" w:hAnsi="Arial"/>
                <w:sz w:val="15"/>
              </w:rPr>
              <w:t xml:space="preserve">–</w:t>
            </w:r>
          </w:p>
        </w:tc>
        <w:tc>
          <w:tcPr>
            <w:tcW w:type="dxa" w:w="665"/>
          </w:tcPr>
          <w:p>
            <w:pPr>
              <w:pStyle w:val="Compact"/>
              <w:spacing w:after="0" w:before="0" w:line="240" w:lineRule="auto"/>
              <w:jc w:val="right"/>
            </w:pPr>
            <w:r>
              <w:rPr>
                <w:rFonts w:ascii="Arial" w:hAnsi="Arial"/>
                <w:sz w:val="15"/>
              </w:rPr>
              <w:t xml:space="preserve">0.47</w:t>
            </w:r>
          </w:p>
        </w:tc>
        <w:tc>
          <w:tcPr>
            <w:tcW w:type="dxa" w:w="425"/>
          </w:tcPr>
          <w:p>
            <w:pPr>
              <w:pStyle w:val="Compact"/>
              <w:spacing w:after="0" w:before="0" w:line="240" w:lineRule="auto"/>
              <w:jc w:val="right"/>
            </w:pPr>
            <w:r>
              <w:rPr>
                <w:rFonts w:ascii="Arial" w:hAnsi="Arial"/>
                <w:sz w:val="15"/>
              </w:rPr>
              <w:t xml:space="preserve">29</w:t>
            </w:r>
          </w:p>
        </w:tc>
        <w:tc>
          <w:tcPr>
            <w:tcW w:type="dxa" w:w="1651"/>
          </w:tcPr>
          <w:p>
            <w:pPr>
              <w:pStyle w:val="Compact"/>
              <w:spacing w:after="0" w:before="0" w:line="240" w:lineRule="auto"/>
              <w:jc w:val="right"/>
            </w:pPr>
            <w:r>
              <w:rPr>
                <w:bCs/>
                <w:rFonts w:ascii="Arial" w:hAnsi="Arial"/>
                <w:b/>
                <w:sz w:val="15"/>
              </w:rPr>
              <w:t xml:space="preserve">1.44x</w:t>
            </w:r>
          </w:p>
        </w:tc>
        <w:tc>
          <w:tcPr>
            <w:tcW w:type="dxa" w:w="1086"/>
          </w:tcPr>
          <w:p>
            <w:pPr>
              <w:pStyle w:val="Compact"/>
              <w:spacing w:after="0" w:before="0" w:line="240" w:lineRule="auto"/>
              <w:jc w:val="right"/>
            </w:pPr>
            <w:r>
              <w:rPr>
                <w:rFonts w:ascii="Arial" w:hAnsi="Arial"/>
                <w:sz w:val="15"/>
              </w:rPr>
              <w:t xml:space="preserve">+95%</w:t>
            </w:r>
          </w:p>
        </w:tc>
      </w:tr>
      <w:tr>
        <w:trPr>
          <w:cantSplit/>
        </w:trPr>
        <w:tc>
          <w:tcPr>
            <w:tcW w:type="dxa" w:w="2228"/>
            <w:shd w:val="clear" w:color="auto" w:fill="F1F2F5"/>
          </w:tcPr>
          <w:p>
            <w:pPr>
              <w:pStyle w:val="Compact"/>
              <w:spacing w:after="0" w:before="0" w:line="240" w:lineRule="auto"/>
              <w:jc w:val="left"/>
            </w:pPr>
            <w:r>
              <w:rPr>
                <w:rFonts w:ascii="Arial" w:hAnsi="Arial"/>
                <w:sz w:val="15"/>
              </w:rPr>
              <w:t xml:space="preserve">Ex sub-scale cable (Skylife, LGHV)</w:t>
            </w:r>
          </w:p>
        </w:tc>
        <w:tc>
          <w:tcPr>
            <w:tcW w:type="dxa" w:w="1248"/>
            <w:shd w:val="clear" w:color="auto" w:fill="F1F2F5"/>
          </w:tcPr>
          <w:p>
            <w:pPr>
              <w:pStyle w:val="Compact"/>
              <w:spacing w:after="0" w:before="0" w:line="240" w:lineRule="auto"/>
              <w:jc w:val="right"/>
            </w:pPr>
            <w:r>
              <w:rPr>
                <w:rFonts w:ascii="Arial" w:hAnsi="Arial"/>
                <w:sz w:val="15"/>
              </w:rPr>
              <w:t xml:space="preserve">0.932</w:t>
            </w:r>
          </w:p>
        </w:tc>
        <w:tc>
          <w:tcPr>
            <w:tcW w:type="dxa" w:w="1529"/>
            <w:shd w:val="clear" w:color="auto" w:fill="F1F2F5"/>
          </w:tcPr>
          <w:p>
            <w:pPr>
              <w:pStyle w:val="Compact"/>
              <w:spacing w:after="0" w:before="0" w:line="240" w:lineRule="auto"/>
              <w:jc w:val="right"/>
            </w:pPr>
            <w:r>
              <w:rPr>
                <w:rFonts w:ascii="Arial" w:hAnsi="Arial"/>
                <w:sz w:val="15"/>
              </w:rPr>
              <w:t xml:space="preserve">0.113</w:t>
            </w:r>
          </w:p>
        </w:tc>
        <w:tc>
          <w:tcPr>
            <w:tcW w:type="dxa" w:w="1145"/>
            <w:shd w:val="clear" w:color="auto" w:fill="F1F2F5"/>
          </w:tcPr>
          <w:p>
            <w:pPr>
              <w:pStyle w:val="Compact"/>
              <w:spacing w:after="0" w:before="0" w:line="240" w:lineRule="auto"/>
              <w:jc w:val="right"/>
            </w:pPr>
            <w:r>
              <w:rPr>
                <w:rFonts w:ascii="Arial" w:hAnsi="Arial"/>
                <w:sz w:val="15"/>
              </w:rPr>
              <w:t xml:space="preserve">–</w:t>
            </w:r>
          </w:p>
        </w:tc>
        <w:tc>
          <w:tcPr>
            <w:tcW w:type="dxa" w:w="665"/>
            <w:shd w:val="clear" w:color="auto" w:fill="F1F2F5"/>
          </w:tcPr>
          <w:p>
            <w:pPr>
              <w:pStyle w:val="Compact"/>
              <w:spacing w:after="0" w:before="0" w:line="240" w:lineRule="auto"/>
              <w:jc w:val="right"/>
            </w:pPr>
            <w:r>
              <w:rPr>
                <w:rFonts w:ascii="Arial" w:hAnsi="Arial"/>
                <w:sz w:val="15"/>
              </w:rPr>
              <w:t xml:space="preserve">0.34</w:t>
            </w:r>
          </w:p>
        </w:tc>
        <w:tc>
          <w:tcPr>
            <w:tcW w:type="dxa" w:w="425"/>
            <w:shd w:val="clear" w:color="auto" w:fill="F1F2F5"/>
          </w:tcPr>
          <w:p>
            <w:pPr>
              <w:pStyle w:val="Compact"/>
              <w:spacing w:after="0" w:before="0" w:line="240" w:lineRule="auto"/>
              <w:jc w:val="right"/>
            </w:pPr>
            <w:r>
              <w:rPr>
                <w:rFonts w:ascii="Arial" w:hAnsi="Arial"/>
                <w:sz w:val="15"/>
              </w:rPr>
              <w:t xml:space="preserve">27</w:t>
            </w:r>
          </w:p>
        </w:tc>
        <w:tc>
          <w:tcPr>
            <w:tcW w:type="dxa" w:w="1651"/>
            <w:shd w:val="clear" w:color="auto" w:fill="F1F2F5"/>
          </w:tcPr>
          <w:p>
            <w:pPr>
              <w:pStyle w:val="Compact"/>
              <w:spacing w:after="0" w:before="0" w:line="240" w:lineRule="auto"/>
              <w:jc w:val="right"/>
            </w:pPr>
            <w:r>
              <w:rPr>
                <w:rFonts w:ascii="Arial" w:hAnsi="Arial"/>
                <w:sz w:val="15"/>
              </w:rPr>
              <w:t xml:space="preserve">1.63x</w:t>
            </w:r>
          </w:p>
        </w:tc>
        <w:tc>
          <w:tcPr>
            <w:tcW w:type="dxa" w:w="1086"/>
            <w:shd w:val="clear" w:color="auto" w:fill="F1F2F5"/>
          </w:tcPr>
          <w:p>
            <w:pPr>
              <w:pStyle w:val="Compact"/>
              <w:spacing w:after="0" w:before="0" w:line="240" w:lineRule="auto"/>
              <w:jc w:val="right"/>
            </w:pPr>
            <w:r>
              <w:rPr>
                <w:rFonts w:ascii="Arial" w:hAnsi="Arial"/>
                <w:sz w:val="15"/>
              </w:rPr>
              <w:t xml:space="preserve">+121%</w:t>
            </w:r>
          </w:p>
        </w:tc>
      </w:tr>
      <w:tr>
        <w:trPr>
          <w:cantSplit/>
        </w:trPr>
        <w:tc>
          <w:tcPr>
            <w:tcW w:type="dxa" w:w="2228"/>
          </w:tcPr>
          <w:p>
            <w:pPr>
              <w:pStyle w:val="Compact"/>
              <w:spacing w:after="0" w:before="0" w:line="240" w:lineRule="auto"/>
              <w:jc w:val="left"/>
            </w:pPr>
            <w:r>
              <w:rPr>
                <w:rFonts w:ascii="Arial" w:hAnsi="Arial"/>
                <w:sz w:val="15"/>
              </w:rPr>
              <w:t xml:space="preserve">With Korea country dummy</w:t>
            </w:r>
          </w:p>
        </w:tc>
        <w:tc>
          <w:tcPr>
            <w:tcW w:type="dxa" w:w="1248"/>
          </w:tcPr>
          <w:p>
            <w:pPr>
              <w:pStyle w:val="Compact"/>
              <w:spacing w:after="0" w:before="0" w:line="240" w:lineRule="auto"/>
              <w:jc w:val="right"/>
            </w:pPr>
            <w:r>
              <w:rPr>
                <w:rFonts w:ascii="Arial" w:hAnsi="Arial"/>
                <w:sz w:val="15"/>
              </w:rPr>
              <w:t xml:space="preserve">1.291</w:t>
            </w:r>
          </w:p>
        </w:tc>
        <w:tc>
          <w:tcPr>
            <w:tcW w:type="dxa" w:w="1529"/>
          </w:tcPr>
          <w:p>
            <w:pPr>
              <w:pStyle w:val="Compact"/>
              <w:spacing w:after="0" w:before="0" w:line="240" w:lineRule="auto"/>
              <w:jc w:val="right"/>
            </w:pPr>
            <w:r>
              <w:rPr>
                <w:rFonts w:ascii="Arial" w:hAnsi="Arial"/>
                <w:sz w:val="15"/>
              </w:rPr>
              <w:t xml:space="preserve">0.098 (s.e. 0.034)</w:t>
            </w:r>
          </w:p>
        </w:tc>
        <w:tc>
          <w:tcPr>
            <w:tcW w:type="dxa" w:w="1145"/>
          </w:tcPr>
          <w:p>
            <w:pPr>
              <w:pStyle w:val="Compact"/>
              <w:spacing w:after="0" w:before="0" w:line="240" w:lineRule="auto"/>
              <w:jc w:val="right"/>
            </w:pPr>
            <w:r>
              <w:rPr>
                <w:rFonts w:ascii="Arial" w:hAnsi="Arial"/>
                <w:sz w:val="15"/>
              </w:rPr>
              <w:t xml:space="preserve">-0.993 (s.e. 0.775)</w:t>
            </w:r>
          </w:p>
        </w:tc>
        <w:tc>
          <w:tcPr>
            <w:tcW w:type="dxa" w:w="665"/>
          </w:tcPr>
          <w:p>
            <w:pPr>
              <w:pStyle w:val="Compact"/>
              <w:spacing w:after="0" w:before="0" w:line="240" w:lineRule="auto"/>
              <w:jc w:val="right"/>
            </w:pPr>
            <w:r>
              <w:rPr>
                <w:rFonts w:ascii="Arial" w:hAnsi="Arial"/>
                <w:sz w:val="15"/>
              </w:rPr>
              <w:t xml:space="preserve">0.50</w:t>
            </w:r>
          </w:p>
        </w:tc>
        <w:tc>
          <w:tcPr>
            <w:tcW w:type="dxa" w:w="425"/>
          </w:tcPr>
          <w:p>
            <w:pPr>
              <w:pStyle w:val="Compact"/>
              <w:spacing w:after="0" w:before="0" w:line="240" w:lineRule="auto"/>
              <w:jc w:val="right"/>
            </w:pPr>
            <w:r>
              <w:rPr>
                <w:rFonts w:ascii="Arial" w:hAnsi="Arial"/>
                <w:sz w:val="15"/>
              </w:rPr>
              <w:t xml:space="preserve">29</w:t>
            </w:r>
          </w:p>
        </w:tc>
        <w:tc>
          <w:tcPr>
            <w:tcW w:type="dxa" w:w="1651"/>
          </w:tcPr>
          <w:p>
            <w:pPr>
              <w:pStyle w:val="Compact"/>
              <w:spacing w:after="0" w:before="0" w:line="240" w:lineRule="auto"/>
              <w:jc w:val="right"/>
            </w:pPr>
            <w:r>
              <w:rPr>
                <w:rFonts w:ascii="Arial" w:hAnsi="Arial"/>
                <w:sz w:val="15"/>
              </w:rPr>
              <w:t xml:space="preserve">0.90x</w:t>
            </w:r>
          </w:p>
        </w:tc>
        <w:tc>
          <w:tcPr>
            <w:tcW w:type="dxa" w:w="1086"/>
          </w:tcPr>
          <w:p>
            <w:pPr>
              <w:pStyle w:val="Compact"/>
              <w:spacing w:after="0" w:before="0" w:line="240" w:lineRule="auto"/>
              <w:jc w:val="right"/>
            </w:pPr>
            <w:r>
              <w:rPr>
                <w:rFonts w:ascii="Arial" w:hAnsi="Arial"/>
                <w:sz w:val="15"/>
              </w:rPr>
              <w:t xml:space="preserve">+22%</w:t>
            </w:r>
          </w:p>
        </w:tc>
      </w:tr>
      <w:tr>
        <w:trPr>
          <w:cantSplit/>
        </w:trPr>
        <w:tc>
          <w:tcPr>
            <w:tcW w:type="dxa" w:w="2228"/>
            <w:shd w:val="clear" w:color="auto" w:fill="F1F2F5"/>
          </w:tcPr>
          <w:p>
            <w:pPr>
              <w:pStyle w:val="Compact"/>
              <w:spacing w:after="0" w:before="0" w:line="240" w:lineRule="auto"/>
              <w:jc w:val="left"/>
            </w:pPr>
            <w:r>
              <w:rPr>
                <w:rFonts w:ascii="Arial" w:hAnsi="Arial"/>
                <w:sz w:val="15"/>
              </w:rPr>
              <w:t xml:space="preserve">At our FY28E margin (7.9%), simple model</w:t>
            </w:r>
          </w:p>
        </w:tc>
        <w:tc>
          <w:tcPr>
            <w:tcW w:type="dxa" w:w="1248"/>
            <w:shd w:val="clear" w:color="auto" w:fill="F1F2F5"/>
          </w:tcPr>
          <w:p>
            <w:pPr>
              <w:pStyle w:val="Compact"/>
              <w:spacing w:after="0" w:before="0" w:line="240" w:lineRule="auto"/>
              <w:jc w:val="right"/>
            </w:pPr>
            <w:r>
              <w:rPr>
                <w:rFonts w:ascii="Arial" w:hAnsi="Arial"/>
                <w:sz w:val="15"/>
              </w:rPr>
              <w:t xml:space="preserve">0.661</w:t>
            </w:r>
          </w:p>
        </w:tc>
        <w:tc>
          <w:tcPr>
            <w:tcW w:type="dxa" w:w="1529"/>
            <w:shd w:val="clear" w:color="auto" w:fill="F1F2F5"/>
          </w:tcPr>
          <w:p>
            <w:pPr>
              <w:pStyle w:val="Compact"/>
              <w:spacing w:after="0" w:before="0" w:line="240" w:lineRule="auto"/>
              <w:jc w:val="right"/>
            </w:pPr>
            <w:r>
              <w:rPr>
                <w:rFonts w:ascii="Arial" w:hAnsi="Arial"/>
                <w:sz w:val="15"/>
              </w:rPr>
              <w:t xml:space="preserve">0.126</w:t>
            </w:r>
          </w:p>
        </w:tc>
        <w:tc>
          <w:tcPr>
            <w:tcW w:type="dxa" w:w="1145"/>
            <w:shd w:val="clear" w:color="auto" w:fill="F1F2F5"/>
          </w:tcPr>
          <w:p>
            <w:pPr>
              <w:pStyle w:val="Compact"/>
              <w:spacing w:after="0" w:before="0" w:line="240" w:lineRule="auto"/>
              <w:jc w:val="right"/>
            </w:pPr>
            <w:r>
              <w:rPr>
                <w:rFonts w:ascii="Arial" w:hAnsi="Arial"/>
                <w:sz w:val="15"/>
              </w:rPr>
              <w:t xml:space="preserve">–</w:t>
            </w:r>
          </w:p>
        </w:tc>
        <w:tc>
          <w:tcPr>
            <w:tcW w:type="dxa" w:w="665"/>
            <w:shd w:val="clear" w:color="auto" w:fill="F1F2F5"/>
          </w:tcPr>
          <w:p>
            <w:pPr>
              <w:pStyle w:val="Compact"/>
              <w:spacing w:after="0" w:before="0" w:line="240" w:lineRule="auto"/>
              <w:jc w:val="right"/>
            </w:pPr>
            <w:r>
              <w:rPr>
                <w:rFonts w:ascii="Arial" w:hAnsi="Arial"/>
                <w:sz w:val="15"/>
              </w:rPr>
              <w:t xml:space="preserve">–</w:t>
            </w:r>
          </w:p>
        </w:tc>
        <w:tc>
          <w:tcPr>
            <w:tcW w:type="dxa" w:w="425"/>
            <w:shd w:val="clear" w:color="auto" w:fill="F1F2F5"/>
          </w:tcPr>
          <w:p>
            <w:pPr>
              <w:pStyle w:val="Compact"/>
              <w:spacing w:after="0" w:before="0" w:line="240" w:lineRule="auto"/>
              <w:jc w:val="right"/>
            </w:pPr>
            <w:r>
              <w:rPr>
                <w:rFonts w:ascii="Arial" w:hAnsi="Arial"/>
                <w:sz w:val="15"/>
              </w:rPr>
              <w:t xml:space="preserve">–</w:t>
            </w:r>
          </w:p>
        </w:tc>
        <w:tc>
          <w:tcPr>
            <w:tcW w:type="dxa" w:w="1651"/>
            <w:shd w:val="clear" w:color="auto" w:fill="F1F2F5"/>
          </w:tcPr>
          <w:p>
            <w:pPr>
              <w:pStyle w:val="Compact"/>
              <w:spacing w:after="0" w:before="0" w:line="240" w:lineRule="auto"/>
              <w:jc w:val="right"/>
            </w:pPr>
            <w:r>
              <w:rPr>
                <w:rFonts w:ascii="Arial" w:hAnsi="Arial"/>
                <w:sz w:val="15"/>
              </w:rPr>
              <w:t xml:space="preserve">1.66x</w:t>
            </w:r>
          </w:p>
        </w:tc>
        <w:tc>
          <w:tcPr>
            <w:tcW w:type="dxa" w:w="1086"/>
            <w:shd w:val="clear" w:color="auto" w:fill="F1F2F5"/>
          </w:tcPr>
          <w:p>
            <w:pPr>
              <w:pStyle w:val="Compact"/>
              <w:spacing w:after="0" w:before="0" w:line="240" w:lineRule="auto"/>
              <w:jc w:val="right"/>
            </w:pPr>
            <w:r>
              <w:rPr>
                <w:rFonts w:ascii="Arial" w:hAnsi="Arial"/>
                <w:sz w:val="15"/>
              </w:rPr>
              <w:t xml:space="preserve">+124%</w:t>
            </w:r>
          </w:p>
        </w:tc>
      </w:tr>
    </w:tbl>
    <w:p>
      <w:pPr>
        <w:pStyle w:val="BodyText"/>
      </w:pPr>
      <w:r>
        <w:rPr>
          <w:bCs/>
          <w:b/>
        </w:rPr>
        <w:t xml:space="preserve">Reading the regression.</w:t>
      </w:r>
    </w:p>
    <w:p>
      <w:pPr>
        <w:numPr>
          <w:ilvl w:val="0"/>
          <w:numId w:val="1033"/>
        </w:numPr>
        <w:pStyle w:val="Compact"/>
      </w:pPr>
      <w:r>
        <w:t xml:space="preserve">EBIT margin explains about half of the cross-sectional variance in TEV/Sales. LG Uplus sits ~50% below the line: the market applies no credit for its EBITDA (24% margin) and penalises its D&amp;A-heavy EBIT.</w:t>
      </w:r>
    </w:p>
    <w:p>
      <w:pPr>
        <w:numPr>
          <w:ilvl w:val="0"/>
          <w:numId w:val="1033"/>
        </w:numPr>
        <w:pStyle w:val="Compact"/>
      </w:pPr>
      <w:r>
        <w:t xml:space="preserve">Every Korean name sits below the line. Adding a Korea dummy halves the gap: the implied multiple is 0.90x, still ~22% above the current 0.74x. So most of the discount is country and regulatory, and the residual ~20% is company-specific (breach overhang, AIDC capex, LGHV).</w:t>
      </w:r>
    </w:p>
    <w:p>
      <w:pPr>
        <w:numPr>
          <w:ilvl w:val="0"/>
          <w:numId w:val="1033"/>
        </w:numPr>
        <w:pStyle w:val="Compact"/>
      </w:pPr>
      <w:r>
        <w:t xml:space="preserve">Each 1pp of EBIT margin is worth ~0.1x of sales, about KRW1.5tn of EV or ~KRW3,600 per share. Margin expansion from 6.2% to our FY28E 7.9% is worth ~KRW6,000–8,000 per share on the regression (Korea-dummy and simple slopes respectively) [e].</w:t>
      </w:r>
    </w:p>
    <w:bookmarkEnd w:id="93"/>
    <w:bookmarkStart w:id="94" w:name="listed-and-unlisted-competitors"/>
    <w:p>
      <w:pPr>
        <w:pStyle w:val="Heading2"/>
      </w:pPr>
      <w:r>
        <w:t xml:space="preserve">Listed and unlisted competitors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2083"/>
        <w:gridCol w:w="2473"/>
        <w:gridCol w:w="2765"/>
        <w:gridCol w:w="1620"/>
        <w:gridCol w:w="1034"/>
      </w:tblGrid>
      <w:tr>
        <w:trPr>
          <w:tblHeader w:val="true"/>
          <w:tblHeader w:val="true"/>
          <w:cantSplit/>
        </w:trPr>
        <w:tc>
          <w:tcPr>
            <w:tcW w:type="dxa" w:w="2083"/>
            <w:shd w:val="clear" w:color="auto" w:fill="13213F"/>
          </w:tcPr>
          <w:p>
            <w:pPr>
              <w:pStyle w:val="Compact"/>
              <w:spacing w:after="0" w:before="0" w:line="240" w:lineRule="auto"/>
              <w:jc w:val="left"/>
            </w:pPr>
            <w:r>
              <w:rPr>
                <w:rFonts w:ascii="Arial" w:hAnsi="Arial"/>
                <w:b/>
                <w:color w:val="FFFFFF"/>
                <w:sz w:val="15"/>
              </w:rPr>
              <w:t xml:space="preserve">Competitor</w:t>
            </w:r>
          </w:p>
        </w:tc>
        <w:tc>
          <w:tcPr>
            <w:tcW w:type="dxa" w:w="2474"/>
            <w:shd w:val="clear" w:color="auto" w:fill="13213F"/>
          </w:tcPr>
          <w:p>
            <w:pPr>
              <w:pStyle w:val="Compact"/>
              <w:spacing w:after="0" w:before="0" w:line="240" w:lineRule="auto"/>
              <w:jc w:val="left"/>
            </w:pPr>
            <w:r>
              <w:rPr>
                <w:rFonts w:ascii="Arial" w:hAnsi="Arial"/>
                <w:b/>
                <w:color w:val="FFFFFF"/>
                <w:sz w:val="15"/>
              </w:rPr>
              <w:t xml:space="preserve">Segment</w:t>
            </w:r>
          </w:p>
        </w:tc>
        <w:tc>
          <w:tcPr>
            <w:tcW w:type="dxa" w:w="2766"/>
            <w:shd w:val="clear" w:color="auto" w:fill="13213F"/>
          </w:tcPr>
          <w:p>
            <w:pPr>
              <w:pStyle w:val="Compact"/>
              <w:spacing w:after="0" w:before="0" w:line="240" w:lineRule="auto"/>
              <w:jc w:val="left"/>
            </w:pPr>
            <w:r>
              <w:rPr>
                <w:rFonts w:ascii="Arial" w:hAnsi="Arial"/>
                <w:b/>
                <w:color w:val="FFFFFF"/>
                <w:sz w:val="15"/>
              </w:rPr>
              <w:t xml:space="preserve">Owner / parent</w:t>
            </w:r>
          </w:p>
        </w:tc>
        <w:tc>
          <w:tcPr>
            <w:tcW w:type="dxa" w:w="1621"/>
            <w:shd w:val="clear" w:color="auto" w:fill="13213F"/>
          </w:tcPr>
          <w:p>
            <w:pPr>
              <w:pStyle w:val="Compact"/>
              <w:spacing w:after="0" w:before="0" w:line="240" w:lineRule="auto"/>
              <w:jc w:val="center"/>
            </w:pPr>
            <w:r>
              <w:rPr>
                <w:rFonts w:ascii="Arial" w:hAnsi="Arial"/>
                <w:b/>
                <w:color w:val="FFFFFF"/>
                <w:sz w:val="15"/>
              </w:rPr>
              <w:t xml:space="preserve">Listed?</w:t>
            </w:r>
          </w:p>
        </w:tc>
        <w:tc>
          <w:tcPr>
            <w:tcW w:type="dxa" w:w="1035"/>
            <w:shd w:val="clear" w:color="auto" w:fill="13213F"/>
          </w:tcPr>
          <w:p>
            <w:pPr>
              <w:pStyle w:val="Compact"/>
              <w:spacing w:after="0" w:before="0" w:line="240" w:lineRule="auto"/>
              <w:jc w:val="left"/>
            </w:pPr>
            <w:r>
              <w:rPr>
                <w:rFonts w:ascii="Arial" w:hAnsi="Arial"/>
                <w:b/>
                <w:color w:val="FFFFFF"/>
                <w:sz w:val="15"/>
              </w:rPr>
              <w:t xml:space="preserve">Ticker</w:t>
            </w:r>
          </w:p>
        </w:tc>
      </w:tr>
      <w:tr>
        <w:trPr>
          <w:cantSplit/>
        </w:trPr>
        <w:tc>
          <w:tcPr>
            <w:tcW w:type="dxa" w:w="2083"/>
          </w:tcPr>
          <w:p>
            <w:pPr>
              <w:pStyle w:val="Compact"/>
              <w:spacing w:after="0" w:before="0" w:line="240" w:lineRule="auto"/>
              <w:jc w:val="left"/>
            </w:pPr>
            <w:r>
              <w:rPr>
                <w:rFonts w:ascii="Arial" w:hAnsi="Arial"/>
                <w:sz w:val="15"/>
              </w:rPr>
              <w:t xml:space="preserve">SK Telecom</w:t>
            </w:r>
          </w:p>
        </w:tc>
        <w:tc>
          <w:tcPr>
            <w:tcW w:type="dxa" w:w="2474"/>
          </w:tcPr>
          <w:p>
            <w:pPr>
              <w:pStyle w:val="Compact"/>
              <w:spacing w:after="0" w:before="0" w:line="240" w:lineRule="auto"/>
              <w:jc w:val="left"/>
            </w:pPr>
            <w:r>
              <w:rPr>
                <w:rFonts w:ascii="Arial" w:hAnsi="Arial"/>
                <w:sz w:val="15"/>
              </w:rPr>
              <w:t xml:space="preserve">Mobile (#1)</w:t>
            </w:r>
          </w:p>
        </w:tc>
        <w:tc>
          <w:tcPr>
            <w:tcW w:type="dxa" w:w="2766"/>
          </w:tcPr>
          <w:p>
            <w:pPr>
              <w:pStyle w:val="Compact"/>
              <w:spacing w:after="0" w:before="0" w:line="240" w:lineRule="auto"/>
              <w:jc w:val="left"/>
            </w:pPr>
            <w:r>
              <w:rPr>
                <w:rFonts w:ascii="Arial" w:hAnsi="Arial"/>
                <w:sz w:val="15"/>
              </w:rPr>
              <w:t xml:space="preserve">SK Group</w:t>
            </w:r>
          </w:p>
        </w:tc>
        <w:tc>
          <w:tcPr>
            <w:tcW w:type="dxa" w:w="1621"/>
          </w:tcPr>
          <w:p>
            <w:pPr>
              <w:pStyle w:val="Compact"/>
              <w:spacing w:after="0" w:before="0" w:line="240" w:lineRule="auto"/>
              <w:jc w:val="center"/>
            </w:pPr>
            <w:r>
              <w:rPr>
                <w:rFonts w:ascii="Arial" w:hAnsi="Arial"/>
                <w:sz w:val="15"/>
              </w:rPr>
              <w:t xml:space="preserve">Listed</w:t>
            </w:r>
          </w:p>
        </w:tc>
        <w:tc>
          <w:tcPr>
            <w:tcW w:type="dxa" w:w="1035"/>
          </w:tcPr>
          <w:p>
            <w:pPr>
              <w:pStyle w:val="Compact"/>
              <w:spacing w:after="0" w:before="0" w:line="240" w:lineRule="auto"/>
              <w:jc w:val="left"/>
            </w:pPr>
            <w:r>
              <w:rPr>
                <w:rFonts w:ascii="Arial" w:hAnsi="Arial"/>
                <w:sz w:val="15"/>
              </w:rPr>
              <w:t xml:space="preserve">017670 KS</w:t>
            </w:r>
          </w:p>
        </w:tc>
      </w:tr>
      <w:tr>
        <w:trPr>
          <w:cantSplit/>
        </w:trPr>
        <w:tc>
          <w:tcPr>
            <w:tcW w:type="dxa" w:w="2083"/>
            <w:shd w:val="clear" w:color="auto" w:fill="F1F2F5"/>
          </w:tcPr>
          <w:p>
            <w:pPr>
              <w:pStyle w:val="Compact"/>
              <w:spacing w:after="0" w:before="0" w:line="240" w:lineRule="auto"/>
              <w:jc w:val="left"/>
            </w:pPr>
            <w:r>
              <w:rPr>
                <w:rFonts w:ascii="Arial" w:hAnsi="Arial"/>
                <w:sz w:val="15"/>
              </w:rPr>
              <w:t xml:space="preserve">SK Broadband</w:t>
            </w:r>
          </w:p>
        </w:tc>
        <w:tc>
          <w:tcPr>
            <w:tcW w:type="dxa" w:w="2474"/>
            <w:shd w:val="clear" w:color="auto" w:fill="F1F2F5"/>
          </w:tcPr>
          <w:p>
            <w:pPr>
              <w:pStyle w:val="Compact"/>
              <w:spacing w:after="0" w:before="0" w:line="240" w:lineRule="auto"/>
              <w:jc w:val="left"/>
            </w:pPr>
            <w:r>
              <w:rPr>
                <w:rFonts w:ascii="Arial" w:hAnsi="Arial"/>
                <w:sz w:val="15"/>
              </w:rPr>
              <w:t xml:space="preserve">Broadband, IPTV, cable (ex-Tbroad), IDC</w:t>
            </w:r>
          </w:p>
        </w:tc>
        <w:tc>
          <w:tcPr>
            <w:tcW w:type="dxa" w:w="2766"/>
            <w:shd w:val="clear" w:color="auto" w:fill="F1F2F5"/>
          </w:tcPr>
          <w:p>
            <w:pPr>
              <w:pStyle w:val="Compact"/>
              <w:spacing w:after="0" w:before="0" w:line="240" w:lineRule="auto"/>
              <w:jc w:val="left"/>
            </w:pPr>
            <w:r>
              <w:rPr>
                <w:rFonts w:ascii="Arial" w:hAnsi="Arial"/>
                <w:sz w:val="15"/>
              </w:rPr>
              <w:t xml:space="preserve">SK Telecom (100%)</w:t>
            </w:r>
          </w:p>
        </w:tc>
        <w:tc>
          <w:tcPr>
            <w:tcW w:type="dxa" w:w="1621"/>
            <w:shd w:val="clear" w:color="auto" w:fill="F1F2F5"/>
          </w:tcPr>
          <w:p>
            <w:pPr>
              <w:pStyle w:val="Compact"/>
              <w:spacing w:after="0" w:before="0" w:line="240" w:lineRule="auto"/>
              <w:jc w:val="center"/>
            </w:pPr>
            <w:r>
              <w:rPr>
                <w:rFonts w:ascii="Arial" w:hAnsi="Arial"/>
                <w:sz w:val="15"/>
              </w:rPr>
              <w:t xml:space="preserve">Unlisted</w:t>
            </w:r>
          </w:p>
        </w:tc>
        <w:tc>
          <w:tcPr>
            <w:tcW w:type="dxa" w:w="1035"/>
            <w:shd w:val="clear" w:color="auto" w:fill="F1F2F5"/>
          </w:tcPr>
          <w:p>
            <w:pPr>
              <w:pStyle w:val="Compact"/>
              <w:spacing w:after="0" w:before="0" w:line="240" w:lineRule="auto"/>
              <w:jc w:val="left"/>
            </w:pPr>
            <w:r>
              <w:rPr>
                <w:rFonts w:ascii="Arial" w:hAnsi="Arial"/>
                <w:sz w:val="15"/>
              </w:rPr>
              <w:t xml:space="preserve">–</w:t>
            </w:r>
          </w:p>
        </w:tc>
      </w:tr>
      <w:tr>
        <w:trPr>
          <w:cantSplit/>
        </w:trPr>
        <w:tc>
          <w:tcPr>
            <w:tcW w:type="dxa" w:w="2083"/>
          </w:tcPr>
          <w:p>
            <w:pPr>
              <w:pStyle w:val="Compact"/>
              <w:spacing w:after="0" w:before="0" w:line="240" w:lineRule="auto"/>
              <w:jc w:val="left"/>
            </w:pPr>
            <w:r>
              <w:rPr>
                <w:rFonts w:ascii="Arial" w:hAnsi="Arial"/>
                <w:sz w:val="15"/>
              </w:rPr>
              <w:t xml:space="preserve">SK Horizon</w:t>
            </w:r>
          </w:p>
        </w:tc>
        <w:tc>
          <w:tcPr>
            <w:tcW w:type="dxa" w:w="2474"/>
          </w:tcPr>
          <w:p>
            <w:pPr>
              <w:pStyle w:val="Compact"/>
              <w:spacing w:after="0" w:before="0" w:line="240" w:lineRule="auto"/>
              <w:jc w:val="left"/>
            </w:pPr>
            <w:r>
              <w:rPr>
                <w:rFonts w:ascii="Arial" w:hAnsi="Arial"/>
                <w:sz w:val="15"/>
              </w:rPr>
              <w:t xml:space="preserve">Data centres (318MW)</w:t>
            </w:r>
          </w:p>
        </w:tc>
        <w:tc>
          <w:tcPr>
            <w:tcW w:type="dxa" w:w="2766"/>
          </w:tcPr>
          <w:p>
            <w:pPr>
              <w:pStyle w:val="Compact"/>
              <w:spacing w:after="0" w:before="0" w:line="240" w:lineRule="auto"/>
              <w:jc w:val="left"/>
            </w:pPr>
            <w:r>
              <w:rPr>
                <w:rFonts w:ascii="Arial" w:hAnsi="Arial"/>
                <w:sz w:val="15"/>
              </w:rPr>
              <w:t xml:space="preserve">SK Broadband 51%; KKR 29%; IMM–Stonebridge 20%</w:t>
            </w:r>
          </w:p>
        </w:tc>
        <w:tc>
          <w:tcPr>
            <w:tcW w:type="dxa" w:w="1621"/>
          </w:tcPr>
          <w:p>
            <w:pPr>
              <w:pStyle w:val="Compact"/>
              <w:spacing w:after="0" w:before="0" w:line="240" w:lineRule="auto"/>
              <w:jc w:val="center"/>
            </w:pPr>
            <w:r>
              <w:rPr>
                <w:rFonts w:ascii="Arial" w:hAnsi="Arial"/>
                <w:sz w:val="15"/>
              </w:rPr>
              <w:t xml:space="preserve">Unlisted</w:t>
            </w:r>
          </w:p>
        </w:tc>
        <w:tc>
          <w:tcPr>
            <w:tcW w:type="dxa" w:w="1035"/>
          </w:tcPr>
          <w:p>
            <w:pPr>
              <w:pStyle w:val="Compact"/>
              <w:spacing w:after="0" w:before="0" w:line="240" w:lineRule="auto"/>
              <w:jc w:val="left"/>
            </w:pPr>
            <w:r>
              <w:rPr>
                <w:rFonts w:ascii="Arial" w:hAnsi="Arial"/>
                <w:sz w:val="15"/>
              </w:rPr>
              <w:t xml:space="preserve">–</w:t>
            </w:r>
          </w:p>
        </w:tc>
      </w:tr>
      <w:tr>
        <w:trPr>
          <w:cantSplit/>
        </w:trPr>
        <w:tc>
          <w:tcPr>
            <w:tcW w:type="dxa" w:w="2083"/>
            <w:shd w:val="clear" w:color="auto" w:fill="F1F2F5"/>
          </w:tcPr>
          <w:p>
            <w:pPr>
              <w:pStyle w:val="Compact"/>
              <w:spacing w:after="0" w:before="0" w:line="240" w:lineRule="auto"/>
              <w:jc w:val="left"/>
            </w:pPr>
            <w:r>
              <w:rPr>
                <w:rFonts w:ascii="Arial" w:hAnsi="Arial"/>
                <w:sz w:val="15"/>
              </w:rPr>
              <w:t xml:space="preserve">SK Telink (7mobile)</w:t>
            </w:r>
          </w:p>
        </w:tc>
        <w:tc>
          <w:tcPr>
            <w:tcW w:type="dxa" w:w="2474"/>
            <w:shd w:val="clear" w:color="auto" w:fill="F1F2F5"/>
          </w:tcPr>
          <w:p>
            <w:pPr>
              <w:pStyle w:val="Compact"/>
              <w:spacing w:after="0" w:before="0" w:line="240" w:lineRule="auto"/>
              <w:jc w:val="left"/>
            </w:pPr>
            <w:r>
              <w:rPr>
                <w:rFonts w:ascii="Arial" w:hAnsi="Arial"/>
                <w:sz w:val="15"/>
              </w:rPr>
              <w:t xml:space="preserve">MVNO</w:t>
            </w:r>
          </w:p>
        </w:tc>
        <w:tc>
          <w:tcPr>
            <w:tcW w:type="dxa" w:w="2766"/>
            <w:shd w:val="clear" w:color="auto" w:fill="F1F2F5"/>
          </w:tcPr>
          <w:p>
            <w:pPr>
              <w:pStyle w:val="Compact"/>
              <w:spacing w:after="0" w:before="0" w:line="240" w:lineRule="auto"/>
              <w:jc w:val="left"/>
            </w:pPr>
            <w:r>
              <w:rPr>
                <w:rFonts w:ascii="Arial" w:hAnsi="Arial"/>
                <w:sz w:val="15"/>
              </w:rPr>
              <w:t xml:space="preserve">SK Telecom</w:t>
            </w:r>
          </w:p>
        </w:tc>
        <w:tc>
          <w:tcPr>
            <w:tcW w:type="dxa" w:w="1621"/>
            <w:shd w:val="clear" w:color="auto" w:fill="F1F2F5"/>
          </w:tcPr>
          <w:p>
            <w:pPr>
              <w:pStyle w:val="Compact"/>
              <w:spacing w:after="0" w:before="0" w:line="240" w:lineRule="auto"/>
              <w:jc w:val="center"/>
            </w:pPr>
            <w:r>
              <w:rPr>
                <w:rFonts w:ascii="Arial" w:hAnsi="Arial"/>
                <w:sz w:val="15"/>
              </w:rPr>
              <w:t xml:space="preserve">Unlisted</w:t>
            </w:r>
          </w:p>
        </w:tc>
        <w:tc>
          <w:tcPr>
            <w:tcW w:type="dxa" w:w="1035"/>
            <w:shd w:val="clear" w:color="auto" w:fill="F1F2F5"/>
          </w:tcPr>
          <w:p>
            <w:pPr>
              <w:pStyle w:val="Compact"/>
              <w:spacing w:after="0" w:before="0" w:line="240" w:lineRule="auto"/>
              <w:jc w:val="left"/>
            </w:pPr>
            <w:r>
              <w:rPr>
                <w:rFonts w:ascii="Arial" w:hAnsi="Arial"/>
                <w:sz w:val="15"/>
              </w:rPr>
              <w:t xml:space="preserve">–</w:t>
            </w:r>
          </w:p>
        </w:tc>
      </w:tr>
      <w:tr>
        <w:trPr>
          <w:cantSplit/>
        </w:trPr>
        <w:tc>
          <w:tcPr>
            <w:tcW w:type="dxa" w:w="2083"/>
          </w:tcPr>
          <w:p>
            <w:pPr>
              <w:pStyle w:val="Compact"/>
              <w:spacing w:after="0" w:before="0" w:line="240" w:lineRule="auto"/>
              <w:jc w:val="left"/>
            </w:pPr>
            <w:r>
              <w:rPr>
                <w:rFonts w:ascii="Arial" w:hAnsi="Arial"/>
                <w:sz w:val="15"/>
              </w:rPr>
              <w:t xml:space="preserve">KT Corp</w:t>
            </w:r>
          </w:p>
        </w:tc>
        <w:tc>
          <w:tcPr>
            <w:tcW w:type="dxa" w:w="2474"/>
          </w:tcPr>
          <w:p>
            <w:pPr>
              <w:pStyle w:val="Compact"/>
              <w:spacing w:after="0" w:before="0" w:line="240" w:lineRule="auto"/>
              <w:jc w:val="left"/>
            </w:pPr>
            <w:r>
              <w:rPr>
                <w:rFonts w:ascii="Arial" w:hAnsi="Arial"/>
                <w:sz w:val="15"/>
              </w:rPr>
              <w:t xml:space="preserve">Mobile (#2 handsets), fixed line</w:t>
            </w:r>
          </w:p>
        </w:tc>
        <w:tc>
          <w:tcPr>
            <w:tcW w:type="dxa" w:w="2766"/>
          </w:tcPr>
          <w:p>
            <w:pPr>
              <w:pStyle w:val="Compact"/>
              <w:spacing w:after="0" w:before="0" w:line="240" w:lineRule="auto"/>
              <w:jc w:val="left"/>
            </w:pPr>
            <w:r>
              <w:rPr>
                <w:rFonts w:ascii="Arial" w:hAnsi="Arial"/>
                <w:sz w:val="15"/>
              </w:rPr>
              <w:t xml:space="preserve">Hyundai Motor (largest), NPS</w:t>
            </w:r>
          </w:p>
        </w:tc>
        <w:tc>
          <w:tcPr>
            <w:tcW w:type="dxa" w:w="1621"/>
          </w:tcPr>
          <w:p>
            <w:pPr>
              <w:pStyle w:val="Compact"/>
              <w:spacing w:after="0" w:before="0" w:line="240" w:lineRule="auto"/>
              <w:jc w:val="center"/>
            </w:pPr>
            <w:r>
              <w:rPr>
                <w:rFonts w:ascii="Arial" w:hAnsi="Arial"/>
                <w:sz w:val="15"/>
              </w:rPr>
              <w:t xml:space="preserve">Listed</w:t>
            </w:r>
          </w:p>
        </w:tc>
        <w:tc>
          <w:tcPr>
            <w:tcW w:type="dxa" w:w="1035"/>
          </w:tcPr>
          <w:p>
            <w:pPr>
              <w:pStyle w:val="Compact"/>
              <w:spacing w:after="0" w:before="0" w:line="240" w:lineRule="auto"/>
              <w:jc w:val="left"/>
            </w:pPr>
            <w:r>
              <w:rPr>
                <w:rFonts w:ascii="Arial" w:hAnsi="Arial"/>
                <w:sz w:val="15"/>
              </w:rPr>
              <w:t xml:space="preserve">030200 KS</w:t>
            </w:r>
          </w:p>
        </w:tc>
      </w:tr>
      <w:tr>
        <w:trPr>
          <w:cantSplit/>
        </w:trPr>
        <w:tc>
          <w:tcPr>
            <w:tcW w:type="dxa" w:w="2083"/>
            <w:shd w:val="clear" w:color="auto" w:fill="F1F2F5"/>
          </w:tcPr>
          <w:p>
            <w:pPr>
              <w:pStyle w:val="Compact"/>
              <w:spacing w:after="0" w:before="0" w:line="240" w:lineRule="auto"/>
              <w:jc w:val="left"/>
            </w:pPr>
            <w:r>
              <w:rPr>
                <w:rFonts w:ascii="Arial" w:hAnsi="Arial"/>
                <w:sz w:val="15"/>
              </w:rPr>
              <w:t xml:space="preserve">KT Skylife (incl. HCN)</w:t>
            </w:r>
          </w:p>
        </w:tc>
        <w:tc>
          <w:tcPr>
            <w:tcW w:type="dxa" w:w="2474"/>
            <w:shd w:val="clear" w:color="auto" w:fill="F1F2F5"/>
          </w:tcPr>
          <w:p>
            <w:pPr>
              <w:pStyle w:val="Compact"/>
              <w:spacing w:after="0" w:before="0" w:line="240" w:lineRule="auto"/>
              <w:jc w:val="left"/>
            </w:pPr>
            <w:r>
              <w:rPr>
                <w:rFonts w:ascii="Arial" w:hAnsi="Arial"/>
                <w:sz w:val="15"/>
              </w:rPr>
              <w:t xml:space="preserve">Satellite and cable TV, MVNO</w:t>
            </w:r>
          </w:p>
        </w:tc>
        <w:tc>
          <w:tcPr>
            <w:tcW w:type="dxa" w:w="2766"/>
            <w:shd w:val="clear" w:color="auto" w:fill="F1F2F5"/>
          </w:tcPr>
          <w:p>
            <w:pPr>
              <w:pStyle w:val="Compact"/>
              <w:spacing w:after="0" w:before="0" w:line="240" w:lineRule="auto"/>
              <w:jc w:val="left"/>
            </w:pPr>
            <w:r>
              <w:rPr>
                <w:rFonts w:ascii="Arial" w:hAnsi="Arial"/>
                <w:sz w:val="15"/>
              </w:rPr>
              <w:t xml:space="preserve">KT (~50% [u])</w:t>
            </w:r>
          </w:p>
        </w:tc>
        <w:tc>
          <w:tcPr>
            <w:tcW w:type="dxa" w:w="1621"/>
            <w:shd w:val="clear" w:color="auto" w:fill="F1F2F5"/>
          </w:tcPr>
          <w:p>
            <w:pPr>
              <w:pStyle w:val="Compact"/>
              <w:spacing w:after="0" w:before="0" w:line="240" w:lineRule="auto"/>
              <w:jc w:val="center"/>
            </w:pPr>
            <w:r>
              <w:rPr>
                <w:rFonts w:ascii="Arial" w:hAnsi="Arial"/>
                <w:sz w:val="15"/>
              </w:rPr>
              <w:t xml:space="preserve">Listed</w:t>
            </w:r>
          </w:p>
        </w:tc>
        <w:tc>
          <w:tcPr>
            <w:tcW w:type="dxa" w:w="1035"/>
            <w:shd w:val="clear" w:color="auto" w:fill="F1F2F5"/>
          </w:tcPr>
          <w:p>
            <w:pPr>
              <w:pStyle w:val="Compact"/>
              <w:spacing w:after="0" w:before="0" w:line="240" w:lineRule="auto"/>
              <w:jc w:val="left"/>
            </w:pPr>
            <w:r>
              <w:rPr>
                <w:rFonts w:ascii="Arial" w:hAnsi="Arial"/>
                <w:sz w:val="15"/>
              </w:rPr>
              <w:t xml:space="preserve">053210 KS</w:t>
            </w:r>
          </w:p>
        </w:tc>
      </w:tr>
      <w:tr>
        <w:trPr>
          <w:cantSplit/>
        </w:trPr>
        <w:tc>
          <w:tcPr>
            <w:tcW w:type="dxa" w:w="2083"/>
          </w:tcPr>
          <w:p>
            <w:pPr>
              <w:pStyle w:val="Compact"/>
              <w:spacing w:after="0" w:before="0" w:line="240" w:lineRule="auto"/>
              <w:jc w:val="left"/>
            </w:pPr>
            <w:r>
              <w:rPr>
                <w:rFonts w:ascii="Arial" w:hAnsi="Arial"/>
                <w:sz w:val="15"/>
              </w:rPr>
              <w:t xml:space="preserve">KT Cloud</w:t>
            </w:r>
          </w:p>
        </w:tc>
        <w:tc>
          <w:tcPr>
            <w:tcW w:type="dxa" w:w="2474"/>
          </w:tcPr>
          <w:p>
            <w:pPr>
              <w:pStyle w:val="Compact"/>
              <w:spacing w:after="0" w:before="0" w:line="240" w:lineRule="auto"/>
              <w:jc w:val="left"/>
            </w:pPr>
            <w:r>
              <w:rPr>
                <w:rFonts w:ascii="Arial" w:hAnsi="Arial"/>
                <w:sz w:val="15"/>
              </w:rPr>
              <w:t xml:space="preserve">Cloud and IDC</w:t>
            </w:r>
          </w:p>
        </w:tc>
        <w:tc>
          <w:tcPr>
            <w:tcW w:type="dxa" w:w="2766"/>
          </w:tcPr>
          <w:p>
            <w:pPr>
              <w:pStyle w:val="Compact"/>
              <w:spacing w:after="0" w:before="0" w:line="240" w:lineRule="auto"/>
              <w:jc w:val="left"/>
            </w:pPr>
            <w:r>
              <w:rPr>
                <w:rFonts w:ascii="Arial" w:hAnsi="Arial"/>
                <w:sz w:val="15"/>
              </w:rPr>
              <w:t xml:space="preserve">KT 92.6%; IMM Credit &amp; Solutions</w:t>
            </w:r>
          </w:p>
        </w:tc>
        <w:tc>
          <w:tcPr>
            <w:tcW w:type="dxa" w:w="1621"/>
          </w:tcPr>
          <w:p>
            <w:pPr>
              <w:pStyle w:val="Compact"/>
              <w:spacing w:after="0" w:before="0" w:line="240" w:lineRule="auto"/>
              <w:jc w:val="center"/>
            </w:pPr>
            <w:r>
              <w:rPr>
                <w:rFonts w:ascii="Arial" w:hAnsi="Arial"/>
                <w:sz w:val="15"/>
              </w:rPr>
              <w:t xml:space="preserve">Unlisted</w:t>
            </w:r>
          </w:p>
        </w:tc>
        <w:tc>
          <w:tcPr>
            <w:tcW w:type="dxa" w:w="1035"/>
          </w:tcPr>
          <w:p>
            <w:pPr>
              <w:pStyle w:val="Compact"/>
              <w:spacing w:after="0" w:before="0" w:line="240" w:lineRule="auto"/>
              <w:jc w:val="left"/>
            </w:pPr>
            <w:r>
              <w:rPr>
                <w:rFonts w:ascii="Arial" w:hAnsi="Arial"/>
                <w:sz w:val="15"/>
              </w:rPr>
              <w:t xml:space="preserve">–</w:t>
            </w:r>
          </w:p>
        </w:tc>
      </w:tr>
      <w:tr>
        <w:trPr>
          <w:cantSplit/>
        </w:trPr>
        <w:tc>
          <w:tcPr>
            <w:tcW w:type="dxa" w:w="2083"/>
            <w:shd w:val="clear" w:color="auto" w:fill="F1F2F5"/>
          </w:tcPr>
          <w:p>
            <w:pPr>
              <w:pStyle w:val="Compact"/>
              <w:spacing w:after="0" w:before="0" w:line="240" w:lineRule="auto"/>
              <w:jc w:val="left"/>
            </w:pPr>
            <w:r>
              <w:rPr>
                <w:rFonts w:ascii="Arial" w:hAnsi="Arial"/>
                <w:sz w:val="15"/>
              </w:rPr>
              <w:t xml:space="preserve">KT M Mobile</w:t>
            </w:r>
          </w:p>
        </w:tc>
        <w:tc>
          <w:tcPr>
            <w:tcW w:type="dxa" w:w="2474"/>
            <w:shd w:val="clear" w:color="auto" w:fill="F1F2F5"/>
          </w:tcPr>
          <w:p>
            <w:pPr>
              <w:pStyle w:val="Compact"/>
              <w:spacing w:after="0" w:before="0" w:line="240" w:lineRule="auto"/>
              <w:jc w:val="left"/>
            </w:pPr>
            <w:r>
              <w:rPr>
                <w:rFonts w:ascii="Arial" w:hAnsi="Arial"/>
                <w:sz w:val="15"/>
              </w:rPr>
              <w:t xml:space="preserve">MVNO</w:t>
            </w:r>
          </w:p>
        </w:tc>
        <w:tc>
          <w:tcPr>
            <w:tcW w:type="dxa" w:w="2766"/>
            <w:shd w:val="clear" w:color="auto" w:fill="F1F2F5"/>
          </w:tcPr>
          <w:p>
            <w:pPr>
              <w:pStyle w:val="Compact"/>
              <w:spacing w:after="0" w:before="0" w:line="240" w:lineRule="auto"/>
              <w:jc w:val="left"/>
            </w:pPr>
            <w:r>
              <w:rPr>
                <w:rFonts w:ascii="Arial" w:hAnsi="Arial"/>
                <w:sz w:val="15"/>
              </w:rPr>
              <w:t xml:space="preserve">KT</w:t>
            </w:r>
          </w:p>
        </w:tc>
        <w:tc>
          <w:tcPr>
            <w:tcW w:type="dxa" w:w="1621"/>
            <w:shd w:val="clear" w:color="auto" w:fill="F1F2F5"/>
          </w:tcPr>
          <w:p>
            <w:pPr>
              <w:pStyle w:val="Compact"/>
              <w:spacing w:after="0" w:before="0" w:line="240" w:lineRule="auto"/>
              <w:jc w:val="center"/>
            </w:pPr>
            <w:r>
              <w:rPr>
                <w:rFonts w:ascii="Arial" w:hAnsi="Arial"/>
                <w:sz w:val="15"/>
              </w:rPr>
              <w:t xml:space="preserve">Unlisted</w:t>
            </w:r>
          </w:p>
        </w:tc>
        <w:tc>
          <w:tcPr>
            <w:tcW w:type="dxa" w:w="1035"/>
            <w:shd w:val="clear" w:color="auto" w:fill="F1F2F5"/>
          </w:tcPr>
          <w:p>
            <w:pPr>
              <w:pStyle w:val="Compact"/>
              <w:spacing w:after="0" w:before="0" w:line="240" w:lineRule="auto"/>
              <w:jc w:val="left"/>
            </w:pPr>
            <w:r>
              <w:rPr>
                <w:rFonts w:ascii="Arial" w:hAnsi="Arial"/>
                <w:sz w:val="15"/>
              </w:rPr>
              <w:t xml:space="preserve">–</w:t>
            </w:r>
          </w:p>
        </w:tc>
      </w:tr>
      <w:tr>
        <w:trPr>
          <w:cantSplit/>
        </w:trPr>
        <w:tc>
          <w:tcPr>
            <w:tcW w:type="dxa" w:w="2083"/>
          </w:tcPr>
          <w:p>
            <w:pPr>
              <w:pStyle w:val="Compact"/>
              <w:spacing w:after="0" w:before="0" w:line="240" w:lineRule="auto"/>
              <w:jc w:val="left"/>
            </w:pPr>
            <w:r>
              <w:rPr>
                <w:rFonts w:ascii="Arial" w:hAnsi="Arial"/>
                <w:sz w:val="15"/>
              </w:rPr>
              <w:t xml:space="preserve">LG HelloVision (Hello Mobile)</w:t>
            </w:r>
          </w:p>
        </w:tc>
        <w:tc>
          <w:tcPr>
            <w:tcW w:type="dxa" w:w="2474"/>
          </w:tcPr>
          <w:p>
            <w:pPr>
              <w:pStyle w:val="Compact"/>
              <w:spacing w:after="0" w:before="0" w:line="240" w:lineRule="auto"/>
              <w:jc w:val="left"/>
            </w:pPr>
            <w:r>
              <w:rPr>
                <w:rFonts w:ascii="Arial" w:hAnsi="Arial"/>
                <w:sz w:val="15"/>
              </w:rPr>
              <w:t xml:space="preserve">Cable TV, MVNO</w:t>
            </w:r>
          </w:p>
        </w:tc>
        <w:tc>
          <w:tcPr>
            <w:tcW w:type="dxa" w:w="2766"/>
          </w:tcPr>
          <w:p>
            <w:pPr>
              <w:pStyle w:val="Compact"/>
              <w:spacing w:after="0" w:before="0" w:line="240" w:lineRule="auto"/>
              <w:jc w:val="left"/>
            </w:pPr>
            <w:r>
              <w:rPr>
                <w:rFonts w:ascii="Arial" w:hAnsi="Arial"/>
                <w:sz w:val="15"/>
              </w:rPr>
              <w:t xml:space="preserve">LG Uplus 58.6%</w:t>
            </w:r>
          </w:p>
        </w:tc>
        <w:tc>
          <w:tcPr>
            <w:tcW w:type="dxa" w:w="1621"/>
          </w:tcPr>
          <w:p>
            <w:pPr>
              <w:pStyle w:val="Compact"/>
              <w:spacing w:after="0" w:before="0" w:line="240" w:lineRule="auto"/>
              <w:jc w:val="center"/>
            </w:pPr>
            <w:r>
              <w:rPr>
                <w:rFonts w:ascii="Arial" w:hAnsi="Arial"/>
                <w:sz w:val="15"/>
              </w:rPr>
              <w:t xml:space="preserve">Listed</w:t>
            </w:r>
          </w:p>
        </w:tc>
        <w:tc>
          <w:tcPr>
            <w:tcW w:type="dxa" w:w="1035"/>
          </w:tcPr>
          <w:p>
            <w:pPr>
              <w:pStyle w:val="Compact"/>
              <w:spacing w:after="0" w:before="0" w:line="240" w:lineRule="auto"/>
              <w:jc w:val="left"/>
            </w:pPr>
            <w:r>
              <w:rPr>
                <w:rFonts w:ascii="Arial" w:hAnsi="Arial"/>
                <w:sz w:val="15"/>
              </w:rPr>
              <w:t xml:space="preserve">037560 KS</w:t>
            </w:r>
          </w:p>
        </w:tc>
      </w:tr>
      <w:tr>
        <w:trPr>
          <w:cantSplit/>
        </w:trPr>
        <w:tc>
          <w:tcPr>
            <w:tcW w:type="dxa" w:w="2083"/>
            <w:shd w:val="clear" w:color="auto" w:fill="F1F2F5"/>
          </w:tcPr>
          <w:p>
            <w:pPr>
              <w:pStyle w:val="Compact"/>
              <w:spacing w:after="0" w:before="0" w:line="240" w:lineRule="auto"/>
              <w:jc w:val="left"/>
            </w:pPr>
            <w:r>
              <w:rPr>
                <w:rFonts w:ascii="Arial" w:hAnsi="Arial"/>
                <w:sz w:val="15"/>
              </w:rPr>
              <w:t xml:space="preserve">U+ Mobile (Media Log)</w:t>
            </w:r>
          </w:p>
        </w:tc>
        <w:tc>
          <w:tcPr>
            <w:tcW w:type="dxa" w:w="2474"/>
            <w:shd w:val="clear" w:color="auto" w:fill="F1F2F5"/>
          </w:tcPr>
          <w:p>
            <w:pPr>
              <w:pStyle w:val="Compact"/>
              <w:spacing w:after="0" w:before="0" w:line="240" w:lineRule="auto"/>
              <w:jc w:val="left"/>
            </w:pPr>
            <w:r>
              <w:rPr>
                <w:rFonts w:ascii="Arial" w:hAnsi="Arial"/>
                <w:sz w:val="15"/>
              </w:rPr>
              <w:t xml:space="preserve">MVNO</w:t>
            </w:r>
          </w:p>
        </w:tc>
        <w:tc>
          <w:tcPr>
            <w:tcW w:type="dxa" w:w="2766"/>
            <w:shd w:val="clear" w:color="auto" w:fill="F1F2F5"/>
          </w:tcPr>
          <w:p>
            <w:pPr>
              <w:pStyle w:val="Compact"/>
              <w:spacing w:after="0" w:before="0" w:line="240" w:lineRule="auto"/>
              <w:jc w:val="left"/>
            </w:pPr>
            <w:r>
              <w:rPr>
                <w:rFonts w:ascii="Arial" w:hAnsi="Arial"/>
                <w:sz w:val="15"/>
              </w:rPr>
              <w:t xml:space="preserve">LG Uplus 99.6%</w:t>
            </w:r>
          </w:p>
        </w:tc>
        <w:tc>
          <w:tcPr>
            <w:tcW w:type="dxa" w:w="1621"/>
            <w:shd w:val="clear" w:color="auto" w:fill="F1F2F5"/>
          </w:tcPr>
          <w:p>
            <w:pPr>
              <w:pStyle w:val="Compact"/>
              <w:spacing w:after="0" w:before="0" w:line="240" w:lineRule="auto"/>
              <w:jc w:val="center"/>
            </w:pPr>
            <w:r>
              <w:rPr>
                <w:rFonts w:ascii="Arial" w:hAnsi="Arial"/>
                <w:sz w:val="15"/>
              </w:rPr>
              <w:t xml:space="preserve">Unlisted</w:t>
            </w:r>
          </w:p>
        </w:tc>
        <w:tc>
          <w:tcPr>
            <w:tcW w:type="dxa" w:w="1035"/>
            <w:shd w:val="clear" w:color="auto" w:fill="F1F2F5"/>
          </w:tcPr>
          <w:p>
            <w:pPr>
              <w:pStyle w:val="Compact"/>
              <w:spacing w:after="0" w:before="0" w:line="240" w:lineRule="auto"/>
              <w:jc w:val="left"/>
            </w:pPr>
            <w:r>
              <w:rPr>
                <w:rFonts w:ascii="Arial" w:hAnsi="Arial"/>
                <w:sz w:val="15"/>
              </w:rPr>
              <w:t xml:space="preserve">–</w:t>
            </w:r>
          </w:p>
        </w:tc>
      </w:tr>
      <w:tr>
        <w:trPr>
          <w:cantSplit/>
        </w:trPr>
        <w:tc>
          <w:tcPr>
            <w:tcW w:type="dxa" w:w="2083"/>
          </w:tcPr>
          <w:p>
            <w:pPr>
              <w:pStyle w:val="Compact"/>
              <w:spacing w:after="0" w:before="0" w:line="240" w:lineRule="auto"/>
              <w:jc w:val="left"/>
            </w:pPr>
            <w:r>
              <w:rPr>
                <w:rFonts w:ascii="Arial" w:hAnsi="Arial"/>
                <w:sz w:val="15"/>
              </w:rPr>
              <w:t xml:space="preserve">KB Liiv M</w:t>
            </w:r>
          </w:p>
        </w:tc>
        <w:tc>
          <w:tcPr>
            <w:tcW w:type="dxa" w:w="2474"/>
          </w:tcPr>
          <w:p>
            <w:pPr>
              <w:pStyle w:val="Compact"/>
              <w:spacing w:after="0" w:before="0" w:line="240" w:lineRule="auto"/>
              <w:jc w:val="left"/>
            </w:pPr>
            <w:r>
              <w:rPr>
                <w:rFonts w:ascii="Arial" w:hAnsi="Arial"/>
                <w:sz w:val="15"/>
              </w:rPr>
              <w:t xml:space="preserve">MVNO (bank)</w:t>
            </w:r>
          </w:p>
        </w:tc>
        <w:tc>
          <w:tcPr>
            <w:tcW w:type="dxa" w:w="2766"/>
          </w:tcPr>
          <w:p>
            <w:pPr>
              <w:pStyle w:val="Compact"/>
              <w:spacing w:after="0" w:before="0" w:line="240" w:lineRule="auto"/>
              <w:jc w:val="left"/>
            </w:pPr>
            <w:r>
              <w:rPr>
                <w:rFonts w:ascii="Arial" w:hAnsi="Arial"/>
                <w:sz w:val="15"/>
              </w:rPr>
              <w:t xml:space="preserve">KB Kookmin Bank</w:t>
            </w:r>
          </w:p>
        </w:tc>
        <w:tc>
          <w:tcPr>
            <w:tcW w:type="dxa" w:w="1621"/>
          </w:tcPr>
          <w:p>
            <w:pPr>
              <w:pStyle w:val="Compact"/>
              <w:spacing w:after="0" w:before="0" w:line="240" w:lineRule="auto"/>
              <w:jc w:val="center"/>
            </w:pPr>
            <w:r>
              <w:rPr>
                <w:rFonts w:ascii="Arial" w:hAnsi="Arial"/>
                <w:sz w:val="15"/>
              </w:rPr>
              <w:t xml:space="preserve">Parent listed</w:t>
            </w:r>
          </w:p>
        </w:tc>
        <w:tc>
          <w:tcPr>
            <w:tcW w:type="dxa" w:w="1035"/>
          </w:tcPr>
          <w:p>
            <w:pPr>
              <w:pStyle w:val="Compact"/>
              <w:spacing w:after="0" w:before="0" w:line="240" w:lineRule="auto"/>
              <w:jc w:val="left"/>
            </w:pPr>
            <w:r>
              <w:rPr>
                <w:rFonts w:ascii="Arial" w:hAnsi="Arial"/>
                <w:sz w:val="15"/>
              </w:rPr>
              <w:t xml:space="preserve">105560 KS</w:t>
            </w:r>
          </w:p>
        </w:tc>
      </w:tr>
      <w:tr>
        <w:trPr>
          <w:cantSplit/>
        </w:trPr>
        <w:tc>
          <w:tcPr>
            <w:tcW w:type="dxa" w:w="2083"/>
            <w:shd w:val="clear" w:color="auto" w:fill="F1F2F5"/>
          </w:tcPr>
          <w:p>
            <w:pPr>
              <w:pStyle w:val="Compact"/>
              <w:spacing w:after="0" w:before="0" w:line="240" w:lineRule="auto"/>
              <w:jc w:val="left"/>
            </w:pPr>
            <w:r>
              <w:rPr>
                <w:rFonts w:ascii="Arial" w:hAnsi="Arial"/>
                <w:sz w:val="15"/>
              </w:rPr>
              <w:t xml:space="preserve">Toss Mobile</w:t>
            </w:r>
          </w:p>
        </w:tc>
        <w:tc>
          <w:tcPr>
            <w:tcW w:type="dxa" w:w="2474"/>
            <w:shd w:val="clear" w:color="auto" w:fill="F1F2F5"/>
          </w:tcPr>
          <w:p>
            <w:pPr>
              <w:pStyle w:val="Compact"/>
              <w:spacing w:after="0" w:before="0" w:line="240" w:lineRule="auto"/>
              <w:jc w:val="left"/>
            </w:pPr>
            <w:r>
              <w:rPr>
                <w:rFonts w:ascii="Arial" w:hAnsi="Arial"/>
                <w:sz w:val="15"/>
              </w:rPr>
              <w:t xml:space="preserve">MVNO (fintech)</w:t>
            </w:r>
          </w:p>
        </w:tc>
        <w:tc>
          <w:tcPr>
            <w:tcW w:type="dxa" w:w="2766"/>
            <w:shd w:val="clear" w:color="auto" w:fill="F1F2F5"/>
          </w:tcPr>
          <w:p>
            <w:pPr>
              <w:pStyle w:val="Compact"/>
              <w:spacing w:after="0" w:before="0" w:line="240" w:lineRule="auto"/>
              <w:jc w:val="left"/>
            </w:pPr>
            <w:r>
              <w:rPr>
                <w:rFonts w:ascii="Arial" w:hAnsi="Arial"/>
                <w:sz w:val="15"/>
              </w:rPr>
              <w:t xml:space="preserve">Viva Republica</w:t>
            </w:r>
          </w:p>
        </w:tc>
        <w:tc>
          <w:tcPr>
            <w:tcW w:type="dxa" w:w="1621"/>
            <w:shd w:val="clear" w:color="auto" w:fill="F1F2F5"/>
          </w:tcPr>
          <w:p>
            <w:pPr>
              <w:pStyle w:val="Compact"/>
              <w:spacing w:after="0" w:before="0" w:line="240" w:lineRule="auto"/>
              <w:jc w:val="center"/>
            </w:pPr>
            <w:r>
              <w:rPr>
                <w:rFonts w:ascii="Arial" w:hAnsi="Arial"/>
                <w:sz w:val="15"/>
              </w:rPr>
              <w:t xml:space="preserve">Unlisted</w:t>
            </w:r>
          </w:p>
        </w:tc>
        <w:tc>
          <w:tcPr>
            <w:tcW w:type="dxa" w:w="1035"/>
            <w:shd w:val="clear" w:color="auto" w:fill="F1F2F5"/>
          </w:tcPr>
          <w:p>
            <w:pPr>
              <w:pStyle w:val="Compact"/>
              <w:spacing w:after="0" w:before="0" w:line="240" w:lineRule="auto"/>
              <w:jc w:val="left"/>
            </w:pPr>
            <w:r>
              <w:rPr>
                <w:rFonts w:ascii="Arial" w:hAnsi="Arial"/>
                <w:sz w:val="15"/>
              </w:rPr>
              <w:t xml:space="preserve">–</w:t>
            </w:r>
          </w:p>
        </w:tc>
      </w:tr>
      <w:tr>
        <w:trPr>
          <w:cantSplit/>
        </w:trPr>
        <w:tc>
          <w:tcPr>
            <w:tcW w:type="dxa" w:w="2083"/>
          </w:tcPr>
          <w:p>
            <w:pPr>
              <w:pStyle w:val="Compact"/>
              <w:spacing w:after="0" w:before="0" w:line="240" w:lineRule="auto"/>
              <w:jc w:val="left"/>
            </w:pPr>
            <w:r>
              <w:rPr>
                <w:rFonts w:ascii="Arial" w:hAnsi="Arial"/>
                <w:sz w:val="15"/>
              </w:rPr>
              <w:t xml:space="preserve">Woori WON Mobile</w:t>
            </w:r>
          </w:p>
        </w:tc>
        <w:tc>
          <w:tcPr>
            <w:tcW w:type="dxa" w:w="2474"/>
          </w:tcPr>
          <w:p>
            <w:pPr>
              <w:pStyle w:val="Compact"/>
              <w:spacing w:after="0" w:before="0" w:line="240" w:lineRule="auto"/>
              <w:jc w:val="left"/>
            </w:pPr>
            <w:r>
              <w:rPr>
                <w:rFonts w:ascii="Arial" w:hAnsi="Arial"/>
                <w:sz w:val="15"/>
              </w:rPr>
              <w:t xml:space="preserve">MVNO (bank)</w:t>
            </w:r>
          </w:p>
        </w:tc>
        <w:tc>
          <w:tcPr>
            <w:tcW w:type="dxa" w:w="2766"/>
          </w:tcPr>
          <w:p>
            <w:pPr>
              <w:pStyle w:val="Compact"/>
              <w:spacing w:after="0" w:before="0" w:line="240" w:lineRule="auto"/>
              <w:jc w:val="left"/>
            </w:pPr>
            <w:r>
              <w:rPr>
                <w:rFonts w:ascii="Arial" w:hAnsi="Arial"/>
                <w:sz w:val="15"/>
              </w:rPr>
              <w:t xml:space="preserve">Woori Bank</w:t>
            </w:r>
          </w:p>
        </w:tc>
        <w:tc>
          <w:tcPr>
            <w:tcW w:type="dxa" w:w="1621"/>
          </w:tcPr>
          <w:p>
            <w:pPr>
              <w:pStyle w:val="Compact"/>
              <w:spacing w:after="0" w:before="0" w:line="240" w:lineRule="auto"/>
              <w:jc w:val="center"/>
            </w:pPr>
            <w:r>
              <w:rPr>
                <w:rFonts w:ascii="Arial" w:hAnsi="Arial"/>
                <w:sz w:val="15"/>
              </w:rPr>
              <w:t xml:space="preserve">Parent listed</w:t>
            </w:r>
          </w:p>
        </w:tc>
        <w:tc>
          <w:tcPr>
            <w:tcW w:type="dxa" w:w="1035"/>
          </w:tcPr>
          <w:p>
            <w:pPr>
              <w:pStyle w:val="Compact"/>
              <w:spacing w:after="0" w:before="0" w:line="240" w:lineRule="auto"/>
              <w:jc w:val="left"/>
            </w:pPr>
            <w:r>
              <w:rPr>
                <w:rFonts w:ascii="Arial" w:hAnsi="Arial"/>
                <w:sz w:val="15"/>
              </w:rPr>
              <w:t xml:space="preserve">316140 KS</w:t>
            </w:r>
          </w:p>
        </w:tc>
      </w:tr>
      <w:tr>
        <w:trPr>
          <w:cantSplit/>
        </w:trPr>
        <w:tc>
          <w:tcPr>
            <w:tcW w:type="dxa" w:w="2083"/>
            <w:shd w:val="clear" w:color="auto" w:fill="F1F2F5"/>
          </w:tcPr>
          <w:p>
            <w:pPr>
              <w:pStyle w:val="Compact"/>
              <w:spacing w:after="0" w:before="0" w:line="240" w:lineRule="auto"/>
              <w:jc w:val="left"/>
            </w:pPr>
            <w:r>
              <w:rPr>
                <w:rFonts w:ascii="Arial" w:hAnsi="Arial"/>
                <w:sz w:val="15"/>
              </w:rPr>
              <w:t xml:space="preserve">Sejong Telecom (</w:t>
            </w:r>
            <w:r>
              <w:rPr>
                <w:rFonts w:ascii="Arial" w:hAnsi="Arial"/>
                <w:sz w:val="15"/>
              </w:rPr>
              <w:t xml:space="preserve">“</w:t>
            </w:r>
            <w:r>
              <w:rPr>
                <w:rFonts w:ascii="Arial" w:hAnsi="Arial"/>
                <w:sz w:val="15"/>
              </w:rPr>
              <w:t xml:space="preserve">Snowman</w:t>
            </w:r>
            <w:r>
              <w:rPr>
                <w:rFonts w:ascii="Arial" w:hAnsi="Arial"/>
                <w:sz w:val="15"/>
              </w:rPr>
              <w:t xml:space="preserve">”</w:t>
            </w:r>
            <w:r>
              <w:rPr>
                <w:rFonts w:ascii="Arial" w:hAnsi="Arial"/>
                <w:sz w:val="15"/>
              </w:rPr>
              <w:t xml:space="preserve">)</w:t>
            </w:r>
          </w:p>
        </w:tc>
        <w:tc>
          <w:tcPr>
            <w:tcW w:type="dxa" w:w="2474"/>
            <w:shd w:val="clear" w:color="auto" w:fill="F1F2F5"/>
          </w:tcPr>
          <w:p>
            <w:pPr>
              <w:pStyle w:val="Compact"/>
              <w:spacing w:after="0" w:before="0" w:line="240" w:lineRule="auto"/>
              <w:jc w:val="left"/>
            </w:pPr>
            <w:r>
              <w:rPr>
                <w:rFonts w:ascii="Arial" w:hAnsi="Arial"/>
                <w:sz w:val="15"/>
              </w:rPr>
              <w:t xml:space="preserve">MVNO, fixed, IDC</w:t>
            </w:r>
          </w:p>
        </w:tc>
        <w:tc>
          <w:tcPr>
            <w:tcW w:type="dxa" w:w="2766"/>
            <w:shd w:val="clear" w:color="auto" w:fill="F1F2F5"/>
          </w:tcPr>
          <w:p>
            <w:pPr>
              <w:pStyle w:val="Compact"/>
              <w:spacing w:after="0" w:before="0" w:line="240" w:lineRule="auto"/>
              <w:jc w:val="left"/>
            </w:pPr>
            <w:r>
              <w:rPr>
                <w:rFonts w:ascii="Arial" w:hAnsi="Arial"/>
                <w:sz w:val="15"/>
              </w:rPr>
              <w:t xml:space="preserve">Independent</w:t>
            </w:r>
          </w:p>
        </w:tc>
        <w:tc>
          <w:tcPr>
            <w:tcW w:type="dxa" w:w="1621"/>
            <w:shd w:val="clear" w:color="auto" w:fill="F1F2F5"/>
          </w:tcPr>
          <w:p>
            <w:pPr>
              <w:pStyle w:val="Compact"/>
              <w:spacing w:after="0" w:before="0" w:line="240" w:lineRule="auto"/>
              <w:jc w:val="center"/>
            </w:pPr>
            <w:r>
              <w:rPr>
                <w:rFonts w:ascii="Arial" w:hAnsi="Arial"/>
                <w:sz w:val="15"/>
              </w:rPr>
              <w:t xml:space="preserve">Listed</w:t>
            </w:r>
          </w:p>
        </w:tc>
        <w:tc>
          <w:tcPr>
            <w:tcW w:type="dxa" w:w="1035"/>
            <w:shd w:val="clear" w:color="auto" w:fill="F1F2F5"/>
          </w:tcPr>
          <w:p>
            <w:pPr>
              <w:pStyle w:val="Compact"/>
              <w:spacing w:after="0" w:before="0" w:line="240" w:lineRule="auto"/>
              <w:jc w:val="left"/>
            </w:pPr>
            <w:r>
              <w:rPr>
                <w:rFonts w:ascii="Arial" w:hAnsi="Arial"/>
                <w:sz w:val="15"/>
              </w:rPr>
              <w:t xml:space="preserve">036630 KS</w:t>
            </w:r>
          </w:p>
        </w:tc>
      </w:tr>
      <w:tr>
        <w:trPr>
          <w:cantSplit/>
        </w:trPr>
        <w:tc>
          <w:tcPr>
            <w:tcW w:type="dxa" w:w="2083"/>
          </w:tcPr>
          <w:p>
            <w:pPr>
              <w:pStyle w:val="Compact"/>
              <w:spacing w:after="0" w:before="0" w:line="240" w:lineRule="auto"/>
              <w:jc w:val="left"/>
            </w:pPr>
            <w:r>
              <w:rPr>
                <w:rFonts w:ascii="Arial" w:hAnsi="Arial"/>
                <w:sz w:val="15"/>
              </w:rPr>
              <w:t xml:space="preserve">Free Telecom (freeT)</w:t>
            </w:r>
          </w:p>
        </w:tc>
        <w:tc>
          <w:tcPr>
            <w:tcW w:type="dxa" w:w="2474"/>
          </w:tcPr>
          <w:p>
            <w:pPr>
              <w:pStyle w:val="Compact"/>
              <w:spacing w:after="0" w:before="0" w:line="240" w:lineRule="auto"/>
              <w:jc w:val="left"/>
            </w:pPr>
            <w:r>
              <w:rPr>
                <w:rFonts w:ascii="Arial" w:hAnsi="Arial"/>
                <w:sz w:val="15"/>
              </w:rPr>
              <w:t xml:space="preserve">MVNO</w:t>
            </w:r>
          </w:p>
        </w:tc>
        <w:tc>
          <w:tcPr>
            <w:tcW w:type="dxa" w:w="2766"/>
          </w:tcPr>
          <w:p>
            <w:pPr>
              <w:pStyle w:val="Compact"/>
              <w:spacing w:after="0" w:before="0" w:line="240" w:lineRule="auto"/>
              <w:jc w:val="left"/>
            </w:pPr>
            <w:r>
              <w:rPr>
                <w:rFonts w:ascii="Arial" w:hAnsi="Arial"/>
                <w:sz w:val="15"/>
              </w:rPr>
              <w:t xml:space="preserve">Private [u]</w:t>
            </w:r>
          </w:p>
        </w:tc>
        <w:tc>
          <w:tcPr>
            <w:tcW w:type="dxa" w:w="1621"/>
          </w:tcPr>
          <w:p>
            <w:pPr>
              <w:pStyle w:val="Compact"/>
              <w:spacing w:after="0" w:before="0" w:line="240" w:lineRule="auto"/>
              <w:jc w:val="center"/>
            </w:pPr>
            <w:r>
              <w:rPr>
                <w:rFonts w:ascii="Arial" w:hAnsi="Arial"/>
                <w:sz w:val="15"/>
              </w:rPr>
              <w:t xml:space="preserve">Unlisted</w:t>
            </w:r>
          </w:p>
        </w:tc>
        <w:tc>
          <w:tcPr>
            <w:tcW w:type="dxa" w:w="1035"/>
          </w:tcPr>
          <w:p>
            <w:pPr>
              <w:pStyle w:val="Compact"/>
              <w:spacing w:after="0" w:before="0" w:line="240" w:lineRule="auto"/>
              <w:jc w:val="left"/>
            </w:pPr>
            <w:r>
              <w:rPr>
                <w:rFonts w:ascii="Arial" w:hAnsi="Arial"/>
                <w:sz w:val="15"/>
              </w:rPr>
              <w:t xml:space="preserve">–</w:t>
            </w:r>
          </w:p>
        </w:tc>
      </w:tr>
      <w:tr>
        <w:trPr>
          <w:cantSplit/>
        </w:trPr>
        <w:tc>
          <w:tcPr>
            <w:tcW w:type="dxa" w:w="2083"/>
            <w:shd w:val="clear" w:color="auto" w:fill="F1F2F5"/>
          </w:tcPr>
          <w:p>
            <w:pPr>
              <w:pStyle w:val="Compact"/>
              <w:spacing w:after="0" w:before="0" w:line="240" w:lineRule="auto"/>
              <w:jc w:val="left"/>
            </w:pPr>
            <w:r>
              <w:rPr>
                <w:rFonts w:ascii="Arial" w:hAnsi="Arial"/>
                <w:sz w:val="15"/>
              </w:rPr>
              <w:t xml:space="preserve">D’Live</w:t>
            </w:r>
          </w:p>
        </w:tc>
        <w:tc>
          <w:tcPr>
            <w:tcW w:type="dxa" w:w="2474"/>
            <w:shd w:val="clear" w:color="auto" w:fill="F1F2F5"/>
          </w:tcPr>
          <w:p>
            <w:pPr>
              <w:pStyle w:val="Compact"/>
              <w:spacing w:after="0" w:before="0" w:line="240" w:lineRule="auto"/>
              <w:jc w:val="left"/>
            </w:pPr>
            <w:r>
              <w:rPr>
                <w:rFonts w:ascii="Arial" w:hAnsi="Arial"/>
                <w:sz w:val="15"/>
              </w:rPr>
              <w:t xml:space="preserve">Cable TV / broadband</w:t>
            </w:r>
          </w:p>
        </w:tc>
        <w:tc>
          <w:tcPr>
            <w:tcW w:type="dxa" w:w="2766"/>
            <w:shd w:val="clear" w:color="auto" w:fill="F1F2F5"/>
          </w:tcPr>
          <w:p>
            <w:pPr>
              <w:pStyle w:val="Compact"/>
              <w:spacing w:after="0" w:before="0" w:line="240" w:lineRule="auto"/>
              <w:jc w:val="left"/>
            </w:pPr>
            <w:r>
              <w:rPr>
                <w:rFonts w:ascii="Arial" w:hAnsi="Arial"/>
                <w:sz w:val="15"/>
              </w:rPr>
              <w:t xml:space="preserve">MBK Partners (PE) [u]</w:t>
            </w:r>
          </w:p>
        </w:tc>
        <w:tc>
          <w:tcPr>
            <w:tcW w:type="dxa" w:w="1621"/>
            <w:shd w:val="clear" w:color="auto" w:fill="F1F2F5"/>
          </w:tcPr>
          <w:p>
            <w:pPr>
              <w:pStyle w:val="Compact"/>
              <w:spacing w:after="0" w:before="0" w:line="240" w:lineRule="auto"/>
              <w:jc w:val="center"/>
            </w:pPr>
            <w:r>
              <w:rPr>
                <w:rFonts w:ascii="Arial" w:hAnsi="Arial"/>
                <w:sz w:val="15"/>
              </w:rPr>
              <w:t xml:space="preserve">Unlisted</w:t>
            </w:r>
          </w:p>
        </w:tc>
        <w:tc>
          <w:tcPr>
            <w:tcW w:type="dxa" w:w="1035"/>
            <w:shd w:val="clear" w:color="auto" w:fill="F1F2F5"/>
          </w:tcPr>
          <w:p>
            <w:pPr>
              <w:pStyle w:val="Compact"/>
              <w:spacing w:after="0" w:before="0" w:line="240" w:lineRule="auto"/>
              <w:jc w:val="left"/>
            </w:pPr>
            <w:r>
              <w:rPr>
                <w:rFonts w:ascii="Arial" w:hAnsi="Arial"/>
                <w:sz w:val="15"/>
              </w:rPr>
              <w:t xml:space="preserve">–</w:t>
            </w:r>
          </w:p>
        </w:tc>
      </w:tr>
      <w:tr>
        <w:trPr>
          <w:cantSplit/>
        </w:trPr>
        <w:tc>
          <w:tcPr>
            <w:tcW w:type="dxa" w:w="2083"/>
          </w:tcPr>
          <w:p>
            <w:pPr>
              <w:pStyle w:val="Compact"/>
              <w:spacing w:after="0" w:before="0" w:line="240" w:lineRule="auto"/>
              <w:jc w:val="left"/>
            </w:pPr>
            <w:r>
              <w:rPr>
                <w:rFonts w:ascii="Arial" w:hAnsi="Arial"/>
                <w:sz w:val="15"/>
              </w:rPr>
              <w:t xml:space="preserve">CMB</w:t>
            </w:r>
          </w:p>
        </w:tc>
        <w:tc>
          <w:tcPr>
            <w:tcW w:type="dxa" w:w="2474"/>
          </w:tcPr>
          <w:p>
            <w:pPr>
              <w:pStyle w:val="Compact"/>
              <w:spacing w:after="0" w:before="0" w:line="240" w:lineRule="auto"/>
              <w:jc w:val="left"/>
            </w:pPr>
            <w:r>
              <w:rPr>
                <w:rFonts w:ascii="Arial" w:hAnsi="Arial"/>
                <w:sz w:val="15"/>
              </w:rPr>
              <w:t xml:space="preserve">Cable TV / broadband</w:t>
            </w:r>
          </w:p>
        </w:tc>
        <w:tc>
          <w:tcPr>
            <w:tcW w:type="dxa" w:w="2766"/>
          </w:tcPr>
          <w:p>
            <w:pPr>
              <w:pStyle w:val="Compact"/>
              <w:spacing w:after="0" w:before="0" w:line="240" w:lineRule="auto"/>
              <w:jc w:val="left"/>
            </w:pPr>
            <w:r>
              <w:rPr>
                <w:rFonts w:ascii="Arial" w:hAnsi="Arial"/>
                <w:sz w:val="15"/>
              </w:rPr>
              <w:t xml:space="preserve">Private [u]</w:t>
            </w:r>
          </w:p>
        </w:tc>
        <w:tc>
          <w:tcPr>
            <w:tcW w:type="dxa" w:w="1621"/>
          </w:tcPr>
          <w:p>
            <w:pPr>
              <w:pStyle w:val="Compact"/>
              <w:spacing w:after="0" w:before="0" w:line="240" w:lineRule="auto"/>
              <w:jc w:val="center"/>
            </w:pPr>
            <w:r>
              <w:rPr>
                <w:rFonts w:ascii="Arial" w:hAnsi="Arial"/>
                <w:sz w:val="15"/>
              </w:rPr>
              <w:t xml:space="preserve">Unlisted</w:t>
            </w:r>
          </w:p>
        </w:tc>
        <w:tc>
          <w:tcPr>
            <w:tcW w:type="dxa" w:w="1035"/>
          </w:tcPr>
          <w:p>
            <w:pPr>
              <w:pStyle w:val="Compact"/>
              <w:spacing w:after="0" w:before="0" w:line="240" w:lineRule="auto"/>
              <w:jc w:val="left"/>
            </w:pPr>
            <w:r>
              <w:rPr>
                <w:rFonts w:ascii="Arial" w:hAnsi="Arial"/>
                <w:sz w:val="15"/>
              </w:rPr>
              <w:t xml:space="preserve">–</w:t>
            </w:r>
          </w:p>
        </w:tc>
      </w:tr>
      <w:tr>
        <w:trPr>
          <w:cantSplit/>
        </w:trPr>
        <w:tc>
          <w:tcPr>
            <w:tcW w:type="dxa" w:w="2083"/>
            <w:shd w:val="clear" w:color="auto" w:fill="F1F2F5"/>
          </w:tcPr>
          <w:p>
            <w:pPr>
              <w:pStyle w:val="Compact"/>
              <w:spacing w:after="0" w:before="0" w:line="240" w:lineRule="auto"/>
              <w:jc w:val="left"/>
            </w:pPr>
            <w:r>
              <w:rPr>
                <w:rFonts w:ascii="Arial" w:hAnsi="Arial"/>
                <w:sz w:val="15"/>
              </w:rPr>
              <w:t xml:space="preserve">Samsung SDS</w:t>
            </w:r>
          </w:p>
        </w:tc>
        <w:tc>
          <w:tcPr>
            <w:tcW w:type="dxa" w:w="2474"/>
            <w:shd w:val="clear" w:color="auto" w:fill="F1F2F5"/>
          </w:tcPr>
          <w:p>
            <w:pPr>
              <w:pStyle w:val="Compact"/>
              <w:spacing w:after="0" w:before="0" w:line="240" w:lineRule="auto"/>
              <w:jc w:val="left"/>
            </w:pPr>
            <w:r>
              <w:rPr>
                <w:rFonts w:ascii="Arial" w:hAnsi="Arial"/>
                <w:sz w:val="15"/>
              </w:rPr>
              <w:t xml:space="preserve">Cloud, IDC, IT services</w:t>
            </w:r>
          </w:p>
        </w:tc>
        <w:tc>
          <w:tcPr>
            <w:tcW w:type="dxa" w:w="2766"/>
            <w:shd w:val="clear" w:color="auto" w:fill="F1F2F5"/>
          </w:tcPr>
          <w:p>
            <w:pPr>
              <w:pStyle w:val="Compact"/>
              <w:spacing w:after="0" w:before="0" w:line="240" w:lineRule="auto"/>
              <w:jc w:val="left"/>
            </w:pPr>
            <w:r>
              <w:rPr>
                <w:rFonts w:ascii="Arial" w:hAnsi="Arial"/>
                <w:sz w:val="15"/>
              </w:rPr>
              <w:t xml:space="preserve">Samsung Group</w:t>
            </w:r>
          </w:p>
        </w:tc>
        <w:tc>
          <w:tcPr>
            <w:tcW w:type="dxa" w:w="1621"/>
            <w:shd w:val="clear" w:color="auto" w:fill="F1F2F5"/>
          </w:tcPr>
          <w:p>
            <w:pPr>
              <w:pStyle w:val="Compact"/>
              <w:spacing w:after="0" w:before="0" w:line="240" w:lineRule="auto"/>
              <w:jc w:val="center"/>
            </w:pPr>
            <w:r>
              <w:rPr>
                <w:rFonts w:ascii="Arial" w:hAnsi="Arial"/>
                <w:sz w:val="15"/>
              </w:rPr>
              <w:t xml:space="preserve">Listed</w:t>
            </w:r>
          </w:p>
        </w:tc>
        <w:tc>
          <w:tcPr>
            <w:tcW w:type="dxa" w:w="1035"/>
            <w:shd w:val="clear" w:color="auto" w:fill="F1F2F5"/>
          </w:tcPr>
          <w:p>
            <w:pPr>
              <w:pStyle w:val="Compact"/>
              <w:spacing w:after="0" w:before="0" w:line="240" w:lineRule="auto"/>
              <w:jc w:val="left"/>
            </w:pPr>
            <w:r>
              <w:rPr>
                <w:rFonts w:ascii="Arial" w:hAnsi="Arial"/>
                <w:sz w:val="15"/>
              </w:rPr>
              <w:t xml:space="preserve">018260 KS</w:t>
            </w:r>
          </w:p>
        </w:tc>
      </w:tr>
      <w:tr>
        <w:trPr>
          <w:cantSplit/>
        </w:trPr>
        <w:tc>
          <w:tcPr>
            <w:tcW w:type="dxa" w:w="2083"/>
          </w:tcPr>
          <w:p>
            <w:pPr>
              <w:pStyle w:val="Compact"/>
              <w:spacing w:after="0" w:before="0" w:line="240" w:lineRule="auto"/>
              <w:jc w:val="left"/>
            </w:pPr>
            <w:r>
              <w:rPr>
                <w:rFonts w:ascii="Arial" w:hAnsi="Arial"/>
                <w:sz w:val="15"/>
              </w:rPr>
              <w:t xml:space="preserve">NAVER (Naver Cloud)</w:t>
            </w:r>
          </w:p>
        </w:tc>
        <w:tc>
          <w:tcPr>
            <w:tcW w:type="dxa" w:w="2474"/>
          </w:tcPr>
          <w:p>
            <w:pPr>
              <w:pStyle w:val="Compact"/>
              <w:spacing w:after="0" w:before="0" w:line="240" w:lineRule="auto"/>
              <w:jc w:val="left"/>
            </w:pPr>
            <w:r>
              <w:rPr>
                <w:rFonts w:ascii="Arial" w:hAnsi="Arial"/>
                <w:sz w:val="15"/>
              </w:rPr>
              <w:t xml:space="preserve">Cloud / hyperscale IDC</w:t>
            </w:r>
          </w:p>
        </w:tc>
        <w:tc>
          <w:tcPr>
            <w:tcW w:type="dxa" w:w="2766"/>
          </w:tcPr>
          <w:p>
            <w:pPr>
              <w:pStyle w:val="Compact"/>
              <w:spacing w:after="0" w:before="0" w:line="240" w:lineRule="auto"/>
              <w:jc w:val="left"/>
            </w:pPr>
            <w:r>
              <w:rPr>
                <w:rFonts w:ascii="Arial" w:hAnsi="Arial"/>
                <w:sz w:val="15"/>
              </w:rPr>
              <w:t xml:space="preserve">NAVER</w:t>
            </w:r>
          </w:p>
        </w:tc>
        <w:tc>
          <w:tcPr>
            <w:tcW w:type="dxa" w:w="1621"/>
          </w:tcPr>
          <w:p>
            <w:pPr>
              <w:pStyle w:val="Compact"/>
              <w:spacing w:after="0" w:before="0" w:line="240" w:lineRule="auto"/>
              <w:jc w:val="center"/>
            </w:pPr>
            <w:r>
              <w:rPr>
                <w:rFonts w:ascii="Arial" w:hAnsi="Arial"/>
                <w:sz w:val="15"/>
              </w:rPr>
              <w:t xml:space="preserve">Parent listed</w:t>
            </w:r>
          </w:p>
        </w:tc>
        <w:tc>
          <w:tcPr>
            <w:tcW w:type="dxa" w:w="1035"/>
          </w:tcPr>
          <w:p>
            <w:pPr>
              <w:pStyle w:val="Compact"/>
              <w:spacing w:after="0" w:before="0" w:line="240" w:lineRule="auto"/>
              <w:jc w:val="left"/>
            </w:pPr>
            <w:r>
              <w:rPr>
                <w:rFonts w:ascii="Arial" w:hAnsi="Arial"/>
                <w:sz w:val="15"/>
              </w:rPr>
              <w:t xml:space="preserve">035420 KS</w:t>
            </w:r>
          </w:p>
        </w:tc>
      </w:tr>
      <w:tr>
        <w:trPr>
          <w:cantSplit/>
        </w:trPr>
        <w:tc>
          <w:tcPr>
            <w:tcW w:type="dxa" w:w="2083"/>
            <w:shd w:val="clear" w:color="auto" w:fill="F1F2F5"/>
          </w:tcPr>
          <w:p>
            <w:pPr>
              <w:pStyle w:val="Compact"/>
              <w:spacing w:after="0" w:before="0" w:line="240" w:lineRule="auto"/>
              <w:jc w:val="left"/>
            </w:pPr>
            <w:r>
              <w:rPr>
                <w:rFonts w:ascii="Arial" w:hAnsi="Arial"/>
                <w:sz w:val="15"/>
              </w:rPr>
              <w:t xml:space="preserve">Kakao</w:t>
            </w:r>
          </w:p>
        </w:tc>
        <w:tc>
          <w:tcPr>
            <w:tcW w:type="dxa" w:w="2474"/>
            <w:shd w:val="clear" w:color="auto" w:fill="F1F2F5"/>
          </w:tcPr>
          <w:p>
            <w:pPr>
              <w:pStyle w:val="Compact"/>
              <w:spacing w:after="0" w:before="0" w:line="240" w:lineRule="auto"/>
              <w:jc w:val="left"/>
            </w:pPr>
            <w:r>
              <w:rPr>
                <w:rFonts w:ascii="Arial" w:hAnsi="Arial"/>
                <w:sz w:val="15"/>
              </w:rPr>
              <w:t xml:space="preserve">Captive IDC (Ansan)</w:t>
            </w:r>
          </w:p>
        </w:tc>
        <w:tc>
          <w:tcPr>
            <w:tcW w:type="dxa" w:w="2766"/>
            <w:shd w:val="clear" w:color="auto" w:fill="F1F2F5"/>
          </w:tcPr>
          <w:p>
            <w:pPr>
              <w:pStyle w:val="Compact"/>
              <w:spacing w:after="0" w:before="0" w:line="240" w:lineRule="auto"/>
              <w:jc w:val="left"/>
            </w:pPr>
            <w:r>
              <w:rPr>
                <w:rFonts w:ascii="Arial" w:hAnsi="Arial"/>
                <w:sz w:val="15"/>
              </w:rPr>
              <w:t xml:space="preserve">Kakao</w:t>
            </w:r>
          </w:p>
        </w:tc>
        <w:tc>
          <w:tcPr>
            <w:tcW w:type="dxa" w:w="1621"/>
            <w:shd w:val="clear" w:color="auto" w:fill="F1F2F5"/>
          </w:tcPr>
          <w:p>
            <w:pPr>
              <w:pStyle w:val="Compact"/>
              <w:spacing w:after="0" w:before="0" w:line="240" w:lineRule="auto"/>
              <w:jc w:val="center"/>
            </w:pPr>
            <w:r>
              <w:rPr>
                <w:rFonts w:ascii="Arial" w:hAnsi="Arial"/>
                <w:sz w:val="15"/>
              </w:rPr>
              <w:t xml:space="preserve">Listed</w:t>
            </w:r>
          </w:p>
        </w:tc>
        <w:tc>
          <w:tcPr>
            <w:tcW w:type="dxa" w:w="1035"/>
            <w:shd w:val="clear" w:color="auto" w:fill="F1F2F5"/>
          </w:tcPr>
          <w:p>
            <w:pPr>
              <w:pStyle w:val="Compact"/>
              <w:spacing w:after="0" w:before="0" w:line="240" w:lineRule="auto"/>
              <w:jc w:val="left"/>
            </w:pPr>
            <w:r>
              <w:rPr>
                <w:rFonts w:ascii="Arial" w:hAnsi="Arial"/>
                <w:sz w:val="15"/>
              </w:rPr>
              <w:t xml:space="preserve">035720 KS</w:t>
            </w:r>
          </w:p>
        </w:tc>
      </w:tr>
      <w:tr>
        <w:trPr>
          <w:cantSplit/>
        </w:trPr>
        <w:tc>
          <w:tcPr>
            <w:tcW w:type="dxa" w:w="2083"/>
          </w:tcPr>
          <w:p>
            <w:pPr>
              <w:pStyle w:val="Compact"/>
              <w:spacing w:after="0" w:before="0" w:line="240" w:lineRule="auto"/>
              <w:jc w:val="left"/>
            </w:pPr>
            <w:r>
              <w:rPr>
                <w:rFonts w:ascii="Arial" w:hAnsi="Arial"/>
                <w:sz w:val="15"/>
              </w:rPr>
              <w:t xml:space="preserve">LG CNS</w:t>
            </w:r>
          </w:p>
        </w:tc>
        <w:tc>
          <w:tcPr>
            <w:tcW w:type="dxa" w:w="2474"/>
          </w:tcPr>
          <w:p>
            <w:pPr>
              <w:pStyle w:val="Compact"/>
              <w:spacing w:after="0" w:before="0" w:line="240" w:lineRule="auto"/>
              <w:jc w:val="left"/>
            </w:pPr>
            <w:r>
              <w:rPr>
                <w:rFonts w:ascii="Arial" w:hAnsi="Arial"/>
                <w:sz w:val="15"/>
              </w:rPr>
              <w:t xml:space="preserve">IT services, AIDC design-build</w:t>
            </w:r>
          </w:p>
        </w:tc>
        <w:tc>
          <w:tcPr>
            <w:tcW w:type="dxa" w:w="2766"/>
          </w:tcPr>
          <w:p>
            <w:pPr>
              <w:pStyle w:val="Compact"/>
              <w:spacing w:after="0" w:before="0" w:line="240" w:lineRule="auto"/>
              <w:jc w:val="left"/>
            </w:pPr>
            <w:r>
              <w:rPr>
                <w:rFonts w:ascii="Arial" w:hAnsi="Arial"/>
                <w:sz w:val="15"/>
              </w:rPr>
              <w:t xml:space="preserve">LG Corp</w:t>
            </w:r>
          </w:p>
        </w:tc>
        <w:tc>
          <w:tcPr>
            <w:tcW w:type="dxa" w:w="1621"/>
          </w:tcPr>
          <w:p>
            <w:pPr>
              <w:pStyle w:val="Compact"/>
              <w:spacing w:after="0" w:before="0" w:line="240" w:lineRule="auto"/>
              <w:jc w:val="center"/>
            </w:pPr>
            <w:r>
              <w:rPr>
                <w:rFonts w:ascii="Arial" w:hAnsi="Arial"/>
                <w:sz w:val="15"/>
              </w:rPr>
              <w:t xml:space="preserve">Listed (Feb-2025 IPO)</w:t>
            </w:r>
          </w:p>
        </w:tc>
        <w:tc>
          <w:tcPr>
            <w:tcW w:type="dxa" w:w="1035"/>
          </w:tcPr>
          <w:p>
            <w:pPr>
              <w:pStyle w:val="Compact"/>
              <w:spacing w:after="0" w:before="0" w:line="240" w:lineRule="auto"/>
              <w:jc w:val="left"/>
            </w:pPr>
            <w:r>
              <w:rPr>
                <w:rFonts w:ascii="Arial" w:hAnsi="Arial"/>
                <w:sz w:val="15"/>
              </w:rPr>
              <w:t xml:space="preserve">064400 KS</w:t>
            </w:r>
          </w:p>
        </w:tc>
      </w:tr>
      <w:tr>
        <w:trPr>
          <w:cantSplit/>
        </w:trPr>
        <w:tc>
          <w:tcPr>
            <w:tcW w:type="dxa" w:w="2083"/>
            <w:shd w:val="clear" w:color="auto" w:fill="F1F2F5"/>
          </w:tcPr>
          <w:p>
            <w:pPr>
              <w:pStyle w:val="Compact"/>
              <w:spacing w:after="0" w:before="0" w:line="240" w:lineRule="auto"/>
              <w:jc w:val="left"/>
            </w:pPr>
            <w:r>
              <w:rPr>
                <w:rFonts w:ascii="Arial" w:hAnsi="Arial"/>
                <w:sz w:val="15"/>
              </w:rPr>
              <w:t xml:space="preserve">Equinix</w:t>
            </w:r>
          </w:p>
        </w:tc>
        <w:tc>
          <w:tcPr>
            <w:tcW w:type="dxa" w:w="2474"/>
            <w:shd w:val="clear" w:color="auto" w:fill="F1F2F5"/>
          </w:tcPr>
          <w:p>
            <w:pPr>
              <w:pStyle w:val="Compact"/>
              <w:spacing w:after="0" w:before="0" w:line="240" w:lineRule="auto"/>
              <w:jc w:val="left"/>
            </w:pPr>
            <w:r>
              <w:rPr>
                <w:rFonts w:ascii="Arial" w:hAnsi="Arial"/>
                <w:sz w:val="15"/>
              </w:rPr>
              <w:t xml:space="preserve">Colocation (Seoul)</w:t>
            </w:r>
          </w:p>
        </w:tc>
        <w:tc>
          <w:tcPr>
            <w:tcW w:type="dxa" w:w="2766"/>
            <w:shd w:val="clear" w:color="auto" w:fill="F1F2F5"/>
          </w:tcPr>
          <w:p>
            <w:pPr>
              <w:pStyle w:val="Compact"/>
              <w:spacing w:after="0" w:before="0" w:line="240" w:lineRule="auto"/>
              <w:jc w:val="left"/>
            </w:pPr>
            <w:r>
              <w:rPr>
                <w:rFonts w:ascii="Arial" w:hAnsi="Arial"/>
                <w:sz w:val="15"/>
              </w:rPr>
              <w:t xml:space="preserve">–</w:t>
            </w:r>
          </w:p>
        </w:tc>
        <w:tc>
          <w:tcPr>
            <w:tcW w:type="dxa" w:w="1621"/>
            <w:shd w:val="clear" w:color="auto" w:fill="F1F2F5"/>
          </w:tcPr>
          <w:p>
            <w:pPr>
              <w:pStyle w:val="Compact"/>
              <w:spacing w:after="0" w:before="0" w:line="240" w:lineRule="auto"/>
              <w:jc w:val="center"/>
            </w:pPr>
            <w:r>
              <w:rPr>
                <w:rFonts w:ascii="Arial" w:hAnsi="Arial"/>
                <w:sz w:val="15"/>
              </w:rPr>
              <w:t xml:space="preserve">Listed</w:t>
            </w:r>
          </w:p>
        </w:tc>
        <w:tc>
          <w:tcPr>
            <w:tcW w:type="dxa" w:w="1035"/>
            <w:shd w:val="clear" w:color="auto" w:fill="F1F2F5"/>
          </w:tcPr>
          <w:p>
            <w:pPr>
              <w:pStyle w:val="Compact"/>
              <w:spacing w:after="0" w:before="0" w:line="240" w:lineRule="auto"/>
              <w:jc w:val="left"/>
            </w:pPr>
            <w:r>
              <w:rPr>
                <w:rFonts w:ascii="Arial" w:hAnsi="Arial"/>
                <w:sz w:val="15"/>
              </w:rPr>
              <w:t xml:space="preserve">EQIX US</w:t>
            </w:r>
          </w:p>
        </w:tc>
      </w:tr>
      <w:tr>
        <w:trPr>
          <w:cantSplit/>
        </w:trPr>
        <w:tc>
          <w:tcPr>
            <w:tcW w:type="dxa" w:w="2083"/>
          </w:tcPr>
          <w:p>
            <w:pPr>
              <w:pStyle w:val="Compact"/>
              <w:spacing w:after="0" w:before="0" w:line="240" w:lineRule="auto"/>
              <w:jc w:val="left"/>
            </w:pPr>
            <w:r>
              <w:rPr>
                <w:rFonts w:ascii="Arial" w:hAnsi="Arial"/>
                <w:sz w:val="15"/>
              </w:rPr>
              <w:t xml:space="preserve">Digital Realty</w:t>
            </w:r>
          </w:p>
        </w:tc>
        <w:tc>
          <w:tcPr>
            <w:tcW w:type="dxa" w:w="2474"/>
          </w:tcPr>
          <w:p>
            <w:pPr>
              <w:pStyle w:val="Compact"/>
              <w:spacing w:after="0" w:before="0" w:line="240" w:lineRule="auto"/>
              <w:jc w:val="left"/>
            </w:pPr>
            <w:r>
              <w:rPr>
                <w:rFonts w:ascii="Arial" w:hAnsi="Arial"/>
                <w:sz w:val="15"/>
              </w:rPr>
              <w:t xml:space="preserve">Colocation (Seoul)</w:t>
            </w:r>
          </w:p>
        </w:tc>
        <w:tc>
          <w:tcPr>
            <w:tcW w:type="dxa" w:w="2766"/>
          </w:tcPr>
          <w:p>
            <w:pPr>
              <w:pStyle w:val="Compact"/>
              <w:spacing w:after="0" w:before="0" w:line="240" w:lineRule="auto"/>
              <w:jc w:val="left"/>
            </w:pPr>
            <w:r>
              <w:rPr>
                <w:rFonts w:ascii="Arial" w:hAnsi="Arial"/>
                <w:sz w:val="15"/>
              </w:rPr>
              <w:t xml:space="preserve">–</w:t>
            </w:r>
          </w:p>
        </w:tc>
        <w:tc>
          <w:tcPr>
            <w:tcW w:type="dxa" w:w="1621"/>
          </w:tcPr>
          <w:p>
            <w:pPr>
              <w:pStyle w:val="Compact"/>
              <w:spacing w:after="0" w:before="0" w:line="240" w:lineRule="auto"/>
              <w:jc w:val="center"/>
            </w:pPr>
            <w:r>
              <w:rPr>
                <w:rFonts w:ascii="Arial" w:hAnsi="Arial"/>
                <w:sz w:val="15"/>
              </w:rPr>
              <w:t xml:space="preserve">Listed</w:t>
            </w:r>
          </w:p>
        </w:tc>
        <w:tc>
          <w:tcPr>
            <w:tcW w:type="dxa" w:w="1035"/>
          </w:tcPr>
          <w:p>
            <w:pPr>
              <w:pStyle w:val="Compact"/>
              <w:spacing w:after="0" w:before="0" w:line="240" w:lineRule="auto"/>
              <w:jc w:val="left"/>
            </w:pPr>
            <w:r>
              <w:rPr>
                <w:rFonts w:ascii="Arial" w:hAnsi="Arial"/>
                <w:sz w:val="15"/>
              </w:rPr>
              <w:t xml:space="preserve">DLR US</w:t>
            </w:r>
          </w:p>
        </w:tc>
      </w:tr>
      <w:tr>
        <w:trPr>
          <w:cantSplit/>
        </w:trPr>
        <w:tc>
          <w:tcPr>
            <w:tcW w:type="dxa" w:w="2083"/>
            <w:shd w:val="clear" w:color="auto" w:fill="F1F2F5"/>
          </w:tcPr>
          <w:p>
            <w:pPr>
              <w:pStyle w:val="Compact"/>
              <w:spacing w:after="0" w:before="0" w:line="240" w:lineRule="auto"/>
              <w:jc w:val="left"/>
            </w:pPr>
            <w:r>
              <w:rPr>
                <w:rFonts w:ascii="Arial" w:hAnsi="Arial"/>
                <w:sz w:val="15"/>
              </w:rPr>
              <w:t xml:space="preserve">Starlink Korea</w:t>
            </w:r>
          </w:p>
        </w:tc>
        <w:tc>
          <w:tcPr>
            <w:tcW w:type="dxa" w:w="2474"/>
            <w:shd w:val="clear" w:color="auto" w:fill="F1F2F5"/>
          </w:tcPr>
          <w:p>
            <w:pPr>
              <w:pStyle w:val="Compact"/>
              <w:spacing w:after="0" w:before="0" w:line="240" w:lineRule="auto"/>
              <w:jc w:val="left"/>
            </w:pPr>
            <w:r>
              <w:rPr>
                <w:rFonts w:ascii="Arial" w:hAnsi="Arial"/>
                <w:sz w:val="15"/>
              </w:rPr>
              <w:t xml:space="preserve">LEO satellite broadband</w:t>
            </w:r>
          </w:p>
        </w:tc>
        <w:tc>
          <w:tcPr>
            <w:tcW w:type="dxa" w:w="2766"/>
            <w:shd w:val="clear" w:color="auto" w:fill="F1F2F5"/>
          </w:tcPr>
          <w:p>
            <w:pPr>
              <w:pStyle w:val="Compact"/>
              <w:spacing w:after="0" w:before="0" w:line="240" w:lineRule="auto"/>
              <w:jc w:val="left"/>
            </w:pPr>
            <w:r>
              <w:rPr>
                <w:rFonts w:ascii="Arial" w:hAnsi="Arial"/>
                <w:sz w:val="15"/>
              </w:rPr>
              <w:t xml:space="preserve">SpaceX</w:t>
            </w:r>
          </w:p>
        </w:tc>
        <w:tc>
          <w:tcPr>
            <w:tcW w:type="dxa" w:w="1621"/>
            <w:shd w:val="clear" w:color="auto" w:fill="F1F2F5"/>
          </w:tcPr>
          <w:p>
            <w:pPr>
              <w:pStyle w:val="Compact"/>
              <w:spacing w:after="0" w:before="0" w:line="240" w:lineRule="auto"/>
              <w:jc w:val="center"/>
            </w:pPr>
            <w:r>
              <w:rPr>
                <w:rFonts w:ascii="Arial" w:hAnsi="Arial"/>
                <w:sz w:val="15"/>
              </w:rPr>
              <w:t xml:space="preserve">Unlisted</w:t>
            </w:r>
          </w:p>
        </w:tc>
        <w:tc>
          <w:tcPr>
            <w:tcW w:type="dxa" w:w="1035"/>
            <w:shd w:val="clear" w:color="auto" w:fill="F1F2F5"/>
          </w:tcPr>
          <w:p>
            <w:pPr>
              <w:pStyle w:val="Compact"/>
              <w:spacing w:after="0" w:before="0" w:line="240" w:lineRule="auto"/>
              <w:jc w:val="left"/>
            </w:pPr>
            <w:r>
              <w:rPr>
                <w:rFonts w:ascii="Arial" w:hAnsi="Arial"/>
                <w:sz w:val="15"/>
              </w:rPr>
              <w:t xml:space="preserve">–</w:t>
            </w:r>
          </w:p>
        </w:tc>
      </w:tr>
    </w:tbl>
    <w:bookmarkEnd w:id="94"/>
    <w:bookmarkEnd w:id="95"/>
    <w:bookmarkStart w:id="99" w:name="Xa147bad45c3d1e76dd607d486730148dad17897"/>
    <w:p>
      <w:pPr>
        <w:pStyle w:val="Heading1"/>
      </w:pPr>
      <w:r>
        <w:t xml:space="preserve">M&amp;A: industry activity, takeover potential and LG Uplus’s own deals</w:t>
      </w:r>
    </w:p>
    <w:bookmarkStart w:id="96" w:name="comparable-transactions-20192026"/>
    <w:p>
      <w:pPr>
        <w:pStyle w:val="Heading2"/>
      </w:pPr>
      <w:r>
        <w:t xml:space="preserve">Comparable transactions (2019–2026)</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1659"/>
        <w:gridCol w:w="1746"/>
        <w:gridCol w:w="1072"/>
        <w:gridCol w:w="1457"/>
        <w:gridCol w:w="1081"/>
        <w:gridCol w:w="1123"/>
        <w:gridCol w:w="1837"/>
      </w:tblGrid>
      <w:tr>
        <w:trPr>
          <w:tblHeader w:val="true"/>
          <w:tblHeader w:val="true"/>
          <w:cantSplit/>
        </w:trPr>
        <w:tc>
          <w:tcPr>
            <w:tcW w:type="dxa" w:w="1660"/>
            <w:shd w:val="clear" w:color="auto" w:fill="13213F"/>
          </w:tcPr>
          <w:p>
            <w:pPr>
              <w:pStyle w:val="Compact"/>
              <w:spacing w:after="0" w:before="0" w:line="240" w:lineRule="auto"/>
              <w:jc w:val="left"/>
            </w:pPr>
            <w:r>
              <w:rPr>
                <w:rFonts w:ascii="Arial" w:hAnsi="Arial"/>
                <w:b/>
                <w:color w:val="FFFFFF"/>
                <w:sz w:val="15"/>
              </w:rPr>
              <w:t xml:space="preserve">Target</w:t>
            </w:r>
          </w:p>
        </w:tc>
        <w:tc>
          <w:tcPr>
            <w:tcW w:type="dxa" w:w="1747"/>
            <w:shd w:val="clear" w:color="auto" w:fill="13213F"/>
          </w:tcPr>
          <w:p>
            <w:pPr>
              <w:pStyle w:val="Compact"/>
              <w:spacing w:after="0" w:before="0" w:line="240" w:lineRule="auto"/>
              <w:jc w:val="left"/>
            </w:pPr>
            <w:r>
              <w:rPr>
                <w:rFonts w:ascii="Arial" w:hAnsi="Arial"/>
                <w:b/>
                <w:color w:val="FFFFFF"/>
                <w:sz w:val="15"/>
              </w:rPr>
              <w:t xml:space="preserve">Acquirer</w:t>
            </w:r>
          </w:p>
        </w:tc>
        <w:tc>
          <w:tcPr>
            <w:tcW w:type="dxa" w:w="1072"/>
            <w:shd w:val="clear" w:color="auto" w:fill="13213F"/>
          </w:tcPr>
          <w:p>
            <w:pPr>
              <w:pStyle w:val="Compact"/>
              <w:spacing w:after="0" w:before="0" w:line="240" w:lineRule="auto"/>
              <w:jc w:val="left"/>
            </w:pPr>
            <w:r>
              <w:rPr>
                <w:rFonts w:ascii="Arial" w:hAnsi="Arial"/>
                <w:b/>
                <w:color w:val="FFFFFF"/>
                <w:sz w:val="15"/>
              </w:rPr>
              <w:t xml:space="preserve">Announced</w:t>
            </w:r>
          </w:p>
        </w:tc>
        <w:tc>
          <w:tcPr>
            <w:tcW w:type="dxa" w:w="1457"/>
            <w:shd w:val="clear" w:color="auto" w:fill="13213F"/>
          </w:tcPr>
          <w:p>
            <w:pPr>
              <w:pStyle w:val="Compact"/>
              <w:spacing w:after="0" w:before="0" w:line="240" w:lineRule="auto"/>
              <w:jc w:val="left"/>
            </w:pPr>
            <w:r>
              <w:rPr>
                <w:rFonts w:ascii="Arial" w:hAnsi="Arial"/>
                <w:b/>
                <w:color w:val="FFFFFF"/>
                <w:sz w:val="15"/>
              </w:rPr>
              <w:t xml:space="preserve">Value</w:t>
            </w:r>
          </w:p>
        </w:tc>
        <w:tc>
          <w:tcPr>
            <w:tcW w:type="dxa" w:w="1082"/>
            <w:shd w:val="clear" w:color="auto" w:fill="13213F"/>
          </w:tcPr>
          <w:p>
            <w:pPr>
              <w:pStyle w:val="Compact"/>
              <w:spacing w:after="0" w:before="0" w:line="240" w:lineRule="auto"/>
              <w:jc w:val="right"/>
            </w:pPr>
            <w:r>
              <w:rPr>
                <w:rFonts w:ascii="Arial" w:hAnsi="Arial"/>
                <w:b/>
                <w:color w:val="FFFFFF"/>
                <w:sz w:val="15"/>
              </w:rPr>
              <w:t xml:space="preserve">EV/EBITDA</w:t>
            </w:r>
          </w:p>
        </w:tc>
        <w:tc>
          <w:tcPr>
            <w:tcW w:type="dxa" w:w="1123"/>
            <w:shd w:val="clear" w:color="auto" w:fill="13213F"/>
          </w:tcPr>
          <w:p>
            <w:pPr>
              <w:pStyle w:val="Compact"/>
              <w:spacing w:after="0" w:before="0" w:line="240" w:lineRule="auto"/>
              <w:jc w:val="right"/>
            </w:pPr>
            <w:r>
              <w:rPr>
                <w:rFonts w:ascii="Arial" w:hAnsi="Arial"/>
                <w:b/>
                <w:color w:val="FFFFFF"/>
                <w:sz w:val="15"/>
              </w:rPr>
              <w:t xml:space="preserve">EV/Sales</w:t>
            </w:r>
          </w:p>
        </w:tc>
        <w:tc>
          <w:tcPr>
            <w:tcW w:type="dxa" w:w="1837"/>
            <w:shd w:val="clear" w:color="auto" w:fill="13213F"/>
          </w:tcPr>
          <w:p>
            <w:pPr>
              <w:pStyle w:val="Compact"/>
              <w:spacing w:after="0" w:before="0" w:line="240" w:lineRule="auto"/>
              <w:jc w:val="left"/>
            </w:pPr>
            <w:r>
              <w:rPr>
                <w:rFonts w:ascii="Arial" w:hAnsi="Arial"/>
                <w:b/>
                <w:color w:val="FFFFFF"/>
                <w:sz w:val="15"/>
              </w:rPr>
              <w:t xml:space="preserve">Read-across</w:t>
            </w:r>
          </w:p>
        </w:tc>
      </w:tr>
      <w:tr>
        <w:trPr>
          <w:cantSplit/>
        </w:trPr>
        <w:tc>
          <w:tcPr>
            <w:tcW w:type="dxa" w:w="1660"/>
          </w:tcPr>
          <w:p>
            <w:pPr>
              <w:pStyle w:val="Compact"/>
              <w:spacing w:after="0" w:before="0" w:line="240" w:lineRule="auto"/>
              <w:jc w:val="left"/>
            </w:pPr>
            <w:r>
              <w:rPr>
                <w:rFonts w:ascii="Arial" w:hAnsi="Arial"/>
                <w:sz w:val="15"/>
              </w:rPr>
              <w:t xml:space="preserve">CJ Hello (now LGHV), 50%+1</w:t>
            </w:r>
          </w:p>
        </w:tc>
        <w:tc>
          <w:tcPr>
            <w:tcW w:type="dxa" w:w="1747"/>
          </w:tcPr>
          <w:p>
            <w:pPr>
              <w:pStyle w:val="Compact"/>
              <w:spacing w:after="0" w:before="0" w:line="240" w:lineRule="auto"/>
              <w:jc w:val="left"/>
            </w:pPr>
            <w:r>
              <w:rPr>
                <w:rFonts w:ascii="Arial" w:hAnsi="Arial"/>
                <w:sz w:val="15"/>
              </w:rPr>
              <w:t xml:space="preserve">LG Uplus</w:t>
            </w:r>
          </w:p>
        </w:tc>
        <w:tc>
          <w:tcPr>
            <w:tcW w:type="dxa" w:w="1072"/>
          </w:tcPr>
          <w:p>
            <w:pPr>
              <w:pStyle w:val="Compact"/>
              <w:spacing w:after="0" w:before="0" w:line="240" w:lineRule="auto"/>
              <w:jc w:val="left"/>
            </w:pPr>
            <w:r>
              <w:rPr>
                <w:rFonts w:ascii="Arial" w:hAnsi="Arial"/>
                <w:sz w:val="15"/>
              </w:rPr>
              <w:t xml:space="preserve">Feb-2019</w:t>
            </w:r>
          </w:p>
        </w:tc>
        <w:tc>
          <w:tcPr>
            <w:tcW w:type="dxa" w:w="1457"/>
          </w:tcPr>
          <w:p>
            <w:pPr>
              <w:pStyle w:val="Compact"/>
              <w:spacing w:after="0" w:before="0" w:line="240" w:lineRule="auto"/>
              <w:jc w:val="left"/>
            </w:pPr>
            <w:r>
              <w:rPr>
                <w:rFonts w:ascii="Arial" w:hAnsi="Arial"/>
                <w:sz w:val="15"/>
              </w:rPr>
              <w:t xml:space="preserve">KRW800bn (EV KRW2.12tn)</w:t>
            </w:r>
          </w:p>
        </w:tc>
        <w:tc>
          <w:tcPr>
            <w:tcW w:type="dxa" w:w="1082"/>
          </w:tcPr>
          <w:p>
            <w:pPr>
              <w:pStyle w:val="Compact"/>
              <w:spacing w:after="0" w:before="0" w:line="240" w:lineRule="auto"/>
              <w:jc w:val="right"/>
            </w:pPr>
            <w:r>
              <w:rPr>
                <w:rFonts w:ascii="Arial" w:hAnsi="Arial"/>
                <w:sz w:val="15"/>
              </w:rPr>
              <w:t xml:space="preserve">6.3x [e]</w:t>
            </w:r>
          </w:p>
        </w:tc>
        <w:tc>
          <w:tcPr>
            <w:tcW w:type="dxa" w:w="1123"/>
          </w:tcPr>
          <w:p>
            <w:pPr>
              <w:pStyle w:val="Compact"/>
              <w:spacing w:after="0" w:before="0" w:line="240" w:lineRule="auto"/>
              <w:jc w:val="right"/>
            </w:pPr>
            <w:r>
              <w:rPr>
                <w:rFonts w:ascii="Arial" w:hAnsi="Arial"/>
                <w:sz w:val="15"/>
              </w:rPr>
              <w:t xml:space="preserve">1.8x</w:t>
            </w:r>
          </w:p>
        </w:tc>
        <w:tc>
          <w:tcPr>
            <w:tcW w:type="dxa" w:w="1837"/>
          </w:tcPr>
          <w:p>
            <w:pPr>
              <w:pStyle w:val="Compact"/>
              <w:spacing w:after="0" w:before="0" w:line="240" w:lineRule="auto"/>
              <w:jc w:val="left"/>
            </w:pPr>
            <w:r>
              <w:rPr>
                <w:rFonts w:ascii="Arial" w:hAnsi="Arial"/>
                <w:sz w:val="15"/>
              </w:rPr>
              <w:t xml:space="preserve">Korean cable control deal; value since destroyed</w:t>
            </w:r>
          </w:p>
        </w:tc>
      </w:tr>
      <w:tr>
        <w:trPr>
          <w:cantSplit/>
        </w:trPr>
        <w:tc>
          <w:tcPr>
            <w:tcW w:type="dxa" w:w="1660"/>
            <w:shd w:val="clear" w:color="auto" w:fill="F1F2F5"/>
          </w:tcPr>
          <w:p>
            <w:pPr>
              <w:pStyle w:val="Compact"/>
              <w:spacing w:after="0" w:before="0" w:line="240" w:lineRule="auto"/>
              <w:jc w:val="left"/>
            </w:pPr>
            <w:r>
              <w:rPr>
                <w:rFonts w:ascii="Arial" w:hAnsi="Arial"/>
                <w:sz w:val="15"/>
              </w:rPr>
              <w:t xml:space="preserve">Tbroad</w:t>
            </w:r>
          </w:p>
        </w:tc>
        <w:tc>
          <w:tcPr>
            <w:tcW w:type="dxa" w:w="1747"/>
            <w:shd w:val="clear" w:color="auto" w:fill="F1F2F5"/>
          </w:tcPr>
          <w:p>
            <w:pPr>
              <w:pStyle w:val="Compact"/>
              <w:spacing w:after="0" w:before="0" w:line="240" w:lineRule="auto"/>
              <w:jc w:val="left"/>
            </w:pPr>
            <w:r>
              <w:rPr>
                <w:rFonts w:ascii="Arial" w:hAnsi="Arial"/>
                <w:sz w:val="15"/>
              </w:rPr>
              <w:t xml:space="preserve">SK Broadband (merger)</w:t>
            </w:r>
          </w:p>
        </w:tc>
        <w:tc>
          <w:tcPr>
            <w:tcW w:type="dxa" w:w="1072"/>
            <w:shd w:val="clear" w:color="auto" w:fill="F1F2F5"/>
          </w:tcPr>
          <w:p>
            <w:pPr>
              <w:pStyle w:val="Compact"/>
              <w:spacing w:after="0" w:before="0" w:line="240" w:lineRule="auto"/>
              <w:jc w:val="left"/>
            </w:pPr>
            <w:r>
              <w:rPr>
                <w:rFonts w:ascii="Arial" w:hAnsi="Arial"/>
                <w:sz w:val="15"/>
              </w:rPr>
              <w:t xml:space="preserve">Apr-2019</w:t>
            </w:r>
          </w:p>
        </w:tc>
        <w:tc>
          <w:tcPr>
            <w:tcW w:type="dxa" w:w="1457"/>
            <w:shd w:val="clear" w:color="auto" w:fill="F1F2F5"/>
          </w:tcPr>
          <w:p>
            <w:pPr>
              <w:pStyle w:val="Compact"/>
              <w:spacing w:after="0" w:before="0" w:line="240" w:lineRule="auto"/>
              <w:jc w:val="left"/>
            </w:pPr>
            <w:r>
              <w:rPr>
                <w:rFonts w:ascii="Arial" w:hAnsi="Arial"/>
                <w:sz w:val="15"/>
              </w:rPr>
              <w:t xml:space="preserve">Tbroad ~KRW1.2tn</w:t>
            </w:r>
          </w:p>
        </w:tc>
        <w:tc>
          <w:tcPr>
            <w:tcW w:type="dxa" w:w="1082"/>
            <w:shd w:val="clear" w:color="auto" w:fill="F1F2F5"/>
          </w:tcPr>
          <w:p>
            <w:pPr>
              <w:pStyle w:val="Compact"/>
              <w:spacing w:after="0" w:before="0" w:line="240" w:lineRule="auto"/>
              <w:jc w:val="right"/>
            </w:pPr>
            <w:r>
              <w:rPr>
                <w:rFonts w:ascii="Arial" w:hAnsi="Arial"/>
                <w:sz w:val="15"/>
              </w:rPr>
              <w:t xml:space="preserve">n/d</w:t>
            </w:r>
          </w:p>
        </w:tc>
        <w:tc>
          <w:tcPr>
            <w:tcW w:type="dxa" w:w="1123"/>
            <w:shd w:val="clear" w:color="auto" w:fill="F1F2F5"/>
          </w:tcPr>
          <w:p>
            <w:pPr>
              <w:pStyle w:val="Compact"/>
              <w:spacing w:after="0" w:before="0" w:line="240" w:lineRule="auto"/>
              <w:jc w:val="right"/>
            </w:pPr>
            <w:r>
              <w:rPr>
                <w:rFonts w:ascii="Arial" w:hAnsi="Arial"/>
                <w:sz w:val="15"/>
              </w:rPr>
              <w:t xml:space="preserve">n/d</w:t>
            </w:r>
          </w:p>
        </w:tc>
        <w:tc>
          <w:tcPr>
            <w:tcW w:type="dxa" w:w="1837"/>
            <w:shd w:val="clear" w:color="auto" w:fill="F1F2F5"/>
          </w:tcPr>
          <w:p>
            <w:pPr>
              <w:pStyle w:val="Compact"/>
              <w:spacing w:after="0" w:before="0" w:line="240" w:lineRule="auto"/>
              <w:jc w:val="left"/>
            </w:pPr>
            <w:r>
              <w:rPr>
                <w:rFonts w:ascii="Arial" w:hAnsi="Arial"/>
                <w:sz w:val="15"/>
              </w:rPr>
              <w:t xml:space="preserve">~KRW410k per subscriber</w:t>
            </w:r>
          </w:p>
        </w:tc>
      </w:tr>
      <w:tr>
        <w:trPr>
          <w:cantSplit/>
        </w:trPr>
        <w:tc>
          <w:tcPr>
            <w:tcW w:type="dxa" w:w="1660"/>
          </w:tcPr>
          <w:p>
            <w:pPr>
              <w:pStyle w:val="Compact"/>
              <w:spacing w:after="0" w:before="0" w:line="240" w:lineRule="auto"/>
              <w:jc w:val="left"/>
            </w:pPr>
            <w:r>
              <w:rPr>
                <w:rFonts w:ascii="Arial" w:hAnsi="Arial"/>
                <w:sz w:val="15"/>
              </w:rPr>
              <w:t xml:space="preserve">Hyundai HCN</w:t>
            </w:r>
          </w:p>
        </w:tc>
        <w:tc>
          <w:tcPr>
            <w:tcW w:type="dxa" w:w="1747"/>
          </w:tcPr>
          <w:p>
            <w:pPr>
              <w:pStyle w:val="Compact"/>
              <w:spacing w:after="0" w:before="0" w:line="240" w:lineRule="auto"/>
              <w:jc w:val="left"/>
            </w:pPr>
            <w:r>
              <w:rPr>
                <w:rFonts w:ascii="Arial" w:hAnsi="Arial"/>
                <w:sz w:val="15"/>
              </w:rPr>
              <w:t xml:space="preserve">KT Skylife</w:t>
            </w:r>
          </w:p>
        </w:tc>
        <w:tc>
          <w:tcPr>
            <w:tcW w:type="dxa" w:w="1072"/>
          </w:tcPr>
          <w:p>
            <w:pPr>
              <w:pStyle w:val="Compact"/>
              <w:spacing w:after="0" w:before="0" w:line="240" w:lineRule="auto"/>
              <w:jc w:val="left"/>
            </w:pPr>
            <w:r>
              <w:rPr>
                <w:rFonts w:ascii="Arial" w:hAnsi="Arial"/>
                <w:sz w:val="15"/>
              </w:rPr>
              <w:t xml:space="preserve">Oct-2020</w:t>
            </w:r>
          </w:p>
        </w:tc>
        <w:tc>
          <w:tcPr>
            <w:tcW w:type="dxa" w:w="1457"/>
          </w:tcPr>
          <w:p>
            <w:pPr>
              <w:pStyle w:val="Compact"/>
              <w:spacing w:after="0" w:before="0" w:line="240" w:lineRule="auto"/>
              <w:jc w:val="left"/>
            </w:pPr>
            <w:r>
              <w:rPr>
                <w:rFonts w:ascii="Arial" w:hAnsi="Arial"/>
                <w:sz w:val="15"/>
              </w:rPr>
              <w:t xml:space="preserve">KRW491bn</w:t>
            </w:r>
          </w:p>
        </w:tc>
        <w:tc>
          <w:tcPr>
            <w:tcW w:type="dxa" w:w="1082"/>
          </w:tcPr>
          <w:p>
            <w:pPr>
              <w:pStyle w:val="Compact"/>
              <w:spacing w:after="0" w:before="0" w:line="240" w:lineRule="auto"/>
              <w:jc w:val="right"/>
            </w:pPr>
            <w:r>
              <w:rPr>
                <w:rFonts w:ascii="Arial" w:hAnsi="Arial"/>
                <w:sz w:val="15"/>
              </w:rPr>
              <w:t xml:space="preserve">~5.4x [e]</w:t>
            </w:r>
          </w:p>
        </w:tc>
        <w:tc>
          <w:tcPr>
            <w:tcW w:type="dxa" w:w="1123"/>
          </w:tcPr>
          <w:p>
            <w:pPr>
              <w:pStyle w:val="Compact"/>
              <w:spacing w:after="0" w:before="0" w:line="240" w:lineRule="auto"/>
              <w:jc w:val="right"/>
            </w:pPr>
            <w:r>
              <w:rPr>
                <w:rFonts w:ascii="Arial" w:hAnsi="Arial"/>
                <w:sz w:val="15"/>
              </w:rPr>
              <w:t xml:space="preserve">n/d</w:t>
            </w:r>
          </w:p>
        </w:tc>
        <w:tc>
          <w:tcPr>
            <w:tcW w:type="dxa" w:w="1837"/>
          </w:tcPr>
          <w:p>
            <w:pPr>
              <w:pStyle w:val="Compact"/>
              <w:spacing w:after="0" w:before="0" w:line="240" w:lineRule="auto"/>
              <w:jc w:val="left"/>
            </w:pPr>
            <w:r>
              <w:rPr>
                <w:rFonts w:ascii="Arial" w:hAnsi="Arial"/>
                <w:sz w:val="15"/>
              </w:rPr>
              <w:t xml:space="preserve">~KRW357k per subscriber</w:t>
            </w:r>
          </w:p>
        </w:tc>
      </w:tr>
      <w:tr>
        <w:trPr>
          <w:cantSplit/>
        </w:trPr>
        <w:tc>
          <w:tcPr>
            <w:tcW w:type="dxa" w:w="1660"/>
            <w:shd w:val="clear" w:color="auto" w:fill="F1F2F5"/>
          </w:tcPr>
          <w:p>
            <w:pPr>
              <w:pStyle w:val="Compact"/>
              <w:spacing w:after="0" w:before="0" w:line="240" w:lineRule="auto"/>
              <w:jc w:val="left"/>
            </w:pPr>
            <w:r>
              <w:rPr>
                <w:rFonts w:ascii="Arial" w:hAnsi="Arial"/>
                <w:sz w:val="15"/>
              </w:rPr>
              <w:t xml:space="preserve">PT Hutchison 3 Indonesia</w:t>
            </w:r>
          </w:p>
        </w:tc>
        <w:tc>
          <w:tcPr>
            <w:tcW w:type="dxa" w:w="1747"/>
            <w:shd w:val="clear" w:color="auto" w:fill="F1F2F5"/>
          </w:tcPr>
          <w:p>
            <w:pPr>
              <w:pStyle w:val="Compact"/>
              <w:spacing w:after="0" w:before="0" w:line="240" w:lineRule="auto"/>
              <w:jc w:val="left"/>
            </w:pPr>
            <w:r>
              <w:rPr>
                <w:rFonts w:ascii="Arial" w:hAnsi="Arial"/>
                <w:sz w:val="15"/>
              </w:rPr>
              <w:t xml:space="preserve">Indosat (merger)</w:t>
            </w:r>
          </w:p>
        </w:tc>
        <w:tc>
          <w:tcPr>
            <w:tcW w:type="dxa" w:w="1072"/>
            <w:shd w:val="clear" w:color="auto" w:fill="F1F2F5"/>
          </w:tcPr>
          <w:p>
            <w:pPr>
              <w:pStyle w:val="Compact"/>
              <w:spacing w:after="0" w:before="0" w:line="240" w:lineRule="auto"/>
              <w:jc w:val="left"/>
            </w:pPr>
            <w:r>
              <w:rPr>
                <w:rFonts w:ascii="Arial" w:hAnsi="Arial"/>
                <w:sz w:val="15"/>
              </w:rPr>
              <w:t xml:space="preserve">Sep-2021</w:t>
            </w:r>
          </w:p>
        </w:tc>
        <w:tc>
          <w:tcPr>
            <w:tcW w:type="dxa" w:w="1457"/>
            <w:shd w:val="clear" w:color="auto" w:fill="F1F2F5"/>
          </w:tcPr>
          <w:p>
            <w:pPr>
              <w:pStyle w:val="Compact"/>
              <w:spacing w:after="0" w:before="0" w:line="240" w:lineRule="auto"/>
              <w:jc w:val="left"/>
            </w:pPr>
            <w:r>
              <w:rPr>
                <w:rFonts w:ascii="Arial" w:hAnsi="Arial"/>
                <w:sz w:val="15"/>
              </w:rPr>
              <w:t xml:space="preserve">EV US$1.18bn</w:t>
            </w:r>
          </w:p>
        </w:tc>
        <w:tc>
          <w:tcPr>
            <w:tcW w:type="dxa" w:w="1082"/>
            <w:shd w:val="clear" w:color="auto" w:fill="F1F2F5"/>
          </w:tcPr>
          <w:p>
            <w:pPr>
              <w:pStyle w:val="Compact"/>
              <w:spacing w:after="0" w:before="0" w:line="240" w:lineRule="auto"/>
              <w:jc w:val="right"/>
            </w:pPr>
            <w:r>
              <w:rPr>
                <w:rFonts w:ascii="Arial" w:hAnsi="Arial"/>
                <w:sz w:val="15"/>
              </w:rPr>
              <w:t xml:space="preserve">n/d</w:t>
            </w:r>
          </w:p>
        </w:tc>
        <w:tc>
          <w:tcPr>
            <w:tcW w:type="dxa" w:w="1123"/>
            <w:shd w:val="clear" w:color="auto" w:fill="F1F2F5"/>
          </w:tcPr>
          <w:p>
            <w:pPr>
              <w:pStyle w:val="Compact"/>
              <w:spacing w:after="0" w:before="0" w:line="240" w:lineRule="auto"/>
              <w:jc w:val="right"/>
            </w:pPr>
            <w:r>
              <w:rPr>
                <w:rFonts w:ascii="Arial" w:hAnsi="Arial"/>
                <w:sz w:val="15"/>
              </w:rPr>
              <w:t xml:space="preserve">n/d</w:t>
            </w:r>
          </w:p>
        </w:tc>
        <w:tc>
          <w:tcPr>
            <w:tcW w:type="dxa" w:w="1837"/>
            <w:shd w:val="clear" w:color="auto" w:fill="F1F2F5"/>
          </w:tcPr>
          <w:p>
            <w:pPr>
              <w:pStyle w:val="Compact"/>
              <w:spacing w:after="0" w:before="0" w:line="240" w:lineRule="auto"/>
              <w:jc w:val="left"/>
            </w:pPr>
            <w:r>
              <w:rPr>
                <w:rFonts w:ascii="Arial" w:hAnsi="Arial"/>
                <w:sz w:val="15"/>
              </w:rPr>
              <w:t xml:space="preserve">4→3 consolidation</w:t>
            </w:r>
          </w:p>
        </w:tc>
      </w:tr>
      <w:tr>
        <w:trPr>
          <w:cantSplit/>
        </w:trPr>
        <w:tc>
          <w:tcPr>
            <w:tcW w:type="dxa" w:w="1660"/>
          </w:tcPr>
          <w:p>
            <w:pPr>
              <w:pStyle w:val="Compact"/>
              <w:spacing w:after="0" w:before="0" w:line="240" w:lineRule="auto"/>
              <w:jc w:val="left"/>
            </w:pPr>
            <w:r>
              <w:rPr>
                <w:rFonts w:ascii="Arial" w:hAnsi="Arial"/>
                <w:sz w:val="15"/>
              </w:rPr>
              <w:t xml:space="preserve">DTAC</w:t>
            </w:r>
          </w:p>
        </w:tc>
        <w:tc>
          <w:tcPr>
            <w:tcW w:type="dxa" w:w="1747"/>
          </w:tcPr>
          <w:p>
            <w:pPr>
              <w:pStyle w:val="Compact"/>
              <w:spacing w:after="0" w:before="0" w:line="240" w:lineRule="auto"/>
              <w:jc w:val="left"/>
            </w:pPr>
            <w:r>
              <w:rPr>
                <w:rFonts w:ascii="Arial" w:hAnsi="Arial"/>
                <w:sz w:val="15"/>
              </w:rPr>
              <w:t xml:space="preserve">True Corp (merger)</w:t>
            </w:r>
          </w:p>
        </w:tc>
        <w:tc>
          <w:tcPr>
            <w:tcW w:type="dxa" w:w="1072"/>
          </w:tcPr>
          <w:p>
            <w:pPr>
              <w:pStyle w:val="Compact"/>
              <w:spacing w:after="0" w:before="0" w:line="240" w:lineRule="auto"/>
              <w:jc w:val="left"/>
            </w:pPr>
            <w:r>
              <w:rPr>
                <w:rFonts w:ascii="Arial" w:hAnsi="Arial"/>
                <w:sz w:val="15"/>
              </w:rPr>
              <w:t xml:space="preserve">Nov-2021</w:t>
            </w:r>
          </w:p>
        </w:tc>
        <w:tc>
          <w:tcPr>
            <w:tcW w:type="dxa" w:w="1457"/>
          </w:tcPr>
          <w:p>
            <w:pPr>
              <w:pStyle w:val="Compact"/>
              <w:spacing w:after="0" w:before="0" w:line="240" w:lineRule="auto"/>
              <w:jc w:val="left"/>
            </w:pPr>
            <w:r>
              <w:rPr>
                <w:rFonts w:ascii="Arial" w:hAnsi="Arial"/>
                <w:sz w:val="15"/>
              </w:rPr>
              <w:t xml:space="preserve">EV THB195bn</w:t>
            </w:r>
          </w:p>
        </w:tc>
        <w:tc>
          <w:tcPr>
            <w:tcW w:type="dxa" w:w="1082"/>
          </w:tcPr>
          <w:p>
            <w:pPr>
              <w:pStyle w:val="Compact"/>
              <w:spacing w:after="0" w:before="0" w:line="240" w:lineRule="auto"/>
              <w:jc w:val="right"/>
            </w:pPr>
            <w:r>
              <w:rPr>
                <w:rFonts w:ascii="Arial" w:hAnsi="Arial"/>
                <w:sz w:val="15"/>
              </w:rPr>
              <w:t xml:space="preserve">11.1x [u]</w:t>
            </w:r>
          </w:p>
        </w:tc>
        <w:tc>
          <w:tcPr>
            <w:tcW w:type="dxa" w:w="1123"/>
          </w:tcPr>
          <w:p>
            <w:pPr>
              <w:pStyle w:val="Compact"/>
              <w:spacing w:after="0" w:before="0" w:line="240" w:lineRule="auto"/>
              <w:jc w:val="right"/>
            </w:pPr>
            <w:r>
              <w:rPr>
                <w:rFonts w:ascii="Arial" w:hAnsi="Arial"/>
                <w:sz w:val="15"/>
              </w:rPr>
              <w:t xml:space="preserve">2.9x</w:t>
            </w:r>
          </w:p>
        </w:tc>
        <w:tc>
          <w:tcPr>
            <w:tcW w:type="dxa" w:w="1837"/>
          </w:tcPr>
          <w:p>
            <w:pPr>
              <w:pStyle w:val="Compact"/>
              <w:spacing w:after="0" w:before="0" w:line="240" w:lineRule="auto"/>
              <w:jc w:val="left"/>
            </w:pPr>
            <w:r>
              <w:rPr>
                <w:rFonts w:ascii="Arial" w:hAnsi="Arial"/>
                <w:sz w:val="15"/>
              </w:rPr>
              <w:t xml:space="preserve">3→2 consolidation</w:t>
            </w:r>
          </w:p>
        </w:tc>
      </w:tr>
      <w:tr>
        <w:trPr>
          <w:cantSplit/>
        </w:trPr>
        <w:tc>
          <w:tcPr>
            <w:tcW w:type="dxa" w:w="1660"/>
            <w:shd w:val="clear" w:color="auto" w:fill="F1F2F5"/>
          </w:tcPr>
          <w:p>
            <w:pPr>
              <w:pStyle w:val="Compact"/>
              <w:spacing w:after="0" w:before="0" w:line="240" w:lineRule="auto"/>
              <w:jc w:val="left"/>
            </w:pPr>
            <w:r>
              <w:rPr>
                <w:rFonts w:ascii="Arial" w:hAnsi="Arial"/>
                <w:sz w:val="15"/>
              </w:rPr>
              <w:t xml:space="preserve">Taiwan Star</w:t>
            </w:r>
          </w:p>
        </w:tc>
        <w:tc>
          <w:tcPr>
            <w:tcW w:type="dxa" w:w="1747"/>
            <w:shd w:val="clear" w:color="auto" w:fill="F1F2F5"/>
          </w:tcPr>
          <w:p>
            <w:pPr>
              <w:pStyle w:val="Compact"/>
              <w:spacing w:after="0" w:before="0" w:line="240" w:lineRule="auto"/>
              <w:jc w:val="left"/>
            </w:pPr>
            <w:r>
              <w:rPr>
                <w:rFonts w:ascii="Arial" w:hAnsi="Arial"/>
                <w:sz w:val="15"/>
              </w:rPr>
              <w:t xml:space="preserve">Taiwan Mobile</w:t>
            </w:r>
          </w:p>
        </w:tc>
        <w:tc>
          <w:tcPr>
            <w:tcW w:type="dxa" w:w="1072"/>
            <w:shd w:val="clear" w:color="auto" w:fill="F1F2F5"/>
          </w:tcPr>
          <w:p>
            <w:pPr>
              <w:pStyle w:val="Compact"/>
              <w:spacing w:after="0" w:before="0" w:line="240" w:lineRule="auto"/>
              <w:jc w:val="left"/>
            </w:pPr>
            <w:r>
              <w:rPr>
                <w:rFonts w:ascii="Arial" w:hAnsi="Arial"/>
                <w:sz w:val="15"/>
              </w:rPr>
              <w:t xml:space="preserve">Dec-2021</w:t>
            </w:r>
          </w:p>
        </w:tc>
        <w:tc>
          <w:tcPr>
            <w:tcW w:type="dxa" w:w="1457"/>
            <w:shd w:val="clear" w:color="auto" w:fill="F1F2F5"/>
          </w:tcPr>
          <w:p>
            <w:pPr>
              <w:pStyle w:val="Compact"/>
              <w:spacing w:after="0" w:before="0" w:line="240" w:lineRule="auto"/>
              <w:jc w:val="left"/>
            </w:pPr>
            <w:r>
              <w:rPr>
                <w:rFonts w:ascii="Arial" w:hAnsi="Arial"/>
                <w:sz w:val="15"/>
              </w:rPr>
              <w:t xml:space="preserve">EV NT$47bn</w:t>
            </w:r>
          </w:p>
        </w:tc>
        <w:tc>
          <w:tcPr>
            <w:tcW w:type="dxa" w:w="1082"/>
            <w:shd w:val="clear" w:color="auto" w:fill="F1F2F5"/>
          </w:tcPr>
          <w:p>
            <w:pPr>
              <w:pStyle w:val="Compact"/>
              <w:spacing w:after="0" w:before="0" w:line="240" w:lineRule="auto"/>
              <w:jc w:val="right"/>
            </w:pPr>
            <w:r>
              <w:rPr>
                <w:rFonts w:ascii="Arial" w:hAnsi="Arial"/>
                <w:sz w:val="15"/>
              </w:rPr>
              <w:t xml:space="preserve">n/m</w:t>
            </w:r>
          </w:p>
        </w:tc>
        <w:tc>
          <w:tcPr>
            <w:tcW w:type="dxa" w:w="1123"/>
            <w:shd w:val="clear" w:color="auto" w:fill="F1F2F5"/>
          </w:tcPr>
          <w:p>
            <w:pPr>
              <w:pStyle w:val="Compact"/>
              <w:spacing w:after="0" w:before="0" w:line="240" w:lineRule="auto"/>
              <w:jc w:val="right"/>
            </w:pPr>
            <w:r>
              <w:rPr>
                <w:rFonts w:ascii="Arial" w:hAnsi="Arial"/>
                <w:sz w:val="15"/>
              </w:rPr>
              <w:t xml:space="preserve">3.7x</w:t>
            </w:r>
          </w:p>
        </w:tc>
        <w:tc>
          <w:tcPr>
            <w:tcW w:type="dxa" w:w="1837"/>
            <w:shd w:val="clear" w:color="auto" w:fill="F1F2F5"/>
          </w:tcPr>
          <w:p>
            <w:pPr>
              <w:pStyle w:val="Compact"/>
              <w:spacing w:after="0" w:before="0" w:line="240" w:lineRule="auto"/>
              <w:jc w:val="left"/>
            </w:pPr>
            <w:r>
              <w:rPr>
                <w:rFonts w:ascii="Arial" w:hAnsi="Arial"/>
                <w:sz w:val="15"/>
              </w:rPr>
              <w:t xml:space="preserve">Spectrum-driven</w:t>
            </w:r>
          </w:p>
        </w:tc>
      </w:tr>
      <w:tr>
        <w:trPr>
          <w:cantSplit/>
        </w:trPr>
        <w:tc>
          <w:tcPr>
            <w:tcW w:type="dxa" w:w="1660"/>
          </w:tcPr>
          <w:p>
            <w:pPr>
              <w:pStyle w:val="Compact"/>
              <w:spacing w:after="0" w:before="0" w:line="240" w:lineRule="auto"/>
              <w:jc w:val="left"/>
            </w:pPr>
            <w:r>
              <w:rPr>
                <w:rFonts w:ascii="Arial" w:hAnsi="Arial"/>
                <w:sz w:val="15"/>
              </w:rPr>
              <w:t xml:space="preserve">Asia Pacific Telecom</w:t>
            </w:r>
          </w:p>
        </w:tc>
        <w:tc>
          <w:tcPr>
            <w:tcW w:type="dxa" w:w="1747"/>
          </w:tcPr>
          <w:p>
            <w:pPr>
              <w:pStyle w:val="Compact"/>
              <w:spacing w:after="0" w:before="0" w:line="240" w:lineRule="auto"/>
              <w:jc w:val="left"/>
            </w:pPr>
            <w:r>
              <w:rPr>
                <w:rFonts w:ascii="Arial" w:hAnsi="Arial"/>
                <w:sz w:val="15"/>
              </w:rPr>
              <w:t xml:space="preserve">Far EasTone</w:t>
            </w:r>
          </w:p>
        </w:tc>
        <w:tc>
          <w:tcPr>
            <w:tcW w:type="dxa" w:w="1072"/>
          </w:tcPr>
          <w:p>
            <w:pPr>
              <w:pStyle w:val="Compact"/>
              <w:spacing w:after="0" w:before="0" w:line="240" w:lineRule="auto"/>
              <w:jc w:val="left"/>
            </w:pPr>
            <w:r>
              <w:rPr>
                <w:rFonts w:ascii="Arial" w:hAnsi="Arial"/>
                <w:sz w:val="15"/>
              </w:rPr>
              <w:t xml:space="preserve">Feb-2022</w:t>
            </w:r>
          </w:p>
        </w:tc>
        <w:tc>
          <w:tcPr>
            <w:tcW w:type="dxa" w:w="1457"/>
          </w:tcPr>
          <w:p>
            <w:pPr>
              <w:pStyle w:val="Compact"/>
              <w:spacing w:after="0" w:before="0" w:line="240" w:lineRule="auto"/>
              <w:jc w:val="left"/>
            </w:pPr>
            <w:r>
              <w:rPr>
                <w:rFonts w:ascii="Arial" w:hAnsi="Arial"/>
                <w:sz w:val="15"/>
              </w:rPr>
              <w:t xml:space="preserve">EV NT$44bn</w:t>
            </w:r>
          </w:p>
        </w:tc>
        <w:tc>
          <w:tcPr>
            <w:tcW w:type="dxa" w:w="1082"/>
          </w:tcPr>
          <w:p>
            <w:pPr>
              <w:pStyle w:val="Compact"/>
              <w:spacing w:after="0" w:before="0" w:line="240" w:lineRule="auto"/>
              <w:jc w:val="right"/>
            </w:pPr>
            <w:r>
              <w:rPr>
                <w:rFonts w:ascii="Arial" w:hAnsi="Arial"/>
                <w:sz w:val="15"/>
              </w:rPr>
              <w:t xml:space="preserve">n/m</w:t>
            </w:r>
          </w:p>
        </w:tc>
        <w:tc>
          <w:tcPr>
            <w:tcW w:type="dxa" w:w="1123"/>
          </w:tcPr>
          <w:p>
            <w:pPr>
              <w:pStyle w:val="Compact"/>
              <w:spacing w:after="0" w:before="0" w:line="240" w:lineRule="auto"/>
              <w:jc w:val="right"/>
            </w:pPr>
            <w:r>
              <w:rPr>
                <w:rFonts w:ascii="Arial" w:hAnsi="Arial"/>
                <w:sz w:val="15"/>
              </w:rPr>
              <w:t xml:space="preserve">3.5x</w:t>
            </w:r>
          </w:p>
        </w:tc>
        <w:tc>
          <w:tcPr>
            <w:tcW w:type="dxa" w:w="1837"/>
          </w:tcPr>
          <w:p>
            <w:pPr>
              <w:pStyle w:val="Compact"/>
              <w:spacing w:after="0" w:before="0" w:line="240" w:lineRule="auto"/>
              <w:jc w:val="left"/>
            </w:pPr>
            <w:r>
              <w:rPr>
                <w:rFonts w:ascii="Arial" w:hAnsi="Arial"/>
                <w:sz w:val="15"/>
              </w:rPr>
              <w:t xml:space="preserve">Spectrum-driven</w:t>
            </w:r>
          </w:p>
        </w:tc>
      </w:tr>
      <w:tr>
        <w:trPr>
          <w:cantSplit/>
        </w:trPr>
        <w:tc>
          <w:tcPr>
            <w:tcW w:type="dxa" w:w="1660"/>
            <w:shd w:val="clear" w:color="auto" w:fill="F1F2F5"/>
          </w:tcPr>
          <w:p>
            <w:pPr>
              <w:pStyle w:val="Compact"/>
              <w:spacing w:after="0" w:before="0" w:line="240" w:lineRule="auto"/>
              <w:jc w:val="left"/>
            </w:pPr>
            <w:r>
              <w:rPr>
                <w:rFonts w:ascii="Arial" w:hAnsi="Arial"/>
                <w:sz w:val="15"/>
              </w:rPr>
              <w:t xml:space="preserve">MasMovil / Orange Spain</w:t>
            </w:r>
          </w:p>
        </w:tc>
        <w:tc>
          <w:tcPr>
            <w:tcW w:type="dxa" w:w="1747"/>
            <w:shd w:val="clear" w:color="auto" w:fill="F1F2F5"/>
          </w:tcPr>
          <w:p>
            <w:pPr>
              <w:pStyle w:val="Compact"/>
              <w:spacing w:after="0" w:before="0" w:line="240" w:lineRule="auto"/>
              <w:jc w:val="left"/>
            </w:pPr>
            <w:r>
              <w:rPr>
                <w:rFonts w:ascii="Arial" w:hAnsi="Arial"/>
                <w:sz w:val="15"/>
              </w:rPr>
              <w:t xml:space="preserve">Orange–MasMovil JV</w:t>
            </w:r>
          </w:p>
        </w:tc>
        <w:tc>
          <w:tcPr>
            <w:tcW w:type="dxa" w:w="1072"/>
            <w:shd w:val="clear" w:color="auto" w:fill="F1F2F5"/>
          </w:tcPr>
          <w:p>
            <w:pPr>
              <w:pStyle w:val="Compact"/>
              <w:spacing w:after="0" w:before="0" w:line="240" w:lineRule="auto"/>
              <w:jc w:val="left"/>
            </w:pPr>
            <w:r>
              <w:rPr>
                <w:rFonts w:ascii="Arial" w:hAnsi="Arial"/>
                <w:sz w:val="15"/>
              </w:rPr>
              <w:t xml:space="preserve">Jul-2022</w:t>
            </w:r>
          </w:p>
        </w:tc>
        <w:tc>
          <w:tcPr>
            <w:tcW w:type="dxa" w:w="1457"/>
            <w:shd w:val="clear" w:color="auto" w:fill="F1F2F5"/>
          </w:tcPr>
          <w:p>
            <w:pPr>
              <w:pStyle w:val="Compact"/>
              <w:spacing w:after="0" w:before="0" w:line="240" w:lineRule="auto"/>
              <w:jc w:val="left"/>
            </w:pPr>
            <w:r>
              <w:rPr>
                <w:rFonts w:ascii="Arial" w:hAnsi="Arial"/>
                <w:sz w:val="15"/>
              </w:rPr>
              <w:t xml:space="preserve">EV €18.6bn</w:t>
            </w:r>
          </w:p>
        </w:tc>
        <w:tc>
          <w:tcPr>
            <w:tcW w:type="dxa" w:w="1082"/>
            <w:shd w:val="clear" w:color="auto" w:fill="F1F2F5"/>
          </w:tcPr>
          <w:p>
            <w:pPr>
              <w:pStyle w:val="Compact"/>
              <w:spacing w:after="0" w:before="0" w:line="240" w:lineRule="auto"/>
              <w:jc w:val="right"/>
            </w:pPr>
            <w:r>
              <w:rPr>
                <w:rFonts w:ascii="Arial" w:hAnsi="Arial"/>
                <w:sz w:val="15"/>
              </w:rPr>
              <w:t xml:space="preserve">7.2–8.7x</w:t>
            </w:r>
          </w:p>
        </w:tc>
        <w:tc>
          <w:tcPr>
            <w:tcW w:type="dxa" w:w="1123"/>
            <w:shd w:val="clear" w:color="auto" w:fill="F1F2F5"/>
          </w:tcPr>
          <w:p>
            <w:pPr>
              <w:pStyle w:val="Compact"/>
              <w:spacing w:after="0" w:before="0" w:line="240" w:lineRule="auto"/>
              <w:jc w:val="right"/>
            </w:pPr>
            <w:r>
              <w:rPr>
                <w:rFonts w:ascii="Arial" w:hAnsi="Arial"/>
                <w:sz w:val="15"/>
              </w:rPr>
              <w:t xml:space="preserve">n/d</w:t>
            </w:r>
          </w:p>
        </w:tc>
        <w:tc>
          <w:tcPr>
            <w:tcW w:type="dxa" w:w="1837"/>
            <w:shd w:val="clear" w:color="auto" w:fill="F1F2F5"/>
          </w:tcPr>
          <w:p>
            <w:pPr>
              <w:pStyle w:val="Compact"/>
              <w:spacing w:after="0" w:before="0" w:line="240" w:lineRule="auto"/>
              <w:jc w:val="left"/>
            </w:pPr>
            <w:r>
              <w:rPr>
                <w:rFonts w:ascii="Arial" w:hAnsi="Arial"/>
                <w:sz w:val="15"/>
              </w:rPr>
              <w:t xml:space="preserve">4→3 in Spain</w:t>
            </w:r>
          </w:p>
        </w:tc>
      </w:tr>
      <w:tr>
        <w:trPr>
          <w:cantSplit/>
        </w:trPr>
        <w:tc>
          <w:tcPr>
            <w:tcW w:type="dxa" w:w="1660"/>
          </w:tcPr>
          <w:p>
            <w:pPr>
              <w:pStyle w:val="Compact"/>
              <w:spacing w:after="0" w:before="0" w:line="240" w:lineRule="auto"/>
              <w:jc w:val="left"/>
            </w:pPr>
            <w:r>
              <w:rPr>
                <w:rFonts w:ascii="Arial" w:hAnsi="Arial"/>
                <w:sz w:val="15"/>
              </w:rPr>
              <w:t xml:space="preserve">Vodafone UK / Three UK</w:t>
            </w:r>
          </w:p>
        </w:tc>
        <w:tc>
          <w:tcPr>
            <w:tcW w:type="dxa" w:w="1747"/>
          </w:tcPr>
          <w:p>
            <w:pPr>
              <w:pStyle w:val="Compact"/>
              <w:spacing w:after="0" w:before="0" w:line="240" w:lineRule="auto"/>
              <w:jc w:val="left"/>
            </w:pPr>
            <w:r>
              <w:rPr>
                <w:rFonts w:ascii="Arial" w:hAnsi="Arial"/>
                <w:sz w:val="15"/>
              </w:rPr>
              <w:t xml:space="preserve">Vodafone–CK Hutchison</w:t>
            </w:r>
          </w:p>
        </w:tc>
        <w:tc>
          <w:tcPr>
            <w:tcW w:type="dxa" w:w="1072"/>
          </w:tcPr>
          <w:p>
            <w:pPr>
              <w:pStyle w:val="Compact"/>
              <w:spacing w:after="0" w:before="0" w:line="240" w:lineRule="auto"/>
              <w:jc w:val="left"/>
            </w:pPr>
            <w:r>
              <w:rPr>
                <w:rFonts w:ascii="Arial" w:hAnsi="Arial"/>
                <w:sz w:val="15"/>
              </w:rPr>
              <w:t xml:space="preserve">Jun-2023</w:t>
            </w:r>
          </w:p>
        </w:tc>
        <w:tc>
          <w:tcPr>
            <w:tcW w:type="dxa" w:w="1457"/>
          </w:tcPr>
          <w:p>
            <w:pPr>
              <w:pStyle w:val="Compact"/>
              <w:spacing w:after="0" w:before="0" w:line="240" w:lineRule="auto"/>
              <w:jc w:val="left"/>
            </w:pPr>
            <w:r>
              <w:rPr>
                <w:rFonts w:ascii="Arial" w:hAnsi="Arial"/>
                <w:sz w:val="15"/>
              </w:rPr>
              <w:t xml:space="preserve">51/49 merger; 2026 buyout implies EV £13.85bn</w:t>
            </w:r>
          </w:p>
        </w:tc>
        <w:tc>
          <w:tcPr>
            <w:tcW w:type="dxa" w:w="1082"/>
          </w:tcPr>
          <w:p>
            <w:pPr>
              <w:pStyle w:val="Compact"/>
              <w:spacing w:after="0" w:before="0" w:line="240" w:lineRule="auto"/>
              <w:jc w:val="right"/>
            </w:pPr>
            <w:r>
              <w:rPr>
                <w:rFonts w:ascii="Arial" w:hAnsi="Arial"/>
                <w:sz w:val="15"/>
              </w:rPr>
              <w:t xml:space="preserve">n/d</w:t>
            </w:r>
          </w:p>
        </w:tc>
        <w:tc>
          <w:tcPr>
            <w:tcW w:type="dxa" w:w="1123"/>
          </w:tcPr>
          <w:p>
            <w:pPr>
              <w:pStyle w:val="Compact"/>
              <w:spacing w:after="0" w:before="0" w:line="240" w:lineRule="auto"/>
              <w:jc w:val="right"/>
            </w:pPr>
            <w:r>
              <w:rPr>
                <w:rFonts w:ascii="Arial" w:hAnsi="Arial"/>
                <w:sz w:val="15"/>
              </w:rPr>
              <w:t xml:space="preserve">n/d</w:t>
            </w:r>
          </w:p>
        </w:tc>
        <w:tc>
          <w:tcPr>
            <w:tcW w:type="dxa" w:w="1837"/>
          </w:tcPr>
          <w:p>
            <w:pPr>
              <w:pStyle w:val="Compact"/>
              <w:spacing w:after="0" w:before="0" w:line="240" w:lineRule="auto"/>
              <w:jc w:val="left"/>
            </w:pPr>
            <w:r>
              <w:rPr>
                <w:rFonts w:ascii="Arial" w:hAnsi="Arial"/>
                <w:sz w:val="15"/>
              </w:rPr>
              <w:t xml:space="preserve">4→3 in the UK</w:t>
            </w:r>
          </w:p>
        </w:tc>
      </w:tr>
      <w:tr>
        <w:trPr>
          <w:cantSplit/>
        </w:trPr>
        <w:tc>
          <w:tcPr>
            <w:tcW w:type="dxa" w:w="1660"/>
            <w:shd w:val="clear" w:color="auto" w:fill="F1F2F5"/>
          </w:tcPr>
          <w:p>
            <w:pPr>
              <w:pStyle w:val="Compact"/>
              <w:spacing w:after="0" w:before="0" w:line="240" w:lineRule="auto"/>
              <w:jc w:val="left"/>
            </w:pPr>
            <w:r>
              <w:rPr>
                <w:rFonts w:ascii="Arial" w:hAnsi="Arial"/>
                <w:sz w:val="15"/>
              </w:rPr>
              <w:t xml:space="preserve">KT Cloud (13.0%)</w:t>
            </w:r>
          </w:p>
        </w:tc>
        <w:tc>
          <w:tcPr>
            <w:tcW w:type="dxa" w:w="1747"/>
            <w:shd w:val="clear" w:color="auto" w:fill="F1F2F5"/>
          </w:tcPr>
          <w:p>
            <w:pPr>
              <w:pStyle w:val="Compact"/>
              <w:spacing w:after="0" w:before="0" w:line="240" w:lineRule="auto"/>
              <w:jc w:val="left"/>
            </w:pPr>
            <w:r>
              <w:rPr>
                <w:rFonts w:ascii="Arial" w:hAnsi="Arial"/>
                <w:sz w:val="15"/>
              </w:rPr>
              <w:t xml:space="preserve">IMM Credit &amp; Solutions</w:t>
            </w:r>
          </w:p>
        </w:tc>
        <w:tc>
          <w:tcPr>
            <w:tcW w:type="dxa" w:w="1072"/>
            <w:shd w:val="clear" w:color="auto" w:fill="F1F2F5"/>
          </w:tcPr>
          <w:p>
            <w:pPr>
              <w:pStyle w:val="Compact"/>
              <w:spacing w:after="0" w:before="0" w:line="240" w:lineRule="auto"/>
              <w:jc w:val="left"/>
            </w:pPr>
            <w:r>
              <w:rPr>
                <w:rFonts w:ascii="Arial" w:hAnsi="Arial"/>
                <w:sz w:val="15"/>
              </w:rPr>
              <w:t xml:space="preserve">May-2023</w:t>
            </w:r>
          </w:p>
        </w:tc>
        <w:tc>
          <w:tcPr>
            <w:tcW w:type="dxa" w:w="1457"/>
            <w:shd w:val="clear" w:color="auto" w:fill="F1F2F5"/>
          </w:tcPr>
          <w:p>
            <w:pPr>
              <w:pStyle w:val="Compact"/>
              <w:spacing w:after="0" w:before="0" w:line="240" w:lineRule="auto"/>
              <w:jc w:val="left"/>
            </w:pPr>
            <w:r>
              <w:rPr>
                <w:rFonts w:ascii="Arial" w:hAnsi="Arial"/>
                <w:sz w:val="15"/>
              </w:rPr>
              <w:t xml:space="preserve">KRW600bn (post-money KRW4.6tn)</w:t>
            </w:r>
          </w:p>
        </w:tc>
        <w:tc>
          <w:tcPr>
            <w:tcW w:type="dxa" w:w="1082"/>
            <w:shd w:val="clear" w:color="auto" w:fill="F1F2F5"/>
          </w:tcPr>
          <w:p>
            <w:pPr>
              <w:pStyle w:val="Compact"/>
              <w:spacing w:after="0" w:before="0" w:line="240" w:lineRule="auto"/>
              <w:jc w:val="right"/>
            </w:pPr>
            <w:r>
              <w:rPr>
                <w:rFonts w:ascii="Arial" w:hAnsi="Arial"/>
                <w:sz w:val="15"/>
              </w:rPr>
              <w:t xml:space="preserve">n/d</w:t>
            </w:r>
          </w:p>
        </w:tc>
        <w:tc>
          <w:tcPr>
            <w:tcW w:type="dxa" w:w="1123"/>
            <w:shd w:val="clear" w:color="auto" w:fill="F1F2F5"/>
          </w:tcPr>
          <w:p>
            <w:pPr>
              <w:pStyle w:val="Compact"/>
              <w:spacing w:after="0" w:before="0" w:line="240" w:lineRule="auto"/>
              <w:jc w:val="right"/>
            </w:pPr>
            <w:r>
              <w:rPr>
                <w:rFonts w:ascii="Arial" w:hAnsi="Arial"/>
                <w:sz w:val="15"/>
              </w:rPr>
              <w:t xml:space="preserve">n/d</w:t>
            </w:r>
          </w:p>
        </w:tc>
        <w:tc>
          <w:tcPr>
            <w:tcW w:type="dxa" w:w="1837"/>
            <w:shd w:val="clear" w:color="auto" w:fill="F1F2F5"/>
          </w:tcPr>
          <w:p>
            <w:pPr>
              <w:pStyle w:val="Compact"/>
              <w:spacing w:after="0" w:before="0" w:line="240" w:lineRule="auto"/>
              <w:jc w:val="left"/>
            </w:pPr>
            <w:r>
              <w:rPr>
                <w:rFonts w:ascii="Arial" w:hAnsi="Arial"/>
                <w:sz w:val="15"/>
              </w:rPr>
              <w:t xml:space="preserve">Korean cloud/IDC valuation</w:t>
            </w:r>
          </w:p>
        </w:tc>
      </w:tr>
      <w:tr>
        <w:trPr>
          <w:cantSplit/>
        </w:trPr>
        <w:tc>
          <w:tcPr>
            <w:tcW w:type="dxa" w:w="1660"/>
          </w:tcPr>
          <w:p>
            <w:pPr>
              <w:pStyle w:val="Compact"/>
              <w:spacing w:after="0" w:before="0" w:line="240" w:lineRule="auto"/>
              <w:jc w:val="left"/>
            </w:pPr>
            <w:r>
              <w:rPr>
                <w:rFonts w:ascii="Arial" w:hAnsi="Arial"/>
                <w:sz w:val="15"/>
              </w:rPr>
              <w:t xml:space="preserve">Lawson (50%)</w:t>
            </w:r>
          </w:p>
        </w:tc>
        <w:tc>
          <w:tcPr>
            <w:tcW w:type="dxa" w:w="1747"/>
          </w:tcPr>
          <w:p>
            <w:pPr>
              <w:pStyle w:val="Compact"/>
              <w:spacing w:after="0" w:before="0" w:line="240" w:lineRule="auto"/>
              <w:jc w:val="left"/>
            </w:pPr>
            <w:r>
              <w:rPr>
                <w:rFonts w:ascii="Arial" w:hAnsi="Arial"/>
                <w:sz w:val="15"/>
              </w:rPr>
              <w:t xml:space="preserve">KDDI (tender offer)</w:t>
            </w:r>
          </w:p>
        </w:tc>
        <w:tc>
          <w:tcPr>
            <w:tcW w:type="dxa" w:w="1072"/>
          </w:tcPr>
          <w:p>
            <w:pPr>
              <w:pStyle w:val="Compact"/>
              <w:spacing w:after="0" w:before="0" w:line="240" w:lineRule="auto"/>
              <w:jc w:val="left"/>
            </w:pPr>
            <w:r>
              <w:rPr>
                <w:rFonts w:ascii="Arial" w:hAnsi="Arial"/>
                <w:sz w:val="15"/>
              </w:rPr>
              <w:t xml:space="preserve">Feb-2024</w:t>
            </w:r>
          </w:p>
        </w:tc>
        <w:tc>
          <w:tcPr>
            <w:tcW w:type="dxa" w:w="1457"/>
          </w:tcPr>
          <w:p>
            <w:pPr>
              <w:pStyle w:val="Compact"/>
              <w:spacing w:after="0" w:before="0" w:line="240" w:lineRule="auto"/>
              <w:jc w:val="left"/>
            </w:pPr>
            <w:r>
              <w:rPr>
                <w:rFonts w:ascii="Arial" w:hAnsi="Arial"/>
                <w:sz w:val="15"/>
              </w:rPr>
              <w:t xml:space="preserve">¥497bn; EV ¥1.6tn</w:t>
            </w:r>
          </w:p>
        </w:tc>
        <w:tc>
          <w:tcPr>
            <w:tcW w:type="dxa" w:w="1082"/>
          </w:tcPr>
          <w:p>
            <w:pPr>
              <w:pStyle w:val="Compact"/>
              <w:spacing w:after="0" w:before="0" w:line="240" w:lineRule="auto"/>
              <w:jc w:val="right"/>
            </w:pPr>
            <w:r>
              <w:rPr>
                <w:rFonts w:ascii="Arial" w:hAnsi="Arial"/>
                <w:sz w:val="15"/>
              </w:rPr>
              <w:t xml:space="preserve">5.2x</w:t>
            </w:r>
          </w:p>
        </w:tc>
        <w:tc>
          <w:tcPr>
            <w:tcW w:type="dxa" w:w="1123"/>
          </w:tcPr>
          <w:p>
            <w:pPr>
              <w:pStyle w:val="Compact"/>
              <w:spacing w:after="0" w:before="0" w:line="240" w:lineRule="auto"/>
              <w:jc w:val="right"/>
            </w:pPr>
            <w:r>
              <w:rPr>
                <w:rFonts w:ascii="Arial" w:hAnsi="Arial"/>
                <w:sz w:val="15"/>
              </w:rPr>
              <w:t xml:space="preserve">1.5x</w:t>
            </w:r>
          </w:p>
        </w:tc>
        <w:tc>
          <w:tcPr>
            <w:tcW w:type="dxa" w:w="1837"/>
          </w:tcPr>
          <w:p>
            <w:pPr>
              <w:pStyle w:val="Compact"/>
              <w:spacing w:after="0" w:before="0" w:line="240" w:lineRule="auto"/>
              <w:jc w:val="left"/>
            </w:pPr>
            <w:r>
              <w:rPr>
                <w:rFonts w:ascii="Arial" w:hAnsi="Arial"/>
                <w:sz w:val="15"/>
              </w:rPr>
              <w:t xml:space="preserve">16% premium</w:t>
            </w:r>
          </w:p>
        </w:tc>
      </w:tr>
      <w:tr>
        <w:trPr>
          <w:cantSplit/>
        </w:trPr>
        <w:tc>
          <w:tcPr>
            <w:tcW w:type="dxa" w:w="1660"/>
            <w:shd w:val="clear" w:color="auto" w:fill="F1F2F5"/>
          </w:tcPr>
          <w:p>
            <w:pPr>
              <w:pStyle w:val="Compact"/>
              <w:spacing w:after="0" w:before="0" w:line="240" w:lineRule="auto"/>
              <w:jc w:val="left"/>
            </w:pPr>
            <w:r>
              <w:rPr>
                <w:rFonts w:ascii="Arial" w:hAnsi="Arial"/>
                <w:sz w:val="15"/>
              </w:rPr>
              <w:t xml:space="preserve">IGIS Hanam DC (40MW)</w:t>
            </w:r>
          </w:p>
        </w:tc>
        <w:tc>
          <w:tcPr>
            <w:tcW w:type="dxa" w:w="1747"/>
            <w:shd w:val="clear" w:color="auto" w:fill="F1F2F5"/>
          </w:tcPr>
          <w:p>
            <w:pPr>
              <w:pStyle w:val="Compact"/>
              <w:spacing w:after="0" w:before="0" w:line="240" w:lineRule="auto"/>
              <w:jc w:val="left"/>
            </w:pPr>
            <w:r>
              <w:rPr>
                <w:rFonts w:ascii="Arial" w:hAnsi="Arial"/>
                <w:sz w:val="15"/>
              </w:rPr>
              <w:t xml:space="preserve">Macquarie Korea Infrastructure</w:t>
            </w:r>
          </w:p>
        </w:tc>
        <w:tc>
          <w:tcPr>
            <w:tcW w:type="dxa" w:w="1072"/>
            <w:shd w:val="clear" w:color="auto" w:fill="F1F2F5"/>
          </w:tcPr>
          <w:p>
            <w:pPr>
              <w:pStyle w:val="Compact"/>
              <w:spacing w:after="0" w:before="0" w:line="240" w:lineRule="auto"/>
              <w:jc w:val="left"/>
            </w:pPr>
            <w:r>
              <w:rPr>
                <w:rFonts w:ascii="Arial" w:hAnsi="Arial"/>
                <w:sz w:val="15"/>
              </w:rPr>
              <w:t xml:space="preserve">2024</w:t>
            </w:r>
          </w:p>
        </w:tc>
        <w:tc>
          <w:tcPr>
            <w:tcW w:type="dxa" w:w="1457"/>
            <w:shd w:val="clear" w:color="auto" w:fill="F1F2F5"/>
          </w:tcPr>
          <w:p>
            <w:pPr>
              <w:pStyle w:val="Compact"/>
              <w:spacing w:after="0" w:before="0" w:line="240" w:lineRule="auto"/>
              <w:jc w:val="left"/>
            </w:pPr>
            <w:r>
              <w:rPr>
                <w:rFonts w:ascii="Arial" w:hAnsi="Arial"/>
                <w:sz w:val="15"/>
              </w:rPr>
              <w:t xml:space="preserve">KRW734bn</w:t>
            </w:r>
          </w:p>
        </w:tc>
        <w:tc>
          <w:tcPr>
            <w:tcW w:type="dxa" w:w="1082"/>
            <w:shd w:val="clear" w:color="auto" w:fill="F1F2F5"/>
          </w:tcPr>
          <w:p>
            <w:pPr>
              <w:pStyle w:val="Compact"/>
              <w:spacing w:after="0" w:before="0" w:line="240" w:lineRule="auto"/>
              <w:jc w:val="right"/>
            </w:pPr>
            <w:r>
              <w:rPr>
                <w:rFonts w:ascii="Arial" w:hAnsi="Arial"/>
                <w:sz w:val="15"/>
              </w:rPr>
              <w:t xml:space="preserve">n/d</w:t>
            </w:r>
          </w:p>
        </w:tc>
        <w:tc>
          <w:tcPr>
            <w:tcW w:type="dxa" w:w="1123"/>
            <w:shd w:val="clear" w:color="auto" w:fill="F1F2F5"/>
          </w:tcPr>
          <w:p>
            <w:pPr>
              <w:pStyle w:val="Compact"/>
              <w:spacing w:after="0" w:before="0" w:line="240" w:lineRule="auto"/>
              <w:jc w:val="right"/>
            </w:pPr>
            <w:r>
              <w:rPr>
                <w:rFonts w:ascii="Arial" w:hAnsi="Arial"/>
                <w:sz w:val="15"/>
              </w:rPr>
              <w:t xml:space="preserve">n/d</w:t>
            </w:r>
          </w:p>
        </w:tc>
        <w:tc>
          <w:tcPr>
            <w:tcW w:type="dxa" w:w="1837"/>
            <w:shd w:val="clear" w:color="auto" w:fill="F1F2F5"/>
          </w:tcPr>
          <w:p>
            <w:pPr>
              <w:pStyle w:val="Compact"/>
              <w:spacing w:after="0" w:before="0" w:line="240" w:lineRule="auto"/>
              <w:jc w:val="left"/>
            </w:pPr>
            <w:r>
              <w:rPr>
                <w:rFonts w:ascii="Arial" w:hAnsi="Arial"/>
                <w:sz w:val="15"/>
              </w:rPr>
              <w:t xml:space="preserve">~KRW18bn per MW</w:t>
            </w:r>
          </w:p>
        </w:tc>
      </w:tr>
      <w:tr>
        <w:trPr>
          <w:cantSplit/>
        </w:trPr>
        <w:tc>
          <w:tcPr>
            <w:tcW w:type="dxa" w:w="1660"/>
          </w:tcPr>
          <w:p>
            <w:pPr>
              <w:pStyle w:val="Compact"/>
              <w:spacing w:after="0" w:before="0" w:line="240" w:lineRule="auto"/>
              <w:jc w:val="left"/>
            </w:pPr>
            <w:r>
              <w:rPr>
                <w:rFonts w:ascii="Arial" w:hAnsi="Arial"/>
                <w:sz w:val="15"/>
              </w:rPr>
              <w:t xml:space="preserve">Smartfren</w:t>
            </w:r>
          </w:p>
        </w:tc>
        <w:tc>
          <w:tcPr>
            <w:tcW w:type="dxa" w:w="1747"/>
          </w:tcPr>
          <w:p>
            <w:pPr>
              <w:pStyle w:val="Compact"/>
              <w:spacing w:after="0" w:before="0" w:line="240" w:lineRule="auto"/>
              <w:jc w:val="left"/>
            </w:pPr>
            <w:r>
              <w:rPr>
                <w:rFonts w:ascii="Arial" w:hAnsi="Arial"/>
                <w:sz w:val="15"/>
              </w:rPr>
              <w:t xml:space="preserve">XL Axiata (XLSmart merger)</w:t>
            </w:r>
          </w:p>
        </w:tc>
        <w:tc>
          <w:tcPr>
            <w:tcW w:type="dxa" w:w="1072"/>
          </w:tcPr>
          <w:p>
            <w:pPr>
              <w:pStyle w:val="Compact"/>
              <w:spacing w:after="0" w:before="0" w:line="240" w:lineRule="auto"/>
              <w:jc w:val="left"/>
            </w:pPr>
            <w:r>
              <w:rPr>
                <w:rFonts w:ascii="Arial" w:hAnsi="Arial"/>
                <w:sz w:val="15"/>
              </w:rPr>
              <w:t xml:space="preserve">Dec-2024</w:t>
            </w:r>
          </w:p>
        </w:tc>
        <w:tc>
          <w:tcPr>
            <w:tcW w:type="dxa" w:w="1457"/>
          </w:tcPr>
          <w:p>
            <w:pPr>
              <w:pStyle w:val="Compact"/>
              <w:spacing w:after="0" w:before="0" w:line="240" w:lineRule="auto"/>
              <w:jc w:val="left"/>
            </w:pPr>
            <w:r>
              <w:rPr>
                <w:rFonts w:ascii="Arial" w:hAnsi="Arial"/>
                <w:sz w:val="15"/>
              </w:rPr>
              <w:t xml:space="preserve">Combined EV US$6.5bn</w:t>
            </w:r>
          </w:p>
        </w:tc>
        <w:tc>
          <w:tcPr>
            <w:tcW w:type="dxa" w:w="1082"/>
          </w:tcPr>
          <w:p>
            <w:pPr>
              <w:pStyle w:val="Compact"/>
              <w:spacing w:after="0" w:before="0" w:line="240" w:lineRule="auto"/>
              <w:jc w:val="right"/>
            </w:pPr>
            <w:r>
              <w:rPr>
                <w:rFonts w:ascii="Arial" w:hAnsi="Arial"/>
                <w:sz w:val="15"/>
              </w:rPr>
              <w:t xml:space="preserve">~5.3x</w:t>
            </w:r>
          </w:p>
        </w:tc>
        <w:tc>
          <w:tcPr>
            <w:tcW w:type="dxa" w:w="1123"/>
          </w:tcPr>
          <w:p>
            <w:pPr>
              <w:pStyle w:val="Compact"/>
              <w:spacing w:after="0" w:before="0" w:line="240" w:lineRule="auto"/>
              <w:jc w:val="right"/>
            </w:pPr>
            <w:r>
              <w:rPr>
                <w:rFonts w:ascii="Arial" w:hAnsi="Arial"/>
                <w:sz w:val="15"/>
              </w:rPr>
              <w:t xml:space="preserve">n/d</w:t>
            </w:r>
          </w:p>
        </w:tc>
        <w:tc>
          <w:tcPr>
            <w:tcW w:type="dxa" w:w="1837"/>
          </w:tcPr>
          <w:p>
            <w:pPr>
              <w:pStyle w:val="Compact"/>
              <w:spacing w:after="0" w:before="0" w:line="240" w:lineRule="auto"/>
              <w:jc w:val="left"/>
            </w:pPr>
            <w:r>
              <w:rPr>
                <w:rFonts w:ascii="Arial" w:hAnsi="Arial"/>
                <w:sz w:val="15"/>
              </w:rPr>
              <w:t xml:space="preserve">4→3 in Indonesia</w:t>
            </w:r>
          </w:p>
        </w:tc>
      </w:tr>
      <w:tr>
        <w:trPr>
          <w:cantSplit/>
        </w:trPr>
        <w:tc>
          <w:tcPr>
            <w:tcW w:type="dxa" w:w="1660"/>
            <w:shd w:val="clear" w:color="auto" w:fill="F1F2F5"/>
          </w:tcPr>
          <w:p>
            <w:pPr>
              <w:pStyle w:val="Compact"/>
              <w:spacing w:after="0" w:before="0" w:line="240" w:lineRule="auto"/>
              <w:jc w:val="left"/>
            </w:pPr>
            <w:r>
              <w:rPr>
                <w:rFonts w:ascii="Arial" w:hAnsi="Arial"/>
                <w:sz w:val="15"/>
              </w:rPr>
              <w:t xml:space="preserve">Frontier Communications</w:t>
            </w:r>
          </w:p>
        </w:tc>
        <w:tc>
          <w:tcPr>
            <w:tcW w:type="dxa" w:w="1747"/>
            <w:shd w:val="clear" w:color="auto" w:fill="F1F2F5"/>
          </w:tcPr>
          <w:p>
            <w:pPr>
              <w:pStyle w:val="Compact"/>
              <w:spacing w:after="0" w:before="0" w:line="240" w:lineRule="auto"/>
              <w:jc w:val="left"/>
            </w:pPr>
            <w:r>
              <w:rPr>
                <w:rFonts w:ascii="Arial" w:hAnsi="Arial"/>
                <w:sz w:val="15"/>
              </w:rPr>
              <w:t xml:space="preserve">Verizon</w:t>
            </w:r>
          </w:p>
        </w:tc>
        <w:tc>
          <w:tcPr>
            <w:tcW w:type="dxa" w:w="1072"/>
            <w:shd w:val="clear" w:color="auto" w:fill="F1F2F5"/>
          </w:tcPr>
          <w:p>
            <w:pPr>
              <w:pStyle w:val="Compact"/>
              <w:spacing w:after="0" w:before="0" w:line="240" w:lineRule="auto"/>
              <w:jc w:val="left"/>
            </w:pPr>
            <w:r>
              <w:rPr>
                <w:rFonts w:ascii="Arial" w:hAnsi="Arial"/>
                <w:sz w:val="15"/>
              </w:rPr>
              <w:t xml:space="preserve">Sep-2024</w:t>
            </w:r>
          </w:p>
        </w:tc>
        <w:tc>
          <w:tcPr>
            <w:tcW w:type="dxa" w:w="1457"/>
            <w:shd w:val="clear" w:color="auto" w:fill="F1F2F5"/>
          </w:tcPr>
          <w:p>
            <w:pPr>
              <w:pStyle w:val="Compact"/>
              <w:spacing w:after="0" w:before="0" w:line="240" w:lineRule="auto"/>
              <w:jc w:val="left"/>
            </w:pPr>
            <w:r>
              <w:rPr>
                <w:rFonts w:ascii="Arial" w:hAnsi="Arial"/>
                <w:sz w:val="15"/>
              </w:rPr>
              <w:t xml:space="preserve">EV US$21.5bn</w:t>
            </w:r>
          </w:p>
        </w:tc>
        <w:tc>
          <w:tcPr>
            <w:tcW w:type="dxa" w:w="1082"/>
            <w:shd w:val="clear" w:color="auto" w:fill="F1F2F5"/>
          </w:tcPr>
          <w:p>
            <w:pPr>
              <w:pStyle w:val="Compact"/>
              <w:spacing w:after="0" w:before="0" w:line="240" w:lineRule="auto"/>
              <w:jc w:val="right"/>
            </w:pPr>
            <w:r>
              <w:rPr>
                <w:rFonts w:ascii="Arial" w:hAnsi="Arial"/>
                <w:sz w:val="15"/>
              </w:rPr>
              <w:t xml:space="preserve">9.8–10.1x</w:t>
            </w:r>
          </w:p>
        </w:tc>
        <w:tc>
          <w:tcPr>
            <w:tcW w:type="dxa" w:w="1123"/>
            <w:shd w:val="clear" w:color="auto" w:fill="F1F2F5"/>
          </w:tcPr>
          <w:p>
            <w:pPr>
              <w:pStyle w:val="Compact"/>
              <w:spacing w:after="0" w:before="0" w:line="240" w:lineRule="auto"/>
              <w:jc w:val="right"/>
            </w:pPr>
            <w:r>
              <w:rPr>
                <w:rFonts w:ascii="Arial" w:hAnsi="Arial"/>
                <w:sz w:val="15"/>
              </w:rPr>
              <w:t xml:space="preserve">3.7x</w:t>
            </w:r>
          </w:p>
        </w:tc>
        <w:tc>
          <w:tcPr>
            <w:tcW w:type="dxa" w:w="1837"/>
            <w:shd w:val="clear" w:color="auto" w:fill="F1F2F5"/>
          </w:tcPr>
          <w:p>
            <w:pPr>
              <w:pStyle w:val="Compact"/>
              <w:spacing w:after="0" w:before="0" w:line="240" w:lineRule="auto"/>
              <w:jc w:val="left"/>
            </w:pPr>
            <w:r>
              <w:rPr>
                <w:rFonts w:ascii="Arial" w:hAnsi="Arial"/>
                <w:sz w:val="15"/>
              </w:rPr>
              <w:t xml:space="preserve">Fibre</w:t>
            </w:r>
          </w:p>
        </w:tc>
      </w:tr>
      <w:tr>
        <w:trPr>
          <w:cantSplit/>
        </w:trPr>
        <w:tc>
          <w:tcPr>
            <w:tcW w:type="dxa" w:w="1660"/>
          </w:tcPr>
          <w:p>
            <w:pPr>
              <w:pStyle w:val="Compact"/>
              <w:spacing w:after="0" w:before="0" w:line="240" w:lineRule="auto"/>
              <w:jc w:val="left"/>
            </w:pPr>
            <w:r>
              <w:rPr>
                <w:rFonts w:ascii="Arial" w:hAnsi="Arial"/>
                <w:sz w:val="15"/>
              </w:rPr>
              <w:t xml:space="preserve">AirTrunk</w:t>
            </w:r>
          </w:p>
        </w:tc>
        <w:tc>
          <w:tcPr>
            <w:tcW w:type="dxa" w:w="1747"/>
          </w:tcPr>
          <w:p>
            <w:pPr>
              <w:pStyle w:val="Compact"/>
              <w:spacing w:after="0" w:before="0" w:line="240" w:lineRule="auto"/>
              <w:jc w:val="left"/>
            </w:pPr>
            <w:r>
              <w:rPr>
                <w:rFonts w:ascii="Arial" w:hAnsi="Arial"/>
                <w:sz w:val="15"/>
              </w:rPr>
              <w:t xml:space="preserve">Blackstone / CPP</w:t>
            </w:r>
          </w:p>
        </w:tc>
        <w:tc>
          <w:tcPr>
            <w:tcW w:type="dxa" w:w="1072"/>
          </w:tcPr>
          <w:p>
            <w:pPr>
              <w:pStyle w:val="Compact"/>
              <w:spacing w:after="0" w:before="0" w:line="240" w:lineRule="auto"/>
              <w:jc w:val="left"/>
            </w:pPr>
            <w:r>
              <w:rPr>
                <w:rFonts w:ascii="Arial" w:hAnsi="Arial"/>
                <w:sz w:val="15"/>
              </w:rPr>
              <w:t xml:space="preserve">Sep-2024</w:t>
            </w:r>
          </w:p>
        </w:tc>
        <w:tc>
          <w:tcPr>
            <w:tcW w:type="dxa" w:w="1457"/>
          </w:tcPr>
          <w:p>
            <w:pPr>
              <w:pStyle w:val="Compact"/>
              <w:spacing w:after="0" w:before="0" w:line="240" w:lineRule="auto"/>
              <w:jc w:val="left"/>
            </w:pPr>
            <w:r>
              <w:rPr>
                <w:rFonts w:ascii="Arial" w:hAnsi="Arial"/>
                <w:sz w:val="15"/>
              </w:rPr>
              <w:t xml:space="preserve">EV A$24bn</w:t>
            </w:r>
          </w:p>
        </w:tc>
        <w:tc>
          <w:tcPr>
            <w:tcW w:type="dxa" w:w="1082"/>
          </w:tcPr>
          <w:p>
            <w:pPr>
              <w:pStyle w:val="Compact"/>
              <w:spacing w:after="0" w:before="0" w:line="240" w:lineRule="auto"/>
              <w:jc w:val="right"/>
            </w:pPr>
            <w:r>
              <w:rPr>
                <w:rFonts w:ascii="Arial" w:hAnsi="Arial"/>
                <w:sz w:val="15"/>
              </w:rPr>
              <w:t xml:space="preserve">n/d (very high)</w:t>
            </w:r>
          </w:p>
        </w:tc>
        <w:tc>
          <w:tcPr>
            <w:tcW w:type="dxa" w:w="1123"/>
          </w:tcPr>
          <w:p>
            <w:pPr>
              <w:pStyle w:val="Compact"/>
              <w:spacing w:after="0" w:before="0" w:line="240" w:lineRule="auto"/>
              <w:jc w:val="right"/>
            </w:pPr>
            <w:r>
              <w:rPr>
                <w:rFonts w:ascii="Arial" w:hAnsi="Arial"/>
                <w:sz w:val="15"/>
              </w:rPr>
              <w:t xml:space="preserve">n/d</w:t>
            </w:r>
          </w:p>
        </w:tc>
        <w:tc>
          <w:tcPr>
            <w:tcW w:type="dxa" w:w="1837"/>
          </w:tcPr>
          <w:p>
            <w:pPr>
              <w:pStyle w:val="Compact"/>
              <w:spacing w:after="0" w:before="0" w:line="240" w:lineRule="auto"/>
              <w:jc w:val="left"/>
            </w:pPr>
            <w:r>
              <w:rPr>
                <w:rFonts w:ascii="Arial" w:hAnsi="Arial"/>
                <w:sz w:val="15"/>
              </w:rPr>
              <w:t xml:space="preserve">Hyperscale DC platform</w:t>
            </w:r>
          </w:p>
        </w:tc>
      </w:tr>
      <w:tr>
        <w:trPr>
          <w:cantSplit/>
        </w:trPr>
        <w:tc>
          <w:tcPr>
            <w:tcW w:type="dxa" w:w="1660"/>
            <w:shd w:val="clear" w:color="auto" w:fill="F1F2F5"/>
          </w:tcPr>
          <w:p>
            <w:pPr>
              <w:pStyle w:val="Compact"/>
              <w:spacing w:after="0" w:before="0" w:line="240" w:lineRule="auto"/>
              <w:jc w:val="left"/>
            </w:pPr>
            <w:r>
              <w:rPr>
                <w:rFonts w:ascii="Arial" w:hAnsi="Arial"/>
                <w:sz w:val="15"/>
              </w:rPr>
              <w:t xml:space="preserve">TPG Telecom fibre &amp; EGW</w:t>
            </w:r>
          </w:p>
        </w:tc>
        <w:tc>
          <w:tcPr>
            <w:tcW w:type="dxa" w:w="1747"/>
            <w:shd w:val="clear" w:color="auto" w:fill="F1F2F5"/>
          </w:tcPr>
          <w:p>
            <w:pPr>
              <w:pStyle w:val="Compact"/>
              <w:spacing w:after="0" w:before="0" w:line="240" w:lineRule="auto"/>
              <w:jc w:val="left"/>
            </w:pPr>
            <w:r>
              <w:rPr>
                <w:rFonts w:ascii="Arial" w:hAnsi="Arial"/>
                <w:sz w:val="15"/>
              </w:rPr>
              <w:t xml:space="preserve">Vocus (Macquarie)</w:t>
            </w:r>
          </w:p>
        </w:tc>
        <w:tc>
          <w:tcPr>
            <w:tcW w:type="dxa" w:w="1072"/>
            <w:shd w:val="clear" w:color="auto" w:fill="F1F2F5"/>
          </w:tcPr>
          <w:p>
            <w:pPr>
              <w:pStyle w:val="Compact"/>
              <w:spacing w:after="0" w:before="0" w:line="240" w:lineRule="auto"/>
              <w:jc w:val="left"/>
            </w:pPr>
            <w:r>
              <w:rPr>
                <w:rFonts w:ascii="Arial" w:hAnsi="Arial"/>
                <w:sz w:val="15"/>
              </w:rPr>
              <w:t xml:space="preserve">Oct-2024</w:t>
            </w:r>
          </w:p>
        </w:tc>
        <w:tc>
          <w:tcPr>
            <w:tcW w:type="dxa" w:w="1457"/>
            <w:shd w:val="clear" w:color="auto" w:fill="F1F2F5"/>
          </w:tcPr>
          <w:p>
            <w:pPr>
              <w:pStyle w:val="Compact"/>
              <w:spacing w:after="0" w:before="0" w:line="240" w:lineRule="auto"/>
              <w:jc w:val="left"/>
            </w:pPr>
            <w:r>
              <w:rPr>
                <w:rFonts w:ascii="Arial" w:hAnsi="Arial"/>
                <w:sz w:val="15"/>
              </w:rPr>
              <w:t xml:space="preserve">EV A$5.25bn</w:t>
            </w:r>
          </w:p>
        </w:tc>
        <w:tc>
          <w:tcPr>
            <w:tcW w:type="dxa" w:w="1082"/>
            <w:shd w:val="clear" w:color="auto" w:fill="F1F2F5"/>
          </w:tcPr>
          <w:p>
            <w:pPr>
              <w:pStyle w:val="Compact"/>
              <w:spacing w:after="0" w:before="0" w:line="240" w:lineRule="auto"/>
              <w:jc w:val="right"/>
            </w:pPr>
            <w:r>
              <w:rPr>
                <w:rFonts w:ascii="Arial" w:hAnsi="Arial"/>
                <w:sz w:val="15"/>
              </w:rPr>
              <w:t xml:space="preserve">n/d</w:t>
            </w:r>
          </w:p>
        </w:tc>
        <w:tc>
          <w:tcPr>
            <w:tcW w:type="dxa" w:w="1123"/>
            <w:shd w:val="clear" w:color="auto" w:fill="F1F2F5"/>
          </w:tcPr>
          <w:p>
            <w:pPr>
              <w:pStyle w:val="Compact"/>
              <w:spacing w:after="0" w:before="0" w:line="240" w:lineRule="auto"/>
              <w:jc w:val="right"/>
            </w:pPr>
            <w:r>
              <w:rPr>
                <w:rFonts w:ascii="Arial" w:hAnsi="Arial"/>
                <w:sz w:val="15"/>
              </w:rPr>
              <w:t xml:space="preserve">n/d</w:t>
            </w:r>
          </w:p>
        </w:tc>
        <w:tc>
          <w:tcPr>
            <w:tcW w:type="dxa" w:w="1837"/>
            <w:shd w:val="clear" w:color="auto" w:fill="F1F2F5"/>
          </w:tcPr>
          <w:p>
            <w:pPr>
              <w:pStyle w:val="Compact"/>
              <w:spacing w:after="0" w:before="0" w:line="240" w:lineRule="auto"/>
              <w:jc w:val="left"/>
            </w:pPr>
            <w:r>
              <w:rPr>
                <w:rFonts w:ascii="Arial" w:hAnsi="Arial"/>
                <w:sz w:val="15"/>
              </w:rPr>
              <w:t xml:space="preserve">Telco fixed-asset monetisation</w:t>
            </w:r>
          </w:p>
        </w:tc>
      </w:tr>
      <w:tr>
        <w:trPr>
          <w:cantSplit/>
        </w:trPr>
        <w:tc>
          <w:tcPr>
            <w:tcW w:type="dxa" w:w="1660"/>
          </w:tcPr>
          <w:p>
            <w:pPr>
              <w:pStyle w:val="Compact"/>
              <w:spacing w:after="0" w:before="0" w:line="240" w:lineRule="auto"/>
              <w:jc w:val="left"/>
            </w:pPr>
            <w:r>
              <w:rPr>
                <w:rFonts w:ascii="Arial" w:hAnsi="Arial"/>
                <w:sz w:val="15"/>
              </w:rPr>
              <w:t xml:space="preserve">SK Broadband (24.8% minority)</w:t>
            </w:r>
          </w:p>
        </w:tc>
        <w:tc>
          <w:tcPr>
            <w:tcW w:type="dxa" w:w="1747"/>
          </w:tcPr>
          <w:p>
            <w:pPr>
              <w:pStyle w:val="Compact"/>
              <w:spacing w:after="0" w:before="0" w:line="240" w:lineRule="auto"/>
              <w:jc w:val="left"/>
            </w:pPr>
            <w:r>
              <w:rPr>
                <w:rFonts w:ascii="Arial" w:hAnsi="Arial"/>
                <w:sz w:val="15"/>
              </w:rPr>
              <w:t xml:space="preserve">SK Telecom</w:t>
            </w:r>
          </w:p>
        </w:tc>
        <w:tc>
          <w:tcPr>
            <w:tcW w:type="dxa" w:w="1072"/>
          </w:tcPr>
          <w:p>
            <w:pPr>
              <w:pStyle w:val="Compact"/>
              <w:spacing w:after="0" w:before="0" w:line="240" w:lineRule="auto"/>
              <w:jc w:val="left"/>
            </w:pPr>
            <w:r>
              <w:rPr>
                <w:rFonts w:ascii="Arial" w:hAnsi="Arial"/>
                <w:sz w:val="15"/>
              </w:rPr>
              <w:t xml:space="preserve">Nov-2024</w:t>
            </w:r>
          </w:p>
        </w:tc>
        <w:tc>
          <w:tcPr>
            <w:tcW w:type="dxa" w:w="1457"/>
          </w:tcPr>
          <w:p>
            <w:pPr>
              <w:pStyle w:val="Compact"/>
              <w:spacing w:after="0" w:before="0" w:line="240" w:lineRule="auto"/>
              <w:jc w:val="left"/>
            </w:pPr>
            <w:r>
              <w:rPr>
                <w:rFonts w:ascii="Arial" w:hAnsi="Arial"/>
                <w:sz w:val="15"/>
              </w:rPr>
              <w:t xml:space="preserve">KRW1.15tn (EV KRW6.47tn)</w:t>
            </w:r>
          </w:p>
        </w:tc>
        <w:tc>
          <w:tcPr>
            <w:tcW w:type="dxa" w:w="1082"/>
          </w:tcPr>
          <w:p>
            <w:pPr>
              <w:pStyle w:val="Compact"/>
              <w:spacing w:after="0" w:before="0" w:line="240" w:lineRule="auto"/>
              <w:jc w:val="right"/>
            </w:pPr>
            <w:r>
              <w:rPr>
                <w:rFonts w:ascii="Arial" w:hAnsi="Arial"/>
                <w:sz w:val="15"/>
              </w:rPr>
              <w:t xml:space="preserve">4.9x</w:t>
            </w:r>
          </w:p>
        </w:tc>
        <w:tc>
          <w:tcPr>
            <w:tcW w:type="dxa" w:w="1123"/>
          </w:tcPr>
          <w:p>
            <w:pPr>
              <w:pStyle w:val="Compact"/>
              <w:spacing w:after="0" w:before="0" w:line="240" w:lineRule="auto"/>
              <w:jc w:val="right"/>
            </w:pPr>
            <w:r>
              <w:rPr>
                <w:rFonts w:ascii="Arial" w:hAnsi="Arial"/>
                <w:sz w:val="15"/>
              </w:rPr>
              <w:t xml:space="preserve">1.47x</w:t>
            </w:r>
          </w:p>
        </w:tc>
        <w:tc>
          <w:tcPr>
            <w:tcW w:type="dxa" w:w="1837"/>
          </w:tcPr>
          <w:p>
            <w:pPr>
              <w:pStyle w:val="Compact"/>
              <w:spacing w:after="0" w:before="0" w:line="240" w:lineRule="auto"/>
              <w:jc w:val="left"/>
            </w:pPr>
            <w:r>
              <w:rPr>
                <w:bCs/>
                <w:rFonts w:ascii="Arial" w:hAnsi="Arial"/>
                <w:b/>
                <w:sz w:val="15"/>
              </w:rPr>
              <w:t xml:space="preserve">Closest Korean telecom comp</w:t>
            </w:r>
          </w:p>
        </w:tc>
      </w:tr>
      <w:tr>
        <w:trPr>
          <w:cantSplit/>
        </w:trPr>
        <w:tc>
          <w:tcPr>
            <w:tcW w:type="dxa" w:w="1660"/>
            <w:shd w:val="clear" w:color="auto" w:fill="F1F2F5"/>
          </w:tcPr>
          <w:p>
            <w:pPr>
              <w:pStyle w:val="Compact"/>
              <w:spacing w:after="0" w:before="0" w:line="240" w:lineRule="auto"/>
              <w:jc w:val="left"/>
            </w:pPr>
            <w:r>
              <w:rPr>
                <w:rFonts w:ascii="Arial" w:hAnsi="Arial"/>
                <w:sz w:val="15"/>
              </w:rPr>
              <w:t xml:space="preserve">NTT Data (~42% minority)</w:t>
            </w:r>
          </w:p>
        </w:tc>
        <w:tc>
          <w:tcPr>
            <w:tcW w:type="dxa" w:w="1747"/>
            <w:shd w:val="clear" w:color="auto" w:fill="F1F2F5"/>
          </w:tcPr>
          <w:p>
            <w:pPr>
              <w:pStyle w:val="Compact"/>
              <w:spacing w:after="0" w:before="0" w:line="240" w:lineRule="auto"/>
              <w:jc w:val="left"/>
            </w:pPr>
            <w:r>
              <w:rPr>
                <w:rFonts w:ascii="Arial" w:hAnsi="Arial"/>
                <w:sz w:val="15"/>
              </w:rPr>
              <w:t xml:space="preserve">NTT (take-private)</w:t>
            </w:r>
          </w:p>
        </w:tc>
        <w:tc>
          <w:tcPr>
            <w:tcW w:type="dxa" w:w="1072"/>
            <w:shd w:val="clear" w:color="auto" w:fill="F1F2F5"/>
          </w:tcPr>
          <w:p>
            <w:pPr>
              <w:pStyle w:val="Compact"/>
              <w:spacing w:after="0" w:before="0" w:line="240" w:lineRule="auto"/>
              <w:jc w:val="left"/>
            </w:pPr>
            <w:r>
              <w:rPr>
                <w:rFonts w:ascii="Arial" w:hAnsi="Arial"/>
                <w:sz w:val="15"/>
              </w:rPr>
              <w:t xml:space="preserve">May-2025</w:t>
            </w:r>
          </w:p>
        </w:tc>
        <w:tc>
          <w:tcPr>
            <w:tcW w:type="dxa" w:w="1457"/>
            <w:shd w:val="clear" w:color="auto" w:fill="F1F2F5"/>
          </w:tcPr>
          <w:p>
            <w:pPr>
              <w:pStyle w:val="Compact"/>
              <w:spacing w:after="0" w:before="0" w:line="240" w:lineRule="auto"/>
              <w:jc w:val="left"/>
            </w:pPr>
            <w:r>
              <w:rPr>
                <w:rFonts w:ascii="Arial" w:hAnsi="Arial"/>
                <w:sz w:val="15"/>
              </w:rPr>
              <w:t xml:space="preserve">¥2.37tn; EV ¥9.0tn</w:t>
            </w:r>
          </w:p>
        </w:tc>
        <w:tc>
          <w:tcPr>
            <w:tcW w:type="dxa" w:w="1082"/>
            <w:shd w:val="clear" w:color="auto" w:fill="F1F2F5"/>
          </w:tcPr>
          <w:p>
            <w:pPr>
              <w:pStyle w:val="Compact"/>
              <w:spacing w:after="0" w:before="0" w:line="240" w:lineRule="auto"/>
              <w:jc w:val="right"/>
            </w:pPr>
            <w:r>
              <w:rPr>
                <w:rFonts w:ascii="Arial" w:hAnsi="Arial"/>
                <w:sz w:val="15"/>
              </w:rPr>
              <w:t xml:space="preserve">13.1x</w:t>
            </w:r>
          </w:p>
        </w:tc>
        <w:tc>
          <w:tcPr>
            <w:tcW w:type="dxa" w:w="1123"/>
            <w:shd w:val="clear" w:color="auto" w:fill="F1F2F5"/>
          </w:tcPr>
          <w:p>
            <w:pPr>
              <w:pStyle w:val="Compact"/>
              <w:spacing w:after="0" w:before="0" w:line="240" w:lineRule="auto"/>
              <w:jc w:val="right"/>
            </w:pPr>
            <w:r>
              <w:rPr>
                <w:rFonts w:ascii="Arial" w:hAnsi="Arial"/>
                <w:sz w:val="15"/>
              </w:rPr>
              <w:t xml:space="preserve">1.95x</w:t>
            </w:r>
          </w:p>
        </w:tc>
        <w:tc>
          <w:tcPr>
            <w:tcW w:type="dxa" w:w="1837"/>
            <w:shd w:val="clear" w:color="auto" w:fill="F1F2F5"/>
          </w:tcPr>
          <w:p>
            <w:pPr>
              <w:pStyle w:val="Compact"/>
              <w:spacing w:after="0" w:before="0" w:line="240" w:lineRule="auto"/>
              <w:jc w:val="left"/>
            </w:pPr>
            <w:r>
              <w:rPr>
                <w:rFonts w:ascii="Arial" w:hAnsi="Arial"/>
                <w:sz w:val="15"/>
              </w:rPr>
              <w:t xml:space="preserve">34% premium</w:t>
            </w:r>
          </w:p>
        </w:tc>
      </w:tr>
      <w:tr>
        <w:trPr>
          <w:cantSplit/>
        </w:trPr>
        <w:tc>
          <w:tcPr>
            <w:tcW w:type="dxa" w:w="1660"/>
          </w:tcPr>
          <w:p>
            <w:pPr>
              <w:pStyle w:val="Compact"/>
              <w:spacing w:after="0" w:before="0" w:line="240" w:lineRule="auto"/>
              <w:jc w:val="left"/>
            </w:pPr>
            <w:r>
              <w:rPr>
                <w:rFonts w:ascii="Arial" w:hAnsi="Arial"/>
                <w:sz w:val="15"/>
              </w:rPr>
              <w:t xml:space="preserve">Cox Communications</w:t>
            </w:r>
          </w:p>
        </w:tc>
        <w:tc>
          <w:tcPr>
            <w:tcW w:type="dxa" w:w="1747"/>
          </w:tcPr>
          <w:p>
            <w:pPr>
              <w:pStyle w:val="Compact"/>
              <w:spacing w:after="0" w:before="0" w:line="240" w:lineRule="auto"/>
              <w:jc w:val="left"/>
            </w:pPr>
            <w:r>
              <w:rPr>
                <w:rFonts w:ascii="Arial" w:hAnsi="Arial"/>
                <w:sz w:val="15"/>
              </w:rPr>
              <w:t xml:space="preserve">Charter</w:t>
            </w:r>
          </w:p>
        </w:tc>
        <w:tc>
          <w:tcPr>
            <w:tcW w:type="dxa" w:w="1072"/>
          </w:tcPr>
          <w:p>
            <w:pPr>
              <w:pStyle w:val="Compact"/>
              <w:spacing w:after="0" w:before="0" w:line="240" w:lineRule="auto"/>
              <w:jc w:val="left"/>
            </w:pPr>
            <w:r>
              <w:rPr>
                <w:rFonts w:ascii="Arial" w:hAnsi="Arial"/>
                <w:sz w:val="15"/>
              </w:rPr>
              <w:t xml:space="preserve">May-2025</w:t>
            </w:r>
          </w:p>
        </w:tc>
        <w:tc>
          <w:tcPr>
            <w:tcW w:type="dxa" w:w="1457"/>
          </w:tcPr>
          <w:p>
            <w:pPr>
              <w:pStyle w:val="Compact"/>
              <w:spacing w:after="0" w:before="0" w:line="240" w:lineRule="auto"/>
              <w:jc w:val="left"/>
            </w:pPr>
            <w:r>
              <w:rPr>
                <w:rFonts w:ascii="Arial" w:hAnsi="Arial"/>
                <w:sz w:val="15"/>
              </w:rPr>
              <w:t xml:space="preserve">EV US$34.5bn</w:t>
            </w:r>
          </w:p>
        </w:tc>
        <w:tc>
          <w:tcPr>
            <w:tcW w:type="dxa" w:w="1082"/>
          </w:tcPr>
          <w:p>
            <w:pPr>
              <w:pStyle w:val="Compact"/>
              <w:spacing w:after="0" w:before="0" w:line="240" w:lineRule="auto"/>
              <w:jc w:val="right"/>
            </w:pPr>
            <w:r>
              <w:rPr>
                <w:rFonts w:ascii="Arial" w:hAnsi="Arial"/>
                <w:sz w:val="15"/>
              </w:rPr>
              <w:t xml:space="preserve">6.4x</w:t>
            </w:r>
          </w:p>
        </w:tc>
        <w:tc>
          <w:tcPr>
            <w:tcW w:type="dxa" w:w="1123"/>
          </w:tcPr>
          <w:p>
            <w:pPr>
              <w:pStyle w:val="Compact"/>
              <w:spacing w:after="0" w:before="0" w:line="240" w:lineRule="auto"/>
              <w:jc w:val="right"/>
            </w:pPr>
            <w:r>
              <w:rPr>
                <w:rFonts w:ascii="Arial" w:hAnsi="Arial"/>
                <w:sz w:val="15"/>
              </w:rPr>
              <w:t xml:space="preserve">n/d</w:t>
            </w:r>
          </w:p>
        </w:tc>
        <w:tc>
          <w:tcPr>
            <w:tcW w:type="dxa" w:w="1837"/>
          </w:tcPr>
          <w:p>
            <w:pPr>
              <w:pStyle w:val="Compact"/>
              <w:spacing w:after="0" w:before="0" w:line="240" w:lineRule="auto"/>
              <w:jc w:val="left"/>
            </w:pPr>
            <w:r>
              <w:rPr>
                <w:rFonts w:ascii="Arial" w:hAnsi="Arial"/>
                <w:sz w:val="15"/>
              </w:rPr>
              <w:t xml:space="preserve">US cable</w:t>
            </w:r>
          </w:p>
        </w:tc>
      </w:tr>
      <w:tr>
        <w:trPr>
          <w:cantSplit/>
        </w:trPr>
        <w:tc>
          <w:tcPr>
            <w:tcW w:type="dxa" w:w="1660"/>
            <w:shd w:val="clear" w:color="auto" w:fill="F1F2F5"/>
          </w:tcPr>
          <w:p>
            <w:pPr>
              <w:pStyle w:val="Compact"/>
              <w:spacing w:after="0" w:before="0" w:line="240" w:lineRule="auto"/>
              <w:jc w:val="left"/>
            </w:pPr>
            <w:r>
              <w:rPr>
                <w:rFonts w:ascii="Arial" w:hAnsi="Arial"/>
                <w:sz w:val="15"/>
              </w:rPr>
              <w:t xml:space="preserve">Telefónica Argentina</w:t>
            </w:r>
          </w:p>
        </w:tc>
        <w:tc>
          <w:tcPr>
            <w:tcW w:type="dxa" w:w="1747"/>
            <w:shd w:val="clear" w:color="auto" w:fill="F1F2F5"/>
          </w:tcPr>
          <w:p>
            <w:pPr>
              <w:pStyle w:val="Compact"/>
              <w:spacing w:after="0" w:before="0" w:line="240" w:lineRule="auto"/>
              <w:jc w:val="left"/>
            </w:pPr>
            <w:r>
              <w:rPr>
                <w:rFonts w:ascii="Arial" w:hAnsi="Arial"/>
                <w:sz w:val="15"/>
              </w:rPr>
              <w:t xml:space="preserve">Telecom Argentina</w:t>
            </w:r>
          </w:p>
        </w:tc>
        <w:tc>
          <w:tcPr>
            <w:tcW w:type="dxa" w:w="1072"/>
            <w:shd w:val="clear" w:color="auto" w:fill="F1F2F5"/>
          </w:tcPr>
          <w:p>
            <w:pPr>
              <w:pStyle w:val="Compact"/>
              <w:spacing w:after="0" w:before="0" w:line="240" w:lineRule="auto"/>
              <w:jc w:val="left"/>
            </w:pPr>
            <w:r>
              <w:rPr>
                <w:rFonts w:ascii="Arial" w:hAnsi="Arial"/>
                <w:sz w:val="15"/>
              </w:rPr>
              <w:t xml:space="preserve">Feb-2025</w:t>
            </w:r>
          </w:p>
        </w:tc>
        <w:tc>
          <w:tcPr>
            <w:tcW w:type="dxa" w:w="1457"/>
            <w:shd w:val="clear" w:color="auto" w:fill="F1F2F5"/>
          </w:tcPr>
          <w:p>
            <w:pPr>
              <w:pStyle w:val="Compact"/>
              <w:spacing w:after="0" w:before="0" w:line="240" w:lineRule="auto"/>
              <w:jc w:val="left"/>
            </w:pPr>
            <w:r>
              <w:rPr>
                <w:rFonts w:ascii="Arial" w:hAnsi="Arial"/>
                <w:sz w:val="15"/>
              </w:rPr>
              <w:t xml:space="preserve">US$1.25bn</w:t>
            </w:r>
          </w:p>
        </w:tc>
        <w:tc>
          <w:tcPr>
            <w:tcW w:type="dxa" w:w="1082"/>
            <w:shd w:val="clear" w:color="auto" w:fill="F1F2F5"/>
          </w:tcPr>
          <w:p>
            <w:pPr>
              <w:pStyle w:val="Compact"/>
              <w:spacing w:after="0" w:before="0" w:line="240" w:lineRule="auto"/>
              <w:jc w:val="right"/>
            </w:pPr>
            <w:r>
              <w:rPr>
                <w:rFonts w:ascii="Arial" w:hAnsi="Arial"/>
                <w:sz w:val="15"/>
              </w:rPr>
              <w:t xml:space="preserve">n/d</w:t>
            </w:r>
          </w:p>
        </w:tc>
        <w:tc>
          <w:tcPr>
            <w:tcW w:type="dxa" w:w="1123"/>
            <w:shd w:val="clear" w:color="auto" w:fill="F1F2F5"/>
          </w:tcPr>
          <w:p>
            <w:pPr>
              <w:pStyle w:val="Compact"/>
              <w:spacing w:after="0" w:before="0" w:line="240" w:lineRule="auto"/>
              <w:jc w:val="right"/>
            </w:pPr>
            <w:r>
              <w:rPr>
                <w:rFonts w:ascii="Arial" w:hAnsi="Arial"/>
                <w:sz w:val="15"/>
              </w:rPr>
              <w:t xml:space="preserve">n/d</w:t>
            </w:r>
          </w:p>
        </w:tc>
        <w:tc>
          <w:tcPr>
            <w:tcW w:type="dxa" w:w="1837"/>
            <w:shd w:val="clear" w:color="auto" w:fill="F1F2F5"/>
          </w:tcPr>
          <w:p>
            <w:pPr>
              <w:pStyle w:val="Compact"/>
              <w:spacing w:after="0" w:before="0" w:line="240" w:lineRule="auto"/>
              <w:jc w:val="left"/>
            </w:pPr>
            <w:r>
              <w:rPr>
                <w:rFonts w:ascii="Arial" w:hAnsi="Arial"/>
                <w:sz w:val="15"/>
              </w:rPr>
              <w:t xml:space="preserve">LatAm exit</w:t>
            </w:r>
          </w:p>
        </w:tc>
      </w:tr>
      <w:tr>
        <w:trPr>
          <w:cantSplit/>
        </w:trPr>
        <w:tc>
          <w:tcPr>
            <w:tcW w:type="dxa" w:w="1660"/>
          </w:tcPr>
          <w:p>
            <w:pPr>
              <w:pStyle w:val="Compact"/>
              <w:spacing w:after="0" w:before="0" w:line="240" w:lineRule="auto"/>
              <w:jc w:val="left"/>
            </w:pPr>
            <w:r>
              <w:rPr>
                <w:rFonts w:ascii="Arial" w:hAnsi="Arial"/>
                <w:sz w:val="15"/>
              </w:rPr>
              <w:t xml:space="preserve">Pangyo DC (SK Inc.)</w:t>
            </w:r>
          </w:p>
        </w:tc>
        <w:tc>
          <w:tcPr>
            <w:tcW w:type="dxa" w:w="1747"/>
          </w:tcPr>
          <w:p>
            <w:pPr>
              <w:pStyle w:val="Compact"/>
              <w:spacing w:after="0" w:before="0" w:line="240" w:lineRule="auto"/>
              <w:jc w:val="left"/>
            </w:pPr>
            <w:r>
              <w:rPr>
                <w:rFonts w:ascii="Arial" w:hAnsi="Arial"/>
                <w:sz w:val="15"/>
              </w:rPr>
              <w:t xml:space="preserve">SK Broadband</w:t>
            </w:r>
          </w:p>
        </w:tc>
        <w:tc>
          <w:tcPr>
            <w:tcW w:type="dxa" w:w="1072"/>
          </w:tcPr>
          <w:p>
            <w:pPr>
              <w:pStyle w:val="Compact"/>
              <w:spacing w:after="0" w:before="0" w:line="240" w:lineRule="auto"/>
              <w:jc w:val="left"/>
            </w:pPr>
            <w:r>
              <w:rPr>
                <w:rFonts w:ascii="Arial" w:hAnsi="Arial"/>
                <w:sz w:val="15"/>
              </w:rPr>
              <w:t xml:space="preserve">2025</w:t>
            </w:r>
          </w:p>
        </w:tc>
        <w:tc>
          <w:tcPr>
            <w:tcW w:type="dxa" w:w="1457"/>
          </w:tcPr>
          <w:p>
            <w:pPr>
              <w:pStyle w:val="Compact"/>
              <w:spacing w:after="0" w:before="0" w:line="240" w:lineRule="auto"/>
              <w:jc w:val="left"/>
            </w:pPr>
            <w:r>
              <w:rPr>
                <w:rFonts w:ascii="Arial" w:hAnsi="Arial"/>
                <w:sz w:val="15"/>
              </w:rPr>
              <w:t xml:space="preserve">KRW507bn</w:t>
            </w:r>
          </w:p>
        </w:tc>
        <w:tc>
          <w:tcPr>
            <w:tcW w:type="dxa" w:w="1082"/>
          </w:tcPr>
          <w:p>
            <w:pPr>
              <w:pStyle w:val="Compact"/>
              <w:spacing w:after="0" w:before="0" w:line="240" w:lineRule="auto"/>
              <w:jc w:val="right"/>
            </w:pPr>
            <w:r>
              <w:rPr>
                <w:rFonts w:ascii="Arial" w:hAnsi="Arial"/>
                <w:sz w:val="15"/>
              </w:rPr>
              <w:t xml:space="preserve">n/d</w:t>
            </w:r>
          </w:p>
        </w:tc>
        <w:tc>
          <w:tcPr>
            <w:tcW w:type="dxa" w:w="1123"/>
          </w:tcPr>
          <w:p>
            <w:pPr>
              <w:pStyle w:val="Compact"/>
              <w:spacing w:after="0" w:before="0" w:line="240" w:lineRule="auto"/>
              <w:jc w:val="right"/>
            </w:pPr>
            <w:r>
              <w:rPr>
                <w:rFonts w:ascii="Arial" w:hAnsi="Arial"/>
                <w:sz w:val="15"/>
              </w:rPr>
              <w:t xml:space="preserve">n/d</w:t>
            </w:r>
          </w:p>
        </w:tc>
        <w:tc>
          <w:tcPr>
            <w:tcW w:type="dxa" w:w="1837"/>
          </w:tcPr>
          <w:p>
            <w:pPr>
              <w:pStyle w:val="Compact"/>
              <w:spacing w:after="0" w:before="0" w:line="240" w:lineRule="auto"/>
              <w:jc w:val="left"/>
            </w:pPr>
            <w:r>
              <w:rPr>
                <w:rFonts w:ascii="Arial" w:hAnsi="Arial"/>
                <w:sz w:val="15"/>
              </w:rPr>
              <w:t xml:space="preserve">Intra-group IDC consolidation</w:t>
            </w:r>
          </w:p>
        </w:tc>
      </w:tr>
      <w:tr>
        <w:trPr>
          <w:cantSplit/>
        </w:trPr>
        <w:tc>
          <w:tcPr>
            <w:tcW w:type="dxa" w:w="1660"/>
            <w:shd w:val="clear" w:color="auto" w:fill="F1F2F5"/>
          </w:tcPr>
          <w:p>
            <w:pPr>
              <w:pStyle w:val="Compact"/>
              <w:spacing w:after="0" w:before="0" w:line="240" w:lineRule="auto"/>
              <w:jc w:val="left"/>
            </w:pPr>
            <w:r>
              <w:rPr>
                <w:bCs/>
                <w:rFonts w:ascii="Arial" w:hAnsi="Arial"/>
                <w:b/>
                <w:sz w:val="15"/>
              </w:rPr>
              <w:t xml:space="preserve">SK Horizon (49%)</w:t>
            </w:r>
          </w:p>
        </w:tc>
        <w:tc>
          <w:tcPr>
            <w:tcW w:type="dxa" w:w="1747"/>
            <w:shd w:val="clear" w:color="auto" w:fill="F1F2F5"/>
          </w:tcPr>
          <w:p>
            <w:pPr>
              <w:pStyle w:val="Compact"/>
              <w:spacing w:after="0" w:before="0" w:line="240" w:lineRule="auto"/>
              <w:jc w:val="left"/>
            </w:pPr>
            <w:r>
              <w:rPr>
                <w:bCs/>
                <w:rFonts w:ascii="Arial" w:hAnsi="Arial"/>
                <w:b/>
                <w:sz w:val="15"/>
              </w:rPr>
              <w:t xml:space="preserve">KKR (29%), IMM (20%)</w:t>
            </w:r>
          </w:p>
        </w:tc>
        <w:tc>
          <w:tcPr>
            <w:tcW w:type="dxa" w:w="1072"/>
            <w:shd w:val="clear" w:color="auto" w:fill="F1F2F5"/>
          </w:tcPr>
          <w:p>
            <w:pPr>
              <w:pStyle w:val="Compact"/>
              <w:spacing w:after="0" w:before="0" w:line="240" w:lineRule="auto"/>
              <w:jc w:val="left"/>
            </w:pPr>
            <w:r>
              <w:rPr>
                <w:bCs/>
                <w:rFonts w:ascii="Arial" w:hAnsi="Arial"/>
                <w:b/>
                <w:sz w:val="15"/>
              </w:rPr>
              <w:t xml:space="preserve">Aug-2026</w:t>
            </w:r>
          </w:p>
        </w:tc>
        <w:tc>
          <w:tcPr>
            <w:tcW w:type="dxa" w:w="1457"/>
            <w:shd w:val="clear" w:color="auto" w:fill="F1F2F5"/>
          </w:tcPr>
          <w:p>
            <w:pPr>
              <w:pStyle w:val="Compact"/>
              <w:spacing w:after="0" w:before="0" w:line="240" w:lineRule="auto"/>
              <w:jc w:val="left"/>
            </w:pPr>
            <w:r>
              <w:rPr>
                <w:bCs/>
                <w:rFonts w:ascii="Arial" w:hAnsi="Arial"/>
                <w:b/>
                <w:sz w:val="15"/>
              </w:rPr>
              <w:t xml:space="preserve">KRW3.08tn for 49%; post-money equity ~KRW6.3tn</w:t>
            </w:r>
          </w:p>
        </w:tc>
        <w:tc>
          <w:tcPr>
            <w:tcW w:type="dxa" w:w="1082"/>
            <w:shd w:val="clear" w:color="auto" w:fill="F1F2F5"/>
          </w:tcPr>
          <w:p>
            <w:pPr>
              <w:pStyle w:val="Compact"/>
              <w:spacing w:after="0" w:before="0" w:line="240" w:lineRule="auto"/>
              <w:jc w:val="right"/>
            </w:pPr>
            <w:r>
              <w:rPr>
                <w:bCs/>
                <w:rFonts w:ascii="Arial" w:hAnsi="Arial"/>
                <w:b/>
                <w:sz w:val="15"/>
              </w:rPr>
              <w:t xml:space="preserve">n/d</w:t>
            </w:r>
          </w:p>
        </w:tc>
        <w:tc>
          <w:tcPr>
            <w:tcW w:type="dxa" w:w="1123"/>
            <w:shd w:val="clear" w:color="auto" w:fill="F1F2F5"/>
          </w:tcPr>
          <w:p>
            <w:pPr>
              <w:pStyle w:val="Compact"/>
              <w:spacing w:after="0" w:before="0" w:line="240" w:lineRule="auto"/>
              <w:jc w:val="right"/>
            </w:pPr>
            <w:r>
              <w:rPr>
                <w:bCs/>
                <w:rFonts w:ascii="Arial" w:hAnsi="Arial"/>
                <w:b/>
                <w:sz w:val="15"/>
              </w:rPr>
              <w:t xml:space="preserve">~14.6x pre-money sales [e]</w:t>
            </w:r>
          </w:p>
        </w:tc>
        <w:tc>
          <w:tcPr>
            <w:tcW w:type="dxa" w:w="1837"/>
            <w:shd w:val="clear" w:color="auto" w:fill="F1F2F5"/>
          </w:tcPr>
          <w:p>
            <w:pPr>
              <w:pStyle w:val="Compact"/>
              <w:spacing w:after="0" w:before="0" w:line="240" w:lineRule="auto"/>
              <w:jc w:val="left"/>
            </w:pPr>
            <w:r>
              <w:rPr>
                <w:bCs/>
                <w:rFonts w:ascii="Arial" w:hAnsi="Arial"/>
                <w:b/>
                <w:sz w:val="15"/>
              </w:rPr>
              <w:t xml:space="preserve">Key AIDC mark for LG Uplus</w:t>
            </w:r>
          </w:p>
        </w:tc>
      </w:tr>
      <w:tr>
        <w:trPr>
          <w:cantSplit/>
        </w:trPr>
        <w:tc>
          <w:tcPr>
            <w:tcW w:type="dxa" w:w="1660"/>
          </w:tcPr>
          <w:p>
            <w:pPr>
              <w:pStyle w:val="Compact"/>
              <w:spacing w:after="0" w:before="0" w:line="240" w:lineRule="auto"/>
              <w:jc w:val="left"/>
            </w:pPr>
            <w:r>
              <w:rPr>
                <w:rFonts w:ascii="Arial" w:hAnsi="Arial"/>
                <w:sz w:val="15"/>
              </w:rPr>
              <w:t xml:space="preserve">NTT Docomo (33.8%)</w:t>
            </w:r>
          </w:p>
        </w:tc>
        <w:tc>
          <w:tcPr>
            <w:tcW w:type="dxa" w:w="1747"/>
          </w:tcPr>
          <w:p>
            <w:pPr>
              <w:pStyle w:val="Compact"/>
              <w:spacing w:after="0" w:before="0" w:line="240" w:lineRule="auto"/>
              <w:jc w:val="left"/>
            </w:pPr>
            <w:r>
              <w:rPr>
                <w:rFonts w:ascii="Arial" w:hAnsi="Arial"/>
                <w:sz w:val="15"/>
              </w:rPr>
              <w:t xml:space="preserve">NTT (take-private)</w:t>
            </w:r>
          </w:p>
        </w:tc>
        <w:tc>
          <w:tcPr>
            <w:tcW w:type="dxa" w:w="1072"/>
          </w:tcPr>
          <w:p>
            <w:pPr>
              <w:pStyle w:val="Compact"/>
              <w:spacing w:after="0" w:before="0" w:line="240" w:lineRule="auto"/>
              <w:jc w:val="left"/>
            </w:pPr>
            <w:r>
              <w:rPr>
                <w:rFonts w:ascii="Arial" w:hAnsi="Arial"/>
                <w:sz w:val="15"/>
              </w:rPr>
              <w:t xml:space="preserve">Sep-2020</w:t>
            </w:r>
          </w:p>
        </w:tc>
        <w:tc>
          <w:tcPr>
            <w:tcW w:type="dxa" w:w="1457"/>
          </w:tcPr>
          <w:p>
            <w:pPr>
              <w:pStyle w:val="Compact"/>
              <w:spacing w:after="0" w:before="0" w:line="240" w:lineRule="auto"/>
              <w:jc w:val="left"/>
            </w:pPr>
            <w:r>
              <w:rPr>
                <w:rFonts w:ascii="Arial" w:hAnsi="Arial"/>
                <w:sz w:val="15"/>
              </w:rPr>
              <w:t xml:space="preserve">¥4.25tn; EV ¥12.65tn</w:t>
            </w:r>
          </w:p>
        </w:tc>
        <w:tc>
          <w:tcPr>
            <w:tcW w:type="dxa" w:w="1082"/>
          </w:tcPr>
          <w:p>
            <w:pPr>
              <w:pStyle w:val="Compact"/>
              <w:spacing w:after="0" w:before="0" w:line="240" w:lineRule="auto"/>
              <w:jc w:val="right"/>
            </w:pPr>
            <w:r>
              <w:rPr>
                <w:rFonts w:ascii="Arial" w:hAnsi="Arial"/>
                <w:sz w:val="15"/>
              </w:rPr>
              <w:t xml:space="preserve">8.8x</w:t>
            </w:r>
          </w:p>
        </w:tc>
        <w:tc>
          <w:tcPr>
            <w:tcW w:type="dxa" w:w="1123"/>
          </w:tcPr>
          <w:p>
            <w:pPr>
              <w:pStyle w:val="Compact"/>
              <w:spacing w:after="0" w:before="0" w:line="240" w:lineRule="auto"/>
              <w:jc w:val="right"/>
            </w:pPr>
            <w:r>
              <w:rPr>
                <w:rFonts w:ascii="Arial" w:hAnsi="Arial"/>
                <w:sz w:val="15"/>
              </w:rPr>
              <w:t xml:space="preserve">2.7x</w:t>
            </w:r>
          </w:p>
        </w:tc>
        <w:tc>
          <w:tcPr>
            <w:tcW w:type="dxa" w:w="1837"/>
          </w:tcPr>
          <w:p>
            <w:pPr>
              <w:pStyle w:val="Compact"/>
              <w:spacing w:after="0" w:before="0" w:line="240" w:lineRule="auto"/>
              <w:jc w:val="left"/>
            </w:pPr>
            <w:r>
              <w:rPr>
                <w:rFonts w:ascii="Arial" w:hAnsi="Arial"/>
                <w:sz w:val="15"/>
              </w:rPr>
              <w:t xml:space="preserve">~40% premium [u]</w:t>
            </w:r>
          </w:p>
        </w:tc>
      </w:tr>
    </w:tbl>
    <w:p>
      <w:pPr>
        <w:pStyle w:val="BodyText"/>
      </w:pPr>
      <w:r>
        <w:rPr>
          <w:iCs/>
          <w:i/>
        </w:rPr>
        <w:t xml:space="preserve">Source: S&amp;P Capital IQ Transactions, company releases, press. [e] multiples use S&amp;P standardised EBITDA.</w:t>
      </w:r>
    </w:p>
    <w:p>
      <w:pPr>
        <w:pStyle w:val="BodyText"/>
      </w:pPr>
      <w:r>
        <w:rPr>
          <w:bCs/>
          <w:b/>
        </w:rPr>
        <w:t xml:space="preserve">Industry M&amp;A themes.</w:t>
      </w:r>
    </w:p>
    <w:p>
      <w:pPr>
        <w:numPr>
          <w:ilvl w:val="0"/>
          <w:numId w:val="1034"/>
        </w:numPr>
        <w:pStyle w:val="Compact"/>
      </w:pPr>
      <w:r>
        <w:t xml:space="preserve">In-market consolidation, 4→3 or 3→2, at 5–9x EBITDA: Indonesia, Thailand, Spain, the UK.</w:t>
      </w:r>
    </w:p>
    <w:p>
      <w:pPr>
        <w:numPr>
          <w:ilvl w:val="0"/>
          <w:numId w:val="1034"/>
        </w:numPr>
        <w:pStyle w:val="Compact"/>
      </w:pPr>
      <w:r>
        <w:t xml:space="preserve">Parent buyouts of listed telecom subsidiaries at 16–40% premia: NTT Docomo, NTT Data, KDDI–Lawson.</w:t>
      </w:r>
    </w:p>
    <w:p>
      <w:pPr>
        <w:numPr>
          <w:ilvl w:val="0"/>
          <w:numId w:val="1034"/>
        </w:numPr>
        <w:pStyle w:val="Compact"/>
      </w:pPr>
      <w:r>
        <w:t xml:space="preserve">Telecom infrastructure carve-outs priced as infrastructure (fibre, towers, data centres): TPG/Vocus, SK Horizon, KT Cloud.</w:t>
      </w:r>
    </w:p>
    <w:p>
      <w:pPr>
        <w:numPr>
          <w:ilvl w:val="0"/>
          <w:numId w:val="1034"/>
        </w:numPr>
        <w:pStyle w:val="Compact"/>
      </w:pPr>
      <w:r>
        <w:t xml:space="preserve">In Korea, cable consolidation into the MNOs (2019–21) and SK Telecom’s buyout of SK Broadband minorities at 4.9x.</w:t>
      </w:r>
    </w:p>
    <w:bookmarkEnd w:id="96"/>
    <w:bookmarkStart w:id="97" w:name="is-lg-uplus-a-takeover-target"/>
    <w:p>
      <w:pPr>
        <w:pStyle w:val="Heading2"/>
      </w:pPr>
      <w:r>
        <w:t xml:space="preserve">Is LG Uplus a takeover target?</w:t>
      </w:r>
    </w:p>
    <w:p>
      <w:pPr>
        <w:pStyle w:val="FirstParagraph"/>
      </w:pPr>
      <w:r>
        <w:rPr>
          <w:bCs/>
          <w:b/>
        </w:rPr>
        <w:t xml:space="preserve">Our view: a full takeover is unlikely (&lt;10% probability over 24 months [e]). Partial monetisation events are likely.</w:t>
      </w:r>
      <w:r>
        <w:t xml:space="preserve"> </w:t>
      </w:r>
      <w:r>
        <w:t xml:space="preserve">The plausible events are a minority sale of the AIDC business, an LGHV squeeze-out or sale, or a block sale by LG Corp to a strategic investor.</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4541"/>
        <w:gridCol w:w="5436"/>
      </w:tblGrid>
      <w:tr>
        <w:trPr>
          <w:tblHeader w:val="true"/>
          <w:tblHeader w:val="true"/>
          <w:cantSplit/>
        </w:trPr>
        <w:tc>
          <w:tcPr>
            <w:tcW w:type="dxa" w:w="4542"/>
            <w:shd w:val="clear" w:color="auto" w:fill="13213F"/>
          </w:tcPr>
          <w:p>
            <w:pPr>
              <w:pStyle w:val="Compact"/>
              <w:spacing w:after="0" w:before="0" w:line="240" w:lineRule="auto"/>
              <w:jc w:val="left"/>
            </w:pPr>
            <w:r>
              <w:rPr>
                <w:rFonts w:ascii="Arial" w:hAnsi="Arial"/>
                <w:b/>
                <w:color w:val="FFFFFF"/>
                <w:sz w:val="15"/>
              </w:rPr>
              <w:t xml:space="preserve">Pros (why a bidder could be interested)</w:t>
            </w:r>
          </w:p>
        </w:tc>
        <w:tc>
          <w:tcPr>
            <w:tcW w:type="dxa" w:w="5436"/>
            <w:shd w:val="clear" w:color="auto" w:fill="13213F"/>
          </w:tcPr>
          <w:p>
            <w:pPr>
              <w:pStyle w:val="Compact"/>
              <w:spacing w:after="0" w:before="0" w:line="240" w:lineRule="auto"/>
              <w:jc w:val="left"/>
            </w:pPr>
            <w:r>
              <w:rPr>
                <w:rFonts w:ascii="Arial" w:hAnsi="Arial"/>
                <w:b/>
                <w:color w:val="FFFFFF"/>
                <w:sz w:val="15"/>
              </w:rPr>
              <w:t xml:space="preserve">Impediments</w:t>
            </w:r>
          </w:p>
        </w:tc>
      </w:tr>
      <w:tr>
        <w:trPr>
          <w:cantSplit/>
        </w:trPr>
        <w:tc>
          <w:tcPr>
            <w:tcW w:type="dxa" w:w="4542"/>
          </w:tcPr>
          <w:p>
            <w:pPr>
              <w:pStyle w:val="Compact"/>
              <w:spacing w:after="0" w:before="0" w:line="240" w:lineRule="auto"/>
              <w:jc w:val="left"/>
            </w:pPr>
            <w:r>
              <w:rPr>
                <w:rFonts w:ascii="Arial" w:hAnsi="Arial"/>
                <w:sz w:val="15"/>
              </w:rPr>
              <w:t xml:space="preserve">2.9x EV/EBITDA vs 4.9–6.3x Korean precedents and 5–9x APAC/EU</w:t>
            </w:r>
          </w:p>
        </w:tc>
        <w:tc>
          <w:tcPr>
            <w:tcW w:type="dxa" w:w="5436"/>
          </w:tcPr>
          <w:p>
            <w:pPr>
              <w:pStyle w:val="Compact"/>
              <w:spacing w:after="0" w:before="0" w:line="240" w:lineRule="auto"/>
              <w:jc w:val="left"/>
            </w:pPr>
            <w:r>
              <w:rPr>
                <w:rFonts w:ascii="Arial" w:hAnsi="Arial"/>
                <w:sz w:val="15"/>
              </w:rPr>
              <w:t xml:space="preserve">LG Corp’s 38.7% control; LG Uplus is the group’s only telecom and its consumer</w:t>
            </w:r>
            <w:r>
              <w:rPr>
                <w:rFonts w:ascii="Arial" w:hAnsi="Arial"/>
                <w:sz w:val="15"/>
              </w:rPr>
              <w:t xml:space="preserve"> </w:t>
            </w:r>
            <w:r>
              <w:rPr>
                <w:rFonts w:ascii="Arial" w:hAnsi="Arial"/>
                <w:sz w:val="15"/>
              </w:rPr>
              <w:t xml:space="preserve">“</w:t>
            </w:r>
            <w:r>
              <w:rPr>
                <w:rFonts w:ascii="Arial" w:hAnsi="Arial"/>
                <w:sz w:val="15"/>
              </w:rPr>
              <w:t xml:space="preserve">AX</w:t>
            </w:r>
            <w:r>
              <w:rPr>
                <w:rFonts w:ascii="Arial" w:hAnsi="Arial"/>
                <w:sz w:val="15"/>
              </w:rPr>
              <w:t xml:space="preserve">”</w:t>
            </w:r>
            <w:r>
              <w:rPr>
                <w:rFonts w:ascii="Arial" w:hAnsi="Arial"/>
                <w:sz w:val="15"/>
              </w:rPr>
              <w:t xml:space="preserve"> </w:t>
            </w:r>
            <w:r>
              <w:rPr>
                <w:rFonts w:ascii="Arial" w:hAnsi="Arial"/>
                <w:sz w:val="15"/>
              </w:rPr>
              <w:t xml:space="preserve">showcase</w:t>
            </w:r>
          </w:p>
        </w:tc>
      </w:tr>
      <w:tr>
        <w:trPr>
          <w:cantSplit/>
        </w:trPr>
        <w:tc>
          <w:tcPr>
            <w:tcW w:type="dxa" w:w="4542"/>
            <w:shd w:val="clear" w:color="auto" w:fill="F1F2F5"/>
          </w:tcPr>
          <w:p>
            <w:pPr>
              <w:pStyle w:val="Compact"/>
              <w:spacing w:after="0" w:before="0" w:line="240" w:lineRule="auto"/>
              <w:jc w:val="left"/>
            </w:pPr>
            <w:r>
              <w:rPr>
                <w:rFonts w:ascii="Arial" w:hAnsi="Arial"/>
                <w:sz w:val="15"/>
              </w:rPr>
              <w:t xml:space="preserve">Hidden AIDC value: 8–15x sales precedents (SK Horizon) vs a 3x telecom multiple</w:t>
            </w:r>
          </w:p>
        </w:tc>
        <w:tc>
          <w:tcPr>
            <w:tcW w:type="dxa" w:w="5436"/>
            <w:shd w:val="clear" w:color="auto" w:fill="F1F2F5"/>
          </w:tcPr>
          <w:p>
            <w:pPr>
              <w:pStyle w:val="Compact"/>
              <w:spacing w:after="0" w:before="0" w:line="240" w:lineRule="auto"/>
              <w:jc w:val="left"/>
            </w:pPr>
            <w:r>
              <w:rPr>
                <w:rFonts w:ascii="Arial" w:hAnsi="Arial"/>
                <w:sz w:val="15"/>
              </w:rPr>
              <w:t xml:space="preserve">49% statutory foreign-ownership cap (~7pp headroom); MSIT public-interest review (2026 amendment allows conditions)</w:t>
            </w:r>
          </w:p>
        </w:tc>
      </w:tr>
      <w:tr>
        <w:trPr>
          <w:cantSplit/>
        </w:trPr>
        <w:tc>
          <w:tcPr>
            <w:tcW w:type="dxa" w:w="4542"/>
          </w:tcPr>
          <w:p>
            <w:pPr>
              <w:pStyle w:val="Compact"/>
              <w:spacing w:after="0" w:before="0" w:line="240" w:lineRule="auto"/>
              <w:jc w:val="left"/>
            </w:pPr>
            <w:r>
              <w:rPr>
                <w:rFonts w:ascii="Arial" w:hAnsi="Arial"/>
                <w:sz w:val="15"/>
              </w:rPr>
              <w:t xml:space="preserve">13% FCF yield; AA+ balance sheet with debt capacity for leverage</w:t>
            </w:r>
          </w:p>
        </w:tc>
        <w:tc>
          <w:tcPr>
            <w:tcW w:type="dxa" w:w="5436"/>
          </w:tcPr>
          <w:p>
            <w:pPr>
              <w:pStyle w:val="Compact"/>
              <w:spacing w:after="0" w:before="0" w:line="240" w:lineRule="auto"/>
              <w:jc w:val="left"/>
            </w:pPr>
            <w:r>
              <w:rPr>
                <w:rFonts w:ascii="Arial" w:hAnsi="Arial"/>
                <w:sz w:val="15"/>
              </w:rPr>
              <w:t xml:space="preserve">No domestic strategic buyer: SKT or KT would fail antitrust (2 players)</w:t>
            </w:r>
          </w:p>
        </w:tc>
      </w:tr>
      <w:tr>
        <w:trPr>
          <w:cantSplit/>
        </w:trPr>
        <w:tc>
          <w:tcPr>
            <w:tcW w:type="dxa" w:w="4542"/>
            <w:shd w:val="clear" w:color="auto" w:fill="F1F2F5"/>
          </w:tcPr>
          <w:p>
            <w:pPr>
              <w:pStyle w:val="Compact"/>
              <w:spacing w:after="0" w:before="0" w:line="240" w:lineRule="auto"/>
              <w:jc w:val="left"/>
            </w:pPr>
            <w:r>
              <w:rPr>
                <w:rFonts w:ascii="Arial" w:hAnsi="Arial"/>
                <w:sz w:val="15"/>
              </w:rPr>
              <w:t xml:space="preserve">FTA route: US/EU investors can exceed 49% indirectly via a Korean entity (KT and SKT are excluded from this route; LG Uplus is not [u])</w:t>
            </w:r>
          </w:p>
        </w:tc>
        <w:tc>
          <w:tcPr>
            <w:tcW w:type="dxa" w:w="5436"/>
            <w:shd w:val="clear" w:color="auto" w:fill="F1F2F5"/>
          </w:tcPr>
          <w:p>
            <w:pPr>
              <w:pStyle w:val="Compact"/>
              <w:spacing w:after="0" w:before="0" w:line="240" w:lineRule="auto"/>
              <w:jc w:val="left"/>
            </w:pPr>
            <w:r>
              <w:rPr>
                <w:rFonts w:ascii="Arial" w:hAnsi="Arial"/>
                <w:sz w:val="15"/>
              </w:rPr>
              <w:t xml:space="preserve">National-security sensitivity (Huawei 5G gear; 2025 hacking case and police probe)</w:t>
            </w:r>
          </w:p>
        </w:tc>
      </w:tr>
      <w:tr>
        <w:trPr>
          <w:cantSplit/>
        </w:trPr>
        <w:tc>
          <w:tcPr>
            <w:tcW w:type="dxa" w:w="4542"/>
          </w:tcPr>
          <w:p>
            <w:pPr>
              <w:pStyle w:val="Compact"/>
              <w:spacing w:after="0" w:before="0" w:line="240" w:lineRule="auto"/>
              <w:jc w:val="left"/>
            </w:pPr>
            <w:r>
              <w:rPr>
                <w:rFonts w:ascii="Arial" w:hAnsi="Arial"/>
                <w:sz w:val="15"/>
              </w:rPr>
              <w:t xml:space="preserve">Non-core portfolio is cleanable (LGHV, VoltUp, Media Log, startup stakes)</w:t>
            </w:r>
          </w:p>
        </w:tc>
        <w:tc>
          <w:tcPr>
            <w:tcW w:type="dxa" w:w="5436"/>
          </w:tcPr>
          <w:p>
            <w:pPr>
              <w:pStyle w:val="Compact"/>
              <w:spacing w:after="0" w:before="0" w:line="240" w:lineRule="auto"/>
              <w:jc w:val="left"/>
            </w:pPr>
            <w:r>
              <w:rPr>
                <w:rFonts w:ascii="Arial" w:hAnsi="Arial"/>
                <w:sz w:val="15"/>
              </w:rPr>
              <w:t xml:space="preserve">Bond change-of-control covenant (must stay within the LG Group); unions; political sensitivity of household telecom bills</w:t>
            </w:r>
          </w:p>
        </w:tc>
      </w:tr>
      <w:tr>
        <w:trPr>
          <w:cantSplit/>
        </w:trPr>
        <w:tc>
          <w:tcPr>
            <w:tcW w:type="dxa" w:w="4542"/>
            <w:shd w:val="clear" w:color="auto" w:fill="F1F2F5"/>
          </w:tcPr>
          <w:p>
            <w:pPr>
              <w:pStyle w:val="Compact"/>
              <w:spacing w:after="0" w:before="0" w:line="240" w:lineRule="auto"/>
              <w:jc w:val="left"/>
            </w:pPr>
            <w:r>
              <w:rPr>
                <w:rFonts w:ascii="Arial" w:hAnsi="Arial"/>
                <w:sz w:val="15"/>
              </w:rPr>
              <w:t xml:space="preserve">LG Corp needs capital for AI, batteries and bio; its own value-up programme</w:t>
            </w:r>
          </w:p>
        </w:tc>
        <w:tc>
          <w:tcPr>
            <w:tcW w:type="dxa" w:w="5436"/>
            <w:shd w:val="clear" w:color="auto" w:fill="F1F2F5"/>
          </w:tcPr>
          <w:p>
            <w:pPr>
              <w:pStyle w:val="Compact"/>
              <w:spacing w:after="0" w:before="0" w:line="240" w:lineRule="auto"/>
              <w:jc w:val="left"/>
            </w:pPr>
            <w:r>
              <w:rPr>
                <w:rFonts w:ascii="Arial" w:hAnsi="Arial"/>
                <w:sz w:val="15"/>
              </w:rPr>
              <w:t xml:space="preserve">Korea has no mandatory-bid rule: a buyer can deal with LG Corp alone, excluding minorities from any premium</w:t>
            </w:r>
          </w:p>
        </w:tc>
      </w:tr>
    </w:tbl>
    <w:p>
      <w:pPr>
        <w:pStyle w:val="BodyText"/>
      </w:pPr>
      <w:r>
        <w:rPr>
          <w:bCs/>
          <w:b/>
        </w:rPr>
        <w:t xml:space="preserve">Potential takeout multiples.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1671"/>
        <w:gridCol w:w="2065"/>
        <w:gridCol w:w="2048"/>
        <w:gridCol w:w="4192"/>
      </w:tblGrid>
      <w:tr>
        <w:trPr>
          <w:tblHeader w:val="true"/>
          <w:tblHeader w:val="true"/>
          <w:cantSplit/>
        </w:trPr>
        <w:tc>
          <w:tcPr>
            <w:tcW w:type="dxa" w:w="1671"/>
            <w:shd w:val="clear" w:color="auto" w:fill="13213F"/>
          </w:tcPr>
          <w:p>
            <w:pPr>
              <w:pStyle w:val="Compact"/>
              <w:spacing w:after="0" w:before="0" w:line="240" w:lineRule="auto"/>
              <w:jc w:val="left"/>
            </w:pPr>
            <w:r>
              <w:rPr>
                <w:rFonts w:ascii="Arial" w:hAnsi="Arial"/>
                <w:b/>
                <w:color w:val="FFFFFF"/>
                <w:sz w:val="15"/>
              </w:rPr>
              <w:t xml:space="preserve">TEV / FY26E EBITDA</w:t>
            </w:r>
          </w:p>
        </w:tc>
        <w:tc>
          <w:tcPr>
            <w:tcW w:type="dxa" w:w="2066"/>
            <w:shd w:val="clear" w:color="auto" w:fill="13213F"/>
          </w:tcPr>
          <w:p>
            <w:pPr>
              <w:pStyle w:val="Compact"/>
              <w:spacing w:after="0" w:before="0" w:line="240" w:lineRule="auto"/>
              <w:jc w:val="right"/>
            </w:pPr>
            <w:r>
              <w:rPr>
                <w:rFonts w:ascii="Arial" w:hAnsi="Arial"/>
                <w:b/>
                <w:color w:val="FFFFFF"/>
                <w:sz w:val="15"/>
              </w:rPr>
              <w:t xml:space="preserve">Implied value per share</w:t>
            </w:r>
          </w:p>
        </w:tc>
        <w:tc>
          <w:tcPr>
            <w:tcW w:type="dxa" w:w="2049"/>
            <w:shd w:val="clear" w:color="auto" w:fill="13213F"/>
          </w:tcPr>
          <w:p>
            <w:pPr>
              <w:pStyle w:val="Compact"/>
              <w:spacing w:after="0" w:before="0" w:line="240" w:lineRule="auto"/>
              <w:jc w:val="right"/>
            </w:pPr>
            <w:r>
              <w:rPr>
                <w:rFonts w:ascii="Arial" w:hAnsi="Arial"/>
                <w:b/>
                <w:color w:val="FFFFFF"/>
                <w:sz w:val="15"/>
              </w:rPr>
              <w:t xml:space="preserve">Premium to KRW15,510</w:t>
            </w:r>
          </w:p>
        </w:tc>
        <w:tc>
          <w:tcPr>
            <w:tcW w:type="dxa" w:w="4192"/>
            <w:shd w:val="clear" w:color="auto" w:fill="13213F"/>
          </w:tcPr>
          <w:p>
            <w:pPr>
              <w:pStyle w:val="Compact"/>
              <w:spacing w:after="0" w:before="0" w:line="240" w:lineRule="auto"/>
              <w:jc w:val="left"/>
            </w:pPr>
            <w:r>
              <w:rPr>
                <w:rFonts w:ascii="Arial" w:hAnsi="Arial"/>
                <w:b/>
                <w:color w:val="FFFFFF"/>
                <w:sz w:val="15"/>
              </w:rPr>
              <w:t xml:space="preserve">Anchor</w:t>
            </w:r>
          </w:p>
        </w:tc>
      </w:tr>
      <w:tr>
        <w:trPr>
          <w:cantSplit/>
        </w:trPr>
        <w:tc>
          <w:tcPr>
            <w:tcW w:type="dxa" w:w="1671"/>
          </w:tcPr>
          <w:p>
            <w:pPr>
              <w:pStyle w:val="Compact"/>
              <w:spacing w:after="0" w:before="0" w:line="240" w:lineRule="auto"/>
              <w:jc w:val="left"/>
            </w:pPr>
            <w:r>
              <w:rPr>
                <w:rFonts w:ascii="Arial" w:hAnsi="Arial"/>
                <w:sz w:val="15"/>
              </w:rPr>
              <w:t xml:space="preserve">3.0x</w:t>
            </w:r>
          </w:p>
        </w:tc>
        <w:tc>
          <w:tcPr>
            <w:tcW w:type="dxa" w:w="2066"/>
          </w:tcPr>
          <w:p>
            <w:pPr>
              <w:pStyle w:val="Compact"/>
              <w:spacing w:after="0" w:before="0" w:line="240" w:lineRule="auto"/>
              <w:jc w:val="right"/>
            </w:pPr>
            <w:r>
              <w:rPr>
                <w:rFonts w:ascii="Arial" w:hAnsi="Arial"/>
                <w:sz w:val="15"/>
              </w:rPr>
              <w:t xml:space="preserve">17,295</w:t>
            </w:r>
          </w:p>
        </w:tc>
        <w:tc>
          <w:tcPr>
            <w:tcW w:type="dxa" w:w="2049"/>
          </w:tcPr>
          <w:p>
            <w:pPr>
              <w:pStyle w:val="Compact"/>
              <w:spacing w:after="0" w:before="0" w:line="240" w:lineRule="auto"/>
              <w:jc w:val="right"/>
            </w:pPr>
            <w:r>
              <w:rPr>
                <w:rFonts w:ascii="Arial" w:hAnsi="Arial"/>
                <w:sz w:val="15"/>
              </w:rPr>
              <w:t xml:space="preserve">+12%</w:t>
            </w:r>
          </w:p>
        </w:tc>
        <w:tc>
          <w:tcPr>
            <w:tcW w:type="dxa" w:w="4192"/>
          </w:tcPr>
          <w:p>
            <w:pPr>
              <w:pStyle w:val="Compact"/>
              <w:spacing w:after="0" w:before="0" w:line="240" w:lineRule="auto"/>
              <w:jc w:val="left"/>
            </w:pPr>
            <w:r>
              <w:rPr>
                <w:rFonts w:ascii="Arial" w:hAnsi="Arial"/>
                <w:sz w:val="15"/>
              </w:rPr>
              <w:t xml:space="preserve">Current trading level</w:t>
            </w:r>
          </w:p>
        </w:tc>
      </w:tr>
      <w:tr>
        <w:trPr>
          <w:cantSplit/>
        </w:trPr>
        <w:tc>
          <w:tcPr>
            <w:tcW w:type="dxa" w:w="1671"/>
            <w:shd w:val="clear" w:color="auto" w:fill="F1F2F5"/>
          </w:tcPr>
          <w:p>
            <w:pPr>
              <w:pStyle w:val="Compact"/>
              <w:spacing w:after="0" w:before="0" w:line="240" w:lineRule="auto"/>
              <w:jc w:val="left"/>
            </w:pPr>
            <w:r>
              <w:rPr>
                <w:rFonts w:ascii="Arial" w:hAnsi="Arial"/>
                <w:sz w:val="15"/>
              </w:rPr>
              <w:t xml:space="preserve">3.5x</w:t>
            </w:r>
          </w:p>
        </w:tc>
        <w:tc>
          <w:tcPr>
            <w:tcW w:type="dxa" w:w="2066"/>
            <w:shd w:val="clear" w:color="auto" w:fill="F1F2F5"/>
          </w:tcPr>
          <w:p>
            <w:pPr>
              <w:pStyle w:val="Compact"/>
              <w:spacing w:after="0" w:before="0" w:line="240" w:lineRule="auto"/>
              <w:jc w:val="right"/>
            </w:pPr>
            <w:r>
              <w:rPr>
                <w:rFonts w:ascii="Arial" w:hAnsi="Arial"/>
                <w:sz w:val="15"/>
              </w:rPr>
              <w:t xml:space="preserve">21,893</w:t>
            </w:r>
          </w:p>
        </w:tc>
        <w:tc>
          <w:tcPr>
            <w:tcW w:type="dxa" w:w="2049"/>
            <w:shd w:val="clear" w:color="auto" w:fill="F1F2F5"/>
          </w:tcPr>
          <w:p>
            <w:pPr>
              <w:pStyle w:val="Compact"/>
              <w:spacing w:after="0" w:before="0" w:line="240" w:lineRule="auto"/>
              <w:jc w:val="right"/>
            </w:pPr>
            <w:r>
              <w:rPr>
                <w:rFonts w:ascii="Arial" w:hAnsi="Arial"/>
                <w:sz w:val="15"/>
              </w:rPr>
              <w:t xml:space="preserve">+41%</w:t>
            </w:r>
          </w:p>
        </w:tc>
        <w:tc>
          <w:tcPr>
            <w:tcW w:type="dxa" w:w="4192"/>
            <w:shd w:val="clear" w:color="auto" w:fill="F1F2F5"/>
          </w:tcPr>
          <w:p>
            <w:pPr>
              <w:pStyle w:val="Compact"/>
              <w:spacing w:after="0" w:before="0" w:line="240" w:lineRule="auto"/>
              <w:jc w:val="left"/>
            </w:pPr>
            <w:r>
              <w:rPr>
                <w:rFonts w:ascii="Arial" w:hAnsi="Arial"/>
                <w:sz w:val="15"/>
              </w:rPr>
              <w:t xml:space="preserve">Japanese parent take-private premia (16–40%)</w:t>
            </w:r>
          </w:p>
        </w:tc>
      </w:tr>
      <w:tr>
        <w:trPr>
          <w:cantSplit/>
        </w:trPr>
        <w:tc>
          <w:tcPr>
            <w:tcW w:type="dxa" w:w="1671"/>
          </w:tcPr>
          <w:p>
            <w:pPr>
              <w:pStyle w:val="Compact"/>
              <w:spacing w:after="0" w:before="0" w:line="240" w:lineRule="auto"/>
              <w:jc w:val="left"/>
            </w:pPr>
            <w:r>
              <w:rPr>
                <w:rFonts w:ascii="Arial" w:hAnsi="Arial"/>
                <w:sz w:val="15"/>
              </w:rPr>
              <w:t xml:space="preserve">4.0x</w:t>
            </w:r>
          </w:p>
        </w:tc>
        <w:tc>
          <w:tcPr>
            <w:tcW w:type="dxa" w:w="2066"/>
          </w:tcPr>
          <w:p>
            <w:pPr>
              <w:pStyle w:val="Compact"/>
              <w:spacing w:after="0" w:before="0" w:line="240" w:lineRule="auto"/>
              <w:jc w:val="right"/>
            </w:pPr>
            <w:r>
              <w:rPr>
                <w:rFonts w:ascii="Arial" w:hAnsi="Arial"/>
                <w:sz w:val="15"/>
              </w:rPr>
              <w:t xml:space="preserve">26,492</w:t>
            </w:r>
          </w:p>
        </w:tc>
        <w:tc>
          <w:tcPr>
            <w:tcW w:type="dxa" w:w="2049"/>
          </w:tcPr>
          <w:p>
            <w:pPr>
              <w:pStyle w:val="Compact"/>
              <w:spacing w:after="0" w:before="0" w:line="240" w:lineRule="auto"/>
              <w:jc w:val="right"/>
            </w:pPr>
            <w:r>
              <w:rPr>
                <w:rFonts w:ascii="Arial" w:hAnsi="Arial"/>
                <w:sz w:val="15"/>
              </w:rPr>
              <w:t xml:space="preserve">+71%</w:t>
            </w:r>
          </w:p>
        </w:tc>
        <w:tc>
          <w:tcPr>
            <w:tcW w:type="dxa" w:w="4192"/>
          </w:tcPr>
          <w:p>
            <w:pPr>
              <w:pStyle w:val="Compact"/>
              <w:spacing w:after="0" w:before="0" w:line="240" w:lineRule="auto"/>
              <w:jc w:val="left"/>
            </w:pPr>
            <w:r>
              <w:rPr>
                <w:rFonts w:ascii="Arial" w:hAnsi="Arial"/>
                <w:sz w:val="15"/>
              </w:rPr>
              <w:t xml:space="preserve">–</w:t>
            </w:r>
          </w:p>
        </w:tc>
      </w:tr>
      <w:tr>
        <w:trPr>
          <w:cantSplit/>
        </w:trPr>
        <w:tc>
          <w:tcPr>
            <w:tcW w:type="dxa" w:w="1671"/>
            <w:shd w:val="clear" w:color="auto" w:fill="F1F2F5"/>
          </w:tcPr>
          <w:p>
            <w:pPr>
              <w:pStyle w:val="Compact"/>
              <w:spacing w:after="0" w:before="0" w:line="240" w:lineRule="auto"/>
              <w:jc w:val="left"/>
            </w:pPr>
            <w:r>
              <w:rPr>
                <w:rFonts w:ascii="Arial" w:hAnsi="Arial"/>
                <w:sz w:val="15"/>
              </w:rPr>
              <w:t xml:space="preserve">4.9x</w:t>
            </w:r>
          </w:p>
        </w:tc>
        <w:tc>
          <w:tcPr>
            <w:tcW w:type="dxa" w:w="2066"/>
            <w:shd w:val="clear" w:color="auto" w:fill="F1F2F5"/>
          </w:tcPr>
          <w:p>
            <w:pPr>
              <w:pStyle w:val="Compact"/>
              <w:spacing w:after="0" w:before="0" w:line="240" w:lineRule="auto"/>
              <w:jc w:val="right"/>
            </w:pPr>
            <w:r>
              <w:rPr>
                <w:rFonts w:ascii="Arial" w:hAnsi="Arial"/>
                <w:sz w:val="15"/>
              </w:rPr>
              <w:t xml:space="preserve">34,770</w:t>
            </w:r>
          </w:p>
        </w:tc>
        <w:tc>
          <w:tcPr>
            <w:tcW w:type="dxa" w:w="2049"/>
            <w:shd w:val="clear" w:color="auto" w:fill="F1F2F5"/>
          </w:tcPr>
          <w:p>
            <w:pPr>
              <w:pStyle w:val="Compact"/>
              <w:spacing w:after="0" w:before="0" w:line="240" w:lineRule="auto"/>
              <w:jc w:val="right"/>
            </w:pPr>
            <w:r>
              <w:rPr>
                <w:rFonts w:ascii="Arial" w:hAnsi="Arial"/>
                <w:sz w:val="15"/>
              </w:rPr>
              <w:t xml:space="preserve">+124%</w:t>
            </w:r>
          </w:p>
        </w:tc>
        <w:tc>
          <w:tcPr>
            <w:tcW w:type="dxa" w:w="4192"/>
            <w:shd w:val="clear" w:color="auto" w:fill="F1F2F5"/>
          </w:tcPr>
          <w:p>
            <w:pPr>
              <w:pStyle w:val="Compact"/>
              <w:spacing w:after="0" w:before="0" w:line="240" w:lineRule="auto"/>
              <w:jc w:val="left"/>
            </w:pPr>
            <w:r>
              <w:rPr>
                <w:rFonts w:ascii="Arial" w:hAnsi="Arial"/>
                <w:sz w:val="15"/>
              </w:rPr>
              <w:t xml:space="preserve">SK Broadband minority buyout (4.9x)</w:t>
            </w:r>
          </w:p>
        </w:tc>
      </w:tr>
      <w:tr>
        <w:trPr>
          <w:cantSplit/>
        </w:trPr>
        <w:tc>
          <w:tcPr>
            <w:tcW w:type="dxa" w:w="1671"/>
          </w:tcPr>
          <w:p>
            <w:pPr>
              <w:pStyle w:val="Compact"/>
              <w:spacing w:after="0" w:before="0" w:line="240" w:lineRule="auto"/>
              <w:jc w:val="left"/>
            </w:pPr>
            <w:r>
              <w:rPr>
                <w:rFonts w:ascii="Arial" w:hAnsi="Arial"/>
                <w:sz w:val="15"/>
              </w:rPr>
              <w:t xml:space="preserve">5.4x</w:t>
            </w:r>
          </w:p>
        </w:tc>
        <w:tc>
          <w:tcPr>
            <w:tcW w:type="dxa" w:w="2066"/>
          </w:tcPr>
          <w:p>
            <w:pPr>
              <w:pStyle w:val="Compact"/>
              <w:spacing w:after="0" w:before="0" w:line="240" w:lineRule="auto"/>
              <w:jc w:val="right"/>
            </w:pPr>
            <w:r>
              <w:rPr>
                <w:rFonts w:ascii="Arial" w:hAnsi="Arial"/>
                <w:sz w:val="15"/>
              </w:rPr>
              <w:t xml:space="preserve">39,368</w:t>
            </w:r>
          </w:p>
        </w:tc>
        <w:tc>
          <w:tcPr>
            <w:tcW w:type="dxa" w:w="2049"/>
          </w:tcPr>
          <w:p>
            <w:pPr>
              <w:pStyle w:val="Compact"/>
              <w:spacing w:after="0" w:before="0" w:line="240" w:lineRule="auto"/>
              <w:jc w:val="right"/>
            </w:pPr>
            <w:r>
              <w:rPr>
                <w:rFonts w:ascii="Arial" w:hAnsi="Arial"/>
                <w:sz w:val="15"/>
              </w:rPr>
              <w:t xml:space="preserve">+154%</w:t>
            </w:r>
          </w:p>
        </w:tc>
        <w:tc>
          <w:tcPr>
            <w:tcW w:type="dxa" w:w="4192"/>
          </w:tcPr>
          <w:p>
            <w:pPr>
              <w:pStyle w:val="Compact"/>
              <w:spacing w:after="0" w:before="0" w:line="240" w:lineRule="auto"/>
              <w:jc w:val="left"/>
            </w:pPr>
            <w:r>
              <w:rPr>
                <w:rFonts w:ascii="Arial" w:hAnsi="Arial"/>
                <w:sz w:val="15"/>
              </w:rPr>
              <w:t xml:space="preserve">Hyundai HCN (~5.4x), XL–Smartfren (~5.3x)</w:t>
            </w:r>
          </w:p>
        </w:tc>
      </w:tr>
      <w:tr>
        <w:trPr>
          <w:cantSplit/>
        </w:trPr>
        <w:tc>
          <w:tcPr>
            <w:tcW w:type="dxa" w:w="1671"/>
            <w:shd w:val="clear" w:color="auto" w:fill="F1F2F5"/>
          </w:tcPr>
          <w:p>
            <w:pPr>
              <w:pStyle w:val="Compact"/>
              <w:spacing w:after="0" w:before="0" w:line="240" w:lineRule="auto"/>
              <w:jc w:val="left"/>
            </w:pPr>
            <w:r>
              <w:rPr>
                <w:rFonts w:ascii="Arial" w:hAnsi="Arial"/>
                <w:sz w:val="15"/>
              </w:rPr>
              <w:t xml:space="preserve">6.3x</w:t>
            </w:r>
          </w:p>
        </w:tc>
        <w:tc>
          <w:tcPr>
            <w:tcW w:type="dxa" w:w="2066"/>
            <w:shd w:val="clear" w:color="auto" w:fill="F1F2F5"/>
          </w:tcPr>
          <w:p>
            <w:pPr>
              <w:pStyle w:val="Compact"/>
              <w:spacing w:after="0" w:before="0" w:line="240" w:lineRule="auto"/>
              <w:jc w:val="right"/>
            </w:pPr>
            <w:r>
              <w:rPr>
                <w:rFonts w:ascii="Arial" w:hAnsi="Arial"/>
                <w:sz w:val="15"/>
              </w:rPr>
              <w:t xml:space="preserve">47,646</w:t>
            </w:r>
          </w:p>
        </w:tc>
        <w:tc>
          <w:tcPr>
            <w:tcW w:type="dxa" w:w="2049"/>
            <w:shd w:val="clear" w:color="auto" w:fill="F1F2F5"/>
          </w:tcPr>
          <w:p>
            <w:pPr>
              <w:pStyle w:val="Compact"/>
              <w:spacing w:after="0" w:before="0" w:line="240" w:lineRule="auto"/>
              <w:jc w:val="right"/>
            </w:pPr>
            <w:r>
              <w:rPr>
                <w:rFonts w:ascii="Arial" w:hAnsi="Arial"/>
                <w:sz w:val="15"/>
              </w:rPr>
              <w:t xml:space="preserve">+207%</w:t>
            </w:r>
          </w:p>
        </w:tc>
        <w:tc>
          <w:tcPr>
            <w:tcW w:type="dxa" w:w="4192"/>
            <w:shd w:val="clear" w:color="auto" w:fill="F1F2F5"/>
          </w:tcPr>
          <w:p>
            <w:pPr>
              <w:pStyle w:val="Compact"/>
              <w:spacing w:after="0" w:before="0" w:line="240" w:lineRule="auto"/>
              <w:jc w:val="left"/>
            </w:pPr>
            <w:r>
              <w:rPr>
                <w:rFonts w:ascii="Arial" w:hAnsi="Arial"/>
                <w:sz w:val="15"/>
              </w:rPr>
              <w:t xml:space="preserve">CJ Hello (6.3x), Charter–Cox (6.4x)</w:t>
            </w:r>
          </w:p>
        </w:tc>
      </w:tr>
    </w:tbl>
    <w:p>
      <w:pPr>
        <w:pStyle w:val="BodyText"/>
      </w:pPr>
      <w:r>
        <w:rPr>
          <w:iCs/>
          <w:i/>
        </w:rPr>
        <w:t xml:space="preserve">Equity value = multiple × FY26E EBITDA (KRW3,904bn) − net debt (KRW4,508bn) − LGHV minorities at market + 50% of investments. Capital IQ TEV basis.</w:t>
      </w:r>
    </w:p>
    <w:p>
      <w:pPr>
        <w:pStyle w:val="BodyText"/>
      </w:pPr>
      <w:r>
        <w:t xml:space="preserve">A realistic control price, if one ever arose, would be ~3.5–4.0x (KRW22–26k). That is a 40–70% premium, yet still well below Korean and APAC precedents. A control buyer could pay up and still buy cheap, which is the core of the event optionality. Sum-of-the-parts on a carve-out basis gives ~KRW20–30k (see Scenario analysis).</w:t>
      </w:r>
    </w:p>
    <w:bookmarkEnd w:id="97"/>
    <w:bookmarkStart w:id="98" w:name="X658d738cf13549e87cbd63d2dcc3dc01d8de414"/>
    <w:p>
      <w:pPr>
        <w:pStyle w:val="Heading2"/>
      </w:pPr>
      <w:r>
        <w:t xml:space="preserve">LG Uplus’s own acquisitions and disposals (last 10 years)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1144"/>
        <w:gridCol w:w="2033"/>
        <w:gridCol w:w="1472"/>
        <w:gridCol w:w="1883"/>
        <w:gridCol w:w="1136"/>
        <w:gridCol w:w="2307"/>
      </w:tblGrid>
      <w:tr>
        <w:trPr>
          <w:tblHeader w:val="true"/>
          <w:tblHeader w:val="true"/>
          <w:cantSplit/>
        </w:trPr>
        <w:tc>
          <w:tcPr>
            <w:tcW w:type="dxa" w:w="1145"/>
            <w:shd w:val="clear" w:color="auto" w:fill="13213F"/>
          </w:tcPr>
          <w:p>
            <w:pPr>
              <w:pStyle w:val="Compact"/>
              <w:spacing w:after="0" w:before="0" w:line="240" w:lineRule="auto"/>
              <w:jc w:val="left"/>
            </w:pPr>
            <w:r>
              <w:rPr>
                <w:rFonts w:ascii="Arial" w:hAnsi="Arial"/>
                <w:b/>
                <w:color w:val="FFFFFF"/>
                <w:sz w:val="15"/>
              </w:rPr>
              <w:t xml:space="preserve">Date</w:t>
            </w:r>
          </w:p>
        </w:tc>
        <w:tc>
          <w:tcPr>
            <w:tcW w:type="dxa" w:w="2033"/>
            <w:shd w:val="clear" w:color="auto" w:fill="13213F"/>
          </w:tcPr>
          <w:p>
            <w:pPr>
              <w:pStyle w:val="Compact"/>
              <w:spacing w:after="0" w:before="0" w:line="240" w:lineRule="auto"/>
              <w:jc w:val="left"/>
            </w:pPr>
            <w:r>
              <w:rPr>
                <w:rFonts w:ascii="Arial" w:hAnsi="Arial"/>
                <w:b/>
                <w:color w:val="FFFFFF"/>
                <w:sz w:val="15"/>
              </w:rPr>
              <w:t xml:space="preserve">Target / asset</w:t>
            </w:r>
          </w:p>
        </w:tc>
        <w:tc>
          <w:tcPr>
            <w:tcW w:type="dxa" w:w="1473"/>
            <w:shd w:val="clear" w:color="auto" w:fill="13213F"/>
          </w:tcPr>
          <w:p>
            <w:pPr>
              <w:pStyle w:val="Compact"/>
              <w:spacing w:after="0" w:before="0" w:line="240" w:lineRule="auto"/>
              <w:jc w:val="left"/>
            </w:pPr>
            <w:r>
              <w:rPr>
                <w:rFonts w:ascii="Arial" w:hAnsi="Arial"/>
                <w:b/>
                <w:color w:val="FFFFFF"/>
                <w:sz w:val="15"/>
              </w:rPr>
              <w:t xml:space="preserve">Type</w:t>
            </w:r>
          </w:p>
        </w:tc>
        <w:tc>
          <w:tcPr>
            <w:tcW w:type="dxa" w:w="1883"/>
            <w:shd w:val="clear" w:color="auto" w:fill="13213F"/>
          </w:tcPr>
          <w:p>
            <w:pPr>
              <w:pStyle w:val="Compact"/>
              <w:spacing w:after="0" w:before="0" w:line="240" w:lineRule="auto"/>
              <w:jc w:val="left"/>
            </w:pPr>
            <w:r>
              <w:rPr>
                <w:rFonts w:ascii="Arial" w:hAnsi="Arial"/>
                <w:b/>
                <w:color w:val="FFFFFF"/>
                <w:sz w:val="15"/>
              </w:rPr>
              <w:t xml:space="preserve">Consideration</w:t>
            </w:r>
          </w:p>
        </w:tc>
        <w:tc>
          <w:tcPr>
            <w:tcW w:type="dxa" w:w="1137"/>
            <w:shd w:val="clear" w:color="auto" w:fill="13213F"/>
          </w:tcPr>
          <w:p>
            <w:pPr>
              <w:pStyle w:val="Compact"/>
              <w:spacing w:after="0" w:before="0" w:line="240" w:lineRule="auto"/>
              <w:jc w:val="left"/>
            </w:pPr>
            <w:r>
              <w:rPr>
                <w:rFonts w:ascii="Arial" w:hAnsi="Arial"/>
                <w:b/>
                <w:color w:val="FFFFFF"/>
                <w:sz w:val="15"/>
              </w:rPr>
              <w:t xml:space="preserve">Implied multiple</w:t>
            </w:r>
          </w:p>
        </w:tc>
        <w:tc>
          <w:tcPr>
            <w:tcW w:type="dxa" w:w="2308"/>
            <w:shd w:val="clear" w:color="auto" w:fill="13213F"/>
          </w:tcPr>
          <w:p>
            <w:pPr>
              <w:pStyle w:val="Compact"/>
              <w:spacing w:after="0" w:before="0" w:line="240" w:lineRule="auto"/>
              <w:jc w:val="left"/>
            </w:pPr>
            <w:r>
              <w:rPr>
                <w:rFonts w:ascii="Arial" w:hAnsi="Arial"/>
                <w:b/>
                <w:color w:val="FFFFFF"/>
                <w:sz w:val="15"/>
              </w:rPr>
              <w:t xml:space="preserve">Outcome</w:t>
            </w:r>
          </w:p>
        </w:tc>
      </w:tr>
      <w:tr>
        <w:trPr>
          <w:cantSplit/>
        </w:trPr>
        <w:tc>
          <w:tcPr>
            <w:tcW w:type="dxa" w:w="1145"/>
          </w:tcPr>
          <w:p>
            <w:pPr>
              <w:pStyle w:val="Compact"/>
              <w:spacing w:after="0" w:before="0" w:line="240" w:lineRule="auto"/>
              <w:jc w:val="left"/>
            </w:pPr>
            <w:r>
              <w:rPr>
                <w:rFonts w:ascii="Arial" w:hAnsi="Arial"/>
                <w:sz w:val="15"/>
              </w:rPr>
              <w:t xml:space="preserve">Apr-2017</w:t>
            </w:r>
          </w:p>
        </w:tc>
        <w:tc>
          <w:tcPr>
            <w:tcW w:type="dxa" w:w="2033"/>
          </w:tcPr>
          <w:p>
            <w:pPr>
              <w:pStyle w:val="Compact"/>
              <w:spacing w:after="0" w:before="0" w:line="240" w:lineRule="auto"/>
              <w:jc w:val="left"/>
            </w:pPr>
            <w:r>
              <w:rPr>
                <w:rFonts w:ascii="Arial" w:hAnsi="Arial"/>
                <w:sz w:val="15"/>
              </w:rPr>
              <w:t xml:space="preserve">KT Music (Genie Music), 15%</w:t>
            </w:r>
          </w:p>
        </w:tc>
        <w:tc>
          <w:tcPr>
            <w:tcW w:type="dxa" w:w="1473"/>
          </w:tcPr>
          <w:p>
            <w:pPr>
              <w:pStyle w:val="Compact"/>
              <w:spacing w:after="0" w:before="0" w:line="240" w:lineRule="auto"/>
              <w:jc w:val="left"/>
            </w:pPr>
            <w:r>
              <w:rPr>
                <w:rFonts w:ascii="Arial" w:hAnsi="Arial"/>
                <w:sz w:val="15"/>
              </w:rPr>
              <w:t xml:space="preserve">Strategic stake</w:t>
            </w:r>
          </w:p>
        </w:tc>
        <w:tc>
          <w:tcPr>
            <w:tcW w:type="dxa" w:w="1883"/>
          </w:tcPr>
          <w:p>
            <w:pPr>
              <w:pStyle w:val="Compact"/>
              <w:spacing w:after="0" w:before="0" w:line="240" w:lineRule="auto"/>
              <w:jc w:val="left"/>
            </w:pPr>
            <w:r>
              <w:rPr>
                <w:rFonts w:ascii="Arial" w:hAnsi="Arial"/>
                <w:sz w:val="15"/>
              </w:rPr>
              <w:t xml:space="preserve">n/d</w:t>
            </w:r>
          </w:p>
        </w:tc>
        <w:tc>
          <w:tcPr>
            <w:tcW w:type="dxa" w:w="1137"/>
          </w:tcPr>
          <w:p>
            <w:pPr>
              <w:pStyle w:val="Compact"/>
              <w:spacing w:after="0" w:before="0" w:line="240" w:lineRule="auto"/>
              <w:jc w:val="left"/>
            </w:pPr>
            <w:r>
              <w:rPr>
                <w:rFonts w:ascii="Arial" w:hAnsi="Arial"/>
                <w:sz w:val="15"/>
              </w:rPr>
              <w:t xml:space="preserve">n/d</w:t>
            </w:r>
          </w:p>
        </w:tc>
        <w:tc>
          <w:tcPr>
            <w:tcW w:type="dxa" w:w="2308"/>
          </w:tcPr>
          <w:p>
            <w:pPr>
              <w:pStyle w:val="Compact"/>
              <w:spacing w:after="0" w:before="0" w:line="240" w:lineRule="auto"/>
              <w:jc w:val="left"/>
            </w:pPr>
            <w:r>
              <w:rPr>
                <w:rFonts w:ascii="Arial" w:hAnsi="Arial"/>
                <w:sz w:val="15"/>
              </w:rPr>
              <w:t xml:space="preserve">Diluted to 9.99%; book ~KRW23bn vs market ~KRW6bn</w:t>
            </w:r>
          </w:p>
        </w:tc>
      </w:tr>
      <w:tr>
        <w:trPr>
          <w:cantSplit/>
        </w:trPr>
        <w:tc>
          <w:tcPr>
            <w:tcW w:type="dxa" w:w="1145"/>
            <w:shd w:val="clear" w:color="auto" w:fill="F1F2F5"/>
          </w:tcPr>
          <w:p>
            <w:pPr>
              <w:pStyle w:val="Compact"/>
              <w:spacing w:after="0" w:before="0" w:line="240" w:lineRule="auto"/>
              <w:jc w:val="left"/>
            </w:pPr>
            <w:r>
              <w:rPr>
                <w:rFonts w:ascii="Arial" w:hAnsi="Arial"/>
                <w:sz w:val="15"/>
              </w:rPr>
              <w:t xml:space="preserve">Feb-2019 (closed Dec-2019)</w:t>
            </w:r>
          </w:p>
        </w:tc>
        <w:tc>
          <w:tcPr>
            <w:tcW w:type="dxa" w:w="2033"/>
            <w:shd w:val="clear" w:color="auto" w:fill="F1F2F5"/>
          </w:tcPr>
          <w:p>
            <w:pPr>
              <w:pStyle w:val="Compact"/>
              <w:spacing w:after="0" w:before="0" w:line="240" w:lineRule="auto"/>
              <w:jc w:val="left"/>
            </w:pPr>
            <w:r>
              <w:rPr>
                <w:bCs/>
                <w:rFonts w:ascii="Arial" w:hAnsi="Arial"/>
                <w:b/>
                <w:sz w:val="15"/>
              </w:rPr>
              <w:t xml:space="preserve">CJ Hello (LG HelloVision), 50%+1 share</w:t>
            </w:r>
          </w:p>
        </w:tc>
        <w:tc>
          <w:tcPr>
            <w:tcW w:type="dxa" w:w="1473"/>
            <w:shd w:val="clear" w:color="auto" w:fill="F1F2F5"/>
          </w:tcPr>
          <w:p>
            <w:pPr>
              <w:pStyle w:val="Compact"/>
              <w:spacing w:after="0" w:before="0" w:line="240" w:lineRule="auto"/>
              <w:jc w:val="left"/>
            </w:pPr>
            <w:r>
              <w:rPr>
                <w:rFonts w:ascii="Arial" w:hAnsi="Arial"/>
                <w:sz w:val="15"/>
              </w:rPr>
              <w:t xml:space="preserve">Control acquisition</w:t>
            </w:r>
          </w:p>
        </w:tc>
        <w:tc>
          <w:tcPr>
            <w:tcW w:type="dxa" w:w="1883"/>
            <w:shd w:val="clear" w:color="auto" w:fill="F1F2F5"/>
          </w:tcPr>
          <w:p>
            <w:pPr>
              <w:pStyle w:val="Compact"/>
              <w:spacing w:after="0" w:before="0" w:line="240" w:lineRule="auto"/>
              <w:jc w:val="left"/>
            </w:pPr>
            <w:r>
              <w:rPr>
                <w:bCs/>
                <w:rFonts w:ascii="Arial" w:hAnsi="Arial"/>
                <w:b/>
                <w:sz w:val="15"/>
              </w:rPr>
              <w:t xml:space="preserve">KRW800bn</w:t>
            </w:r>
            <w:r>
              <w:rPr>
                <w:rFonts w:ascii="Arial" w:hAnsi="Arial"/>
                <w:sz w:val="15"/>
              </w:rPr>
              <w:t xml:space="preserve"> </w:t>
            </w:r>
            <w:r>
              <w:rPr>
                <w:rFonts w:ascii="Arial" w:hAnsi="Arial"/>
                <w:sz w:val="15"/>
              </w:rPr>
              <w:t xml:space="preserve">(KRW20,659/share)</w:t>
            </w:r>
          </w:p>
        </w:tc>
        <w:tc>
          <w:tcPr>
            <w:tcW w:type="dxa" w:w="1137"/>
            <w:shd w:val="clear" w:color="auto" w:fill="F1F2F5"/>
          </w:tcPr>
          <w:p>
            <w:pPr>
              <w:pStyle w:val="Compact"/>
              <w:spacing w:after="0" w:before="0" w:line="240" w:lineRule="auto"/>
              <w:jc w:val="left"/>
            </w:pPr>
            <w:r>
              <w:rPr>
                <w:bCs/>
                <w:rFonts w:ascii="Arial" w:hAnsi="Arial"/>
                <w:b/>
                <w:sz w:val="15"/>
              </w:rPr>
              <w:t xml:space="preserve">EV/EBITDA 6.3x; EV/Sales 1.8x</w:t>
            </w:r>
          </w:p>
        </w:tc>
        <w:tc>
          <w:tcPr>
            <w:tcW w:type="dxa" w:w="2308"/>
            <w:shd w:val="clear" w:color="auto" w:fill="F1F2F5"/>
          </w:tcPr>
          <w:p>
            <w:pPr>
              <w:pStyle w:val="Compact"/>
              <w:spacing w:after="0" w:before="0" w:line="240" w:lineRule="auto"/>
              <w:jc w:val="left"/>
            </w:pPr>
            <w:r>
              <w:rPr>
                <w:bCs/>
                <w:rFonts w:ascii="Arial" w:hAnsi="Arial"/>
                <w:b/>
                <w:sz w:val="15"/>
              </w:rPr>
              <w:t xml:space="preserve">Value-destructive.</w:t>
            </w:r>
            <w:r>
              <w:rPr>
                <w:rFonts w:ascii="Arial" w:hAnsi="Arial"/>
                <w:sz w:val="15"/>
              </w:rPr>
              <w:t xml:space="preserve"> </w:t>
            </w:r>
            <w:r>
              <w:rPr>
                <w:rFonts w:ascii="Arial" w:hAnsi="Arial"/>
                <w:sz w:val="15"/>
              </w:rPr>
              <w:t xml:space="preserve">LGHV EBITDA fell from KRW339bn (FY18) to KRW122bn (FY25); KRW164bn impairment in FY20; stake now worth ~KRW69bn</w:t>
            </w:r>
          </w:p>
        </w:tc>
      </w:tr>
      <w:tr>
        <w:trPr>
          <w:cantSplit/>
        </w:trPr>
        <w:tc>
          <w:tcPr>
            <w:tcW w:type="dxa" w:w="1145"/>
          </w:tcPr>
          <w:p>
            <w:pPr>
              <w:pStyle w:val="Compact"/>
              <w:spacing w:after="0" w:before="0" w:line="240" w:lineRule="auto"/>
              <w:jc w:val="left"/>
            </w:pPr>
            <w:r>
              <w:rPr>
                <w:rFonts w:ascii="Arial" w:hAnsi="Arial"/>
                <w:sz w:val="15"/>
              </w:rPr>
              <w:t xml:space="preserve">Dec-2019 (closed Aug-2020)</w:t>
            </w:r>
          </w:p>
        </w:tc>
        <w:tc>
          <w:tcPr>
            <w:tcW w:type="dxa" w:w="2033"/>
          </w:tcPr>
          <w:p>
            <w:pPr>
              <w:pStyle w:val="Compact"/>
              <w:spacing w:after="0" w:before="0" w:line="240" w:lineRule="auto"/>
              <w:jc w:val="left"/>
            </w:pPr>
            <w:r>
              <w:rPr>
                <w:rFonts w:ascii="Arial" w:hAnsi="Arial"/>
                <w:sz w:val="15"/>
              </w:rPr>
              <w:t xml:space="preserve">Payment-gateway business → Toss Payments</w:t>
            </w:r>
          </w:p>
        </w:tc>
        <w:tc>
          <w:tcPr>
            <w:tcW w:type="dxa" w:w="1473"/>
          </w:tcPr>
          <w:p>
            <w:pPr>
              <w:pStyle w:val="Compact"/>
              <w:spacing w:after="0" w:before="0" w:line="240" w:lineRule="auto"/>
              <w:jc w:val="left"/>
            </w:pPr>
            <w:r>
              <w:rPr>
                <w:bCs/>
                <w:rFonts w:ascii="Arial" w:hAnsi="Arial"/>
                <w:b/>
                <w:sz w:val="15"/>
              </w:rPr>
              <w:t xml:space="preserve">Disposal</w:t>
            </w:r>
          </w:p>
        </w:tc>
        <w:tc>
          <w:tcPr>
            <w:tcW w:type="dxa" w:w="1883"/>
          </w:tcPr>
          <w:p>
            <w:pPr>
              <w:pStyle w:val="Compact"/>
              <w:spacing w:after="0" w:before="0" w:line="240" w:lineRule="auto"/>
              <w:jc w:val="left"/>
            </w:pPr>
            <w:r>
              <w:rPr>
                <w:rFonts w:ascii="Arial" w:hAnsi="Arial"/>
                <w:sz w:val="15"/>
              </w:rPr>
              <w:t xml:space="preserve">KRW365bn</w:t>
            </w:r>
          </w:p>
        </w:tc>
        <w:tc>
          <w:tcPr>
            <w:tcW w:type="dxa" w:w="1137"/>
          </w:tcPr>
          <w:p>
            <w:pPr>
              <w:pStyle w:val="Compact"/>
              <w:spacing w:after="0" w:before="0" w:line="240" w:lineRule="auto"/>
              <w:jc w:val="left"/>
            </w:pPr>
            <w:r>
              <w:rPr>
                <w:rFonts w:ascii="Arial" w:hAnsi="Arial"/>
                <w:sz w:val="15"/>
              </w:rPr>
              <w:t xml:space="preserve">n/d</w:t>
            </w:r>
          </w:p>
        </w:tc>
        <w:tc>
          <w:tcPr>
            <w:tcW w:type="dxa" w:w="2308"/>
          </w:tcPr>
          <w:p>
            <w:pPr>
              <w:pStyle w:val="Compact"/>
              <w:spacing w:after="0" w:before="0" w:line="240" w:lineRule="auto"/>
              <w:jc w:val="left"/>
            </w:pPr>
            <w:r>
              <w:rPr>
                <w:rFonts w:ascii="Arial" w:hAnsi="Arial"/>
                <w:sz w:val="15"/>
              </w:rPr>
              <w:t xml:space="preserve">Good exit of a non-core business</w:t>
            </w:r>
          </w:p>
        </w:tc>
      </w:tr>
      <w:tr>
        <w:trPr>
          <w:cantSplit/>
        </w:trPr>
        <w:tc>
          <w:tcPr>
            <w:tcW w:type="dxa" w:w="1145"/>
            <w:shd w:val="clear" w:color="auto" w:fill="F1F2F5"/>
          </w:tcPr>
          <w:p>
            <w:pPr>
              <w:pStyle w:val="Compact"/>
              <w:spacing w:after="0" w:before="0" w:line="240" w:lineRule="auto"/>
              <w:jc w:val="left"/>
            </w:pPr>
            <w:r>
              <w:rPr>
                <w:rFonts w:ascii="Arial" w:hAnsi="Arial"/>
                <w:sz w:val="15"/>
              </w:rPr>
              <w:t xml:space="preserve">2021–23</w:t>
            </w:r>
          </w:p>
        </w:tc>
        <w:tc>
          <w:tcPr>
            <w:tcW w:type="dxa" w:w="2033"/>
            <w:shd w:val="clear" w:color="auto" w:fill="F1F2F5"/>
          </w:tcPr>
          <w:p>
            <w:pPr>
              <w:pStyle w:val="Compact"/>
              <w:spacing w:after="0" w:before="0" w:line="240" w:lineRule="auto"/>
              <w:jc w:val="left"/>
            </w:pPr>
            <w:r>
              <w:rPr>
                <w:rFonts w:ascii="Arial" w:hAnsi="Arial"/>
                <w:sz w:val="15"/>
              </w:rPr>
              <w:t xml:space="preserve">18 start-ups (Dream Factory, Monster Studio, Hodoo Labs, Zipdoc, Genie Works, VentaX and others)</w:t>
            </w:r>
          </w:p>
        </w:tc>
        <w:tc>
          <w:tcPr>
            <w:tcW w:type="dxa" w:w="1473"/>
            <w:shd w:val="clear" w:color="auto" w:fill="F1F2F5"/>
          </w:tcPr>
          <w:p>
            <w:pPr>
              <w:pStyle w:val="Compact"/>
              <w:spacing w:after="0" w:before="0" w:line="240" w:lineRule="auto"/>
              <w:jc w:val="left"/>
            </w:pPr>
            <w:r>
              <w:rPr>
                <w:rFonts w:ascii="Arial" w:hAnsi="Arial"/>
                <w:sz w:val="15"/>
              </w:rPr>
              <w:t xml:space="preserve">Minority / RCPS</w:t>
            </w:r>
          </w:p>
        </w:tc>
        <w:tc>
          <w:tcPr>
            <w:tcW w:type="dxa" w:w="1883"/>
            <w:shd w:val="clear" w:color="auto" w:fill="F1F2F5"/>
          </w:tcPr>
          <w:p>
            <w:pPr>
              <w:pStyle w:val="Compact"/>
              <w:spacing w:after="0" w:before="0" w:line="240" w:lineRule="auto"/>
              <w:jc w:val="left"/>
            </w:pPr>
            <w:r>
              <w:rPr>
                <w:rFonts w:ascii="Arial" w:hAnsi="Arial"/>
                <w:sz w:val="15"/>
              </w:rPr>
              <w:t xml:space="preserve">~KRW90bn total</w:t>
            </w:r>
          </w:p>
        </w:tc>
        <w:tc>
          <w:tcPr>
            <w:tcW w:type="dxa" w:w="1137"/>
            <w:shd w:val="clear" w:color="auto" w:fill="F1F2F5"/>
          </w:tcPr>
          <w:p>
            <w:pPr>
              <w:pStyle w:val="Compact"/>
              <w:spacing w:after="0" w:before="0" w:line="240" w:lineRule="auto"/>
              <w:jc w:val="left"/>
            </w:pPr>
            <w:r>
              <w:rPr>
                <w:rFonts w:ascii="Arial" w:hAnsi="Arial"/>
                <w:sz w:val="15"/>
              </w:rPr>
              <w:t xml:space="preserve">n/d</w:t>
            </w:r>
          </w:p>
        </w:tc>
        <w:tc>
          <w:tcPr>
            <w:tcW w:type="dxa" w:w="2308"/>
            <w:shd w:val="clear" w:color="auto" w:fill="F1F2F5"/>
          </w:tcPr>
          <w:p>
            <w:pPr>
              <w:pStyle w:val="Compact"/>
              <w:spacing w:after="0" w:before="0" w:line="240" w:lineRule="auto"/>
              <w:jc w:val="left"/>
            </w:pPr>
            <w:r>
              <w:rPr>
                <w:rFonts w:ascii="Arial" w:hAnsi="Arial"/>
                <w:sz w:val="15"/>
              </w:rPr>
              <w:t xml:space="preserve">U+3.0 platform bets; mixed (Zipdoc written off)</w:t>
            </w:r>
          </w:p>
        </w:tc>
      </w:tr>
      <w:tr>
        <w:trPr>
          <w:cantSplit/>
        </w:trPr>
        <w:tc>
          <w:tcPr>
            <w:tcW w:type="dxa" w:w="1145"/>
          </w:tcPr>
          <w:p>
            <w:pPr>
              <w:pStyle w:val="Compact"/>
              <w:spacing w:after="0" w:before="0" w:line="240" w:lineRule="auto"/>
              <w:jc w:val="left"/>
            </w:pPr>
            <w:r>
              <w:rPr>
                <w:rFonts w:ascii="Arial" w:hAnsi="Arial"/>
                <w:sz w:val="15"/>
              </w:rPr>
              <w:t xml:space="preserve">Sep-2022</w:t>
            </w:r>
          </w:p>
        </w:tc>
        <w:tc>
          <w:tcPr>
            <w:tcW w:type="dxa" w:w="2033"/>
          </w:tcPr>
          <w:p>
            <w:pPr>
              <w:pStyle w:val="Compact"/>
              <w:spacing w:after="0" w:before="0" w:line="240" w:lineRule="auto"/>
              <w:jc w:val="left"/>
            </w:pPr>
            <w:r>
              <w:rPr>
                <w:rFonts w:ascii="Arial" w:hAnsi="Arial"/>
                <w:sz w:val="15"/>
              </w:rPr>
              <w:t xml:space="preserve">Obigo (connected-car software), 5%</w:t>
            </w:r>
          </w:p>
        </w:tc>
        <w:tc>
          <w:tcPr>
            <w:tcW w:type="dxa" w:w="1473"/>
          </w:tcPr>
          <w:p>
            <w:pPr>
              <w:pStyle w:val="Compact"/>
              <w:spacing w:after="0" w:before="0" w:line="240" w:lineRule="auto"/>
              <w:jc w:val="left"/>
            </w:pPr>
            <w:r>
              <w:rPr>
                <w:rFonts w:ascii="Arial" w:hAnsi="Arial"/>
                <w:sz w:val="15"/>
              </w:rPr>
              <w:t xml:space="preserve">Minority</w:t>
            </w:r>
          </w:p>
        </w:tc>
        <w:tc>
          <w:tcPr>
            <w:tcW w:type="dxa" w:w="1883"/>
          </w:tcPr>
          <w:p>
            <w:pPr>
              <w:pStyle w:val="Compact"/>
              <w:spacing w:after="0" w:before="0" w:line="240" w:lineRule="auto"/>
              <w:jc w:val="left"/>
            </w:pPr>
            <w:r>
              <w:rPr>
                <w:rFonts w:ascii="Arial" w:hAnsi="Arial"/>
                <w:sz w:val="15"/>
              </w:rPr>
              <w:t xml:space="preserve">KRW7.2bn</w:t>
            </w:r>
          </w:p>
        </w:tc>
        <w:tc>
          <w:tcPr>
            <w:tcW w:type="dxa" w:w="1137"/>
          </w:tcPr>
          <w:p>
            <w:pPr>
              <w:pStyle w:val="Compact"/>
              <w:spacing w:after="0" w:before="0" w:line="240" w:lineRule="auto"/>
              <w:jc w:val="left"/>
            </w:pPr>
            <w:r>
              <w:rPr>
                <w:rFonts w:ascii="Arial" w:hAnsi="Arial"/>
                <w:sz w:val="15"/>
              </w:rPr>
              <w:t xml:space="preserve">Implied EV KRW121bn</w:t>
            </w:r>
          </w:p>
        </w:tc>
        <w:tc>
          <w:tcPr>
            <w:tcW w:type="dxa" w:w="2308"/>
          </w:tcPr>
          <w:p>
            <w:pPr>
              <w:pStyle w:val="Compact"/>
              <w:spacing w:after="0" w:before="0" w:line="240" w:lineRule="auto"/>
              <w:jc w:val="left"/>
            </w:pPr>
            <w:r>
              <w:rPr>
                <w:rFonts w:ascii="Arial" w:hAnsi="Arial"/>
                <w:sz w:val="15"/>
              </w:rPr>
              <w:t xml:space="preserve">Small</w:t>
            </w:r>
          </w:p>
        </w:tc>
      </w:tr>
      <w:tr>
        <w:trPr>
          <w:cantSplit/>
        </w:trPr>
        <w:tc>
          <w:tcPr>
            <w:tcW w:type="dxa" w:w="1145"/>
            <w:shd w:val="clear" w:color="auto" w:fill="F1F2F5"/>
          </w:tcPr>
          <w:p>
            <w:pPr>
              <w:pStyle w:val="Compact"/>
              <w:spacing w:after="0" w:before="0" w:line="240" w:lineRule="auto"/>
              <w:jc w:val="left"/>
            </w:pPr>
            <w:r>
              <w:rPr>
                <w:rFonts w:ascii="Arial" w:hAnsi="Arial"/>
                <w:sz w:val="15"/>
              </w:rPr>
              <w:t xml:space="preserve">2022–May 2023</w:t>
            </w:r>
          </w:p>
        </w:tc>
        <w:tc>
          <w:tcPr>
            <w:tcW w:type="dxa" w:w="2033"/>
            <w:shd w:val="clear" w:color="auto" w:fill="F1F2F5"/>
          </w:tcPr>
          <w:p>
            <w:pPr>
              <w:pStyle w:val="Compact"/>
              <w:spacing w:after="0" w:before="0" w:line="240" w:lineRule="auto"/>
              <w:jc w:val="left"/>
            </w:pPr>
            <w:r>
              <w:rPr>
                <w:rFonts w:ascii="Arial" w:hAnsi="Arial"/>
                <w:sz w:val="15"/>
              </w:rPr>
              <w:t xml:space="preserve">Watcha (OTT)</w:t>
            </w:r>
          </w:p>
        </w:tc>
        <w:tc>
          <w:tcPr>
            <w:tcW w:type="dxa" w:w="1473"/>
            <w:shd w:val="clear" w:color="auto" w:fill="F1F2F5"/>
          </w:tcPr>
          <w:p>
            <w:pPr>
              <w:pStyle w:val="Compact"/>
              <w:spacing w:after="0" w:before="0" w:line="240" w:lineRule="auto"/>
              <w:jc w:val="left"/>
            </w:pPr>
            <w:r>
              <w:rPr>
                <w:rFonts w:ascii="Arial" w:hAnsi="Arial"/>
                <w:sz w:val="15"/>
              </w:rPr>
              <w:t xml:space="preserve">Planned control investment (~KRW40bn)</w:t>
            </w:r>
          </w:p>
        </w:tc>
        <w:tc>
          <w:tcPr>
            <w:tcW w:type="dxa" w:w="1883"/>
            <w:shd w:val="clear" w:color="auto" w:fill="F1F2F5"/>
          </w:tcPr>
          <w:p>
            <w:pPr>
              <w:pStyle w:val="Compact"/>
              <w:spacing w:after="0" w:before="0" w:line="240" w:lineRule="auto"/>
              <w:jc w:val="left"/>
            </w:pPr>
            <w:r>
              <w:rPr>
                <w:rFonts w:ascii="Arial" w:hAnsi="Arial"/>
                <w:sz w:val="15"/>
              </w:rPr>
              <w:t xml:space="preserve">n/a</w:t>
            </w:r>
          </w:p>
        </w:tc>
        <w:tc>
          <w:tcPr>
            <w:tcW w:type="dxa" w:w="1137"/>
            <w:shd w:val="clear" w:color="auto" w:fill="F1F2F5"/>
          </w:tcPr>
          <w:p>
            <w:pPr>
              <w:pStyle w:val="Compact"/>
              <w:spacing w:after="0" w:before="0" w:line="240" w:lineRule="auto"/>
              <w:jc w:val="left"/>
            </w:pPr>
            <w:r>
              <w:rPr>
                <w:rFonts w:ascii="Arial" w:hAnsi="Arial"/>
                <w:sz w:val="15"/>
              </w:rPr>
              <w:t xml:space="preserve">n/a</w:t>
            </w:r>
          </w:p>
        </w:tc>
        <w:tc>
          <w:tcPr>
            <w:tcW w:type="dxa" w:w="2308"/>
            <w:shd w:val="clear" w:color="auto" w:fill="F1F2F5"/>
          </w:tcPr>
          <w:p>
            <w:pPr>
              <w:pStyle w:val="Compact"/>
              <w:spacing w:after="0" w:before="0" w:line="240" w:lineRule="auto"/>
              <w:jc w:val="left"/>
            </w:pPr>
            <w:r>
              <w:rPr>
                <w:bCs/>
                <w:rFonts w:ascii="Arial" w:hAnsi="Arial"/>
                <w:b/>
                <w:sz w:val="15"/>
              </w:rPr>
              <w:t xml:space="preserve">Abandoned</w:t>
            </w:r>
            <w:r>
              <w:rPr>
                <w:rFonts w:ascii="Arial" w:hAnsi="Arial"/>
                <w:sz w:val="15"/>
              </w:rPr>
              <w:t xml:space="preserve">; IP dispute (KIPO partly against LG Uplus, Mar-2026 [u])</w:t>
            </w:r>
          </w:p>
        </w:tc>
      </w:tr>
      <w:tr>
        <w:trPr>
          <w:cantSplit/>
        </w:trPr>
        <w:tc>
          <w:tcPr>
            <w:tcW w:type="dxa" w:w="1145"/>
          </w:tcPr>
          <w:p>
            <w:pPr>
              <w:pStyle w:val="Compact"/>
              <w:spacing w:after="0" w:before="0" w:line="240" w:lineRule="auto"/>
              <w:jc w:val="left"/>
            </w:pPr>
            <w:r>
              <w:rPr>
                <w:rFonts w:ascii="Arial" w:hAnsi="Arial"/>
                <w:sz w:val="15"/>
              </w:rPr>
              <w:t xml:space="preserve">Jun-2023 / Jun-2024</w:t>
            </w:r>
          </w:p>
        </w:tc>
        <w:tc>
          <w:tcPr>
            <w:tcW w:type="dxa" w:w="2033"/>
          </w:tcPr>
          <w:p>
            <w:pPr>
              <w:pStyle w:val="Compact"/>
              <w:spacing w:after="0" w:before="0" w:line="240" w:lineRule="auto"/>
              <w:jc w:val="left"/>
            </w:pPr>
            <w:r>
              <w:rPr>
                <w:rFonts w:ascii="Arial" w:hAnsi="Arial"/>
                <w:sz w:val="15"/>
              </w:rPr>
              <w:t xml:space="preserve">LG U+ VoltUp (EV-charging JV with Kakao Mobility), 50%+1</w:t>
            </w:r>
          </w:p>
        </w:tc>
        <w:tc>
          <w:tcPr>
            <w:tcW w:type="dxa" w:w="1473"/>
          </w:tcPr>
          <w:p>
            <w:pPr>
              <w:pStyle w:val="Compact"/>
              <w:spacing w:after="0" w:before="0" w:line="240" w:lineRule="auto"/>
              <w:jc w:val="left"/>
            </w:pPr>
            <w:r>
              <w:rPr>
                <w:rFonts w:ascii="Arial" w:hAnsi="Arial"/>
                <w:sz w:val="15"/>
              </w:rPr>
              <w:t xml:space="preserve">JV; LG Uplus contributed its charging business (KRW42bn)</w:t>
            </w:r>
          </w:p>
        </w:tc>
        <w:tc>
          <w:tcPr>
            <w:tcW w:type="dxa" w:w="1883"/>
          </w:tcPr>
          <w:p>
            <w:pPr>
              <w:pStyle w:val="Compact"/>
              <w:spacing w:after="0" w:before="0" w:line="240" w:lineRule="auto"/>
              <w:jc w:val="left"/>
            </w:pPr>
            <w:r>
              <w:rPr>
                <w:rFonts w:ascii="Arial" w:hAnsi="Arial"/>
                <w:sz w:val="15"/>
              </w:rPr>
              <w:t xml:space="preserve">KRW50bn cash in total</w:t>
            </w:r>
          </w:p>
        </w:tc>
        <w:tc>
          <w:tcPr>
            <w:tcW w:type="dxa" w:w="1137"/>
          </w:tcPr>
          <w:p>
            <w:pPr>
              <w:pStyle w:val="Compact"/>
              <w:spacing w:after="0" w:before="0" w:line="240" w:lineRule="auto"/>
              <w:jc w:val="left"/>
            </w:pPr>
            <w:r>
              <w:rPr>
                <w:rFonts w:ascii="Arial" w:hAnsi="Arial"/>
                <w:sz w:val="15"/>
              </w:rPr>
              <w:t xml:space="preserve">n/d</w:t>
            </w:r>
          </w:p>
        </w:tc>
        <w:tc>
          <w:tcPr>
            <w:tcW w:type="dxa" w:w="2308"/>
          </w:tcPr>
          <w:p>
            <w:pPr>
              <w:pStyle w:val="Compact"/>
              <w:spacing w:after="0" w:before="0" w:line="240" w:lineRule="auto"/>
              <w:jc w:val="left"/>
            </w:pPr>
            <w:r>
              <w:rPr>
                <w:rFonts w:ascii="Arial" w:hAnsi="Arial"/>
                <w:sz w:val="15"/>
              </w:rPr>
              <w:t xml:space="preserve">Sub-scale</w:t>
            </w:r>
          </w:p>
        </w:tc>
      </w:tr>
      <w:tr>
        <w:trPr>
          <w:cantSplit/>
        </w:trPr>
        <w:tc>
          <w:tcPr>
            <w:tcW w:type="dxa" w:w="1145"/>
            <w:shd w:val="clear" w:color="auto" w:fill="F1F2F5"/>
          </w:tcPr>
          <w:p>
            <w:pPr>
              <w:pStyle w:val="Compact"/>
              <w:spacing w:after="0" w:before="0" w:line="240" w:lineRule="auto"/>
              <w:jc w:val="left"/>
            </w:pPr>
            <w:r>
              <w:rPr>
                <w:rFonts w:ascii="Arial" w:hAnsi="Arial"/>
                <w:sz w:val="15"/>
              </w:rPr>
              <w:t xml:space="preserve">Jan-2024</w:t>
            </w:r>
          </w:p>
        </w:tc>
        <w:tc>
          <w:tcPr>
            <w:tcW w:type="dxa" w:w="2033"/>
            <w:shd w:val="clear" w:color="auto" w:fill="F1F2F5"/>
          </w:tcPr>
          <w:p>
            <w:pPr>
              <w:pStyle w:val="Compact"/>
              <w:spacing w:after="0" w:before="0" w:line="240" w:lineRule="auto"/>
              <w:jc w:val="left"/>
            </w:pPr>
            <w:r>
              <w:rPr>
                <w:rFonts w:ascii="Arial" w:hAnsi="Arial"/>
                <w:sz w:val="15"/>
              </w:rPr>
              <w:t xml:space="preserve">42Maru (AI/LLM)</w:t>
            </w:r>
          </w:p>
        </w:tc>
        <w:tc>
          <w:tcPr>
            <w:tcW w:type="dxa" w:w="1473"/>
            <w:shd w:val="clear" w:color="auto" w:fill="F1F2F5"/>
          </w:tcPr>
          <w:p>
            <w:pPr>
              <w:pStyle w:val="Compact"/>
              <w:spacing w:after="0" w:before="0" w:line="240" w:lineRule="auto"/>
              <w:jc w:val="left"/>
            </w:pPr>
            <w:r>
              <w:rPr>
                <w:rFonts w:ascii="Arial" w:hAnsi="Arial"/>
                <w:sz w:val="15"/>
              </w:rPr>
              <w:t xml:space="preserve">Minority (RCPS)</w:t>
            </w:r>
          </w:p>
        </w:tc>
        <w:tc>
          <w:tcPr>
            <w:tcW w:type="dxa" w:w="1883"/>
            <w:shd w:val="clear" w:color="auto" w:fill="F1F2F5"/>
          </w:tcPr>
          <w:p>
            <w:pPr>
              <w:pStyle w:val="Compact"/>
              <w:spacing w:after="0" w:before="0" w:line="240" w:lineRule="auto"/>
              <w:jc w:val="left"/>
            </w:pPr>
            <w:r>
              <w:rPr>
                <w:rFonts w:ascii="Arial" w:hAnsi="Arial"/>
                <w:sz w:val="15"/>
              </w:rPr>
              <w:t xml:space="preserve">KRW10bn</w:t>
            </w:r>
          </w:p>
        </w:tc>
        <w:tc>
          <w:tcPr>
            <w:tcW w:type="dxa" w:w="1137"/>
            <w:shd w:val="clear" w:color="auto" w:fill="F1F2F5"/>
          </w:tcPr>
          <w:p>
            <w:pPr>
              <w:pStyle w:val="Compact"/>
              <w:spacing w:after="0" w:before="0" w:line="240" w:lineRule="auto"/>
              <w:jc w:val="left"/>
            </w:pPr>
            <w:r>
              <w:rPr>
                <w:rFonts w:ascii="Arial" w:hAnsi="Arial"/>
                <w:sz w:val="15"/>
              </w:rPr>
              <w:t xml:space="preserve">n/d</w:t>
            </w:r>
          </w:p>
        </w:tc>
        <w:tc>
          <w:tcPr>
            <w:tcW w:type="dxa" w:w="2308"/>
            <w:shd w:val="clear" w:color="auto" w:fill="F1F2F5"/>
          </w:tcPr>
          <w:p>
            <w:pPr>
              <w:pStyle w:val="Compact"/>
              <w:spacing w:after="0" w:before="0" w:line="240" w:lineRule="auto"/>
              <w:jc w:val="left"/>
            </w:pPr>
            <w:r>
              <w:rPr>
                <w:rFonts w:ascii="Arial" w:hAnsi="Arial"/>
                <w:sz w:val="15"/>
              </w:rPr>
              <w:t xml:space="preserve">AICC technology</w:t>
            </w:r>
          </w:p>
        </w:tc>
      </w:tr>
      <w:tr>
        <w:trPr>
          <w:cantSplit/>
        </w:trPr>
        <w:tc>
          <w:tcPr>
            <w:tcW w:type="dxa" w:w="1145"/>
          </w:tcPr>
          <w:p>
            <w:pPr>
              <w:pStyle w:val="Compact"/>
              <w:spacing w:after="0" w:before="0" w:line="240" w:lineRule="auto"/>
              <w:jc w:val="left"/>
            </w:pPr>
            <w:r>
              <w:rPr>
                <w:rFonts w:ascii="Arial" w:hAnsi="Arial"/>
                <w:sz w:val="15"/>
              </w:rPr>
              <w:t xml:space="preserve">Apr-2024</w:t>
            </w:r>
          </w:p>
        </w:tc>
        <w:tc>
          <w:tcPr>
            <w:tcW w:type="dxa" w:w="2033"/>
          </w:tcPr>
          <w:p>
            <w:pPr>
              <w:pStyle w:val="Compact"/>
              <w:spacing w:after="0" w:before="0" w:line="240" w:lineRule="auto"/>
              <w:jc w:val="left"/>
            </w:pPr>
            <w:r>
              <w:rPr>
                <w:rFonts w:ascii="Arial" w:hAnsi="Arial"/>
                <w:sz w:val="15"/>
              </w:rPr>
              <w:t xml:space="preserve">Paju land and buildings (73,712 m²) from LG Display</w:t>
            </w:r>
          </w:p>
        </w:tc>
        <w:tc>
          <w:tcPr>
            <w:tcW w:type="dxa" w:w="1473"/>
          </w:tcPr>
          <w:p>
            <w:pPr>
              <w:pStyle w:val="Compact"/>
              <w:spacing w:after="0" w:before="0" w:line="240" w:lineRule="auto"/>
              <w:jc w:val="left"/>
            </w:pPr>
            <w:r>
              <w:rPr>
                <w:rFonts w:ascii="Arial" w:hAnsi="Arial"/>
                <w:sz w:val="15"/>
              </w:rPr>
              <w:t xml:space="preserve">Real-estate purchase (related party)</w:t>
            </w:r>
          </w:p>
        </w:tc>
        <w:tc>
          <w:tcPr>
            <w:tcW w:type="dxa" w:w="1883"/>
          </w:tcPr>
          <w:p>
            <w:pPr>
              <w:pStyle w:val="Compact"/>
              <w:spacing w:after="0" w:before="0" w:line="240" w:lineRule="auto"/>
              <w:jc w:val="left"/>
            </w:pPr>
            <w:r>
              <w:rPr>
                <w:rFonts w:ascii="Arial" w:hAnsi="Arial"/>
                <w:sz w:val="15"/>
              </w:rPr>
              <w:t xml:space="preserve">KRW105.3bn</w:t>
            </w:r>
          </w:p>
        </w:tc>
        <w:tc>
          <w:tcPr>
            <w:tcW w:type="dxa" w:w="1137"/>
          </w:tcPr>
          <w:p>
            <w:pPr>
              <w:pStyle w:val="Compact"/>
              <w:spacing w:after="0" w:before="0" w:line="240" w:lineRule="auto"/>
              <w:jc w:val="left"/>
            </w:pPr>
            <w:r>
              <w:rPr>
                <w:rFonts w:ascii="Arial" w:hAnsi="Arial"/>
                <w:sz w:val="15"/>
              </w:rPr>
              <w:t xml:space="preserve">n/a</w:t>
            </w:r>
          </w:p>
        </w:tc>
        <w:tc>
          <w:tcPr>
            <w:tcW w:type="dxa" w:w="2308"/>
          </w:tcPr>
          <w:p>
            <w:pPr>
              <w:pStyle w:val="Compact"/>
              <w:spacing w:after="0" w:before="0" w:line="240" w:lineRule="auto"/>
              <w:jc w:val="left"/>
            </w:pPr>
            <w:r>
              <w:rPr>
                <w:rFonts w:ascii="Arial" w:hAnsi="Arial"/>
                <w:sz w:val="15"/>
              </w:rPr>
              <w:t xml:space="preserve">Site for the 200MW AIDC campus</w:t>
            </w:r>
          </w:p>
        </w:tc>
      </w:tr>
      <w:tr>
        <w:trPr>
          <w:cantSplit/>
        </w:trPr>
        <w:tc>
          <w:tcPr>
            <w:tcW w:type="dxa" w:w="1145"/>
            <w:shd w:val="clear" w:color="auto" w:fill="F1F2F5"/>
          </w:tcPr>
          <w:p>
            <w:pPr>
              <w:pStyle w:val="Compact"/>
              <w:spacing w:after="0" w:before="0" w:line="240" w:lineRule="auto"/>
              <w:jc w:val="left"/>
            </w:pPr>
            <w:r>
              <w:rPr>
                <w:rFonts w:ascii="Arial" w:hAnsi="Arial"/>
                <w:sz w:val="15"/>
              </w:rPr>
              <w:t xml:space="preserve">May-2024</w:t>
            </w:r>
          </w:p>
        </w:tc>
        <w:tc>
          <w:tcPr>
            <w:tcW w:type="dxa" w:w="2033"/>
            <w:shd w:val="clear" w:color="auto" w:fill="F1F2F5"/>
          </w:tcPr>
          <w:p>
            <w:pPr>
              <w:pStyle w:val="Compact"/>
              <w:spacing w:after="0" w:before="0" w:line="240" w:lineRule="auto"/>
              <w:jc w:val="left"/>
            </w:pPr>
            <w:r>
              <w:rPr>
                <w:rFonts w:ascii="Arial" w:hAnsi="Arial"/>
                <w:sz w:val="15"/>
              </w:rPr>
              <w:t xml:space="preserve">LG HelloVision additional 8.61%</w:t>
            </w:r>
          </w:p>
        </w:tc>
        <w:tc>
          <w:tcPr>
            <w:tcW w:type="dxa" w:w="1473"/>
            <w:shd w:val="clear" w:color="auto" w:fill="F1F2F5"/>
          </w:tcPr>
          <w:p>
            <w:pPr>
              <w:pStyle w:val="Compact"/>
              <w:spacing w:after="0" w:before="0" w:line="240" w:lineRule="auto"/>
              <w:jc w:val="left"/>
            </w:pPr>
            <w:r>
              <w:rPr>
                <w:rFonts w:ascii="Arial" w:hAnsi="Arial"/>
                <w:sz w:val="15"/>
              </w:rPr>
              <w:t xml:space="preserve">Stake increase to 58.61%</w:t>
            </w:r>
          </w:p>
        </w:tc>
        <w:tc>
          <w:tcPr>
            <w:tcW w:type="dxa" w:w="1883"/>
            <w:shd w:val="clear" w:color="auto" w:fill="F1F2F5"/>
          </w:tcPr>
          <w:p>
            <w:pPr>
              <w:pStyle w:val="Compact"/>
              <w:spacing w:after="0" w:before="0" w:line="240" w:lineRule="auto"/>
              <w:jc w:val="left"/>
            </w:pPr>
            <w:r>
              <w:rPr>
                <w:rFonts w:ascii="Arial" w:hAnsi="Arial"/>
                <w:sz w:val="15"/>
              </w:rPr>
              <w:t xml:space="preserve">~KRW20.6bn [e] (~KRW3,090/share)</w:t>
            </w:r>
          </w:p>
        </w:tc>
        <w:tc>
          <w:tcPr>
            <w:tcW w:type="dxa" w:w="1137"/>
            <w:shd w:val="clear" w:color="auto" w:fill="F1F2F5"/>
          </w:tcPr>
          <w:p>
            <w:pPr>
              <w:pStyle w:val="Compact"/>
              <w:spacing w:after="0" w:before="0" w:line="240" w:lineRule="auto"/>
              <w:jc w:val="left"/>
            </w:pPr>
            <w:r>
              <w:rPr>
                <w:rFonts w:ascii="Arial" w:hAnsi="Arial"/>
                <w:sz w:val="15"/>
              </w:rPr>
              <w:t xml:space="preserve">~0.15x the 2019 entry price</w:t>
            </w:r>
          </w:p>
        </w:tc>
        <w:tc>
          <w:tcPr>
            <w:tcW w:type="dxa" w:w="2308"/>
            <w:shd w:val="clear" w:color="auto" w:fill="F1F2F5"/>
          </w:tcPr>
          <w:p>
            <w:pPr>
              <w:pStyle w:val="Compact"/>
              <w:spacing w:after="0" w:before="0" w:line="240" w:lineRule="auto"/>
              <w:jc w:val="left"/>
            </w:pPr>
            <w:r>
              <w:rPr>
                <w:rFonts w:ascii="Arial" w:hAnsi="Arial"/>
                <w:sz w:val="15"/>
              </w:rPr>
              <w:t xml:space="preserve">Cheap consolidation of control</w:t>
            </w:r>
          </w:p>
        </w:tc>
      </w:tr>
      <w:tr>
        <w:trPr>
          <w:cantSplit/>
        </w:trPr>
        <w:tc>
          <w:tcPr>
            <w:tcW w:type="dxa" w:w="1145"/>
          </w:tcPr>
          <w:p>
            <w:pPr>
              <w:pStyle w:val="Compact"/>
              <w:spacing w:after="0" w:before="0" w:line="240" w:lineRule="auto"/>
              <w:jc w:val="left"/>
            </w:pPr>
            <w:r>
              <w:rPr>
                <w:rFonts w:ascii="Arial" w:hAnsi="Arial"/>
                <w:sz w:val="15"/>
              </w:rPr>
              <w:t xml:space="preserve">Dec-2025 → Mar-2026</w:t>
            </w:r>
          </w:p>
        </w:tc>
        <w:tc>
          <w:tcPr>
            <w:tcW w:type="dxa" w:w="2033"/>
          </w:tcPr>
          <w:p>
            <w:pPr>
              <w:pStyle w:val="Compact"/>
              <w:spacing w:after="0" w:before="0" w:line="240" w:lineRule="auto"/>
              <w:jc w:val="left"/>
            </w:pPr>
            <w:r>
              <w:rPr>
                <w:rFonts w:ascii="Arial" w:hAnsi="Arial"/>
                <w:sz w:val="15"/>
              </w:rPr>
              <w:t xml:space="preserve">Revu Corp 8.32%</w:t>
            </w:r>
          </w:p>
        </w:tc>
        <w:tc>
          <w:tcPr>
            <w:tcW w:type="dxa" w:w="1473"/>
          </w:tcPr>
          <w:p>
            <w:pPr>
              <w:pStyle w:val="Compact"/>
              <w:spacing w:after="0" w:before="0" w:line="240" w:lineRule="auto"/>
              <w:jc w:val="left"/>
            </w:pPr>
            <w:r>
              <w:rPr>
                <w:rFonts w:ascii="Arial" w:hAnsi="Arial"/>
                <w:sz w:val="15"/>
              </w:rPr>
              <w:t xml:space="preserve">Disposal (with a PE fund)</w:t>
            </w:r>
          </w:p>
        </w:tc>
        <w:tc>
          <w:tcPr>
            <w:tcW w:type="dxa" w:w="1883"/>
          </w:tcPr>
          <w:p>
            <w:pPr>
              <w:pStyle w:val="Compact"/>
              <w:spacing w:after="0" w:before="0" w:line="240" w:lineRule="auto"/>
              <w:jc w:val="left"/>
            </w:pPr>
            <w:r>
              <w:rPr>
                <w:rFonts w:ascii="Arial" w:hAnsi="Arial"/>
                <w:sz w:val="15"/>
              </w:rPr>
              <w:t xml:space="preserve">~KRW13.9bn [e]</w:t>
            </w:r>
          </w:p>
        </w:tc>
        <w:tc>
          <w:tcPr>
            <w:tcW w:type="dxa" w:w="1137"/>
          </w:tcPr>
          <w:p>
            <w:pPr>
              <w:pStyle w:val="Compact"/>
              <w:spacing w:after="0" w:before="0" w:line="240" w:lineRule="auto"/>
              <w:jc w:val="left"/>
            </w:pPr>
            <w:r>
              <w:rPr>
                <w:rFonts w:ascii="Arial" w:hAnsi="Arial"/>
                <w:sz w:val="15"/>
              </w:rPr>
              <w:t xml:space="preserve">n/d</w:t>
            </w:r>
          </w:p>
        </w:tc>
        <w:tc>
          <w:tcPr>
            <w:tcW w:type="dxa" w:w="2308"/>
          </w:tcPr>
          <w:p>
            <w:pPr>
              <w:pStyle w:val="Compact"/>
              <w:spacing w:after="0" w:before="0" w:line="240" w:lineRule="auto"/>
              <w:jc w:val="left"/>
            </w:pPr>
            <w:r>
              <w:rPr>
                <w:bCs/>
                <w:rFonts w:ascii="Arial" w:hAnsi="Arial"/>
                <w:b/>
                <w:sz w:val="15"/>
              </w:rPr>
              <w:t xml:space="preserve">Collapsed</w:t>
            </w:r>
            <w:r>
              <w:rPr>
                <w:rFonts w:ascii="Arial" w:hAnsi="Arial"/>
                <w:sz w:val="15"/>
              </w:rPr>
              <w:t xml:space="preserve"> </w:t>
            </w:r>
            <w:r>
              <w:rPr>
                <w:rFonts w:ascii="Arial" w:hAnsi="Arial"/>
                <w:sz w:val="15"/>
              </w:rPr>
              <w:t xml:space="preserve">(buyer failed to perform)</w:t>
            </w:r>
          </w:p>
        </w:tc>
      </w:tr>
      <w:tr>
        <w:trPr>
          <w:cantSplit/>
        </w:trPr>
        <w:tc>
          <w:tcPr>
            <w:tcW w:type="dxa" w:w="1145"/>
            <w:shd w:val="clear" w:color="auto" w:fill="F1F2F5"/>
          </w:tcPr>
          <w:p>
            <w:pPr>
              <w:pStyle w:val="Compact"/>
              <w:spacing w:after="0" w:before="0" w:line="240" w:lineRule="auto"/>
              <w:jc w:val="left"/>
            </w:pPr>
            <w:r>
              <w:rPr>
                <w:rFonts w:ascii="Arial" w:hAnsi="Arial"/>
                <w:sz w:val="15"/>
              </w:rPr>
              <w:t xml:space="preserve">Aug-2026</w:t>
            </w:r>
          </w:p>
        </w:tc>
        <w:tc>
          <w:tcPr>
            <w:tcW w:type="dxa" w:w="2033"/>
            <w:shd w:val="clear" w:color="auto" w:fill="F1F2F5"/>
          </w:tcPr>
          <w:p>
            <w:pPr>
              <w:pStyle w:val="Compact"/>
              <w:spacing w:after="0" w:before="0" w:line="240" w:lineRule="auto"/>
              <w:jc w:val="left"/>
            </w:pPr>
            <w:r>
              <w:rPr>
                <w:rFonts w:ascii="Arial" w:hAnsi="Arial"/>
                <w:sz w:val="15"/>
              </w:rPr>
              <w:t xml:space="preserve">PAGO Networks (managed security, SE Asia)</w:t>
            </w:r>
          </w:p>
        </w:tc>
        <w:tc>
          <w:tcPr>
            <w:tcW w:type="dxa" w:w="1473"/>
            <w:shd w:val="clear" w:color="auto" w:fill="F1F2F5"/>
          </w:tcPr>
          <w:p>
            <w:pPr>
              <w:pStyle w:val="Compact"/>
              <w:spacing w:after="0" w:before="0" w:line="240" w:lineRule="auto"/>
              <w:jc w:val="left"/>
            </w:pPr>
            <w:r>
              <w:rPr>
                <w:rFonts w:ascii="Arial" w:hAnsi="Arial"/>
                <w:sz w:val="15"/>
              </w:rPr>
              <w:t xml:space="preserve">Acquisition</w:t>
            </w:r>
          </w:p>
        </w:tc>
        <w:tc>
          <w:tcPr>
            <w:tcW w:type="dxa" w:w="1883"/>
            <w:shd w:val="clear" w:color="auto" w:fill="F1F2F5"/>
          </w:tcPr>
          <w:p>
            <w:pPr>
              <w:pStyle w:val="Compact"/>
              <w:spacing w:after="0" w:before="0" w:line="240" w:lineRule="auto"/>
              <w:jc w:val="left"/>
            </w:pPr>
            <w:r>
              <w:rPr>
                <w:rFonts w:ascii="Arial" w:hAnsi="Arial"/>
                <w:sz w:val="15"/>
              </w:rPr>
              <w:t xml:space="preserve">n/d</w:t>
            </w:r>
          </w:p>
        </w:tc>
        <w:tc>
          <w:tcPr>
            <w:tcW w:type="dxa" w:w="1137"/>
            <w:shd w:val="clear" w:color="auto" w:fill="F1F2F5"/>
          </w:tcPr>
          <w:p>
            <w:pPr>
              <w:pStyle w:val="Compact"/>
              <w:spacing w:after="0" w:before="0" w:line="240" w:lineRule="auto"/>
              <w:jc w:val="left"/>
            </w:pPr>
            <w:r>
              <w:rPr>
                <w:rFonts w:ascii="Arial" w:hAnsi="Arial"/>
                <w:sz w:val="15"/>
              </w:rPr>
              <w:t xml:space="preserve">n/d</w:t>
            </w:r>
          </w:p>
        </w:tc>
        <w:tc>
          <w:tcPr>
            <w:tcW w:type="dxa" w:w="2308"/>
            <w:shd w:val="clear" w:color="auto" w:fill="F1F2F5"/>
          </w:tcPr>
          <w:p>
            <w:pPr>
              <w:pStyle w:val="Compact"/>
              <w:spacing w:after="0" w:before="0" w:line="240" w:lineRule="auto"/>
              <w:jc w:val="left"/>
            </w:pPr>
            <w:r>
              <w:rPr>
                <w:rFonts w:ascii="Arial" w:hAnsi="Arial"/>
                <w:sz w:val="15"/>
              </w:rPr>
              <w:t xml:space="preserve">In-house security after the 2025 hacking case</w:t>
            </w:r>
          </w:p>
        </w:tc>
      </w:tr>
      <w:tr>
        <w:trPr>
          <w:cantSplit/>
        </w:trPr>
        <w:tc>
          <w:tcPr>
            <w:tcW w:type="dxa" w:w="1145"/>
          </w:tcPr>
          <w:p>
            <w:pPr>
              <w:pStyle w:val="Compact"/>
              <w:spacing w:after="0" w:before="0" w:line="240" w:lineRule="auto"/>
              <w:jc w:val="left"/>
            </w:pPr>
            <w:r>
              <w:rPr>
                <w:rFonts w:ascii="Arial" w:hAnsi="Arial"/>
                <w:sz w:val="15"/>
              </w:rPr>
              <w:t xml:space="preserve">Sep-2026</w:t>
            </w:r>
          </w:p>
        </w:tc>
        <w:tc>
          <w:tcPr>
            <w:tcW w:type="dxa" w:w="2033"/>
          </w:tcPr>
          <w:p>
            <w:pPr>
              <w:pStyle w:val="Compact"/>
              <w:spacing w:after="0" w:before="0" w:line="240" w:lineRule="auto"/>
              <w:jc w:val="left"/>
            </w:pPr>
            <w:r>
              <w:rPr>
                <w:rFonts w:ascii="Arial" w:hAnsi="Arial"/>
                <w:sz w:val="15"/>
              </w:rPr>
              <w:t xml:space="preserve">NEXUS Co. (alongside KT)</w:t>
            </w:r>
          </w:p>
        </w:tc>
        <w:tc>
          <w:tcPr>
            <w:tcW w:type="dxa" w:w="1473"/>
          </w:tcPr>
          <w:p>
            <w:pPr>
              <w:pStyle w:val="Compact"/>
              <w:spacing w:after="0" w:before="0" w:line="240" w:lineRule="auto"/>
              <w:jc w:val="left"/>
            </w:pPr>
            <w:r>
              <w:rPr>
                <w:rFonts w:ascii="Arial" w:hAnsi="Arial"/>
                <w:sz w:val="15"/>
              </w:rPr>
              <w:t xml:space="preserve">Minority</w:t>
            </w:r>
          </w:p>
        </w:tc>
        <w:tc>
          <w:tcPr>
            <w:tcW w:type="dxa" w:w="1883"/>
          </w:tcPr>
          <w:p>
            <w:pPr>
              <w:pStyle w:val="Compact"/>
              <w:spacing w:after="0" w:before="0" w:line="240" w:lineRule="auto"/>
              <w:jc w:val="left"/>
            </w:pPr>
            <w:r>
              <w:rPr>
                <w:rFonts w:ascii="Arial" w:hAnsi="Arial"/>
                <w:sz w:val="15"/>
              </w:rPr>
              <w:t xml:space="preserve">KRW0.48bn</w:t>
            </w:r>
          </w:p>
        </w:tc>
        <w:tc>
          <w:tcPr>
            <w:tcW w:type="dxa" w:w="1137"/>
          </w:tcPr>
          <w:p>
            <w:pPr>
              <w:pStyle w:val="Compact"/>
              <w:spacing w:after="0" w:before="0" w:line="240" w:lineRule="auto"/>
              <w:jc w:val="left"/>
            </w:pPr>
            <w:r>
              <w:rPr>
                <w:rFonts w:ascii="Arial" w:hAnsi="Arial"/>
                <w:sz w:val="15"/>
              </w:rPr>
              <w:t xml:space="preserve">n/a</w:t>
            </w:r>
          </w:p>
        </w:tc>
        <w:tc>
          <w:tcPr>
            <w:tcW w:type="dxa" w:w="2308"/>
          </w:tcPr>
          <w:p>
            <w:pPr>
              <w:pStyle w:val="Compact"/>
              <w:spacing w:after="0" w:before="0" w:line="240" w:lineRule="auto"/>
              <w:jc w:val="left"/>
            </w:pPr>
            <w:r>
              <w:rPr>
                <w:rFonts w:ascii="Arial" w:hAnsi="Arial"/>
                <w:sz w:val="15"/>
              </w:rPr>
              <w:t xml:space="preserve">Ecosystem</w:t>
            </w:r>
          </w:p>
        </w:tc>
      </w:tr>
    </w:tbl>
    <w:p>
      <w:pPr>
        <w:pStyle w:val="BodyText"/>
      </w:pPr>
      <w:r>
        <w:rPr>
          <w:bCs/>
          <w:b/>
        </w:rPr>
        <w:t xml:space="preserve">Assessment.</w:t>
      </w:r>
      <w:r>
        <w:t xml:space="preserve"> </w:t>
      </w:r>
      <w:r>
        <w:t xml:space="preserve">Outside CJ Hello, LG Uplus has been a small, cautious acquirer, and its one large deal destroyed ~KRW0.7tn of value. Since 2024, capital allocation has moved to organic AIDC investment (Paju) and small security/AI bolt-ons.</w:t>
      </w:r>
    </w:p>
    <w:bookmarkEnd w:id="98"/>
    <w:bookmarkEnd w:id="99"/>
    <w:bookmarkStart w:id="103" w:name="management-assessment"/>
    <w:p>
      <w:pPr>
        <w:pStyle w:val="Heading1"/>
      </w:pPr>
      <w:r>
        <w:t xml:space="preserve">Management assessment</w:t>
      </w:r>
    </w:p>
    <w:bookmarkStart w:id="100" w:name="key-executives"/>
    <w:p>
      <w:pPr>
        <w:pStyle w:val="Heading2"/>
      </w:pPr>
      <w:r>
        <w:t xml:space="preserve">Key executives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1515"/>
        <w:gridCol w:w="2336"/>
        <w:gridCol w:w="3211"/>
        <w:gridCol w:w="1489"/>
        <w:gridCol w:w="1425"/>
      </w:tblGrid>
      <w:tr>
        <w:trPr>
          <w:tblHeader w:val="true"/>
          <w:tblHeader w:val="true"/>
          <w:cantSplit/>
        </w:trPr>
        <w:tc>
          <w:tcPr>
            <w:tcW w:type="dxa" w:w="1516"/>
            <w:shd w:val="clear" w:color="auto" w:fill="13213F"/>
          </w:tcPr>
          <w:p>
            <w:pPr>
              <w:pStyle w:val="Compact"/>
              <w:spacing w:after="0" w:before="0" w:line="240" w:lineRule="auto"/>
              <w:jc w:val="left"/>
            </w:pPr>
            <w:r>
              <w:rPr>
                <w:rFonts w:ascii="Arial" w:hAnsi="Arial"/>
                <w:b/>
                <w:color w:val="FFFFFF"/>
                <w:sz w:val="15"/>
              </w:rPr>
              <w:t xml:space="preserve">Executive</w:t>
            </w:r>
          </w:p>
        </w:tc>
        <w:tc>
          <w:tcPr>
            <w:tcW w:type="dxa" w:w="2336"/>
            <w:shd w:val="clear" w:color="auto" w:fill="13213F"/>
          </w:tcPr>
          <w:p>
            <w:pPr>
              <w:pStyle w:val="Compact"/>
              <w:spacing w:after="0" w:before="0" w:line="240" w:lineRule="auto"/>
              <w:jc w:val="left"/>
            </w:pPr>
            <w:r>
              <w:rPr>
                <w:rFonts w:ascii="Arial" w:hAnsi="Arial"/>
                <w:b/>
                <w:color w:val="FFFFFF"/>
                <w:sz w:val="15"/>
              </w:rPr>
              <w:t xml:space="preserve">Role / tenure</w:t>
            </w:r>
          </w:p>
        </w:tc>
        <w:tc>
          <w:tcPr>
            <w:tcW w:type="dxa" w:w="3211"/>
            <w:shd w:val="clear" w:color="auto" w:fill="13213F"/>
          </w:tcPr>
          <w:p>
            <w:pPr>
              <w:pStyle w:val="Compact"/>
              <w:spacing w:after="0" w:before="0" w:line="240" w:lineRule="auto"/>
              <w:jc w:val="left"/>
            </w:pPr>
            <w:r>
              <w:rPr>
                <w:rFonts w:ascii="Arial" w:hAnsi="Arial"/>
                <w:b/>
                <w:color w:val="FFFFFF"/>
                <w:sz w:val="15"/>
              </w:rPr>
              <w:t xml:space="preserve">Track record</w:t>
            </w:r>
          </w:p>
        </w:tc>
        <w:tc>
          <w:tcPr>
            <w:tcW w:type="dxa" w:w="1489"/>
            <w:shd w:val="clear" w:color="auto" w:fill="13213F"/>
          </w:tcPr>
          <w:p>
            <w:pPr>
              <w:pStyle w:val="Compact"/>
              <w:spacing w:after="0" w:before="0" w:line="240" w:lineRule="auto"/>
              <w:jc w:val="left"/>
            </w:pPr>
            <w:r>
              <w:rPr>
                <w:rFonts w:ascii="Arial" w:hAnsi="Arial"/>
                <w:b/>
                <w:color w:val="FFFFFF"/>
                <w:sz w:val="15"/>
              </w:rPr>
              <w:t xml:space="preserve">Skin in the game</w:t>
            </w:r>
          </w:p>
        </w:tc>
        <w:tc>
          <w:tcPr>
            <w:tcW w:type="dxa" w:w="1425"/>
            <w:shd w:val="clear" w:color="auto" w:fill="13213F"/>
          </w:tcPr>
          <w:p>
            <w:pPr>
              <w:pStyle w:val="Compact"/>
              <w:spacing w:after="0" w:before="0" w:line="240" w:lineRule="auto"/>
              <w:jc w:val="left"/>
            </w:pPr>
            <w:r>
              <w:rPr>
                <w:rFonts w:ascii="Arial" w:hAnsi="Arial"/>
                <w:b/>
                <w:color w:val="FFFFFF"/>
                <w:sz w:val="15"/>
              </w:rPr>
              <w:t xml:space="preserve">Pay</w:t>
            </w:r>
          </w:p>
        </w:tc>
      </w:tr>
      <w:tr>
        <w:trPr>
          <w:cantSplit/>
        </w:trPr>
        <w:tc>
          <w:tcPr>
            <w:tcW w:type="dxa" w:w="1516"/>
          </w:tcPr>
          <w:p>
            <w:pPr>
              <w:pStyle w:val="Compact"/>
              <w:spacing w:after="0" w:before="0" w:line="240" w:lineRule="auto"/>
              <w:jc w:val="left"/>
            </w:pPr>
            <w:r>
              <w:rPr>
                <w:bCs/>
                <w:rFonts w:ascii="Arial" w:hAnsi="Arial"/>
                <w:b/>
                <w:sz w:val="15"/>
              </w:rPr>
              <w:t xml:space="preserve">Hong Bum-shik</w:t>
            </w:r>
            <w:r>
              <w:rPr>
                <w:rFonts w:ascii="Arial" w:hAnsi="Arial"/>
                <w:sz w:val="15"/>
              </w:rPr>
              <w:t xml:space="preserve"> </w:t>
            </w:r>
            <w:r>
              <w:rPr>
                <w:rFonts w:ascii="Arial" w:hAnsi="Arial"/>
                <w:sz w:val="15"/>
              </w:rPr>
              <w:t xml:space="preserve">(b. 1968)</w:t>
            </w:r>
          </w:p>
        </w:tc>
        <w:tc>
          <w:tcPr>
            <w:tcW w:type="dxa" w:w="2336"/>
          </w:tcPr>
          <w:p>
            <w:pPr>
              <w:pStyle w:val="Compact"/>
              <w:spacing w:after="0" w:before="0" w:line="240" w:lineRule="auto"/>
              <w:jc w:val="left"/>
            </w:pPr>
            <w:r>
              <w:rPr>
                <w:rFonts w:ascii="Arial" w:hAnsi="Arial"/>
                <w:sz w:val="15"/>
              </w:rPr>
              <w:t xml:space="preserve">CEO and representative director. Named 21-Nov-2024; inside director since Mar-2025. LG Uplus non-executive director (for LG Corp) 2022–25</w:t>
            </w:r>
          </w:p>
        </w:tc>
        <w:tc>
          <w:tcPr>
            <w:tcW w:type="dxa" w:w="3211"/>
          </w:tcPr>
          <w:p>
            <w:pPr>
              <w:pStyle w:val="Compact"/>
              <w:spacing w:after="0" w:before="0" w:line="240" w:lineRule="auto"/>
              <w:jc w:val="left"/>
            </w:pPr>
            <w:r>
              <w:rPr>
                <w:rFonts w:ascii="Arial" w:hAnsi="Arial"/>
                <w:sz w:val="15"/>
              </w:rPr>
              <w:t xml:space="preserve">Ex-SK Telecom (new business), Bain &amp; Co. (head of Bain Korea; APAC TMT head). Head of LG Corp’s Business Strategy Division from 2019 (group M&amp;A and growth strategy). At LG Uplus: Nov-2024 value-up plan; AX reorganisations (Dec-24, Dec-25); early retirement of ~600 staff; buybacks and cancellations; accelerated Paju AIDC to 200MW; tariff simplification; security rebuild (PAGO). FY25 NI +40%; record 2Q26 OP</w:t>
            </w:r>
          </w:p>
        </w:tc>
        <w:tc>
          <w:tcPr>
            <w:tcW w:type="dxa" w:w="1489"/>
          </w:tcPr>
          <w:p>
            <w:pPr>
              <w:pStyle w:val="Compact"/>
              <w:spacing w:after="0" w:before="0" w:line="240" w:lineRule="auto"/>
              <w:jc w:val="left"/>
            </w:pPr>
            <w:r>
              <w:rPr>
                <w:rFonts w:ascii="Arial" w:hAnsi="Arial"/>
                <w:sz w:val="15"/>
              </w:rPr>
              <w:t xml:space="preserve">20,000 shares bought on-market (Aug-2025, ~KRW294m), ~0.005%</w:t>
            </w:r>
          </w:p>
        </w:tc>
        <w:tc>
          <w:tcPr>
            <w:tcW w:type="dxa" w:w="1425"/>
          </w:tcPr>
          <w:p>
            <w:pPr>
              <w:pStyle w:val="Compact"/>
              <w:spacing w:after="0" w:before="0" w:line="240" w:lineRule="auto"/>
              <w:jc w:val="left"/>
            </w:pPr>
            <w:r>
              <w:rPr>
                <w:rFonts w:ascii="Arial" w:hAnsi="Arial"/>
                <w:sz w:val="15"/>
              </w:rPr>
              <w:t xml:space="preserve">FY25 KRW1.44bn (salary + allowance; no bonus)</w:t>
            </w:r>
          </w:p>
        </w:tc>
      </w:tr>
      <w:tr>
        <w:trPr>
          <w:cantSplit/>
        </w:trPr>
        <w:tc>
          <w:tcPr>
            <w:tcW w:type="dxa" w:w="1516"/>
            <w:shd w:val="clear" w:color="auto" w:fill="F1F2F5"/>
          </w:tcPr>
          <w:p>
            <w:pPr>
              <w:pStyle w:val="Compact"/>
              <w:spacing w:after="0" w:before="0" w:line="240" w:lineRule="auto"/>
              <w:jc w:val="left"/>
            </w:pPr>
            <w:r>
              <w:rPr>
                <w:bCs/>
                <w:rFonts w:ascii="Arial" w:hAnsi="Arial"/>
                <w:b/>
                <w:sz w:val="15"/>
              </w:rPr>
              <w:t xml:space="preserve">Yeo Myung-hee</w:t>
            </w:r>
          </w:p>
        </w:tc>
        <w:tc>
          <w:tcPr>
            <w:tcW w:type="dxa" w:w="2336"/>
            <w:shd w:val="clear" w:color="auto" w:fill="F1F2F5"/>
          </w:tcPr>
          <w:p>
            <w:pPr>
              <w:pStyle w:val="Compact"/>
              <w:spacing w:after="0" w:before="0" w:line="240" w:lineRule="auto"/>
              <w:jc w:val="left"/>
            </w:pPr>
            <w:r>
              <w:rPr>
                <w:rFonts w:ascii="Arial" w:hAnsi="Arial"/>
                <w:sz w:val="15"/>
              </w:rPr>
              <w:t xml:space="preserve">CFO and CRO since 2023; inside director since Mar-2023 (re-elected Mar-2026 with 98.3%). Promoted to EVP Nov-2025. LG Uplus’s first female inside director</w:t>
            </w:r>
          </w:p>
        </w:tc>
        <w:tc>
          <w:tcPr>
            <w:tcW w:type="dxa" w:w="3211"/>
            <w:shd w:val="clear" w:color="auto" w:fill="F1F2F5"/>
          </w:tcPr>
          <w:p>
            <w:pPr>
              <w:pStyle w:val="Compact"/>
              <w:spacing w:after="0" w:before="0" w:line="240" w:lineRule="auto"/>
              <w:jc w:val="left"/>
            </w:pPr>
            <w:r>
              <w:rPr>
                <w:rFonts w:ascii="Arial" w:hAnsi="Arial"/>
                <w:sz w:val="15"/>
              </w:rPr>
              <w:t xml:space="preserve">Career LG Uplus finance (head of accounting, then management planning). Architect of the capital-return programme; delivered the AA+ upgrades</w:t>
            </w:r>
          </w:p>
        </w:tc>
        <w:tc>
          <w:tcPr>
            <w:tcW w:type="dxa" w:w="1489"/>
            <w:shd w:val="clear" w:color="auto" w:fill="F1F2F5"/>
          </w:tcPr>
          <w:p>
            <w:pPr>
              <w:pStyle w:val="Compact"/>
              <w:spacing w:after="0" w:before="0" w:line="240" w:lineRule="auto"/>
              <w:jc w:val="left"/>
            </w:pPr>
            <w:r>
              <w:rPr>
                <w:rFonts w:ascii="Arial" w:hAnsi="Arial"/>
                <w:sz w:val="15"/>
              </w:rPr>
              <w:t xml:space="preserve">≥5,000 shares (Mar-2024)</w:t>
            </w:r>
          </w:p>
        </w:tc>
        <w:tc>
          <w:tcPr>
            <w:tcW w:type="dxa" w:w="1425"/>
            <w:shd w:val="clear" w:color="auto" w:fill="F1F2F5"/>
          </w:tcPr>
          <w:p>
            <w:pPr>
              <w:pStyle w:val="Compact"/>
              <w:spacing w:after="0" w:before="0" w:line="240" w:lineRule="auto"/>
              <w:jc w:val="left"/>
            </w:pPr>
            <w:r>
              <w:rPr>
                <w:rFonts w:ascii="Arial" w:hAnsi="Arial"/>
                <w:sz w:val="15"/>
              </w:rPr>
              <w:t xml:space="preserve">FY24 KRW622m (salary 479m, bonus 140m)</w:t>
            </w:r>
          </w:p>
        </w:tc>
      </w:tr>
      <w:tr>
        <w:trPr>
          <w:cantSplit/>
        </w:trPr>
        <w:tc>
          <w:tcPr>
            <w:tcW w:type="dxa" w:w="1516"/>
          </w:tcPr>
          <w:p>
            <w:pPr>
              <w:pStyle w:val="Compact"/>
              <w:spacing w:after="0" w:before="0" w:line="240" w:lineRule="auto"/>
              <w:jc w:val="left"/>
            </w:pPr>
            <w:r>
              <w:rPr>
                <w:rFonts w:ascii="Arial" w:hAnsi="Arial"/>
                <w:sz w:val="15"/>
              </w:rPr>
              <w:t xml:space="preserve">Kwon Yong-hyun</w:t>
            </w:r>
          </w:p>
        </w:tc>
        <w:tc>
          <w:tcPr>
            <w:tcW w:type="dxa" w:w="2336"/>
          </w:tcPr>
          <w:p>
            <w:pPr>
              <w:pStyle w:val="Compact"/>
              <w:spacing w:after="0" w:before="0" w:line="240" w:lineRule="auto"/>
              <w:jc w:val="left"/>
            </w:pPr>
            <w:r>
              <w:rPr>
                <w:rFonts w:ascii="Arial" w:hAnsi="Arial"/>
                <w:sz w:val="15"/>
              </w:rPr>
              <w:t xml:space="preserve">EVP, head of Enterprise / AI B2B (AICC, AIDC)</w:t>
            </w:r>
          </w:p>
        </w:tc>
        <w:tc>
          <w:tcPr>
            <w:tcW w:type="dxa" w:w="3211"/>
          </w:tcPr>
          <w:p>
            <w:pPr>
              <w:pStyle w:val="Compact"/>
              <w:spacing w:after="0" w:before="0" w:line="240" w:lineRule="auto"/>
              <w:jc w:val="left"/>
            </w:pPr>
            <w:r>
              <w:rPr>
                <w:rFonts w:ascii="Arial" w:hAnsi="Arial"/>
                <w:sz w:val="15"/>
              </w:rPr>
              <w:t xml:space="preserve">Ex-LG Economic Research Institute; former LG Uplus CSO; leads the AIDC/DBO push</w:t>
            </w:r>
          </w:p>
        </w:tc>
        <w:tc>
          <w:tcPr>
            <w:tcW w:type="dxa" w:w="1489"/>
          </w:tcPr>
          <w:p>
            <w:pPr>
              <w:pStyle w:val="Compact"/>
              <w:spacing w:after="0" w:before="0" w:line="240" w:lineRule="auto"/>
              <w:jc w:val="left"/>
            </w:pPr>
            <w:r>
              <w:rPr>
                <w:rFonts w:ascii="Arial" w:hAnsi="Arial"/>
                <w:sz w:val="15"/>
              </w:rPr>
              <w:t xml:space="preserve">n/d</w:t>
            </w:r>
          </w:p>
        </w:tc>
        <w:tc>
          <w:tcPr>
            <w:tcW w:type="dxa" w:w="1425"/>
          </w:tcPr>
          <w:p>
            <w:pPr>
              <w:pStyle w:val="Compact"/>
              <w:spacing w:after="0" w:before="0" w:line="240" w:lineRule="auto"/>
              <w:jc w:val="left"/>
            </w:pPr>
            <w:r>
              <w:rPr>
                <w:rFonts w:ascii="Arial" w:hAnsi="Arial"/>
                <w:sz w:val="15"/>
              </w:rPr>
              <w:t xml:space="preserve">n/d</w:t>
            </w:r>
          </w:p>
        </w:tc>
      </w:tr>
      <w:tr>
        <w:trPr>
          <w:cantSplit/>
        </w:trPr>
        <w:tc>
          <w:tcPr>
            <w:tcW w:type="dxa" w:w="1516"/>
            <w:shd w:val="clear" w:color="auto" w:fill="F1F2F5"/>
          </w:tcPr>
          <w:p>
            <w:pPr>
              <w:pStyle w:val="Compact"/>
              <w:spacing w:after="0" w:before="0" w:line="240" w:lineRule="auto"/>
              <w:jc w:val="left"/>
            </w:pPr>
            <w:r>
              <w:rPr>
                <w:rFonts w:ascii="Arial" w:hAnsi="Arial"/>
                <w:sz w:val="15"/>
              </w:rPr>
              <w:t xml:space="preserve">Lee Sang-yeop</w:t>
            </w:r>
          </w:p>
        </w:tc>
        <w:tc>
          <w:tcPr>
            <w:tcW w:type="dxa" w:w="2336"/>
            <w:shd w:val="clear" w:color="auto" w:fill="F1F2F5"/>
          </w:tcPr>
          <w:p>
            <w:pPr>
              <w:pStyle w:val="Compact"/>
              <w:spacing w:after="0" w:before="0" w:line="240" w:lineRule="auto"/>
              <w:jc w:val="left"/>
            </w:pPr>
            <w:r>
              <w:rPr>
                <w:rFonts w:ascii="Arial" w:hAnsi="Arial"/>
                <w:sz w:val="15"/>
              </w:rPr>
              <w:t xml:space="preserve">CTO; head of AX Tech Platform</w:t>
            </w:r>
          </w:p>
        </w:tc>
        <w:tc>
          <w:tcPr>
            <w:tcW w:type="dxa" w:w="3211"/>
            <w:shd w:val="clear" w:color="auto" w:fill="F1F2F5"/>
          </w:tcPr>
          <w:p>
            <w:pPr>
              <w:pStyle w:val="Compact"/>
              <w:spacing w:after="0" w:before="0" w:line="240" w:lineRule="auto"/>
              <w:jc w:val="left"/>
            </w:pPr>
            <w:r>
              <w:rPr>
                <w:rFonts w:ascii="Arial" w:hAnsi="Arial"/>
                <w:sz w:val="15"/>
              </w:rPr>
              <w:t xml:space="preserve">CTO through the 2023 breach and DDoS outages (appeared at the public apology) and the 2025 APPM case</w:t>
            </w:r>
          </w:p>
        </w:tc>
        <w:tc>
          <w:tcPr>
            <w:tcW w:type="dxa" w:w="1489"/>
            <w:shd w:val="clear" w:color="auto" w:fill="F1F2F5"/>
          </w:tcPr>
          <w:p>
            <w:pPr>
              <w:pStyle w:val="Compact"/>
              <w:spacing w:after="0" w:before="0" w:line="240" w:lineRule="auto"/>
              <w:jc w:val="left"/>
            </w:pPr>
            <w:r>
              <w:rPr>
                <w:rFonts w:ascii="Arial" w:hAnsi="Arial"/>
                <w:sz w:val="15"/>
              </w:rPr>
              <w:t xml:space="preserve">n/d</w:t>
            </w:r>
          </w:p>
        </w:tc>
        <w:tc>
          <w:tcPr>
            <w:tcW w:type="dxa" w:w="1425"/>
            <w:shd w:val="clear" w:color="auto" w:fill="F1F2F5"/>
          </w:tcPr>
          <w:p>
            <w:pPr>
              <w:pStyle w:val="Compact"/>
              <w:spacing w:after="0" w:before="0" w:line="240" w:lineRule="auto"/>
              <w:jc w:val="left"/>
            </w:pPr>
            <w:r>
              <w:rPr>
                <w:rFonts w:ascii="Arial" w:hAnsi="Arial"/>
                <w:sz w:val="15"/>
              </w:rPr>
              <w:t xml:space="preserve">n/d</w:t>
            </w:r>
          </w:p>
        </w:tc>
      </w:tr>
      <w:tr>
        <w:trPr>
          <w:cantSplit/>
        </w:trPr>
        <w:tc>
          <w:tcPr>
            <w:tcW w:type="dxa" w:w="1516"/>
          </w:tcPr>
          <w:p>
            <w:pPr>
              <w:pStyle w:val="Compact"/>
              <w:spacing w:after="0" w:before="0" w:line="240" w:lineRule="auto"/>
              <w:jc w:val="left"/>
            </w:pPr>
            <w:r>
              <w:rPr>
                <w:rFonts w:ascii="Arial" w:hAnsi="Arial"/>
                <w:sz w:val="15"/>
              </w:rPr>
              <w:t xml:space="preserve">Yang Hyo-seok</w:t>
            </w:r>
          </w:p>
        </w:tc>
        <w:tc>
          <w:tcPr>
            <w:tcW w:type="dxa" w:w="2336"/>
          </w:tcPr>
          <w:p>
            <w:pPr>
              <w:pStyle w:val="Compact"/>
              <w:spacing w:after="0" w:before="0" w:line="240" w:lineRule="auto"/>
              <w:jc w:val="left"/>
            </w:pPr>
            <w:r>
              <w:rPr>
                <w:rFonts w:ascii="Arial" w:hAnsi="Arial"/>
                <w:sz w:val="15"/>
              </w:rPr>
              <w:t xml:space="preserve">EVP, CHO (HR and labour relations)</w:t>
            </w:r>
          </w:p>
        </w:tc>
        <w:tc>
          <w:tcPr>
            <w:tcW w:type="dxa" w:w="3211"/>
          </w:tcPr>
          <w:p>
            <w:pPr>
              <w:pStyle w:val="Compact"/>
              <w:spacing w:after="0" w:before="0" w:line="240" w:lineRule="auto"/>
              <w:jc w:val="left"/>
            </w:pPr>
            <w:r>
              <w:rPr>
                <w:rFonts w:ascii="Arial" w:hAnsi="Arial"/>
                <w:sz w:val="15"/>
              </w:rPr>
              <w:t xml:space="preserve">Led the 2025 early-retirement programme</w:t>
            </w:r>
          </w:p>
        </w:tc>
        <w:tc>
          <w:tcPr>
            <w:tcW w:type="dxa" w:w="1489"/>
          </w:tcPr>
          <w:p>
            <w:pPr>
              <w:pStyle w:val="Compact"/>
              <w:spacing w:after="0" w:before="0" w:line="240" w:lineRule="auto"/>
              <w:jc w:val="left"/>
            </w:pPr>
            <w:r>
              <w:rPr>
                <w:rFonts w:ascii="Arial" w:hAnsi="Arial"/>
                <w:sz w:val="15"/>
              </w:rPr>
              <w:t xml:space="preserve">n/d</w:t>
            </w:r>
          </w:p>
        </w:tc>
        <w:tc>
          <w:tcPr>
            <w:tcW w:type="dxa" w:w="1425"/>
          </w:tcPr>
          <w:p>
            <w:pPr>
              <w:pStyle w:val="Compact"/>
              <w:spacing w:after="0" w:before="0" w:line="240" w:lineRule="auto"/>
              <w:jc w:val="left"/>
            </w:pPr>
            <w:r>
              <w:rPr>
                <w:rFonts w:ascii="Arial" w:hAnsi="Arial"/>
                <w:sz w:val="15"/>
              </w:rPr>
              <w:t xml:space="preserve">n/d</w:t>
            </w:r>
          </w:p>
        </w:tc>
      </w:tr>
      <w:tr>
        <w:trPr>
          <w:cantSplit/>
        </w:trPr>
        <w:tc>
          <w:tcPr>
            <w:tcW w:type="dxa" w:w="1516"/>
            <w:shd w:val="clear" w:color="auto" w:fill="F1F2F5"/>
          </w:tcPr>
          <w:p>
            <w:pPr>
              <w:pStyle w:val="Compact"/>
              <w:spacing w:after="0" w:before="0" w:line="240" w:lineRule="auto"/>
              <w:jc w:val="left"/>
            </w:pPr>
            <w:r>
              <w:rPr>
                <w:rFonts w:ascii="Arial" w:hAnsi="Arial"/>
                <w:sz w:val="15"/>
              </w:rPr>
              <w:t xml:space="preserve">Lee Jae-won</w:t>
            </w:r>
          </w:p>
        </w:tc>
        <w:tc>
          <w:tcPr>
            <w:tcW w:type="dxa" w:w="2336"/>
            <w:shd w:val="clear" w:color="auto" w:fill="F1F2F5"/>
          </w:tcPr>
          <w:p>
            <w:pPr>
              <w:pStyle w:val="Compact"/>
              <w:spacing w:after="0" w:before="0" w:line="240" w:lineRule="auto"/>
              <w:jc w:val="left"/>
            </w:pPr>
            <w:r>
              <w:rPr>
                <w:rFonts w:ascii="Arial" w:hAnsi="Arial"/>
                <w:sz w:val="15"/>
              </w:rPr>
              <w:t xml:space="preserve">EVP, head of MX / Digital Innovation (mobile)</w:t>
            </w:r>
          </w:p>
        </w:tc>
        <w:tc>
          <w:tcPr>
            <w:tcW w:type="dxa" w:w="3211"/>
            <w:shd w:val="clear" w:color="auto" w:fill="F1F2F5"/>
          </w:tcPr>
          <w:p>
            <w:pPr>
              <w:pStyle w:val="Compact"/>
              <w:spacing w:after="0" w:before="0" w:line="240" w:lineRule="auto"/>
              <w:jc w:val="left"/>
            </w:pPr>
            <w:r>
              <w:rPr>
                <w:rFonts w:ascii="Arial" w:hAnsi="Arial"/>
                <w:sz w:val="15"/>
              </w:rPr>
              <w:t xml:space="preserve">Ex-LG Corp management strategy; credited with mobile growth</w:t>
            </w:r>
          </w:p>
        </w:tc>
        <w:tc>
          <w:tcPr>
            <w:tcW w:type="dxa" w:w="1489"/>
            <w:shd w:val="clear" w:color="auto" w:fill="F1F2F5"/>
          </w:tcPr>
          <w:p>
            <w:pPr>
              <w:pStyle w:val="Compact"/>
              <w:spacing w:after="0" w:before="0" w:line="240" w:lineRule="auto"/>
              <w:jc w:val="left"/>
            </w:pPr>
            <w:r>
              <w:rPr>
                <w:rFonts w:ascii="Arial" w:hAnsi="Arial"/>
                <w:sz w:val="15"/>
              </w:rPr>
              <w:t xml:space="preserve">n/d</w:t>
            </w:r>
          </w:p>
        </w:tc>
        <w:tc>
          <w:tcPr>
            <w:tcW w:type="dxa" w:w="1425"/>
            <w:shd w:val="clear" w:color="auto" w:fill="F1F2F5"/>
          </w:tcPr>
          <w:p>
            <w:pPr>
              <w:pStyle w:val="Compact"/>
              <w:spacing w:after="0" w:before="0" w:line="240" w:lineRule="auto"/>
              <w:jc w:val="left"/>
            </w:pPr>
            <w:r>
              <w:rPr>
                <w:rFonts w:ascii="Arial" w:hAnsi="Arial"/>
                <w:sz w:val="15"/>
              </w:rPr>
              <w:t xml:space="preserve">n/d</w:t>
            </w:r>
          </w:p>
        </w:tc>
      </w:tr>
      <w:tr>
        <w:trPr>
          <w:cantSplit/>
        </w:trPr>
        <w:tc>
          <w:tcPr>
            <w:tcW w:type="dxa" w:w="1516"/>
          </w:tcPr>
          <w:p>
            <w:pPr>
              <w:pStyle w:val="Compact"/>
              <w:spacing w:after="0" w:before="0" w:line="240" w:lineRule="auto"/>
              <w:jc w:val="left"/>
            </w:pPr>
            <w:r>
              <w:rPr>
                <w:iCs/>
                <w:rFonts w:ascii="Arial" w:hAnsi="Arial"/>
                <w:i/>
                <w:sz w:val="15"/>
              </w:rPr>
              <w:t xml:space="preserve">Predecessor:</w:t>
            </w:r>
            <w:r>
              <w:rPr>
                <w:rFonts w:ascii="Arial" w:hAnsi="Arial"/>
                <w:sz w:val="15"/>
              </w:rPr>
              <w:t xml:space="preserve"> </w:t>
            </w:r>
            <w:r>
              <w:rPr>
                <w:rFonts w:ascii="Arial" w:hAnsi="Arial"/>
                <w:sz w:val="15"/>
              </w:rPr>
              <w:t xml:space="preserve">Hwang Hyun-sik</w:t>
            </w:r>
          </w:p>
        </w:tc>
        <w:tc>
          <w:tcPr>
            <w:tcW w:type="dxa" w:w="2336"/>
          </w:tcPr>
          <w:p>
            <w:pPr>
              <w:pStyle w:val="Compact"/>
              <w:spacing w:after="0" w:before="0" w:line="240" w:lineRule="auto"/>
              <w:jc w:val="left"/>
            </w:pPr>
            <w:r>
              <w:rPr>
                <w:rFonts w:ascii="Arial" w:hAnsi="Arial"/>
                <w:sz w:val="15"/>
              </w:rPr>
              <w:t xml:space="preserve">CEO Mar-2021 to Nov-2024; replaced mid-term (term ran to Mar-2027)</w:t>
            </w:r>
          </w:p>
        </w:tc>
        <w:tc>
          <w:tcPr>
            <w:tcW w:type="dxa" w:w="3211"/>
          </w:tcPr>
          <w:p>
            <w:pPr>
              <w:pStyle w:val="Compact"/>
              <w:spacing w:after="0" w:before="0" w:line="240" w:lineRule="auto"/>
              <w:jc w:val="left"/>
            </w:pPr>
            <w:r>
              <w:rPr>
                <w:rFonts w:ascii="Arial" w:hAnsi="Arial"/>
                <w:sz w:val="15"/>
              </w:rPr>
              <w:t xml:space="preserve">First internally promoted CEO. Delivered the first OP above KRW1tn (FY22). U+3.0 platform strategy largely missed. 2023 breach and DDoS outages; FY24 OP -13.5%</w:t>
            </w:r>
          </w:p>
        </w:tc>
        <w:tc>
          <w:tcPr>
            <w:tcW w:type="dxa" w:w="1489"/>
          </w:tcPr>
          <w:p>
            <w:pPr>
              <w:pStyle w:val="Compact"/>
              <w:spacing w:after="0" w:before="0" w:line="240" w:lineRule="auto"/>
              <w:jc w:val="left"/>
            </w:pPr>
            <w:r>
              <w:rPr>
                <w:rFonts w:ascii="Arial" w:hAnsi="Arial"/>
                <w:sz w:val="15"/>
              </w:rPr>
              <w:t xml:space="preserve">~60.8k shares [e]</w:t>
            </w:r>
          </w:p>
        </w:tc>
        <w:tc>
          <w:tcPr>
            <w:tcW w:type="dxa" w:w="1425"/>
          </w:tcPr>
          <w:p>
            <w:pPr>
              <w:pStyle w:val="Compact"/>
              <w:spacing w:after="0" w:before="0" w:line="240" w:lineRule="auto"/>
              <w:jc w:val="left"/>
            </w:pPr>
            <w:r>
              <w:rPr>
                <w:rFonts w:ascii="Arial" w:hAnsi="Arial"/>
                <w:sz w:val="15"/>
              </w:rPr>
              <w:t xml:space="preserve">FY25 KRW5.75bn incl. </w:t>
            </w:r>
            <w:r>
              <w:rPr>
                <w:bCs/>
                <w:rFonts w:ascii="Arial" w:hAnsi="Arial"/>
                <w:b/>
                <w:sz w:val="15"/>
              </w:rPr>
              <w:t xml:space="preserve">KRW4.45bn retirement pay</w:t>
            </w:r>
          </w:p>
        </w:tc>
      </w:tr>
      <w:tr>
        <w:trPr>
          <w:cantSplit/>
        </w:trPr>
        <w:tc>
          <w:tcPr>
            <w:tcW w:type="dxa" w:w="1516"/>
            <w:shd w:val="clear" w:color="auto" w:fill="F1F2F5"/>
          </w:tcPr>
          <w:p>
            <w:pPr>
              <w:pStyle w:val="Compact"/>
              <w:spacing w:after="0" w:before="0" w:line="240" w:lineRule="auto"/>
              <w:jc w:val="left"/>
            </w:pPr>
            <w:r>
              <w:rPr>
                <w:iCs/>
                <w:rFonts w:ascii="Arial" w:hAnsi="Arial"/>
                <w:i/>
                <w:sz w:val="15"/>
              </w:rPr>
              <w:t xml:space="preserve">Predecessor:</w:t>
            </w:r>
            <w:r>
              <w:rPr>
                <w:rFonts w:ascii="Arial" w:hAnsi="Arial"/>
                <w:sz w:val="15"/>
              </w:rPr>
              <w:t xml:space="preserve"> </w:t>
            </w:r>
            <w:r>
              <w:rPr>
                <w:rFonts w:ascii="Arial" w:hAnsi="Arial"/>
                <w:sz w:val="15"/>
              </w:rPr>
              <w:t xml:space="preserve">Ha Hyun-hwoi</w:t>
            </w:r>
          </w:p>
        </w:tc>
        <w:tc>
          <w:tcPr>
            <w:tcW w:type="dxa" w:w="2336"/>
            <w:shd w:val="clear" w:color="auto" w:fill="F1F2F5"/>
          </w:tcPr>
          <w:p>
            <w:pPr>
              <w:pStyle w:val="Compact"/>
              <w:spacing w:after="0" w:before="0" w:line="240" w:lineRule="auto"/>
              <w:jc w:val="left"/>
            </w:pPr>
            <w:r>
              <w:rPr>
                <w:rFonts w:ascii="Arial" w:hAnsi="Arial"/>
                <w:sz w:val="15"/>
              </w:rPr>
              <w:t xml:space="preserve">CEO 2018–2020</w:t>
            </w:r>
          </w:p>
        </w:tc>
        <w:tc>
          <w:tcPr>
            <w:tcW w:type="dxa" w:w="3211"/>
            <w:shd w:val="clear" w:color="auto" w:fill="F1F2F5"/>
          </w:tcPr>
          <w:p>
            <w:pPr>
              <w:pStyle w:val="Compact"/>
              <w:spacing w:after="0" w:before="0" w:line="240" w:lineRule="auto"/>
              <w:jc w:val="left"/>
            </w:pPr>
            <w:r>
              <w:rPr>
                <w:rFonts w:ascii="Arial" w:hAnsi="Arial"/>
                <w:sz w:val="15"/>
              </w:rPr>
              <w:t xml:space="preserve">Ex-LG Corp CEO/vice-chairman.</w:t>
            </w:r>
            <w:r>
              <w:rPr>
                <w:rFonts w:ascii="Arial" w:hAnsi="Arial"/>
                <w:sz w:val="15"/>
              </w:rPr>
              <w:t xml:space="preserve"> </w:t>
            </w:r>
            <w:r>
              <w:rPr>
                <w:bCs/>
                <w:rFonts w:ascii="Arial" w:hAnsi="Arial"/>
                <w:b/>
                <w:sz w:val="15"/>
              </w:rPr>
              <w:t xml:space="preserve">Bought CJ Hello for KRW800bn at a ~75% premium to market</w:t>
            </w:r>
            <w:r>
              <w:rPr>
                <w:rFonts w:ascii="Arial" w:hAnsi="Arial"/>
                <w:sz w:val="15"/>
              </w:rPr>
              <w:t xml:space="preserve">; 5G launch; Netflix tie-up; Huawei controversy; sold payments to Toss</w:t>
            </w:r>
          </w:p>
        </w:tc>
        <w:tc>
          <w:tcPr>
            <w:tcW w:type="dxa" w:w="1489"/>
            <w:shd w:val="clear" w:color="auto" w:fill="F1F2F5"/>
          </w:tcPr>
          <w:p>
            <w:pPr>
              <w:pStyle w:val="Compact"/>
              <w:spacing w:after="0" w:before="0" w:line="240" w:lineRule="auto"/>
              <w:jc w:val="left"/>
            </w:pPr>
            <w:r>
              <w:rPr>
                <w:rFonts w:ascii="Arial" w:hAnsi="Arial"/>
                <w:sz w:val="15"/>
              </w:rPr>
              <w:t xml:space="preserve">n/d</w:t>
            </w:r>
          </w:p>
        </w:tc>
        <w:tc>
          <w:tcPr>
            <w:tcW w:type="dxa" w:w="1425"/>
            <w:shd w:val="clear" w:color="auto" w:fill="F1F2F5"/>
          </w:tcPr>
          <w:p>
            <w:pPr>
              <w:pStyle w:val="Compact"/>
              <w:spacing w:after="0" w:before="0" w:line="240" w:lineRule="auto"/>
              <w:jc w:val="left"/>
            </w:pPr>
            <w:r>
              <w:rPr>
                <w:rFonts w:ascii="Arial" w:hAnsi="Arial"/>
                <w:sz w:val="15"/>
              </w:rPr>
              <w:t xml:space="preserve">n/d</w:t>
            </w:r>
          </w:p>
        </w:tc>
      </w:tr>
    </w:tbl>
    <w:p>
      <w:pPr>
        <w:pStyle w:val="BodyText"/>
      </w:pPr>
      <w:r>
        <w:rPr>
          <w:iCs/>
          <w:i/>
        </w:rPr>
        <w:t xml:space="preserve">Sources: LG releases, DART pay disclosures via press, S&amp;P Capital IQ Professionals. Capital IQ lists a</w:t>
      </w:r>
      <w:r>
        <w:rPr>
          <w:iCs/>
          <w:i/>
        </w:rPr>
        <w:t xml:space="preserve"> </w:t>
      </w:r>
      <w:r>
        <w:rPr>
          <w:iCs/>
          <w:i/>
        </w:rPr>
        <w:t xml:space="preserve">“</w:t>
      </w:r>
      <w:r>
        <w:rPr>
          <w:iCs/>
          <w:i/>
        </w:rPr>
        <w:t xml:space="preserve">COO Young-Soo Kwon</w:t>
      </w:r>
      <w:r>
        <w:rPr>
          <w:iCs/>
          <w:i/>
        </w:rPr>
        <w:t xml:space="preserve">”</w:t>
      </w:r>
      <w:r>
        <w:rPr>
          <w:iCs/>
          <w:i/>
        </w:rPr>
        <w:t xml:space="preserve">; this is a data error (Kwon Young-soo was CEO in 2015–18). S&amp;P also lists stale directors.</w:t>
      </w:r>
    </w:p>
    <w:bookmarkEnd w:id="100"/>
    <w:bookmarkStart w:id="101" w:name="X7f3630e5a14c9aa1722dbdbfa245d6df679c9d2"/>
    <w:p>
      <w:pPr>
        <w:pStyle w:val="Heading2"/>
      </w:pPr>
      <w:r>
        <w:t xml:space="preserve">Capital allocation and returns under each CEO</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1224"/>
        <w:gridCol w:w="1173"/>
        <w:gridCol w:w="1500"/>
        <w:gridCol w:w="976"/>
        <w:gridCol w:w="2397"/>
        <w:gridCol w:w="2705"/>
      </w:tblGrid>
      <w:tr>
        <w:trPr>
          <w:tblHeader w:val="true"/>
          <w:tblHeader w:val="true"/>
          <w:cantSplit/>
        </w:trPr>
        <w:tc>
          <w:tcPr>
            <w:tcW w:type="dxa" w:w="1225"/>
            <w:shd w:val="clear" w:color="auto" w:fill="13213F"/>
          </w:tcPr>
          <w:p>
            <w:pPr>
              <w:pStyle w:val="Compact"/>
              <w:spacing w:after="0" w:before="0" w:line="240" w:lineRule="auto"/>
              <w:jc w:val="left"/>
            </w:pPr>
            <w:r>
              <w:rPr>
                <w:rFonts w:ascii="Arial" w:hAnsi="Arial"/>
                <w:b/>
                <w:color w:val="FFFFFF"/>
                <w:sz w:val="15"/>
              </w:rPr>
              <w:t xml:space="preserve">Regime</w:t>
            </w:r>
          </w:p>
        </w:tc>
        <w:tc>
          <w:tcPr>
            <w:tcW w:type="dxa" w:w="1174"/>
            <w:shd w:val="clear" w:color="auto" w:fill="13213F"/>
          </w:tcPr>
          <w:p>
            <w:pPr>
              <w:pStyle w:val="Compact"/>
              <w:spacing w:after="0" w:before="0" w:line="240" w:lineRule="auto"/>
              <w:jc w:val="left"/>
            </w:pPr>
            <w:r>
              <w:rPr>
                <w:rFonts w:ascii="Arial" w:hAnsi="Arial"/>
                <w:b/>
                <w:color w:val="FFFFFF"/>
                <w:sz w:val="15"/>
              </w:rPr>
              <w:t xml:space="preserve">Fiscal years</w:t>
            </w:r>
          </w:p>
        </w:tc>
        <w:tc>
          <w:tcPr>
            <w:tcW w:type="dxa" w:w="1500"/>
            <w:shd w:val="clear" w:color="auto" w:fill="13213F"/>
          </w:tcPr>
          <w:p>
            <w:pPr>
              <w:pStyle w:val="Compact"/>
              <w:spacing w:after="0" w:before="0" w:line="240" w:lineRule="auto"/>
              <w:jc w:val="right"/>
            </w:pPr>
            <w:r>
              <w:rPr>
                <w:rFonts w:ascii="Arial" w:hAnsi="Arial"/>
                <w:b/>
                <w:color w:val="FFFFFF"/>
                <w:sz w:val="15"/>
              </w:rPr>
              <w:t xml:space="preserve">Average ROE</w:t>
            </w:r>
          </w:p>
        </w:tc>
        <w:tc>
          <w:tcPr>
            <w:tcW w:type="dxa" w:w="977"/>
            <w:shd w:val="clear" w:color="auto" w:fill="13213F"/>
          </w:tcPr>
          <w:p>
            <w:pPr>
              <w:pStyle w:val="Compact"/>
              <w:spacing w:after="0" w:before="0" w:line="240" w:lineRule="auto"/>
              <w:jc w:val="right"/>
            </w:pPr>
            <w:r>
              <w:rPr>
                <w:rFonts w:ascii="Arial" w:hAnsi="Arial"/>
                <w:b/>
                <w:color w:val="FFFFFF"/>
                <w:sz w:val="15"/>
              </w:rPr>
              <w:t xml:space="preserve">Average ROIC</w:t>
            </w:r>
          </w:p>
        </w:tc>
        <w:tc>
          <w:tcPr>
            <w:tcW w:type="dxa" w:w="2397"/>
            <w:shd w:val="clear" w:color="auto" w:fill="13213F"/>
          </w:tcPr>
          <w:p>
            <w:pPr>
              <w:pStyle w:val="Compact"/>
              <w:spacing w:after="0" w:before="0" w:line="240" w:lineRule="auto"/>
              <w:jc w:val="left"/>
            </w:pPr>
            <w:r>
              <w:rPr>
                <w:rFonts w:ascii="Arial" w:hAnsi="Arial"/>
                <w:b/>
                <w:color w:val="FFFFFF"/>
                <w:sz w:val="15"/>
              </w:rPr>
              <w:t xml:space="preserve">Key capital-allocation decisions</w:t>
            </w:r>
          </w:p>
        </w:tc>
        <w:tc>
          <w:tcPr>
            <w:tcW w:type="dxa" w:w="2705"/>
            <w:shd w:val="clear" w:color="auto" w:fill="13213F"/>
          </w:tcPr>
          <w:p>
            <w:pPr>
              <w:pStyle w:val="Compact"/>
              <w:spacing w:after="0" w:before="0" w:line="240" w:lineRule="auto"/>
              <w:jc w:val="left"/>
            </w:pPr>
            <w:r>
              <w:rPr>
                <w:rFonts w:ascii="Arial" w:hAnsi="Arial"/>
                <w:b/>
                <w:color w:val="FFFFFF"/>
                <w:sz w:val="15"/>
              </w:rPr>
              <w:t xml:space="preserve">Verdict</w:t>
            </w:r>
          </w:p>
        </w:tc>
      </w:tr>
      <w:tr>
        <w:trPr>
          <w:cantSplit/>
        </w:trPr>
        <w:tc>
          <w:tcPr>
            <w:tcW w:type="dxa" w:w="1225"/>
          </w:tcPr>
          <w:p>
            <w:pPr>
              <w:pStyle w:val="Compact"/>
              <w:spacing w:after="0" w:before="0" w:line="240" w:lineRule="auto"/>
              <w:jc w:val="left"/>
            </w:pPr>
            <w:r>
              <w:rPr>
                <w:rFonts w:ascii="Arial" w:hAnsi="Arial"/>
                <w:sz w:val="15"/>
              </w:rPr>
              <w:t xml:space="preserve">Kwon Young-soo</w:t>
            </w:r>
          </w:p>
        </w:tc>
        <w:tc>
          <w:tcPr>
            <w:tcW w:type="dxa" w:w="1174"/>
          </w:tcPr>
          <w:p>
            <w:pPr>
              <w:pStyle w:val="Compact"/>
              <w:spacing w:after="0" w:before="0" w:line="240" w:lineRule="auto"/>
              <w:jc w:val="left"/>
            </w:pPr>
            <w:r>
              <w:rPr>
                <w:rFonts w:ascii="Arial" w:hAnsi="Arial"/>
                <w:sz w:val="15"/>
              </w:rPr>
              <w:t xml:space="preserve">FY17</w:t>
            </w:r>
          </w:p>
        </w:tc>
        <w:tc>
          <w:tcPr>
            <w:tcW w:type="dxa" w:w="1500"/>
          </w:tcPr>
          <w:p>
            <w:pPr>
              <w:pStyle w:val="Compact"/>
              <w:spacing w:after="0" w:before="0" w:line="240" w:lineRule="auto"/>
              <w:jc w:val="right"/>
            </w:pPr>
            <w:r>
              <w:rPr>
                <w:rFonts w:ascii="Arial" w:hAnsi="Arial"/>
                <w:sz w:val="15"/>
              </w:rPr>
              <w:t xml:space="preserve">10.9%</w:t>
            </w:r>
          </w:p>
        </w:tc>
        <w:tc>
          <w:tcPr>
            <w:tcW w:type="dxa" w:w="977"/>
          </w:tcPr>
          <w:p>
            <w:pPr>
              <w:pStyle w:val="Compact"/>
              <w:spacing w:after="0" w:before="0" w:line="240" w:lineRule="auto"/>
              <w:jc w:val="right"/>
            </w:pPr>
            <w:r>
              <w:rPr>
                <w:rFonts w:ascii="Arial" w:hAnsi="Arial"/>
                <w:sz w:val="15"/>
              </w:rPr>
              <w:t xml:space="preserve">8.2%</w:t>
            </w:r>
          </w:p>
        </w:tc>
        <w:tc>
          <w:tcPr>
            <w:tcW w:type="dxa" w:w="2397"/>
          </w:tcPr>
          <w:p>
            <w:pPr>
              <w:pStyle w:val="Compact"/>
              <w:spacing w:after="0" w:before="0" w:line="240" w:lineRule="auto"/>
              <w:jc w:val="left"/>
            </w:pPr>
            <w:r>
              <w:rPr>
                <w:rFonts w:ascii="Arial" w:hAnsi="Arial"/>
                <w:sz w:val="15"/>
              </w:rPr>
              <w:t xml:space="preserve">LTE harvesting; Genie stake</w:t>
            </w:r>
          </w:p>
        </w:tc>
        <w:tc>
          <w:tcPr>
            <w:tcW w:type="dxa" w:w="2705"/>
          </w:tcPr>
          <w:p>
            <w:pPr>
              <w:pStyle w:val="Compact"/>
              <w:spacing w:after="0" w:before="0" w:line="240" w:lineRule="auto"/>
              <w:jc w:val="left"/>
            </w:pPr>
            <w:r>
              <w:rPr>
                <w:rFonts w:ascii="Arial" w:hAnsi="Arial"/>
                <w:sz w:val="15"/>
              </w:rPr>
              <w:t xml:space="preserve">Best returns of the decade (pre-5G)</w:t>
            </w:r>
          </w:p>
        </w:tc>
      </w:tr>
      <w:tr>
        <w:trPr>
          <w:cantSplit/>
        </w:trPr>
        <w:tc>
          <w:tcPr>
            <w:tcW w:type="dxa" w:w="1225"/>
            <w:shd w:val="clear" w:color="auto" w:fill="F1F2F5"/>
          </w:tcPr>
          <w:p>
            <w:pPr>
              <w:pStyle w:val="Compact"/>
              <w:spacing w:after="0" w:before="0" w:line="240" w:lineRule="auto"/>
              <w:jc w:val="left"/>
            </w:pPr>
            <w:r>
              <w:rPr>
                <w:rFonts w:ascii="Arial" w:hAnsi="Arial"/>
                <w:sz w:val="15"/>
              </w:rPr>
              <w:t xml:space="preserve">Ha Hyun-hwoi</w:t>
            </w:r>
          </w:p>
        </w:tc>
        <w:tc>
          <w:tcPr>
            <w:tcW w:type="dxa" w:w="1174"/>
            <w:shd w:val="clear" w:color="auto" w:fill="F1F2F5"/>
          </w:tcPr>
          <w:p>
            <w:pPr>
              <w:pStyle w:val="Compact"/>
              <w:spacing w:after="0" w:before="0" w:line="240" w:lineRule="auto"/>
              <w:jc w:val="left"/>
            </w:pPr>
            <w:r>
              <w:rPr>
                <w:rFonts w:ascii="Arial" w:hAnsi="Arial"/>
                <w:sz w:val="15"/>
              </w:rPr>
              <w:t xml:space="preserve">FY18–FY20</w:t>
            </w:r>
          </w:p>
        </w:tc>
        <w:tc>
          <w:tcPr>
            <w:tcW w:type="dxa" w:w="1500"/>
            <w:shd w:val="clear" w:color="auto" w:fill="F1F2F5"/>
          </w:tcPr>
          <w:p>
            <w:pPr>
              <w:pStyle w:val="Compact"/>
              <w:spacing w:after="0" w:before="0" w:line="240" w:lineRule="auto"/>
              <w:jc w:val="right"/>
            </w:pPr>
            <w:r>
              <w:rPr>
                <w:rFonts w:ascii="Arial" w:hAnsi="Arial"/>
                <w:sz w:val="15"/>
              </w:rPr>
              <w:t xml:space="preserve">6.9%</w:t>
            </w:r>
          </w:p>
        </w:tc>
        <w:tc>
          <w:tcPr>
            <w:tcW w:type="dxa" w:w="977"/>
            <w:shd w:val="clear" w:color="auto" w:fill="F1F2F5"/>
          </w:tcPr>
          <w:p>
            <w:pPr>
              <w:pStyle w:val="Compact"/>
              <w:spacing w:after="0" w:before="0" w:line="240" w:lineRule="auto"/>
              <w:jc w:val="right"/>
            </w:pPr>
            <w:r>
              <w:rPr>
                <w:rFonts w:ascii="Arial" w:hAnsi="Arial"/>
                <w:sz w:val="15"/>
              </w:rPr>
              <w:t xml:space="preserve">5.2%</w:t>
            </w:r>
          </w:p>
        </w:tc>
        <w:tc>
          <w:tcPr>
            <w:tcW w:type="dxa" w:w="2397"/>
            <w:shd w:val="clear" w:color="auto" w:fill="F1F2F5"/>
          </w:tcPr>
          <w:p>
            <w:pPr>
              <w:pStyle w:val="Compact"/>
              <w:spacing w:after="0" w:before="0" w:line="240" w:lineRule="auto"/>
              <w:jc w:val="left"/>
            </w:pPr>
            <w:r>
              <w:rPr>
                <w:rFonts w:ascii="Arial" w:hAnsi="Arial"/>
                <w:sz w:val="15"/>
              </w:rPr>
              <w:t xml:space="preserve">5G licence (KRW817bn [u]) and build;</w:t>
            </w:r>
            <w:r>
              <w:rPr>
                <w:rFonts w:ascii="Arial" w:hAnsi="Arial"/>
                <w:sz w:val="15"/>
              </w:rPr>
              <w:t xml:space="preserve"> </w:t>
            </w:r>
            <w:r>
              <w:rPr>
                <w:bCs/>
                <w:rFonts w:ascii="Arial" w:hAnsi="Arial"/>
                <w:b/>
                <w:sz w:val="15"/>
              </w:rPr>
              <w:t xml:space="preserve">CJ Hello KRW800bn</w:t>
            </w:r>
            <w:r>
              <w:rPr>
                <w:rFonts w:ascii="Arial" w:hAnsi="Arial"/>
                <w:sz w:val="15"/>
              </w:rPr>
              <w:t xml:space="preserve">; Toss sale</w:t>
            </w:r>
          </w:p>
        </w:tc>
        <w:tc>
          <w:tcPr>
            <w:tcW w:type="dxa" w:w="2705"/>
            <w:shd w:val="clear" w:color="auto" w:fill="F1F2F5"/>
          </w:tcPr>
          <w:p>
            <w:pPr>
              <w:pStyle w:val="Compact"/>
              <w:spacing w:after="0" w:before="0" w:line="240" w:lineRule="auto"/>
              <w:jc w:val="left"/>
            </w:pPr>
            <w:r>
              <w:rPr>
                <w:rFonts w:ascii="Arial" w:hAnsi="Arial"/>
                <w:sz w:val="15"/>
              </w:rPr>
              <w:t xml:space="preserve">Expanded invested capital ~50% with flat NOPAT:</w:t>
            </w:r>
            <w:r>
              <w:rPr>
                <w:rFonts w:ascii="Arial" w:hAnsi="Arial"/>
                <w:sz w:val="15"/>
              </w:rPr>
              <w:t xml:space="preserve"> </w:t>
            </w:r>
            <w:r>
              <w:rPr>
                <w:bCs/>
                <w:rFonts w:ascii="Arial" w:hAnsi="Arial"/>
                <w:b/>
                <w:sz w:val="15"/>
              </w:rPr>
              <w:t xml:space="preserve">value-destructive</w:t>
            </w:r>
          </w:p>
        </w:tc>
      </w:tr>
      <w:tr>
        <w:trPr>
          <w:cantSplit/>
        </w:trPr>
        <w:tc>
          <w:tcPr>
            <w:tcW w:type="dxa" w:w="1225"/>
          </w:tcPr>
          <w:p>
            <w:pPr>
              <w:pStyle w:val="Compact"/>
              <w:spacing w:after="0" w:before="0" w:line="240" w:lineRule="auto"/>
              <w:jc w:val="left"/>
            </w:pPr>
            <w:r>
              <w:rPr>
                <w:rFonts w:ascii="Arial" w:hAnsi="Arial"/>
                <w:sz w:val="15"/>
              </w:rPr>
              <w:t xml:space="preserve">Hwang Hyun-sik</w:t>
            </w:r>
          </w:p>
        </w:tc>
        <w:tc>
          <w:tcPr>
            <w:tcW w:type="dxa" w:w="1174"/>
          </w:tcPr>
          <w:p>
            <w:pPr>
              <w:pStyle w:val="Compact"/>
              <w:spacing w:after="0" w:before="0" w:line="240" w:lineRule="auto"/>
              <w:jc w:val="left"/>
            </w:pPr>
            <w:r>
              <w:rPr>
                <w:rFonts w:ascii="Arial" w:hAnsi="Arial"/>
                <w:sz w:val="15"/>
              </w:rPr>
              <w:t xml:space="preserve">FY21–FY24</w:t>
            </w:r>
          </w:p>
        </w:tc>
        <w:tc>
          <w:tcPr>
            <w:tcW w:type="dxa" w:w="1500"/>
          </w:tcPr>
          <w:p>
            <w:pPr>
              <w:pStyle w:val="Compact"/>
              <w:spacing w:after="0" w:before="0" w:line="240" w:lineRule="auto"/>
              <w:jc w:val="right"/>
            </w:pPr>
            <w:r>
              <w:rPr>
                <w:rFonts w:ascii="Arial" w:hAnsi="Arial"/>
                <w:sz w:val="15"/>
              </w:rPr>
              <w:t xml:space="preserve">7.4%</w:t>
            </w:r>
          </w:p>
        </w:tc>
        <w:tc>
          <w:tcPr>
            <w:tcW w:type="dxa" w:w="977"/>
          </w:tcPr>
          <w:p>
            <w:pPr>
              <w:pStyle w:val="Compact"/>
              <w:spacing w:after="0" w:before="0" w:line="240" w:lineRule="auto"/>
              <w:jc w:val="right"/>
            </w:pPr>
            <w:r>
              <w:rPr>
                <w:rFonts w:ascii="Arial" w:hAnsi="Arial"/>
                <w:sz w:val="15"/>
              </w:rPr>
              <w:t xml:space="preserve">5.2%</w:t>
            </w:r>
          </w:p>
        </w:tc>
        <w:tc>
          <w:tcPr>
            <w:tcW w:type="dxa" w:w="2397"/>
          </w:tcPr>
          <w:p>
            <w:pPr>
              <w:pStyle w:val="Compact"/>
              <w:spacing w:after="0" w:before="0" w:line="240" w:lineRule="auto"/>
              <w:jc w:val="left"/>
            </w:pPr>
            <w:r>
              <w:rPr>
                <w:rFonts w:ascii="Arial" w:hAnsi="Arial"/>
                <w:sz w:val="15"/>
              </w:rPr>
              <w:t xml:space="preserve">KRW100bn buyback (2021); 5G capex peak; ~KRW90bn start-up bets; Watcha abandoned</w:t>
            </w:r>
          </w:p>
        </w:tc>
        <w:tc>
          <w:tcPr>
            <w:tcW w:type="dxa" w:w="2705"/>
          </w:tcPr>
          <w:p>
            <w:pPr>
              <w:pStyle w:val="Compact"/>
              <w:spacing w:after="0" w:before="0" w:line="240" w:lineRule="auto"/>
              <w:jc w:val="left"/>
            </w:pPr>
            <w:r>
              <w:rPr>
                <w:rFonts w:ascii="Arial" w:hAnsi="Arial"/>
                <w:sz w:val="15"/>
              </w:rPr>
              <w:t xml:space="preserve">Mixed: good opex discipline, poor diversification</w:t>
            </w:r>
          </w:p>
        </w:tc>
      </w:tr>
      <w:tr>
        <w:trPr>
          <w:cantSplit/>
        </w:trPr>
        <w:tc>
          <w:tcPr>
            <w:tcW w:type="dxa" w:w="1225"/>
            <w:shd w:val="clear" w:color="auto" w:fill="F1F2F5"/>
          </w:tcPr>
          <w:p>
            <w:pPr>
              <w:pStyle w:val="Compact"/>
              <w:spacing w:after="0" w:before="0" w:line="240" w:lineRule="auto"/>
              <w:jc w:val="left"/>
            </w:pPr>
            <w:r>
              <w:rPr>
                <w:rFonts w:ascii="Arial" w:hAnsi="Arial"/>
                <w:sz w:val="15"/>
              </w:rPr>
              <w:t xml:space="preserve">Hong Bum-shik</w:t>
            </w:r>
          </w:p>
        </w:tc>
        <w:tc>
          <w:tcPr>
            <w:tcW w:type="dxa" w:w="1174"/>
            <w:shd w:val="clear" w:color="auto" w:fill="F1F2F5"/>
          </w:tcPr>
          <w:p>
            <w:pPr>
              <w:pStyle w:val="Compact"/>
              <w:spacing w:after="0" w:before="0" w:line="240" w:lineRule="auto"/>
              <w:jc w:val="left"/>
            </w:pPr>
            <w:r>
              <w:rPr>
                <w:rFonts w:ascii="Arial" w:hAnsi="Arial"/>
                <w:sz w:val="15"/>
              </w:rPr>
              <w:t xml:space="preserve">FY25–1H26</w:t>
            </w:r>
          </w:p>
        </w:tc>
        <w:tc>
          <w:tcPr>
            <w:tcW w:type="dxa" w:w="1500"/>
            <w:shd w:val="clear" w:color="auto" w:fill="F1F2F5"/>
          </w:tcPr>
          <w:p>
            <w:pPr>
              <w:pStyle w:val="Compact"/>
              <w:spacing w:after="0" w:before="0" w:line="240" w:lineRule="auto"/>
              <w:jc w:val="right"/>
            </w:pPr>
            <w:r>
              <w:rPr>
                <w:rFonts w:ascii="Arial" w:hAnsi="Arial"/>
                <w:sz w:val="15"/>
              </w:rPr>
              <w:t xml:space="preserve">6.0% (FY25); ~8.8% annualised 1H26 [e]</w:t>
            </w:r>
          </w:p>
        </w:tc>
        <w:tc>
          <w:tcPr>
            <w:tcW w:type="dxa" w:w="977"/>
            <w:shd w:val="clear" w:color="auto" w:fill="F1F2F5"/>
          </w:tcPr>
          <w:p>
            <w:pPr>
              <w:pStyle w:val="Compact"/>
              <w:spacing w:after="0" w:before="0" w:line="240" w:lineRule="auto"/>
              <w:jc w:val="right"/>
            </w:pPr>
            <w:r>
              <w:rPr>
                <w:rFonts w:ascii="Arial" w:hAnsi="Arial"/>
                <w:sz w:val="15"/>
              </w:rPr>
              <w:t xml:space="preserve">4.4% (FY25)</w:t>
            </w:r>
          </w:p>
        </w:tc>
        <w:tc>
          <w:tcPr>
            <w:tcW w:type="dxa" w:w="2397"/>
            <w:shd w:val="clear" w:color="auto" w:fill="F1F2F5"/>
          </w:tcPr>
          <w:p>
            <w:pPr>
              <w:pStyle w:val="Compact"/>
              <w:spacing w:after="0" w:before="0" w:line="240" w:lineRule="auto"/>
              <w:jc w:val="left"/>
            </w:pPr>
            <w:r>
              <w:rPr>
                <w:rFonts w:ascii="Arial" w:hAnsi="Arial"/>
                <w:sz w:val="15"/>
              </w:rPr>
              <w:t xml:space="preserve">Value-up plan; KRW180bn of buybacks cancelled; ERP; Paju 200MW (~KRW2tn); PAGO</w:t>
            </w:r>
          </w:p>
        </w:tc>
        <w:tc>
          <w:tcPr>
            <w:tcW w:type="dxa" w:w="2705"/>
            <w:shd w:val="clear" w:color="auto" w:fill="F1F2F5"/>
          </w:tcPr>
          <w:p>
            <w:pPr>
              <w:pStyle w:val="Compact"/>
              <w:spacing w:after="0" w:before="0" w:line="240" w:lineRule="auto"/>
              <w:jc w:val="left"/>
            </w:pPr>
            <w:r>
              <w:rPr>
                <w:rFonts w:ascii="Arial" w:hAnsi="Arial"/>
                <w:sz w:val="15"/>
              </w:rPr>
              <w:t xml:space="preserve">Disciplined on returns and costs;</w:t>
            </w:r>
            <w:r>
              <w:rPr>
                <w:rFonts w:ascii="Arial" w:hAnsi="Arial"/>
                <w:sz w:val="15"/>
              </w:rPr>
              <w:t xml:space="preserve"> </w:t>
            </w:r>
            <w:r>
              <w:rPr>
                <w:bCs/>
                <w:rFonts w:ascii="Arial" w:hAnsi="Arial"/>
                <w:b/>
                <w:sz w:val="15"/>
              </w:rPr>
              <w:t xml:space="preserve">the AIDC bet is the defining call</w:t>
            </w:r>
          </w:p>
        </w:tc>
      </w:tr>
    </w:tbl>
    <w:p>
      <w:pPr>
        <w:pStyle w:val="BodyText"/>
      </w:pPr>
      <w:r>
        <w:rPr>
          <w:iCs/>
          <w:i/>
        </w:rPr>
        <w:t xml:space="preserve">ROE = net income ÷ average common equity; ROIC = OP × (1 − tax) ÷ average (equity + debt − cash), on S&amp;P data [e].</w:t>
      </w:r>
    </w:p>
    <w:bookmarkEnd w:id="101"/>
    <w:bookmarkStart w:id="102" w:name="red-flags"/>
    <w:p>
      <w:pPr>
        <w:pStyle w:val="Heading2"/>
      </w:pPr>
      <w:r>
        <w:t xml:space="preserve">Red flags</w:t>
      </w:r>
    </w:p>
    <w:p>
      <w:pPr>
        <w:numPr>
          <w:ilvl w:val="0"/>
          <w:numId w:val="1035"/>
        </w:numPr>
        <w:pStyle w:val="Compact"/>
      </w:pPr>
      <w:r>
        <w:rPr>
          <w:bCs/>
          <w:b/>
        </w:rPr>
        <w:t xml:space="preserve">Security governance.</w:t>
      </w:r>
    </w:p>
    <w:p>
      <w:pPr>
        <w:numPr>
          <w:ilvl w:val="1"/>
          <w:numId w:val="1036"/>
        </w:numPr>
        <w:pStyle w:val="Compact"/>
      </w:pPr>
      <w:r>
        <w:t xml:space="preserve">Two breaches in three years.</w:t>
      </w:r>
    </w:p>
    <w:p>
      <w:pPr>
        <w:numPr>
          <w:ilvl w:val="1"/>
          <w:numId w:val="1036"/>
        </w:numPr>
        <w:pStyle w:val="Compact"/>
      </w:pPr>
      <w:r>
        <w:t xml:space="preserve">In 2025 affected servers were reformatted or discarded before the government probe, which led to a referral to police for obstruction (Dec-2025 / Jul-2026). Police raided the integrated control centre (mid-2026 [u]).</w:t>
      </w:r>
    </w:p>
    <w:p>
      <w:pPr>
        <w:numPr>
          <w:ilvl w:val="1"/>
          <w:numId w:val="1036"/>
        </w:numPr>
        <w:pStyle w:val="Compact"/>
      </w:pPr>
      <w:r>
        <w:t xml:space="preserve">The same CTO remains in post.</w:t>
      </w:r>
    </w:p>
    <w:p>
      <w:pPr>
        <w:numPr>
          <w:ilvl w:val="0"/>
          <w:numId w:val="1035"/>
        </w:numPr>
        <w:pStyle w:val="Compact"/>
      </w:pPr>
      <w:r>
        <w:rPr>
          <w:bCs/>
          <w:b/>
        </w:rPr>
        <w:t xml:space="preserve">Mid-term CEO removal by the parent</w:t>
      </w:r>
      <w:r>
        <w:t xml:space="preserve"> </w:t>
      </w:r>
      <w:r>
        <w:t xml:space="preserve">(Hwang, Nov-2024) and a KRW4.45bn retirement payout. The CEO is effectively selected in LG Corp’s year-end reshuffle.</w:t>
      </w:r>
    </w:p>
    <w:p>
      <w:pPr>
        <w:numPr>
          <w:ilvl w:val="0"/>
          <w:numId w:val="1035"/>
        </w:numPr>
        <w:pStyle w:val="Compact"/>
      </w:pPr>
      <w:r>
        <w:rPr>
          <w:bCs/>
          <w:b/>
        </w:rPr>
        <w:t xml:space="preserve">Strategy pivots with each CEO:</w:t>
      </w:r>
      <w:r>
        <w:t xml:space="preserve"> </w:t>
      </w:r>
      <w:r>
        <w:t xml:space="preserve">“</w:t>
      </w:r>
      <w:r>
        <w:t xml:space="preserve">5G leader</w:t>
      </w:r>
      <w:r>
        <w:t xml:space="preserve">”</w:t>
      </w:r>
      <w:r>
        <w:t xml:space="preserve"> </w:t>
      </w:r>
      <w:r>
        <w:t xml:space="preserve">(Ha) →</w:t>
      </w:r>
      <w:r>
        <w:t xml:space="preserve"> </w:t>
      </w:r>
      <w:r>
        <w:t xml:space="preserve">“</w:t>
      </w:r>
      <w:r>
        <w:t xml:space="preserve">U+3.0 platform company</w:t>
      </w:r>
      <w:r>
        <w:t xml:space="preserve">”</w:t>
      </w:r>
      <w:r>
        <w:t xml:space="preserve"> </w:t>
      </w:r>
      <w:r>
        <w:t xml:space="preserve">(Hwang) →</w:t>
      </w:r>
      <w:r>
        <w:t xml:space="preserve"> </w:t>
      </w:r>
      <w:r>
        <w:t xml:space="preserve">“</w:t>
      </w:r>
      <w:r>
        <w:t xml:space="preserve">AX company</w:t>
      </w:r>
      <w:r>
        <w:t xml:space="preserve">”</w:t>
      </w:r>
      <w:r>
        <w:t xml:space="preserve"> </w:t>
      </w:r>
      <w:r>
        <w:t xml:space="preserve">(Hong). Core ROE has not improved through any of them. The</w:t>
      </w:r>
      <w:r>
        <w:t xml:space="preserve"> </w:t>
      </w:r>
      <w:r>
        <w:t xml:space="preserve">“</w:t>
      </w:r>
      <w:r>
        <w:t xml:space="preserve">AI</w:t>
      </w:r>
      <w:r>
        <w:t xml:space="preserve">”</w:t>
      </w:r>
      <w:r>
        <w:t xml:space="preserve"> </w:t>
      </w:r>
      <w:r>
        <w:t xml:space="preserve">rebranding has some promotional character, although AIDC revenue is real.</w:t>
      </w:r>
    </w:p>
    <w:p>
      <w:pPr>
        <w:numPr>
          <w:ilvl w:val="0"/>
          <w:numId w:val="1035"/>
        </w:numPr>
        <w:pStyle w:val="Compact"/>
      </w:pPr>
      <w:r>
        <w:rPr>
          <w:bCs/>
          <w:b/>
        </w:rPr>
        <w:t xml:space="preserve">Related-party spending.</w:t>
      </w:r>
    </w:p>
    <w:p>
      <w:pPr>
        <w:numPr>
          <w:ilvl w:val="1"/>
          <w:numId w:val="1037"/>
        </w:numPr>
        <w:pStyle w:val="Compact"/>
      </w:pPr>
      <w:r>
        <w:t xml:space="preserve">LG CNS received ~KRW501bn in 2024 (~3.4% of revenue) [u].</w:t>
      </w:r>
    </w:p>
    <w:p>
      <w:pPr>
        <w:numPr>
          <w:ilvl w:val="1"/>
          <w:numId w:val="1037"/>
        </w:numPr>
        <w:pStyle w:val="Compact"/>
      </w:pPr>
      <w:r>
        <w:t xml:space="preserve">Brand royalty to LG Corp (~KRW25–28bn a year [e]).</w:t>
      </w:r>
    </w:p>
    <w:p>
      <w:pPr>
        <w:numPr>
          <w:ilvl w:val="1"/>
          <w:numId w:val="1037"/>
        </w:numPr>
        <w:pStyle w:val="Compact"/>
      </w:pPr>
      <w:r>
        <w:t xml:space="preserve">Paju land bought from LG Display (KRW105bn).</w:t>
      </w:r>
    </w:p>
    <w:p>
      <w:pPr>
        <w:numPr>
          <w:ilvl w:val="1"/>
          <w:numId w:val="1037"/>
        </w:numPr>
        <w:pStyle w:val="Compact"/>
      </w:pPr>
      <w:r>
        <w:t xml:space="preserve">LG CNS also competes with LG Uplus in AIDC design-build.</w:t>
      </w:r>
    </w:p>
    <w:p>
      <w:pPr>
        <w:numPr>
          <w:ilvl w:val="0"/>
          <w:numId w:val="1035"/>
        </w:numPr>
        <w:pStyle w:val="Compact"/>
      </w:pPr>
      <w:r>
        <w:rPr>
          <w:bCs/>
          <w:b/>
        </w:rPr>
        <w:t xml:space="preserve">Compensation and ownership.</w:t>
      </w:r>
      <w:r>
        <w:t xml:space="preserve"> </w:t>
      </w:r>
      <w:r>
        <w:t xml:space="preserve">Pay is cash-only, with no equity-linked pay disclosed and negligible insider ownership (&lt;0.02% combined). Alignment with minorities comes from the value-up policy, not from incentives.</w:t>
      </w:r>
    </w:p>
    <w:p>
      <w:pPr>
        <w:numPr>
          <w:ilvl w:val="0"/>
          <w:numId w:val="1035"/>
        </w:numPr>
        <w:pStyle w:val="Compact"/>
      </w:pPr>
      <w:r>
        <w:rPr>
          <w:bCs/>
          <w:b/>
        </w:rPr>
        <w:t xml:space="preserve">Internal controls.</w:t>
      </w:r>
      <w:r>
        <w:t xml:space="preserve"> </w:t>
      </w:r>
      <w:r>
        <w:t xml:space="preserve">In 2022 a team leader embezzled</w:t>
      </w:r>
      <w:r>
        <w:t xml:space="preserve"> </w:t>
      </w:r>
      <w:r>
        <w:t xml:space="preserve">“</w:t>
      </w:r>
      <w:r>
        <w:t xml:space="preserve">tens of billions of KRW</w:t>
      </w:r>
      <w:r>
        <w:t xml:space="preserve">”</w:t>
      </w:r>
      <w:r>
        <w:t xml:space="preserve"> </w:t>
      </w:r>
      <w:r>
        <w:t xml:space="preserve">through fake multi-line dealer contracts [u].</w:t>
      </w:r>
    </w:p>
    <w:p>
      <w:pPr>
        <w:pStyle w:val="FirstParagraph"/>
      </w:pPr>
      <w:r>
        <w:rPr>
          <w:bCs/>
          <w:b/>
        </w:rPr>
        <w:t xml:space="preserve">Archetype: professional chaebol managers, not founders.</w:t>
      </w:r>
      <w:r>
        <w:t xml:space="preserve"> </w:t>
      </w:r>
      <w:r>
        <w:t xml:space="preserve">All recent CEOs have been LG Group professional managers rotated by the parent; two of the last three came straight from LG Corp’s strategy office. For a mature, regulated utility this is appropriate. The CEO is credible with the holding company and executes group priorities, including value-up and AI. The trade-off is that strategic choices that would hurt LG Group interests are unlikely: selling LGHV to a rival, cutting LG CNS spend, or selling the AIDC to outsiders. That is where an outside shareholder could add value.</w:t>
      </w:r>
    </w:p>
    <w:p>
      <w:pPr>
        <w:pStyle w:val="BodyText"/>
      </w:pPr>
      <w:r>
        <w:rPr>
          <w:bCs/>
          <w:b/>
        </w:rPr>
        <w:t xml:space="preserve">Recent senior-management changes.</w:t>
      </w:r>
    </w:p>
    <w:p>
      <w:pPr>
        <w:numPr>
          <w:ilvl w:val="0"/>
          <w:numId w:val="1038"/>
        </w:numPr>
        <w:pStyle w:val="Compact"/>
      </w:pPr>
      <w:r>
        <w:t xml:space="preserve">21-Nov-2024: Hong replaced Hwang; LG Uplus was the only LG affiliate to change CEO that year.</w:t>
      </w:r>
    </w:p>
    <w:p>
      <w:pPr>
        <w:numPr>
          <w:ilvl w:val="0"/>
          <w:numId w:val="1038"/>
        </w:numPr>
        <w:pStyle w:val="Compact"/>
      </w:pPr>
      <w:r>
        <w:t xml:space="preserve">25-Mar-2025: Hong became representative director.</w:t>
      </w:r>
    </w:p>
    <w:p>
      <w:pPr>
        <w:numPr>
          <w:ilvl w:val="0"/>
          <w:numId w:val="1038"/>
        </w:numPr>
        <w:pStyle w:val="Compact"/>
      </w:pPr>
      <w:r>
        <w:t xml:space="preserve">27-Nov-2025: Hong retained; Kwon Yong-hyun, Yang Hyo-seok and Yeo Myung-hee promoted to EVP.</w:t>
      </w:r>
    </w:p>
    <w:p>
      <w:pPr>
        <w:numPr>
          <w:ilvl w:val="0"/>
          <w:numId w:val="1038"/>
        </w:numPr>
        <w:pStyle w:val="Compact"/>
      </w:pPr>
      <w:r>
        <w:t xml:space="preserve">1-Dec-2025: reorganisation; strategy and AX now report directly to the CEO, and network became a standalone growth axis.</w:t>
      </w:r>
    </w:p>
    <w:p>
      <w:pPr>
        <w:numPr>
          <w:ilvl w:val="0"/>
          <w:numId w:val="1038"/>
        </w:numPr>
        <w:pStyle w:val="Compact"/>
      </w:pPr>
      <w:r>
        <w:t xml:space="preserve">The next LG Group reshuffle (late Nov-2026) will decide Hong’s continuity. We expect him to stay [e].</w:t>
      </w:r>
    </w:p>
    <w:bookmarkEnd w:id="102"/>
    <w:bookmarkEnd w:id="103"/>
    <w:bookmarkStart w:id="104" w:name="board-of-directors"/>
    <w:p>
      <w:pPr>
        <w:pStyle w:val="Heading1"/>
      </w:pPr>
      <w:r>
        <w:t xml:space="preserve">Board of directors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1119"/>
        <w:gridCol w:w="1988"/>
        <w:gridCol w:w="1902"/>
        <w:gridCol w:w="1164"/>
        <w:gridCol w:w="1977"/>
        <w:gridCol w:w="1825"/>
      </w:tblGrid>
      <w:tr>
        <w:trPr>
          <w:tblHeader w:val="true"/>
          <w:tblHeader w:val="true"/>
          <w:cantSplit/>
        </w:trPr>
        <w:tc>
          <w:tcPr>
            <w:tcW w:type="dxa" w:w="1120"/>
            <w:shd w:val="clear" w:color="auto" w:fill="13213F"/>
          </w:tcPr>
          <w:p>
            <w:pPr>
              <w:pStyle w:val="Compact"/>
              <w:spacing w:after="0" w:before="0" w:line="240" w:lineRule="auto"/>
              <w:jc w:val="left"/>
            </w:pPr>
            <w:r>
              <w:rPr>
                <w:rFonts w:ascii="Arial" w:hAnsi="Arial"/>
                <w:b/>
                <w:color w:val="FFFFFF"/>
                <w:sz w:val="15"/>
              </w:rPr>
              <w:t xml:space="preserve">Director</w:t>
            </w:r>
          </w:p>
        </w:tc>
        <w:tc>
          <w:tcPr>
            <w:tcW w:type="dxa" w:w="1988"/>
            <w:shd w:val="clear" w:color="auto" w:fill="13213F"/>
          </w:tcPr>
          <w:p>
            <w:pPr>
              <w:pStyle w:val="Compact"/>
              <w:spacing w:after="0" w:before="0" w:line="240" w:lineRule="auto"/>
              <w:jc w:val="left"/>
            </w:pPr>
            <w:r>
              <w:rPr>
                <w:rFonts w:ascii="Arial" w:hAnsi="Arial"/>
                <w:b/>
                <w:color w:val="FFFFFF"/>
                <w:sz w:val="15"/>
              </w:rPr>
              <w:t xml:space="preserve">Category</w:t>
            </w:r>
          </w:p>
        </w:tc>
        <w:tc>
          <w:tcPr>
            <w:tcW w:type="dxa" w:w="1903"/>
            <w:shd w:val="clear" w:color="auto" w:fill="13213F"/>
          </w:tcPr>
          <w:p>
            <w:pPr>
              <w:pStyle w:val="Compact"/>
              <w:spacing w:after="0" w:before="0" w:line="240" w:lineRule="auto"/>
              <w:jc w:val="left"/>
            </w:pPr>
            <w:r>
              <w:rPr>
                <w:rFonts w:ascii="Arial" w:hAnsi="Arial"/>
                <w:b/>
                <w:color w:val="FFFFFF"/>
                <w:sz w:val="15"/>
              </w:rPr>
              <w:t xml:space="preserve">First appointed</w:t>
            </w:r>
          </w:p>
        </w:tc>
        <w:tc>
          <w:tcPr>
            <w:tcW w:type="dxa" w:w="1165"/>
            <w:shd w:val="clear" w:color="auto" w:fill="13213F"/>
          </w:tcPr>
          <w:p>
            <w:pPr>
              <w:pStyle w:val="Compact"/>
              <w:spacing w:after="0" w:before="0" w:line="240" w:lineRule="auto"/>
              <w:jc w:val="left"/>
            </w:pPr>
            <w:r>
              <w:rPr>
                <w:rFonts w:ascii="Arial" w:hAnsi="Arial"/>
                <w:b/>
                <w:color w:val="FFFFFF"/>
                <w:sz w:val="15"/>
              </w:rPr>
              <w:t xml:space="preserve">Term to (est.)</w:t>
            </w:r>
          </w:p>
        </w:tc>
        <w:tc>
          <w:tcPr>
            <w:tcW w:type="dxa" w:w="1977"/>
            <w:shd w:val="clear" w:color="auto" w:fill="13213F"/>
          </w:tcPr>
          <w:p>
            <w:pPr>
              <w:pStyle w:val="Compact"/>
              <w:spacing w:after="0" w:before="0" w:line="240" w:lineRule="auto"/>
              <w:jc w:val="left"/>
            </w:pPr>
            <w:r>
              <w:rPr>
                <w:rFonts w:ascii="Arial" w:hAnsi="Arial"/>
                <w:b/>
                <w:color w:val="FFFFFF"/>
                <w:sz w:val="15"/>
              </w:rPr>
              <w:t xml:space="preserve">Professional background</w:t>
            </w:r>
          </w:p>
        </w:tc>
        <w:tc>
          <w:tcPr>
            <w:tcW w:type="dxa" w:w="1825"/>
            <w:shd w:val="clear" w:color="auto" w:fill="13213F"/>
          </w:tcPr>
          <w:p>
            <w:pPr>
              <w:pStyle w:val="Compact"/>
              <w:spacing w:after="0" w:before="0" w:line="240" w:lineRule="auto"/>
              <w:jc w:val="left"/>
            </w:pPr>
            <w:r>
              <w:rPr>
                <w:rFonts w:ascii="Arial" w:hAnsi="Arial"/>
                <w:b/>
                <w:color w:val="FFFFFF"/>
                <w:sz w:val="15"/>
              </w:rPr>
              <w:t xml:space="preserve">Other affiliations / committees</w:t>
            </w:r>
          </w:p>
        </w:tc>
      </w:tr>
      <w:tr>
        <w:trPr>
          <w:cantSplit/>
        </w:trPr>
        <w:tc>
          <w:tcPr>
            <w:tcW w:type="dxa" w:w="1120"/>
          </w:tcPr>
          <w:p>
            <w:pPr>
              <w:pStyle w:val="Compact"/>
              <w:spacing w:after="0" w:before="0" w:line="240" w:lineRule="auto"/>
              <w:jc w:val="left"/>
            </w:pPr>
            <w:r>
              <w:rPr>
                <w:rFonts w:ascii="Arial" w:hAnsi="Arial"/>
                <w:sz w:val="15"/>
              </w:rPr>
              <w:t xml:space="preserve">Hong Bum-shik</w:t>
            </w:r>
          </w:p>
        </w:tc>
        <w:tc>
          <w:tcPr>
            <w:tcW w:type="dxa" w:w="1988"/>
          </w:tcPr>
          <w:p>
            <w:pPr>
              <w:pStyle w:val="Compact"/>
              <w:spacing w:after="0" w:before="0" w:line="240" w:lineRule="auto"/>
              <w:jc w:val="left"/>
            </w:pPr>
            <w:r>
              <w:rPr>
                <w:rFonts w:ascii="Arial" w:hAnsi="Arial"/>
                <w:sz w:val="15"/>
              </w:rPr>
              <w:t xml:space="preserve">Inside (CEO)</w:t>
            </w:r>
          </w:p>
        </w:tc>
        <w:tc>
          <w:tcPr>
            <w:tcW w:type="dxa" w:w="1903"/>
          </w:tcPr>
          <w:p>
            <w:pPr>
              <w:pStyle w:val="Compact"/>
              <w:spacing w:after="0" w:before="0" w:line="240" w:lineRule="auto"/>
              <w:jc w:val="left"/>
            </w:pPr>
            <w:r>
              <w:rPr>
                <w:rFonts w:ascii="Arial" w:hAnsi="Arial"/>
                <w:sz w:val="15"/>
              </w:rPr>
              <w:t xml:space="preserve">Mar-2022 (as non-executive); inside from Mar-2025</w:t>
            </w:r>
          </w:p>
        </w:tc>
        <w:tc>
          <w:tcPr>
            <w:tcW w:type="dxa" w:w="1165"/>
          </w:tcPr>
          <w:p>
            <w:pPr>
              <w:pStyle w:val="Compact"/>
              <w:spacing w:after="0" w:before="0" w:line="240" w:lineRule="auto"/>
              <w:jc w:val="left"/>
            </w:pPr>
            <w:r>
              <w:rPr>
                <w:rFonts w:ascii="Arial" w:hAnsi="Arial"/>
                <w:sz w:val="15"/>
              </w:rPr>
              <w:t xml:space="preserve">~Mar-2028</w:t>
            </w:r>
          </w:p>
        </w:tc>
        <w:tc>
          <w:tcPr>
            <w:tcW w:type="dxa" w:w="1977"/>
          </w:tcPr>
          <w:p>
            <w:pPr>
              <w:pStyle w:val="Compact"/>
              <w:spacing w:after="0" w:before="0" w:line="240" w:lineRule="auto"/>
              <w:jc w:val="left"/>
            </w:pPr>
            <w:r>
              <w:rPr>
                <w:rFonts w:ascii="Arial" w:hAnsi="Arial"/>
                <w:sz w:val="15"/>
              </w:rPr>
              <w:t xml:space="preserve">SK Telecom, Bain &amp; Co., LG Corp strategy head</w:t>
            </w:r>
          </w:p>
        </w:tc>
        <w:tc>
          <w:tcPr>
            <w:tcW w:type="dxa" w:w="1825"/>
          </w:tcPr>
          <w:p>
            <w:pPr>
              <w:pStyle w:val="Compact"/>
              <w:spacing w:after="0" w:before="0" w:line="240" w:lineRule="auto"/>
              <w:jc w:val="left"/>
            </w:pPr>
            <w:r>
              <w:rPr>
                <w:rFonts w:ascii="Arial" w:hAnsi="Arial"/>
                <w:sz w:val="15"/>
              </w:rPr>
              <w:t xml:space="preserve">Finance and nominating committees [u]; ex-director at LG HelloVision and LG CNS</w:t>
            </w:r>
          </w:p>
        </w:tc>
      </w:tr>
      <w:tr>
        <w:trPr>
          <w:cantSplit/>
        </w:trPr>
        <w:tc>
          <w:tcPr>
            <w:tcW w:type="dxa" w:w="1120"/>
            <w:shd w:val="clear" w:color="auto" w:fill="F1F2F5"/>
          </w:tcPr>
          <w:p>
            <w:pPr>
              <w:pStyle w:val="Compact"/>
              <w:spacing w:after="0" w:before="0" w:line="240" w:lineRule="auto"/>
              <w:jc w:val="left"/>
            </w:pPr>
            <w:r>
              <w:rPr>
                <w:rFonts w:ascii="Arial" w:hAnsi="Arial"/>
                <w:sz w:val="15"/>
              </w:rPr>
              <w:t xml:space="preserve">Yeo Myung-hee</w:t>
            </w:r>
          </w:p>
        </w:tc>
        <w:tc>
          <w:tcPr>
            <w:tcW w:type="dxa" w:w="1988"/>
            <w:shd w:val="clear" w:color="auto" w:fill="F1F2F5"/>
          </w:tcPr>
          <w:p>
            <w:pPr>
              <w:pStyle w:val="Compact"/>
              <w:spacing w:after="0" w:before="0" w:line="240" w:lineRule="auto"/>
              <w:jc w:val="left"/>
            </w:pPr>
            <w:r>
              <w:rPr>
                <w:rFonts w:ascii="Arial" w:hAnsi="Arial"/>
                <w:sz w:val="15"/>
              </w:rPr>
              <w:t xml:space="preserve">Inside (CFO/CRO)</w:t>
            </w:r>
          </w:p>
        </w:tc>
        <w:tc>
          <w:tcPr>
            <w:tcW w:type="dxa" w:w="1903"/>
            <w:shd w:val="clear" w:color="auto" w:fill="F1F2F5"/>
          </w:tcPr>
          <w:p>
            <w:pPr>
              <w:pStyle w:val="Compact"/>
              <w:spacing w:after="0" w:before="0" w:line="240" w:lineRule="auto"/>
              <w:jc w:val="left"/>
            </w:pPr>
            <w:r>
              <w:rPr>
                <w:rFonts w:ascii="Arial" w:hAnsi="Arial"/>
                <w:sz w:val="15"/>
              </w:rPr>
              <w:t xml:space="preserve">Mar-2023; re-elected Mar-2026</w:t>
            </w:r>
          </w:p>
        </w:tc>
        <w:tc>
          <w:tcPr>
            <w:tcW w:type="dxa" w:w="1165"/>
            <w:shd w:val="clear" w:color="auto" w:fill="F1F2F5"/>
          </w:tcPr>
          <w:p>
            <w:pPr>
              <w:pStyle w:val="Compact"/>
              <w:spacing w:after="0" w:before="0" w:line="240" w:lineRule="auto"/>
              <w:jc w:val="left"/>
            </w:pPr>
            <w:r>
              <w:rPr>
                <w:rFonts w:ascii="Arial" w:hAnsi="Arial"/>
                <w:sz w:val="15"/>
              </w:rPr>
              <w:t xml:space="preserve">~Mar-2029</w:t>
            </w:r>
          </w:p>
        </w:tc>
        <w:tc>
          <w:tcPr>
            <w:tcW w:type="dxa" w:w="1977"/>
            <w:shd w:val="clear" w:color="auto" w:fill="F1F2F5"/>
          </w:tcPr>
          <w:p>
            <w:pPr>
              <w:pStyle w:val="Compact"/>
              <w:spacing w:after="0" w:before="0" w:line="240" w:lineRule="auto"/>
              <w:jc w:val="left"/>
            </w:pPr>
            <w:r>
              <w:rPr>
                <w:rFonts w:ascii="Arial" w:hAnsi="Arial"/>
                <w:sz w:val="15"/>
              </w:rPr>
              <w:t xml:space="preserve">LG Uplus finance career</w:t>
            </w:r>
          </w:p>
        </w:tc>
        <w:tc>
          <w:tcPr>
            <w:tcW w:type="dxa" w:w="1825"/>
            <w:shd w:val="clear" w:color="auto" w:fill="F1F2F5"/>
          </w:tcPr>
          <w:p>
            <w:pPr>
              <w:pStyle w:val="Compact"/>
              <w:spacing w:after="0" w:before="0" w:line="240" w:lineRule="auto"/>
              <w:jc w:val="left"/>
            </w:pPr>
            <w:r>
              <w:rPr>
                <w:rFonts w:ascii="Arial" w:hAnsi="Arial"/>
                <w:sz w:val="15"/>
              </w:rPr>
              <w:t xml:space="preserve">Finance committee [u]</w:t>
            </w:r>
          </w:p>
        </w:tc>
      </w:tr>
      <w:tr>
        <w:trPr>
          <w:cantSplit/>
        </w:trPr>
        <w:tc>
          <w:tcPr>
            <w:tcW w:type="dxa" w:w="1120"/>
          </w:tcPr>
          <w:p>
            <w:pPr>
              <w:pStyle w:val="Compact"/>
              <w:spacing w:after="0" w:before="0" w:line="240" w:lineRule="auto"/>
              <w:jc w:val="left"/>
            </w:pPr>
            <w:r>
              <w:rPr>
                <w:rFonts w:ascii="Arial" w:hAnsi="Arial"/>
                <w:sz w:val="15"/>
              </w:rPr>
              <w:t xml:space="preserve">Lee Sang-woo</w:t>
            </w:r>
          </w:p>
        </w:tc>
        <w:tc>
          <w:tcPr>
            <w:tcW w:type="dxa" w:w="1988"/>
          </w:tcPr>
          <w:p>
            <w:pPr>
              <w:pStyle w:val="Compact"/>
              <w:spacing w:after="0" w:before="0" w:line="240" w:lineRule="auto"/>
              <w:jc w:val="left"/>
            </w:pPr>
            <w:r>
              <w:rPr>
                <w:rFonts w:ascii="Arial" w:hAnsi="Arial"/>
                <w:sz w:val="15"/>
              </w:rPr>
              <w:t xml:space="preserve">Non-executive (represents LG Corp)</w:t>
            </w:r>
          </w:p>
        </w:tc>
        <w:tc>
          <w:tcPr>
            <w:tcW w:type="dxa" w:w="1903"/>
          </w:tcPr>
          <w:p>
            <w:pPr>
              <w:pStyle w:val="Compact"/>
              <w:spacing w:after="0" w:before="0" w:line="240" w:lineRule="auto"/>
              <w:jc w:val="left"/>
            </w:pPr>
            <w:r>
              <w:rPr>
                <w:rFonts w:ascii="Arial" w:hAnsi="Arial"/>
                <w:sz w:val="15"/>
              </w:rPr>
              <w:t xml:space="preserve">Mar-2026</w:t>
            </w:r>
          </w:p>
        </w:tc>
        <w:tc>
          <w:tcPr>
            <w:tcW w:type="dxa" w:w="1165"/>
          </w:tcPr>
          <w:p>
            <w:pPr>
              <w:pStyle w:val="Compact"/>
              <w:spacing w:after="0" w:before="0" w:line="240" w:lineRule="auto"/>
              <w:jc w:val="left"/>
            </w:pPr>
            <w:r>
              <w:rPr>
                <w:rFonts w:ascii="Arial" w:hAnsi="Arial"/>
                <w:sz w:val="15"/>
              </w:rPr>
              <w:t xml:space="preserve">~Mar-2029</w:t>
            </w:r>
          </w:p>
        </w:tc>
        <w:tc>
          <w:tcPr>
            <w:tcW w:type="dxa" w:w="1977"/>
          </w:tcPr>
          <w:p>
            <w:pPr>
              <w:pStyle w:val="Compact"/>
              <w:spacing w:after="0" w:before="0" w:line="240" w:lineRule="auto"/>
              <w:jc w:val="left"/>
            </w:pPr>
            <w:r>
              <w:rPr>
                <w:rFonts w:ascii="Arial" w:hAnsi="Arial"/>
                <w:sz w:val="15"/>
              </w:rPr>
              <w:t xml:space="preserve">EVP and head of LG Corp’s Business Strategy Division</w:t>
            </w:r>
          </w:p>
        </w:tc>
        <w:tc>
          <w:tcPr>
            <w:tcW w:type="dxa" w:w="1825"/>
          </w:tcPr>
          <w:p>
            <w:pPr>
              <w:pStyle w:val="Compact"/>
              <w:spacing w:after="0" w:before="0" w:line="240" w:lineRule="auto"/>
              <w:jc w:val="left"/>
            </w:pPr>
            <w:r>
              <w:rPr>
                <w:rFonts w:ascii="Arial" w:hAnsi="Arial"/>
                <w:sz w:val="15"/>
              </w:rPr>
              <w:t xml:space="preserve">Nominating committee [u]</w:t>
            </w:r>
          </w:p>
        </w:tc>
      </w:tr>
      <w:tr>
        <w:trPr>
          <w:cantSplit/>
        </w:trPr>
        <w:tc>
          <w:tcPr>
            <w:tcW w:type="dxa" w:w="1120"/>
            <w:shd w:val="clear" w:color="auto" w:fill="F1F2F5"/>
          </w:tcPr>
          <w:p>
            <w:pPr>
              <w:pStyle w:val="Compact"/>
              <w:spacing w:after="0" w:before="0" w:line="240" w:lineRule="auto"/>
              <w:jc w:val="left"/>
            </w:pPr>
            <w:r>
              <w:rPr>
                <w:bCs/>
                <w:rFonts w:ascii="Arial" w:hAnsi="Arial"/>
                <w:b/>
                <w:sz w:val="15"/>
              </w:rPr>
              <w:t xml:space="preserve">Nam Hyung-doo</w:t>
            </w:r>
          </w:p>
        </w:tc>
        <w:tc>
          <w:tcPr>
            <w:tcW w:type="dxa" w:w="1988"/>
            <w:shd w:val="clear" w:color="auto" w:fill="F1F2F5"/>
          </w:tcPr>
          <w:p>
            <w:pPr>
              <w:pStyle w:val="Compact"/>
              <w:spacing w:after="0" w:before="0" w:line="240" w:lineRule="auto"/>
              <w:jc w:val="left"/>
            </w:pPr>
            <w:r>
              <w:rPr>
                <w:rFonts w:ascii="Arial" w:hAnsi="Arial"/>
                <w:sz w:val="15"/>
              </w:rPr>
              <w:t xml:space="preserve">Independent;</w:t>
            </w:r>
            <w:r>
              <w:rPr>
                <w:rFonts w:ascii="Arial" w:hAnsi="Arial"/>
                <w:sz w:val="15"/>
              </w:rPr>
              <w:t xml:space="preserve"> </w:t>
            </w:r>
            <w:r>
              <w:rPr>
                <w:bCs/>
                <w:rFonts w:ascii="Arial" w:hAnsi="Arial"/>
                <w:b/>
                <w:sz w:val="15"/>
              </w:rPr>
              <w:t xml:space="preserve">board chair since 24-Mar-2026</w:t>
            </w:r>
            <w:r>
              <w:rPr>
                <w:rFonts w:ascii="Arial" w:hAnsi="Arial"/>
                <w:sz w:val="15"/>
              </w:rPr>
              <w:t xml:space="preserve"> </w:t>
            </w:r>
            <w:r>
              <w:rPr>
                <w:rFonts w:ascii="Arial" w:hAnsi="Arial"/>
                <w:sz w:val="15"/>
              </w:rPr>
              <w:t xml:space="preserve">(first independent chair)</w:t>
            </w:r>
          </w:p>
        </w:tc>
        <w:tc>
          <w:tcPr>
            <w:tcW w:type="dxa" w:w="1903"/>
            <w:shd w:val="clear" w:color="auto" w:fill="F1F2F5"/>
          </w:tcPr>
          <w:p>
            <w:pPr>
              <w:pStyle w:val="Compact"/>
              <w:spacing w:after="0" w:before="0" w:line="240" w:lineRule="auto"/>
              <w:jc w:val="left"/>
            </w:pPr>
            <w:r>
              <w:rPr>
                <w:rFonts w:ascii="Arial" w:hAnsi="Arial"/>
                <w:sz w:val="15"/>
              </w:rPr>
              <w:t xml:space="preserve">Mar-2022; re-elected Mar-2025</w:t>
            </w:r>
          </w:p>
        </w:tc>
        <w:tc>
          <w:tcPr>
            <w:tcW w:type="dxa" w:w="1165"/>
            <w:shd w:val="clear" w:color="auto" w:fill="F1F2F5"/>
          </w:tcPr>
          <w:p>
            <w:pPr>
              <w:pStyle w:val="Compact"/>
              <w:spacing w:after="0" w:before="0" w:line="240" w:lineRule="auto"/>
              <w:jc w:val="left"/>
            </w:pPr>
            <w:r>
              <w:rPr>
                <w:rFonts w:ascii="Arial" w:hAnsi="Arial"/>
                <w:sz w:val="15"/>
              </w:rPr>
              <w:t xml:space="preserve">~Mar-2028 (6-year cap)</w:t>
            </w:r>
          </w:p>
        </w:tc>
        <w:tc>
          <w:tcPr>
            <w:tcW w:type="dxa" w:w="1977"/>
            <w:shd w:val="clear" w:color="auto" w:fill="F1F2F5"/>
          </w:tcPr>
          <w:p>
            <w:pPr>
              <w:pStyle w:val="Compact"/>
              <w:spacing w:after="0" w:before="0" w:line="240" w:lineRule="auto"/>
              <w:jc w:val="left"/>
            </w:pPr>
            <w:r>
              <w:rPr>
                <w:rFonts w:ascii="Arial" w:hAnsi="Arial"/>
                <w:sz w:val="15"/>
              </w:rPr>
              <w:t xml:space="preserve">Professor, Yonsei Law School (copyright, IP, content law)</w:t>
            </w:r>
          </w:p>
        </w:tc>
        <w:tc>
          <w:tcPr>
            <w:tcW w:type="dxa" w:w="1825"/>
            <w:shd w:val="clear" w:color="auto" w:fill="F1F2F5"/>
          </w:tcPr>
          <w:p>
            <w:pPr>
              <w:pStyle w:val="Compact"/>
              <w:spacing w:after="0" w:before="0" w:line="240" w:lineRule="auto"/>
              <w:jc w:val="left"/>
            </w:pPr>
            <w:r>
              <w:rPr>
                <w:rFonts w:ascii="Arial" w:hAnsi="Arial"/>
                <w:sz w:val="15"/>
              </w:rPr>
              <w:t xml:space="preserve">Chair of the Internal Transactions Committee; audit committee</w:t>
            </w:r>
          </w:p>
        </w:tc>
      </w:tr>
      <w:tr>
        <w:trPr>
          <w:cantSplit/>
        </w:trPr>
        <w:tc>
          <w:tcPr>
            <w:tcW w:type="dxa" w:w="1120"/>
          </w:tcPr>
          <w:p>
            <w:pPr>
              <w:pStyle w:val="Compact"/>
              <w:spacing w:after="0" w:before="0" w:line="240" w:lineRule="auto"/>
              <w:jc w:val="left"/>
            </w:pPr>
            <w:r>
              <w:rPr>
                <w:rFonts w:ascii="Arial" w:hAnsi="Arial"/>
                <w:sz w:val="15"/>
              </w:rPr>
              <w:t xml:space="preserve">Eom Yoon-mi</w:t>
            </w:r>
          </w:p>
        </w:tc>
        <w:tc>
          <w:tcPr>
            <w:tcW w:type="dxa" w:w="1988"/>
          </w:tcPr>
          <w:p>
            <w:pPr>
              <w:pStyle w:val="Compact"/>
              <w:spacing w:after="0" w:before="0" w:line="240" w:lineRule="auto"/>
              <w:jc w:val="left"/>
            </w:pPr>
            <w:r>
              <w:rPr>
                <w:rFonts w:ascii="Arial" w:hAnsi="Arial"/>
                <w:sz w:val="15"/>
              </w:rPr>
              <w:t xml:space="preserve">Independent; separately elected audit-committee member</w:t>
            </w:r>
          </w:p>
        </w:tc>
        <w:tc>
          <w:tcPr>
            <w:tcW w:type="dxa" w:w="1903"/>
          </w:tcPr>
          <w:p>
            <w:pPr>
              <w:pStyle w:val="Compact"/>
              <w:spacing w:after="0" w:before="0" w:line="240" w:lineRule="auto"/>
              <w:jc w:val="left"/>
            </w:pPr>
            <w:r>
              <w:rPr>
                <w:rFonts w:ascii="Arial" w:hAnsi="Arial"/>
                <w:sz w:val="15"/>
              </w:rPr>
              <w:t xml:space="preserve">2022 [u]; re-elected Mar-2023 and Mar-2026</w:t>
            </w:r>
          </w:p>
        </w:tc>
        <w:tc>
          <w:tcPr>
            <w:tcW w:type="dxa" w:w="1165"/>
          </w:tcPr>
          <w:p>
            <w:pPr>
              <w:pStyle w:val="Compact"/>
              <w:spacing w:after="0" w:before="0" w:line="240" w:lineRule="auto"/>
              <w:jc w:val="left"/>
            </w:pPr>
            <w:r>
              <w:rPr>
                <w:rFonts w:ascii="Arial" w:hAnsi="Arial"/>
                <w:sz w:val="15"/>
              </w:rPr>
              <w:t xml:space="preserve">~Mar-2029</w:t>
            </w:r>
          </w:p>
        </w:tc>
        <w:tc>
          <w:tcPr>
            <w:tcW w:type="dxa" w:w="1977"/>
          </w:tcPr>
          <w:p>
            <w:pPr>
              <w:pStyle w:val="Compact"/>
              <w:spacing w:after="0" w:before="0" w:line="240" w:lineRule="auto"/>
              <w:jc w:val="left"/>
            </w:pPr>
            <w:r>
              <w:rPr>
                <w:rFonts w:ascii="Arial" w:hAnsi="Arial"/>
                <w:sz w:val="15"/>
              </w:rPr>
              <w:t xml:space="preserve">CSO, Seed Book Culture Foundation; ex-McKinsey; ex-Kakao Impact</w:t>
            </w:r>
          </w:p>
        </w:tc>
        <w:tc>
          <w:tcPr>
            <w:tcW w:type="dxa" w:w="1825"/>
          </w:tcPr>
          <w:p>
            <w:pPr>
              <w:pStyle w:val="Compact"/>
              <w:spacing w:after="0" w:before="0" w:line="240" w:lineRule="auto"/>
              <w:jc w:val="left"/>
            </w:pPr>
            <w:r>
              <w:rPr>
                <w:rFonts w:ascii="Arial" w:hAnsi="Arial"/>
                <w:sz w:val="15"/>
              </w:rPr>
              <w:t xml:space="preserve">Audit committee (ESG)</w:t>
            </w:r>
          </w:p>
        </w:tc>
      </w:tr>
      <w:tr>
        <w:trPr>
          <w:cantSplit/>
        </w:trPr>
        <w:tc>
          <w:tcPr>
            <w:tcW w:type="dxa" w:w="1120"/>
            <w:shd w:val="clear" w:color="auto" w:fill="F1F2F5"/>
          </w:tcPr>
          <w:p>
            <w:pPr>
              <w:pStyle w:val="Compact"/>
              <w:spacing w:after="0" w:before="0" w:line="240" w:lineRule="auto"/>
              <w:jc w:val="left"/>
            </w:pPr>
            <w:r>
              <w:rPr>
                <w:rFonts w:ascii="Arial" w:hAnsi="Arial"/>
                <w:sz w:val="15"/>
              </w:rPr>
              <w:t xml:space="preserve">Kim Jong-woo</w:t>
            </w:r>
          </w:p>
        </w:tc>
        <w:tc>
          <w:tcPr>
            <w:tcW w:type="dxa" w:w="1988"/>
            <w:shd w:val="clear" w:color="auto" w:fill="F1F2F5"/>
          </w:tcPr>
          <w:p>
            <w:pPr>
              <w:pStyle w:val="Compact"/>
              <w:spacing w:after="0" w:before="0" w:line="240" w:lineRule="auto"/>
              <w:jc w:val="left"/>
            </w:pPr>
            <w:r>
              <w:rPr>
                <w:rFonts w:ascii="Arial" w:hAnsi="Arial"/>
                <w:sz w:val="15"/>
              </w:rPr>
              <w:t xml:space="preserve">Independent</w:t>
            </w:r>
          </w:p>
        </w:tc>
        <w:tc>
          <w:tcPr>
            <w:tcW w:type="dxa" w:w="1903"/>
            <w:shd w:val="clear" w:color="auto" w:fill="F1F2F5"/>
          </w:tcPr>
          <w:p>
            <w:pPr>
              <w:pStyle w:val="Compact"/>
              <w:spacing w:after="0" w:before="0" w:line="240" w:lineRule="auto"/>
              <w:jc w:val="left"/>
            </w:pPr>
            <w:r>
              <w:rPr>
                <w:rFonts w:ascii="Arial" w:hAnsi="Arial"/>
                <w:sz w:val="15"/>
              </w:rPr>
              <w:t xml:space="preserve">Mar-2021; re-elected Mar-2024</w:t>
            </w:r>
          </w:p>
        </w:tc>
        <w:tc>
          <w:tcPr>
            <w:tcW w:type="dxa" w:w="1165"/>
            <w:shd w:val="clear" w:color="auto" w:fill="F1F2F5"/>
          </w:tcPr>
          <w:p>
            <w:pPr>
              <w:pStyle w:val="Compact"/>
              <w:spacing w:after="0" w:before="0" w:line="240" w:lineRule="auto"/>
              <w:jc w:val="left"/>
            </w:pPr>
            <w:r>
              <w:rPr>
                <w:rFonts w:ascii="Arial" w:hAnsi="Arial"/>
                <w:sz w:val="15"/>
              </w:rPr>
              <w:t xml:space="preserve">~Mar-2027 (6-year cap)</w:t>
            </w:r>
          </w:p>
        </w:tc>
        <w:tc>
          <w:tcPr>
            <w:tcW w:type="dxa" w:w="1977"/>
            <w:shd w:val="clear" w:color="auto" w:fill="F1F2F5"/>
          </w:tcPr>
          <w:p>
            <w:pPr>
              <w:pStyle w:val="Compact"/>
              <w:spacing w:after="0" w:before="0" w:line="240" w:lineRule="auto"/>
              <w:jc w:val="left"/>
            </w:pPr>
            <w:r>
              <w:rPr>
                <w:rFonts w:ascii="Arial" w:hAnsi="Arial"/>
                <w:sz w:val="15"/>
              </w:rPr>
              <w:t xml:space="preserve">Professor, Hanyang University Business School (data mining, AI)</w:t>
            </w:r>
          </w:p>
        </w:tc>
        <w:tc>
          <w:tcPr>
            <w:tcW w:type="dxa" w:w="1825"/>
            <w:shd w:val="clear" w:color="auto" w:fill="F1F2F5"/>
          </w:tcPr>
          <w:p>
            <w:pPr>
              <w:pStyle w:val="Compact"/>
              <w:spacing w:after="0" w:before="0" w:line="240" w:lineRule="auto"/>
              <w:jc w:val="left"/>
            </w:pPr>
            <w:r>
              <w:rPr>
                <w:rFonts w:ascii="Arial" w:hAnsi="Arial"/>
                <w:sz w:val="15"/>
              </w:rPr>
              <w:t xml:space="preserve">Audit committee</w:t>
            </w:r>
          </w:p>
        </w:tc>
      </w:tr>
      <w:tr>
        <w:trPr>
          <w:cantSplit/>
        </w:trPr>
        <w:tc>
          <w:tcPr>
            <w:tcW w:type="dxa" w:w="1120"/>
          </w:tcPr>
          <w:p>
            <w:pPr>
              <w:pStyle w:val="Compact"/>
              <w:spacing w:after="0" w:before="0" w:line="240" w:lineRule="auto"/>
              <w:jc w:val="left"/>
            </w:pPr>
            <w:r>
              <w:rPr>
                <w:rFonts w:ascii="Arial" w:hAnsi="Arial"/>
                <w:sz w:val="15"/>
              </w:rPr>
              <w:t xml:space="preserve">Song Min-seop</w:t>
            </w:r>
          </w:p>
        </w:tc>
        <w:tc>
          <w:tcPr>
            <w:tcW w:type="dxa" w:w="1988"/>
          </w:tcPr>
          <w:p>
            <w:pPr>
              <w:pStyle w:val="Compact"/>
              <w:spacing w:after="0" w:before="0" w:line="240" w:lineRule="auto"/>
              <w:jc w:val="left"/>
            </w:pPr>
            <w:r>
              <w:rPr>
                <w:rFonts w:ascii="Arial" w:hAnsi="Arial"/>
                <w:sz w:val="15"/>
              </w:rPr>
              <w:t xml:space="preserve">Independent</w:t>
            </w:r>
          </w:p>
        </w:tc>
        <w:tc>
          <w:tcPr>
            <w:tcW w:type="dxa" w:w="1903"/>
          </w:tcPr>
          <w:p>
            <w:pPr>
              <w:pStyle w:val="Compact"/>
              <w:spacing w:after="0" w:before="0" w:line="240" w:lineRule="auto"/>
              <w:jc w:val="left"/>
            </w:pPr>
            <w:r>
              <w:rPr>
                <w:rFonts w:ascii="Arial" w:hAnsi="Arial"/>
                <w:sz w:val="15"/>
              </w:rPr>
              <w:t xml:space="preserve">Mar-2026</w:t>
            </w:r>
          </w:p>
        </w:tc>
        <w:tc>
          <w:tcPr>
            <w:tcW w:type="dxa" w:w="1165"/>
          </w:tcPr>
          <w:p>
            <w:pPr>
              <w:pStyle w:val="Compact"/>
              <w:spacing w:after="0" w:before="0" w:line="240" w:lineRule="auto"/>
              <w:jc w:val="left"/>
            </w:pPr>
            <w:r>
              <w:rPr>
                <w:rFonts w:ascii="Arial" w:hAnsi="Arial"/>
                <w:sz w:val="15"/>
              </w:rPr>
              <w:t xml:space="preserve">~Mar-2029</w:t>
            </w:r>
          </w:p>
        </w:tc>
        <w:tc>
          <w:tcPr>
            <w:tcW w:type="dxa" w:w="1977"/>
          </w:tcPr>
          <w:p>
            <w:pPr>
              <w:pStyle w:val="Compact"/>
              <w:spacing w:after="0" w:before="0" w:line="240" w:lineRule="auto"/>
              <w:jc w:val="left"/>
            </w:pPr>
            <w:r>
              <w:rPr>
                <w:rFonts w:ascii="Arial" w:hAnsi="Arial"/>
                <w:sz w:val="15"/>
              </w:rPr>
              <w:t xml:space="preserve">Professor of accounting, Sogang University; ex-adviser to the Board of Audit and Inspection</w:t>
            </w:r>
          </w:p>
        </w:tc>
        <w:tc>
          <w:tcPr>
            <w:tcW w:type="dxa" w:w="1825"/>
          </w:tcPr>
          <w:p>
            <w:pPr>
              <w:pStyle w:val="Compact"/>
              <w:spacing w:after="0" w:before="0" w:line="240" w:lineRule="auto"/>
              <w:jc w:val="left"/>
            </w:pPr>
            <w:r>
              <w:rPr>
                <w:rFonts w:ascii="Arial" w:hAnsi="Arial"/>
                <w:sz w:val="15"/>
              </w:rPr>
              <w:t xml:space="preserve">Audit committee (accounting expert)</w:t>
            </w:r>
          </w:p>
        </w:tc>
      </w:tr>
    </w:tbl>
    <w:p>
      <w:pPr>
        <w:pStyle w:val="BodyText"/>
      </w:pPr>
      <w:r>
        <w:rPr>
          <w:bCs/>
          <w:b/>
        </w:rPr>
        <w:t xml:space="preserve">Composition.</w:t>
      </w:r>
    </w:p>
    <w:p>
      <w:pPr>
        <w:numPr>
          <w:ilvl w:val="0"/>
          <w:numId w:val="1039"/>
        </w:numPr>
        <w:pStyle w:val="Compact"/>
      </w:pPr>
      <w:r>
        <w:t xml:space="preserve">Seven directors, four independent (57%, the legal minimum majority).</w:t>
      </w:r>
    </w:p>
    <w:p>
      <w:pPr>
        <w:numPr>
          <w:ilvl w:val="0"/>
          <w:numId w:val="1039"/>
        </w:numPr>
        <w:pStyle w:val="Compact"/>
      </w:pPr>
      <w:r>
        <w:t xml:space="preserve">Two women (29%).</w:t>
      </w:r>
    </w:p>
    <w:p>
      <w:pPr>
        <w:numPr>
          <w:ilvl w:val="0"/>
          <w:numId w:val="1039"/>
        </w:numPr>
        <w:pStyle w:val="Compact"/>
      </w:pPr>
      <w:r>
        <w:t xml:space="preserve">Chair and CEO separated since Mar-2026.</w:t>
      </w:r>
    </w:p>
    <w:p>
      <w:pPr>
        <w:numPr>
          <w:ilvl w:val="0"/>
          <w:numId w:val="1039"/>
        </w:numPr>
        <w:pStyle w:val="Compact"/>
      </w:pPr>
      <w:r>
        <w:t xml:space="preserve">The audit committee is all-independent (four members).</w:t>
      </w:r>
    </w:p>
    <w:p>
      <w:pPr>
        <w:numPr>
          <w:ilvl w:val="0"/>
          <w:numId w:val="1039"/>
        </w:numPr>
        <w:pStyle w:val="Compact"/>
      </w:pPr>
      <w:r>
        <w:t xml:space="preserve">Articles amended in Mar-2026: majority independent directors; electronic AGM from 2027; data-centre/DBO business purposes added. The articles also exclude cumulative voting [u], which may become void under the 2025 Commercial Act amendments for large companies [u].</w:t>
      </w:r>
    </w:p>
    <w:p>
      <w:pPr>
        <w:pStyle w:val="FirstParagraph"/>
      </w:pPr>
      <w:r>
        <w:rPr>
          <w:bCs/>
          <w:b/>
        </w:rPr>
        <w:t xml:space="preserve">Board changes in the last five years.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1259"/>
        <w:gridCol w:w="4783"/>
        <w:gridCol w:w="3935"/>
      </w:tblGrid>
      <w:tr>
        <w:trPr>
          <w:tblHeader w:val="true"/>
          <w:tblHeader w:val="true"/>
          <w:cantSplit/>
        </w:trPr>
        <w:tc>
          <w:tcPr>
            <w:tcW w:type="dxa" w:w="1259"/>
            <w:shd w:val="clear" w:color="auto" w:fill="13213F"/>
          </w:tcPr>
          <w:p>
            <w:pPr>
              <w:pStyle w:val="Compact"/>
              <w:spacing w:after="0" w:before="0" w:line="240" w:lineRule="auto"/>
              <w:jc w:val="left"/>
            </w:pPr>
            <w:r>
              <w:rPr>
                <w:rFonts w:ascii="Arial" w:hAnsi="Arial"/>
                <w:b/>
                <w:color w:val="FFFFFF"/>
                <w:sz w:val="15"/>
              </w:rPr>
              <w:t xml:space="preserve">AGM</w:t>
            </w:r>
          </w:p>
        </w:tc>
        <w:tc>
          <w:tcPr>
            <w:tcW w:type="dxa" w:w="4784"/>
            <w:shd w:val="clear" w:color="auto" w:fill="13213F"/>
          </w:tcPr>
          <w:p>
            <w:pPr>
              <w:pStyle w:val="Compact"/>
              <w:spacing w:after="0" w:before="0" w:line="240" w:lineRule="auto"/>
              <w:jc w:val="left"/>
            </w:pPr>
            <w:r>
              <w:rPr>
                <w:rFonts w:ascii="Arial" w:hAnsi="Arial"/>
                <w:b/>
                <w:color w:val="FFFFFF"/>
                <w:sz w:val="15"/>
              </w:rPr>
              <w:t xml:space="preserve">Joined</w:t>
            </w:r>
          </w:p>
        </w:tc>
        <w:tc>
          <w:tcPr>
            <w:tcW w:type="dxa" w:w="3935"/>
            <w:shd w:val="clear" w:color="auto" w:fill="13213F"/>
          </w:tcPr>
          <w:p>
            <w:pPr>
              <w:pStyle w:val="Compact"/>
              <w:spacing w:after="0" w:before="0" w:line="240" w:lineRule="auto"/>
              <w:jc w:val="left"/>
            </w:pPr>
            <w:r>
              <w:rPr>
                <w:rFonts w:ascii="Arial" w:hAnsi="Arial"/>
                <w:b/>
                <w:color w:val="FFFFFF"/>
                <w:sz w:val="15"/>
              </w:rPr>
              <w:t xml:space="preserve">Left</w:t>
            </w:r>
          </w:p>
        </w:tc>
      </w:tr>
      <w:tr>
        <w:trPr>
          <w:cantSplit/>
        </w:trPr>
        <w:tc>
          <w:tcPr>
            <w:tcW w:type="dxa" w:w="1259"/>
          </w:tcPr>
          <w:p>
            <w:pPr>
              <w:pStyle w:val="Compact"/>
              <w:spacing w:after="0" w:before="0" w:line="240" w:lineRule="auto"/>
              <w:jc w:val="left"/>
            </w:pPr>
            <w:r>
              <w:rPr>
                <w:rFonts w:ascii="Arial" w:hAnsi="Arial"/>
                <w:sz w:val="15"/>
              </w:rPr>
              <w:t xml:space="preserve">Mar-2021</w:t>
            </w:r>
          </w:p>
        </w:tc>
        <w:tc>
          <w:tcPr>
            <w:tcW w:type="dxa" w:w="4784"/>
          </w:tcPr>
          <w:p>
            <w:pPr>
              <w:pStyle w:val="Compact"/>
              <w:spacing w:after="0" w:before="0" w:line="240" w:lineRule="auto"/>
              <w:jc w:val="left"/>
            </w:pPr>
            <w:r>
              <w:rPr>
                <w:rFonts w:ascii="Arial" w:hAnsi="Arial"/>
                <w:sz w:val="15"/>
              </w:rPr>
              <w:t xml:space="preserve">Hwang Hyun-sik (inside/CEO); Yoon Sung-soo, Je Hyun-joo, Kim Jong-woo (independent)</w:t>
            </w:r>
          </w:p>
        </w:tc>
        <w:tc>
          <w:tcPr>
            <w:tcW w:type="dxa" w:w="3935"/>
          </w:tcPr>
          <w:p>
            <w:pPr>
              <w:pStyle w:val="Compact"/>
              <w:spacing w:after="0" w:before="0" w:line="240" w:lineRule="auto"/>
              <w:jc w:val="left"/>
            </w:pPr>
            <w:r>
              <w:rPr>
                <w:rFonts w:ascii="Arial" w:hAnsi="Arial"/>
                <w:sz w:val="15"/>
              </w:rPr>
              <w:t xml:space="preserve">Ha Hyun-hwoi; prior outside directors [u]</w:t>
            </w:r>
          </w:p>
        </w:tc>
      </w:tr>
      <w:tr>
        <w:trPr>
          <w:cantSplit/>
        </w:trPr>
        <w:tc>
          <w:tcPr>
            <w:tcW w:type="dxa" w:w="1259"/>
            <w:shd w:val="clear" w:color="auto" w:fill="F1F2F5"/>
          </w:tcPr>
          <w:p>
            <w:pPr>
              <w:pStyle w:val="Compact"/>
              <w:spacing w:after="0" w:before="0" w:line="240" w:lineRule="auto"/>
              <w:jc w:val="left"/>
            </w:pPr>
            <w:r>
              <w:rPr>
                <w:rFonts w:ascii="Arial" w:hAnsi="Arial"/>
                <w:sz w:val="15"/>
              </w:rPr>
              <w:t xml:space="preserve">Mar-2022</w:t>
            </w:r>
          </w:p>
        </w:tc>
        <w:tc>
          <w:tcPr>
            <w:tcW w:type="dxa" w:w="4784"/>
            <w:shd w:val="clear" w:color="auto" w:fill="F1F2F5"/>
          </w:tcPr>
          <w:p>
            <w:pPr>
              <w:pStyle w:val="Compact"/>
              <w:spacing w:after="0" w:before="0" w:line="240" w:lineRule="auto"/>
              <w:jc w:val="left"/>
            </w:pPr>
            <w:r>
              <w:rPr>
                <w:rFonts w:ascii="Arial" w:hAnsi="Arial"/>
                <w:sz w:val="15"/>
              </w:rPr>
              <w:t xml:space="preserve">Nam Hyung-doo (independent); Hong Bum-shik (non-executive, LG Corp)</w:t>
            </w:r>
          </w:p>
        </w:tc>
        <w:tc>
          <w:tcPr>
            <w:tcW w:type="dxa" w:w="3935"/>
            <w:shd w:val="clear" w:color="auto" w:fill="F1F2F5"/>
          </w:tcPr>
          <w:p>
            <w:pPr>
              <w:pStyle w:val="Compact"/>
              <w:spacing w:after="0" w:before="0" w:line="240" w:lineRule="auto"/>
              <w:jc w:val="left"/>
            </w:pPr>
            <w:r>
              <w:rPr>
                <w:rFonts w:ascii="Arial" w:hAnsi="Arial"/>
                <w:sz w:val="15"/>
              </w:rPr>
              <w:t xml:space="preserve">Kwon Young-soo (LG Corp non-executive; moved to LG Energy Solution) [u]</w:t>
            </w:r>
          </w:p>
        </w:tc>
      </w:tr>
      <w:tr>
        <w:trPr>
          <w:cantSplit/>
        </w:trPr>
        <w:tc>
          <w:tcPr>
            <w:tcW w:type="dxa" w:w="1259"/>
          </w:tcPr>
          <w:p>
            <w:pPr>
              <w:pStyle w:val="Compact"/>
              <w:spacing w:after="0" w:before="0" w:line="240" w:lineRule="auto"/>
              <w:jc w:val="left"/>
            </w:pPr>
            <w:r>
              <w:rPr>
                <w:rFonts w:ascii="Arial" w:hAnsi="Arial"/>
                <w:sz w:val="15"/>
              </w:rPr>
              <w:t xml:space="preserve">Mar-2023</w:t>
            </w:r>
          </w:p>
        </w:tc>
        <w:tc>
          <w:tcPr>
            <w:tcW w:type="dxa" w:w="4784"/>
          </w:tcPr>
          <w:p>
            <w:pPr>
              <w:pStyle w:val="Compact"/>
              <w:spacing w:after="0" w:before="0" w:line="240" w:lineRule="auto"/>
              <w:jc w:val="left"/>
            </w:pPr>
            <w:r>
              <w:rPr>
                <w:rFonts w:ascii="Arial" w:hAnsi="Arial"/>
                <w:sz w:val="15"/>
              </w:rPr>
              <w:t xml:space="preserve">Yeo Myung-hee (inside, CFO)</w:t>
            </w:r>
          </w:p>
        </w:tc>
        <w:tc>
          <w:tcPr>
            <w:tcW w:type="dxa" w:w="3935"/>
          </w:tcPr>
          <w:p>
            <w:pPr>
              <w:pStyle w:val="Compact"/>
              <w:spacing w:after="0" w:before="0" w:line="240" w:lineRule="auto"/>
              <w:jc w:val="left"/>
            </w:pPr>
            <w:r>
              <w:rPr>
                <w:rFonts w:ascii="Arial" w:hAnsi="Arial"/>
                <w:sz w:val="15"/>
              </w:rPr>
              <w:t xml:space="preserve">Lee Hyuk-joo (ex-CFO) [u]; Yoon Sung-soo and Eom Yoon-mi re-elected</w:t>
            </w:r>
          </w:p>
        </w:tc>
      </w:tr>
      <w:tr>
        <w:trPr>
          <w:cantSplit/>
        </w:trPr>
        <w:tc>
          <w:tcPr>
            <w:tcW w:type="dxa" w:w="1259"/>
            <w:shd w:val="clear" w:color="auto" w:fill="F1F2F5"/>
          </w:tcPr>
          <w:p>
            <w:pPr>
              <w:pStyle w:val="Compact"/>
              <w:spacing w:after="0" w:before="0" w:line="240" w:lineRule="auto"/>
              <w:jc w:val="left"/>
            </w:pPr>
            <w:r>
              <w:rPr>
                <w:rFonts w:ascii="Arial" w:hAnsi="Arial"/>
                <w:sz w:val="15"/>
              </w:rPr>
              <w:t xml:space="preserve">Mar-2024</w:t>
            </w:r>
          </w:p>
        </w:tc>
        <w:tc>
          <w:tcPr>
            <w:tcW w:type="dxa" w:w="4784"/>
            <w:shd w:val="clear" w:color="auto" w:fill="F1F2F5"/>
          </w:tcPr>
          <w:p>
            <w:pPr>
              <w:pStyle w:val="Compact"/>
              <w:spacing w:after="0" w:before="0" w:line="240" w:lineRule="auto"/>
              <w:jc w:val="left"/>
            </w:pPr>
            <w:r>
              <w:rPr>
                <w:rFonts w:ascii="Arial" w:hAnsi="Arial"/>
                <w:sz w:val="15"/>
              </w:rPr>
              <w:t xml:space="preserve">– (Hwang and Kim Jong-woo re-elected)</w:t>
            </w:r>
          </w:p>
        </w:tc>
        <w:tc>
          <w:tcPr>
            <w:tcW w:type="dxa" w:w="3935"/>
            <w:shd w:val="clear" w:color="auto" w:fill="F1F2F5"/>
          </w:tcPr>
          <w:p>
            <w:pPr>
              <w:pStyle w:val="Compact"/>
              <w:spacing w:after="0" w:before="0" w:line="240" w:lineRule="auto"/>
              <w:jc w:val="left"/>
            </w:pPr>
            <w:r>
              <w:rPr>
                <w:rFonts w:ascii="Arial" w:hAnsi="Arial"/>
                <w:sz w:val="15"/>
              </w:rPr>
              <w:t xml:space="preserve">–</w:t>
            </w:r>
          </w:p>
        </w:tc>
      </w:tr>
      <w:tr>
        <w:trPr>
          <w:cantSplit/>
        </w:trPr>
        <w:tc>
          <w:tcPr>
            <w:tcW w:type="dxa" w:w="1259"/>
          </w:tcPr>
          <w:p>
            <w:pPr>
              <w:pStyle w:val="Compact"/>
              <w:spacing w:after="0" w:before="0" w:line="240" w:lineRule="auto"/>
              <w:jc w:val="left"/>
            </w:pPr>
            <w:r>
              <w:rPr>
                <w:rFonts w:ascii="Arial" w:hAnsi="Arial"/>
                <w:sz w:val="15"/>
              </w:rPr>
              <w:t xml:space="preserve">Mar-2025</w:t>
            </w:r>
          </w:p>
        </w:tc>
        <w:tc>
          <w:tcPr>
            <w:tcW w:type="dxa" w:w="4784"/>
          </w:tcPr>
          <w:p>
            <w:pPr>
              <w:pStyle w:val="Compact"/>
              <w:spacing w:after="0" w:before="0" w:line="240" w:lineRule="auto"/>
              <w:jc w:val="left"/>
            </w:pPr>
            <w:r>
              <w:rPr>
                <w:rFonts w:ascii="Arial" w:hAnsi="Arial"/>
                <w:sz w:val="15"/>
              </w:rPr>
              <w:t xml:space="preserve">Hong Bum-shik (inside); Kwon Bong-seok (LG Corp COO; non-executive)</w:t>
            </w:r>
          </w:p>
        </w:tc>
        <w:tc>
          <w:tcPr>
            <w:tcW w:type="dxa" w:w="3935"/>
          </w:tcPr>
          <w:p>
            <w:pPr>
              <w:pStyle w:val="Compact"/>
              <w:spacing w:after="0" w:before="0" w:line="240" w:lineRule="auto"/>
              <w:jc w:val="left"/>
            </w:pPr>
            <w:r>
              <w:rPr>
                <w:rFonts w:ascii="Arial" w:hAnsi="Arial"/>
                <w:sz w:val="15"/>
              </w:rPr>
              <w:t xml:space="preserve">Hwang Hyun-sik; Nam re-elected</w:t>
            </w:r>
          </w:p>
        </w:tc>
      </w:tr>
      <w:tr>
        <w:trPr>
          <w:cantSplit/>
        </w:trPr>
        <w:tc>
          <w:tcPr>
            <w:tcW w:type="dxa" w:w="1259"/>
            <w:shd w:val="clear" w:color="auto" w:fill="F1F2F5"/>
          </w:tcPr>
          <w:p>
            <w:pPr>
              <w:pStyle w:val="Compact"/>
              <w:spacing w:after="0" w:before="0" w:line="240" w:lineRule="auto"/>
              <w:jc w:val="left"/>
            </w:pPr>
            <w:r>
              <w:rPr>
                <w:rFonts w:ascii="Arial" w:hAnsi="Arial"/>
                <w:sz w:val="15"/>
              </w:rPr>
              <w:t xml:space="preserve">Mar-2026</w:t>
            </w:r>
          </w:p>
        </w:tc>
        <w:tc>
          <w:tcPr>
            <w:tcW w:type="dxa" w:w="4784"/>
            <w:shd w:val="clear" w:color="auto" w:fill="F1F2F5"/>
          </w:tcPr>
          <w:p>
            <w:pPr>
              <w:pStyle w:val="Compact"/>
              <w:spacing w:after="0" w:before="0" w:line="240" w:lineRule="auto"/>
              <w:jc w:val="left"/>
            </w:pPr>
            <w:r>
              <w:rPr>
                <w:rFonts w:ascii="Arial" w:hAnsi="Arial"/>
                <w:sz w:val="15"/>
              </w:rPr>
              <w:t xml:space="preserve">Lee Sang-woo (non-executive, LG Corp); Song Min-seop (independent, audit); Nam named chair</w:t>
            </w:r>
          </w:p>
        </w:tc>
        <w:tc>
          <w:tcPr>
            <w:tcW w:type="dxa" w:w="3935"/>
            <w:shd w:val="clear" w:color="auto" w:fill="F1F2F5"/>
          </w:tcPr>
          <w:p>
            <w:pPr>
              <w:pStyle w:val="Compact"/>
              <w:spacing w:after="0" w:before="0" w:line="240" w:lineRule="auto"/>
              <w:jc w:val="left"/>
            </w:pPr>
            <w:r>
              <w:rPr>
                <w:rFonts w:ascii="Arial" w:hAnsi="Arial"/>
                <w:sz w:val="15"/>
              </w:rPr>
              <w:t xml:space="preserve">Kwon Bong-seok [u]; Yoon Sung-soo [u]; Lee Jae-ho (6-year cap) [u]</w:t>
            </w:r>
          </w:p>
        </w:tc>
      </w:tr>
    </w:tbl>
    <w:p>
      <w:pPr>
        <w:pStyle w:val="BodyText"/>
      </w:pPr>
      <w:r>
        <w:rPr>
          <w:iCs/>
          <w:i/>
        </w:rPr>
        <w:t xml:space="preserve">Source: LG Group releases, press, MarketScreener; departures marked [u] are inferred.</w:t>
      </w:r>
    </w:p>
    <w:bookmarkEnd w:id="104"/>
    <w:bookmarkStart w:id="108" w:name="shareholders-activism-and-short-interest"/>
    <w:p>
      <w:pPr>
        <w:pStyle w:val="Heading1"/>
      </w:pPr>
      <w:r>
        <w:t xml:space="preserve">Shareholders, activism and short interest</w:t>
      </w:r>
    </w:p>
    <w:bookmarkStart w:id="105" w:name="top-shareholders"/>
    <w:p>
      <w:pPr>
        <w:pStyle w:val="Heading2"/>
      </w:pPr>
      <w:r>
        <w:t xml:space="preserve">Top shareholders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410"/>
        <w:gridCol w:w="1985"/>
        <w:gridCol w:w="1930"/>
        <w:gridCol w:w="1498"/>
        <w:gridCol w:w="1101"/>
        <w:gridCol w:w="3050"/>
      </w:tblGrid>
      <w:tr>
        <w:trPr>
          <w:tblHeader w:val="true"/>
          <w:tblHeader w:val="true"/>
          <w:cantSplit/>
        </w:trPr>
        <w:tc>
          <w:tcPr>
            <w:tcW w:type="dxa" w:w="410"/>
            <w:shd w:val="clear" w:color="auto" w:fill="13213F"/>
          </w:tcPr>
          <w:p>
            <w:pPr>
              <w:pStyle w:val="Compact"/>
              <w:spacing w:after="0" w:before="0" w:line="240" w:lineRule="auto"/>
              <w:jc w:val="right"/>
            </w:pPr>
            <w:r>
              <w:rPr>
                <w:rFonts w:ascii="Arial" w:hAnsi="Arial"/>
                <w:b/>
                <w:color w:val="FFFFFF"/>
                <w:sz w:val="15"/>
              </w:rPr>
              <w:t xml:space="preserve">#</w:t>
            </w:r>
          </w:p>
        </w:tc>
        <w:tc>
          <w:tcPr>
            <w:tcW w:type="dxa" w:w="1986"/>
            <w:shd w:val="clear" w:color="auto" w:fill="13213F"/>
          </w:tcPr>
          <w:p>
            <w:pPr>
              <w:pStyle w:val="Compact"/>
              <w:spacing w:after="0" w:before="0" w:line="240" w:lineRule="auto"/>
              <w:jc w:val="left"/>
            </w:pPr>
            <w:r>
              <w:rPr>
                <w:rFonts w:ascii="Arial" w:hAnsi="Arial"/>
                <w:b/>
                <w:color w:val="FFFFFF"/>
                <w:sz w:val="15"/>
              </w:rPr>
              <w:t xml:space="preserve">Holder</w:t>
            </w:r>
          </w:p>
        </w:tc>
        <w:tc>
          <w:tcPr>
            <w:tcW w:type="dxa" w:w="1930"/>
            <w:shd w:val="clear" w:color="auto" w:fill="13213F"/>
          </w:tcPr>
          <w:p>
            <w:pPr>
              <w:pStyle w:val="Compact"/>
              <w:spacing w:after="0" w:before="0" w:line="240" w:lineRule="auto"/>
              <w:jc w:val="left"/>
            </w:pPr>
            <w:r>
              <w:rPr>
                <w:rFonts w:ascii="Arial" w:hAnsi="Arial"/>
                <w:b/>
                <w:color w:val="FFFFFF"/>
                <w:sz w:val="15"/>
              </w:rPr>
              <w:t xml:space="preserve">Type</w:t>
            </w:r>
          </w:p>
        </w:tc>
        <w:tc>
          <w:tcPr>
            <w:tcW w:type="dxa" w:w="1499"/>
            <w:shd w:val="clear" w:color="auto" w:fill="13213F"/>
          </w:tcPr>
          <w:p>
            <w:pPr>
              <w:pStyle w:val="Compact"/>
              <w:spacing w:after="0" w:before="0" w:line="240" w:lineRule="auto"/>
              <w:jc w:val="right"/>
            </w:pPr>
            <w:r>
              <w:rPr>
                <w:rFonts w:ascii="Arial" w:hAnsi="Arial"/>
                <w:b/>
                <w:color w:val="FFFFFF"/>
                <w:sz w:val="15"/>
              </w:rPr>
              <w:t xml:space="preserve">Shares (m)</w:t>
            </w:r>
          </w:p>
        </w:tc>
        <w:tc>
          <w:tcPr>
            <w:tcW w:type="dxa" w:w="1102"/>
            <w:shd w:val="clear" w:color="auto" w:fill="13213F"/>
          </w:tcPr>
          <w:p>
            <w:pPr>
              <w:pStyle w:val="Compact"/>
              <w:spacing w:after="0" w:before="0" w:line="240" w:lineRule="auto"/>
              <w:jc w:val="right"/>
            </w:pPr>
            <w:r>
              <w:rPr>
                <w:rFonts w:ascii="Arial" w:hAnsi="Arial"/>
                <w:b/>
                <w:color w:val="FFFFFF"/>
                <w:sz w:val="15"/>
              </w:rPr>
              <w:t xml:space="preserve">% of 424.43m</w:t>
            </w:r>
          </w:p>
        </w:tc>
        <w:tc>
          <w:tcPr>
            <w:tcW w:type="dxa" w:w="3051"/>
            <w:shd w:val="clear" w:color="auto" w:fill="13213F"/>
          </w:tcPr>
          <w:p>
            <w:pPr>
              <w:pStyle w:val="Compact"/>
              <w:spacing w:after="0" w:before="0" w:line="240" w:lineRule="auto"/>
              <w:jc w:val="left"/>
            </w:pPr>
            <w:r>
              <w:rPr>
                <w:rFonts w:ascii="Arial" w:hAnsi="Arial"/>
                <w:b/>
                <w:color w:val="FFFFFF"/>
                <w:sz w:val="15"/>
              </w:rPr>
              <w:t xml:space="preserve">Date / note</w:t>
            </w:r>
          </w:p>
        </w:tc>
      </w:tr>
      <w:tr>
        <w:trPr>
          <w:cantSplit/>
        </w:trPr>
        <w:tc>
          <w:tcPr>
            <w:tcW w:type="dxa" w:w="410"/>
          </w:tcPr>
          <w:p>
            <w:pPr>
              <w:pStyle w:val="Compact"/>
              <w:spacing w:after="0" w:before="0" w:line="240" w:lineRule="auto"/>
              <w:jc w:val="right"/>
            </w:pPr>
            <w:r>
              <w:rPr>
                <w:rFonts w:ascii="Arial" w:hAnsi="Arial"/>
                <w:sz w:val="15"/>
              </w:rPr>
              <w:t xml:space="preserve">1</w:t>
            </w:r>
          </w:p>
        </w:tc>
        <w:tc>
          <w:tcPr>
            <w:tcW w:type="dxa" w:w="1986"/>
          </w:tcPr>
          <w:p>
            <w:pPr>
              <w:pStyle w:val="Compact"/>
              <w:spacing w:after="0" w:before="0" w:line="240" w:lineRule="auto"/>
              <w:jc w:val="left"/>
            </w:pPr>
            <w:r>
              <w:rPr>
                <w:rFonts w:ascii="Arial" w:hAnsi="Arial"/>
                <w:sz w:val="15"/>
              </w:rPr>
              <w:t xml:space="preserve">LG Corp</w:t>
            </w:r>
          </w:p>
        </w:tc>
        <w:tc>
          <w:tcPr>
            <w:tcW w:type="dxa" w:w="1930"/>
          </w:tcPr>
          <w:p>
            <w:pPr>
              <w:pStyle w:val="Compact"/>
              <w:spacing w:after="0" w:before="0" w:line="240" w:lineRule="auto"/>
              <w:jc w:val="left"/>
            </w:pPr>
            <w:r>
              <w:rPr>
                <w:rFonts w:ascii="Arial" w:hAnsi="Arial"/>
                <w:sz w:val="15"/>
              </w:rPr>
              <w:t xml:space="preserve">Strategic parent (holding company)</w:t>
            </w:r>
          </w:p>
        </w:tc>
        <w:tc>
          <w:tcPr>
            <w:tcW w:type="dxa" w:w="1499"/>
          </w:tcPr>
          <w:p>
            <w:pPr>
              <w:pStyle w:val="Compact"/>
              <w:spacing w:after="0" w:before="0" w:line="240" w:lineRule="auto"/>
              <w:jc w:val="right"/>
            </w:pPr>
            <w:r>
              <w:rPr>
                <w:rFonts w:ascii="Arial" w:hAnsi="Arial"/>
                <w:sz w:val="15"/>
              </w:rPr>
              <w:t xml:space="preserve">164.42</w:t>
            </w:r>
          </w:p>
        </w:tc>
        <w:tc>
          <w:tcPr>
            <w:tcW w:type="dxa" w:w="1102"/>
          </w:tcPr>
          <w:p>
            <w:pPr>
              <w:pStyle w:val="Compact"/>
              <w:spacing w:after="0" w:before="0" w:line="240" w:lineRule="auto"/>
              <w:jc w:val="right"/>
            </w:pPr>
            <w:r>
              <w:rPr>
                <w:bCs/>
                <w:rFonts w:ascii="Arial" w:hAnsi="Arial"/>
                <w:b/>
                <w:sz w:val="15"/>
              </w:rPr>
              <w:t xml:space="preserve">38.74%</w:t>
            </w:r>
          </w:p>
        </w:tc>
        <w:tc>
          <w:tcPr>
            <w:tcW w:type="dxa" w:w="3051"/>
          </w:tcPr>
          <w:p>
            <w:pPr>
              <w:pStyle w:val="Compact"/>
              <w:spacing w:after="0" w:before="0" w:line="240" w:lineRule="auto"/>
              <w:jc w:val="left"/>
            </w:pPr>
            <w:r>
              <w:rPr>
                <w:rFonts w:ascii="Arial" w:hAnsi="Arial"/>
                <w:sz w:val="15"/>
              </w:rPr>
              <w:t xml:space="preserve">30-Jun-2026 (DART); rising only through cancellations</w:t>
            </w:r>
          </w:p>
        </w:tc>
      </w:tr>
      <w:tr>
        <w:trPr>
          <w:cantSplit/>
        </w:trPr>
        <w:tc>
          <w:tcPr>
            <w:tcW w:type="dxa" w:w="410"/>
            <w:shd w:val="clear" w:color="auto" w:fill="F1F2F5"/>
          </w:tcPr>
          <w:p>
            <w:pPr>
              <w:pStyle w:val="Compact"/>
              <w:spacing w:after="0" w:before="0" w:line="240" w:lineRule="auto"/>
              <w:jc w:val="right"/>
            </w:pPr>
            <w:r>
              <w:rPr>
                <w:rFonts w:ascii="Arial" w:hAnsi="Arial"/>
                <w:sz w:val="15"/>
              </w:rPr>
              <w:t xml:space="preserve">2</w:t>
            </w:r>
          </w:p>
        </w:tc>
        <w:tc>
          <w:tcPr>
            <w:tcW w:type="dxa" w:w="1986"/>
            <w:shd w:val="clear" w:color="auto" w:fill="F1F2F5"/>
          </w:tcPr>
          <w:p>
            <w:pPr>
              <w:pStyle w:val="Compact"/>
              <w:spacing w:after="0" w:before="0" w:line="240" w:lineRule="auto"/>
              <w:jc w:val="left"/>
            </w:pPr>
            <w:r>
              <w:rPr>
                <w:rFonts w:ascii="Arial" w:hAnsi="Arial"/>
                <w:sz w:val="15"/>
              </w:rPr>
              <w:t xml:space="preserve">National Pension Service</w:t>
            </w:r>
          </w:p>
        </w:tc>
        <w:tc>
          <w:tcPr>
            <w:tcW w:type="dxa" w:w="1930"/>
            <w:shd w:val="clear" w:color="auto" w:fill="F1F2F5"/>
          </w:tcPr>
          <w:p>
            <w:pPr>
              <w:pStyle w:val="Compact"/>
              <w:spacing w:after="0" w:before="0" w:line="240" w:lineRule="auto"/>
              <w:jc w:val="left"/>
            </w:pPr>
            <w:r>
              <w:rPr>
                <w:rFonts w:ascii="Arial" w:hAnsi="Arial"/>
                <w:sz w:val="15"/>
              </w:rPr>
              <w:t xml:space="preserve">Domestic public pension</w:t>
            </w:r>
          </w:p>
        </w:tc>
        <w:tc>
          <w:tcPr>
            <w:tcW w:type="dxa" w:w="1499"/>
            <w:shd w:val="clear" w:color="auto" w:fill="F1F2F5"/>
          </w:tcPr>
          <w:p>
            <w:pPr>
              <w:pStyle w:val="Compact"/>
              <w:spacing w:after="0" w:before="0" w:line="240" w:lineRule="auto"/>
              <w:jc w:val="right"/>
            </w:pPr>
            <w:r>
              <w:rPr>
                <w:rFonts w:ascii="Arial" w:hAnsi="Arial"/>
                <w:sz w:val="15"/>
              </w:rPr>
              <w:t xml:space="preserve">27.13</w:t>
            </w:r>
          </w:p>
        </w:tc>
        <w:tc>
          <w:tcPr>
            <w:tcW w:type="dxa" w:w="1102"/>
            <w:shd w:val="clear" w:color="auto" w:fill="F1F2F5"/>
          </w:tcPr>
          <w:p>
            <w:pPr>
              <w:pStyle w:val="Compact"/>
              <w:spacing w:after="0" w:before="0" w:line="240" w:lineRule="auto"/>
              <w:jc w:val="right"/>
            </w:pPr>
            <w:r>
              <w:rPr>
                <w:bCs/>
                <w:rFonts w:ascii="Arial" w:hAnsi="Arial"/>
                <w:b/>
                <w:sz w:val="15"/>
              </w:rPr>
              <w:t xml:space="preserve">6.39%</w:t>
            </w:r>
          </w:p>
        </w:tc>
        <w:tc>
          <w:tcPr>
            <w:tcW w:type="dxa" w:w="3051"/>
            <w:shd w:val="clear" w:color="auto" w:fill="F1F2F5"/>
          </w:tcPr>
          <w:p>
            <w:pPr>
              <w:pStyle w:val="Compact"/>
              <w:spacing w:after="0" w:before="0" w:line="240" w:lineRule="auto"/>
              <w:jc w:val="left"/>
            </w:pPr>
            <w:r>
              <w:rPr>
                <w:rFonts w:ascii="Arial" w:hAnsi="Arial"/>
                <w:sz w:val="15"/>
              </w:rPr>
              <w:t xml:space="preserve">30-Jun-2026 (DART); 7.02% at YE24</w:t>
            </w:r>
          </w:p>
        </w:tc>
      </w:tr>
      <w:tr>
        <w:trPr>
          <w:cantSplit/>
        </w:trPr>
        <w:tc>
          <w:tcPr>
            <w:tcW w:type="dxa" w:w="410"/>
          </w:tcPr>
          <w:p>
            <w:pPr>
              <w:pStyle w:val="Compact"/>
              <w:spacing w:after="0" w:before="0" w:line="240" w:lineRule="auto"/>
              <w:jc w:val="right"/>
            </w:pPr>
            <w:r>
              <w:rPr>
                <w:rFonts w:ascii="Arial" w:hAnsi="Arial"/>
                <w:sz w:val="15"/>
              </w:rPr>
              <w:t xml:space="preserve">3</w:t>
            </w:r>
          </w:p>
        </w:tc>
        <w:tc>
          <w:tcPr>
            <w:tcW w:type="dxa" w:w="1986"/>
          </w:tcPr>
          <w:p>
            <w:pPr>
              <w:pStyle w:val="Compact"/>
              <w:spacing w:after="0" w:before="0" w:line="240" w:lineRule="auto"/>
              <w:jc w:val="left"/>
            </w:pPr>
            <w:r>
              <w:rPr>
                <w:rFonts w:ascii="Arial" w:hAnsi="Arial"/>
                <w:sz w:val="15"/>
              </w:rPr>
              <w:t xml:space="preserve">Kopernik Global Investors</w:t>
            </w:r>
          </w:p>
        </w:tc>
        <w:tc>
          <w:tcPr>
            <w:tcW w:type="dxa" w:w="1930"/>
          </w:tcPr>
          <w:p>
            <w:pPr>
              <w:pStyle w:val="Compact"/>
              <w:spacing w:after="0" w:before="0" w:line="240" w:lineRule="auto"/>
              <w:jc w:val="left"/>
            </w:pPr>
            <w:r>
              <w:rPr>
                <w:rFonts w:ascii="Arial" w:hAnsi="Arial"/>
                <w:sz w:val="15"/>
              </w:rPr>
              <w:t xml:space="preserve">Foreign value manager</w:t>
            </w:r>
          </w:p>
        </w:tc>
        <w:tc>
          <w:tcPr>
            <w:tcW w:type="dxa" w:w="1499"/>
          </w:tcPr>
          <w:p>
            <w:pPr>
              <w:pStyle w:val="Compact"/>
              <w:spacing w:after="0" w:before="0" w:line="240" w:lineRule="auto"/>
              <w:jc w:val="right"/>
            </w:pPr>
            <w:r>
              <w:rPr>
                <w:rFonts w:ascii="Arial" w:hAnsi="Arial"/>
                <w:sz w:val="15"/>
              </w:rPr>
              <w:t xml:space="preserve">~18 [e]</w:t>
            </w:r>
          </w:p>
        </w:tc>
        <w:tc>
          <w:tcPr>
            <w:tcW w:type="dxa" w:w="1102"/>
          </w:tcPr>
          <w:p>
            <w:pPr>
              <w:pStyle w:val="Compact"/>
              <w:spacing w:after="0" w:before="0" w:line="240" w:lineRule="auto"/>
              <w:jc w:val="right"/>
            </w:pPr>
            <w:r>
              <w:rPr>
                <w:rFonts w:ascii="Arial" w:hAnsi="Arial"/>
                <w:sz w:val="15"/>
              </w:rPr>
              <w:t xml:space="preserve">~4.3% [u]</w:t>
            </w:r>
          </w:p>
        </w:tc>
        <w:tc>
          <w:tcPr>
            <w:tcW w:type="dxa" w:w="3051"/>
          </w:tcPr>
          <w:p>
            <w:pPr>
              <w:pStyle w:val="Compact"/>
              <w:spacing w:after="0" w:before="0" w:line="240" w:lineRule="auto"/>
              <w:jc w:val="left"/>
            </w:pPr>
            <w:r>
              <w:rPr>
                <w:rFonts w:ascii="Arial" w:hAnsi="Arial"/>
                <w:sz w:val="15"/>
              </w:rPr>
              <w:t xml:space="preserve">Dec-2025; was 6.1–6.2% in 2024 filings</w:t>
            </w:r>
          </w:p>
        </w:tc>
      </w:tr>
      <w:tr>
        <w:trPr>
          <w:cantSplit/>
        </w:trPr>
        <w:tc>
          <w:tcPr>
            <w:tcW w:type="dxa" w:w="410"/>
            <w:shd w:val="clear" w:color="auto" w:fill="F1F2F5"/>
          </w:tcPr>
          <w:p>
            <w:pPr>
              <w:pStyle w:val="Compact"/>
              <w:spacing w:after="0" w:before="0" w:line="240" w:lineRule="auto"/>
              <w:jc w:val="right"/>
            </w:pPr>
            <w:r>
              <w:rPr>
                <w:rFonts w:ascii="Arial" w:hAnsi="Arial"/>
                <w:sz w:val="15"/>
              </w:rPr>
              <w:t xml:space="preserve">4</w:t>
            </w:r>
          </w:p>
        </w:tc>
        <w:tc>
          <w:tcPr>
            <w:tcW w:type="dxa" w:w="1986"/>
            <w:shd w:val="clear" w:color="auto" w:fill="F1F2F5"/>
          </w:tcPr>
          <w:p>
            <w:pPr>
              <w:pStyle w:val="Compact"/>
              <w:spacing w:after="0" w:before="0" w:line="240" w:lineRule="auto"/>
              <w:jc w:val="left"/>
            </w:pPr>
            <w:r>
              <w:rPr>
                <w:rFonts w:ascii="Arial" w:hAnsi="Arial"/>
                <w:sz w:val="15"/>
              </w:rPr>
              <w:t xml:space="preserve">Vanguard Group (index funds)</w:t>
            </w:r>
          </w:p>
        </w:tc>
        <w:tc>
          <w:tcPr>
            <w:tcW w:type="dxa" w:w="1930"/>
            <w:shd w:val="clear" w:color="auto" w:fill="F1F2F5"/>
          </w:tcPr>
          <w:p>
            <w:pPr>
              <w:pStyle w:val="Compact"/>
              <w:spacing w:after="0" w:before="0" w:line="240" w:lineRule="auto"/>
              <w:jc w:val="left"/>
            </w:pPr>
            <w:r>
              <w:rPr>
                <w:rFonts w:ascii="Arial" w:hAnsi="Arial"/>
                <w:sz w:val="15"/>
              </w:rPr>
              <w:t xml:space="preserve">Foreign passive</w:t>
            </w:r>
          </w:p>
        </w:tc>
        <w:tc>
          <w:tcPr>
            <w:tcW w:type="dxa" w:w="1499"/>
            <w:shd w:val="clear" w:color="auto" w:fill="F1F2F5"/>
          </w:tcPr>
          <w:p>
            <w:pPr>
              <w:pStyle w:val="Compact"/>
              <w:spacing w:after="0" w:before="0" w:line="240" w:lineRule="auto"/>
              <w:jc w:val="right"/>
            </w:pPr>
            <w:r>
              <w:rPr>
                <w:rFonts w:ascii="Arial" w:hAnsi="Arial"/>
                <w:sz w:val="15"/>
              </w:rPr>
              <w:t xml:space="preserve">n/d</w:t>
            </w:r>
          </w:p>
        </w:tc>
        <w:tc>
          <w:tcPr>
            <w:tcW w:type="dxa" w:w="1102"/>
            <w:shd w:val="clear" w:color="auto" w:fill="F1F2F5"/>
          </w:tcPr>
          <w:p>
            <w:pPr>
              <w:pStyle w:val="Compact"/>
              <w:spacing w:after="0" w:before="0" w:line="240" w:lineRule="auto"/>
              <w:jc w:val="right"/>
            </w:pPr>
            <w:r>
              <w:rPr>
                <w:rFonts w:ascii="Arial" w:hAnsi="Arial"/>
                <w:sz w:val="15"/>
              </w:rPr>
              <w:t xml:space="preserve">~1–2% [u]</w:t>
            </w:r>
          </w:p>
        </w:tc>
        <w:tc>
          <w:tcPr>
            <w:tcW w:type="dxa" w:w="3051"/>
            <w:shd w:val="clear" w:color="auto" w:fill="F1F2F5"/>
          </w:tcPr>
          <w:p>
            <w:pPr>
              <w:pStyle w:val="Compact"/>
              <w:spacing w:after="0" w:before="0" w:line="240" w:lineRule="auto"/>
              <w:jc w:val="left"/>
            </w:pPr>
            <w:r>
              <w:rPr>
                <w:rFonts w:ascii="Arial" w:hAnsi="Arial"/>
                <w:sz w:val="15"/>
              </w:rPr>
              <w:t xml:space="preserve">Not disclosed (below the 5% threshold)</w:t>
            </w:r>
          </w:p>
        </w:tc>
      </w:tr>
      <w:tr>
        <w:trPr>
          <w:cantSplit/>
        </w:trPr>
        <w:tc>
          <w:tcPr>
            <w:tcW w:type="dxa" w:w="410"/>
          </w:tcPr>
          <w:p>
            <w:pPr>
              <w:pStyle w:val="Compact"/>
              <w:spacing w:after="0" w:before="0" w:line="240" w:lineRule="auto"/>
              <w:jc w:val="right"/>
            </w:pPr>
            <w:r>
              <w:rPr>
                <w:rFonts w:ascii="Arial" w:hAnsi="Arial"/>
                <w:sz w:val="15"/>
              </w:rPr>
              <w:t xml:space="preserve">5</w:t>
            </w:r>
          </w:p>
        </w:tc>
        <w:tc>
          <w:tcPr>
            <w:tcW w:type="dxa" w:w="1986"/>
          </w:tcPr>
          <w:p>
            <w:pPr>
              <w:pStyle w:val="Compact"/>
              <w:spacing w:after="0" w:before="0" w:line="240" w:lineRule="auto"/>
              <w:jc w:val="left"/>
            </w:pPr>
            <w:r>
              <w:rPr>
                <w:rFonts w:ascii="Arial" w:hAnsi="Arial"/>
                <w:sz w:val="15"/>
              </w:rPr>
              <w:t xml:space="preserve">BlackRock (iShares)</w:t>
            </w:r>
          </w:p>
        </w:tc>
        <w:tc>
          <w:tcPr>
            <w:tcW w:type="dxa" w:w="1930"/>
          </w:tcPr>
          <w:p>
            <w:pPr>
              <w:pStyle w:val="Compact"/>
              <w:spacing w:after="0" w:before="0" w:line="240" w:lineRule="auto"/>
              <w:jc w:val="left"/>
            </w:pPr>
            <w:r>
              <w:rPr>
                <w:rFonts w:ascii="Arial" w:hAnsi="Arial"/>
                <w:sz w:val="15"/>
              </w:rPr>
              <w:t xml:space="preserve">Foreign passive</w:t>
            </w:r>
          </w:p>
        </w:tc>
        <w:tc>
          <w:tcPr>
            <w:tcW w:type="dxa" w:w="1499"/>
          </w:tcPr>
          <w:p>
            <w:pPr>
              <w:pStyle w:val="Compact"/>
              <w:spacing w:after="0" w:before="0" w:line="240" w:lineRule="auto"/>
              <w:jc w:val="right"/>
            </w:pPr>
            <w:r>
              <w:rPr>
                <w:rFonts w:ascii="Arial" w:hAnsi="Arial"/>
                <w:sz w:val="15"/>
              </w:rPr>
              <w:t xml:space="preserve">n/d</w:t>
            </w:r>
          </w:p>
        </w:tc>
        <w:tc>
          <w:tcPr>
            <w:tcW w:type="dxa" w:w="1102"/>
          </w:tcPr>
          <w:p>
            <w:pPr>
              <w:pStyle w:val="Compact"/>
              <w:spacing w:after="0" w:before="0" w:line="240" w:lineRule="auto"/>
              <w:jc w:val="right"/>
            </w:pPr>
            <w:r>
              <w:rPr>
                <w:rFonts w:ascii="Arial" w:hAnsi="Arial"/>
                <w:sz w:val="15"/>
              </w:rPr>
              <w:t xml:space="preserve">~1% [u]</w:t>
            </w:r>
          </w:p>
        </w:tc>
        <w:tc>
          <w:tcPr>
            <w:tcW w:type="dxa" w:w="3051"/>
          </w:tcPr>
          <w:p>
            <w:pPr>
              <w:pStyle w:val="Compact"/>
              <w:spacing w:after="0" w:before="0" w:line="240" w:lineRule="auto"/>
              <w:jc w:val="left"/>
            </w:pPr>
            <w:r>
              <w:rPr>
                <w:rFonts w:ascii="Arial" w:hAnsi="Arial"/>
                <w:sz w:val="15"/>
              </w:rPr>
              <w:t xml:space="preserve">Not disclosed</w:t>
            </w:r>
          </w:p>
        </w:tc>
      </w:tr>
      <w:tr>
        <w:trPr>
          <w:cantSplit/>
        </w:trPr>
        <w:tc>
          <w:tcPr>
            <w:tcW w:type="dxa" w:w="410"/>
            <w:shd w:val="clear" w:color="auto" w:fill="F1F2F5"/>
          </w:tcPr>
          <w:p>
            <w:pPr>
              <w:pStyle w:val="Compact"/>
              <w:spacing w:after="0" w:before="0" w:line="240" w:lineRule="auto"/>
              <w:jc w:val="right"/>
            </w:pPr>
            <w:r>
              <w:rPr>
                <w:rFonts w:ascii="Arial" w:hAnsi="Arial"/>
                <w:sz w:val="15"/>
              </w:rPr>
              <w:t xml:space="preserve">6</w:t>
            </w:r>
          </w:p>
        </w:tc>
        <w:tc>
          <w:tcPr>
            <w:tcW w:type="dxa" w:w="1986"/>
            <w:shd w:val="clear" w:color="auto" w:fill="F1F2F5"/>
          </w:tcPr>
          <w:p>
            <w:pPr>
              <w:pStyle w:val="Compact"/>
              <w:spacing w:after="0" w:before="0" w:line="240" w:lineRule="auto"/>
              <w:jc w:val="left"/>
            </w:pPr>
            <w:r>
              <w:rPr>
                <w:rFonts w:ascii="Arial" w:hAnsi="Arial"/>
                <w:sz w:val="15"/>
              </w:rPr>
              <w:t xml:space="preserve">Mackenzie Investments</w:t>
            </w:r>
          </w:p>
        </w:tc>
        <w:tc>
          <w:tcPr>
            <w:tcW w:type="dxa" w:w="1930"/>
            <w:shd w:val="clear" w:color="auto" w:fill="F1F2F5"/>
          </w:tcPr>
          <w:p>
            <w:pPr>
              <w:pStyle w:val="Compact"/>
              <w:spacing w:after="0" w:before="0" w:line="240" w:lineRule="auto"/>
              <w:jc w:val="left"/>
            </w:pPr>
            <w:r>
              <w:rPr>
                <w:rFonts w:ascii="Arial" w:hAnsi="Arial"/>
                <w:sz w:val="15"/>
              </w:rPr>
              <w:t xml:space="preserve">Foreign institution</w:t>
            </w:r>
          </w:p>
        </w:tc>
        <w:tc>
          <w:tcPr>
            <w:tcW w:type="dxa" w:w="1499"/>
            <w:shd w:val="clear" w:color="auto" w:fill="F1F2F5"/>
          </w:tcPr>
          <w:p>
            <w:pPr>
              <w:pStyle w:val="Compact"/>
              <w:spacing w:after="0" w:before="0" w:line="240" w:lineRule="auto"/>
              <w:jc w:val="right"/>
            </w:pPr>
            <w:r>
              <w:rPr>
                <w:rFonts w:ascii="Arial" w:hAnsi="Arial"/>
                <w:sz w:val="15"/>
              </w:rPr>
              <w:t xml:space="preserve">1.40</w:t>
            </w:r>
          </w:p>
        </w:tc>
        <w:tc>
          <w:tcPr>
            <w:tcW w:type="dxa" w:w="1102"/>
            <w:shd w:val="clear" w:color="auto" w:fill="F1F2F5"/>
          </w:tcPr>
          <w:p>
            <w:pPr>
              <w:pStyle w:val="Compact"/>
              <w:spacing w:after="0" w:before="0" w:line="240" w:lineRule="auto"/>
              <w:jc w:val="right"/>
            </w:pPr>
            <w:r>
              <w:rPr>
                <w:rFonts w:ascii="Arial" w:hAnsi="Arial"/>
                <w:sz w:val="15"/>
              </w:rPr>
              <w:t xml:space="preserve">0.33%</w:t>
            </w:r>
          </w:p>
        </w:tc>
        <w:tc>
          <w:tcPr>
            <w:tcW w:type="dxa" w:w="3051"/>
            <w:shd w:val="clear" w:color="auto" w:fill="F1F2F5"/>
          </w:tcPr>
          <w:p>
            <w:pPr>
              <w:pStyle w:val="Compact"/>
              <w:spacing w:after="0" w:before="0" w:line="240" w:lineRule="auto"/>
              <w:jc w:val="left"/>
            </w:pPr>
            <w:r>
              <w:rPr>
                <w:rFonts w:ascii="Arial" w:hAnsi="Arial"/>
                <w:sz w:val="15"/>
              </w:rPr>
              <w:t xml:space="preserve">MarketScreener, Jul-2026 [u]</w:t>
            </w:r>
          </w:p>
        </w:tc>
      </w:tr>
      <w:tr>
        <w:trPr>
          <w:cantSplit/>
        </w:trPr>
        <w:tc>
          <w:tcPr>
            <w:tcW w:type="dxa" w:w="410"/>
          </w:tcPr>
          <w:p>
            <w:pPr>
              <w:pStyle w:val="Compact"/>
              <w:spacing w:after="0" w:before="0" w:line="240" w:lineRule="auto"/>
              <w:jc w:val="right"/>
            </w:pPr>
            <w:r>
              <w:rPr>
                <w:rFonts w:ascii="Arial" w:hAnsi="Arial"/>
                <w:sz w:val="15"/>
              </w:rPr>
              <w:t xml:space="preserve">7</w:t>
            </w:r>
          </w:p>
        </w:tc>
        <w:tc>
          <w:tcPr>
            <w:tcW w:type="dxa" w:w="1986"/>
          </w:tcPr>
          <w:p>
            <w:pPr>
              <w:pStyle w:val="Compact"/>
              <w:spacing w:after="0" w:before="0" w:line="240" w:lineRule="auto"/>
              <w:jc w:val="left"/>
            </w:pPr>
            <w:r>
              <w:rPr>
                <w:rFonts w:ascii="Arial" w:hAnsi="Arial"/>
                <w:sz w:val="15"/>
              </w:rPr>
              <w:t xml:space="preserve">Research Affiliates</w:t>
            </w:r>
          </w:p>
        </w:tc>
        <w:tc>
          <w:tcPr>
            <w:tcW w:type="dxa" w:w="1930"/>
          </w:tcPr>
          <w:p>
            <w:pPr>
              <w:pStyle w:val="Compact"/>
              <w:spacing w:after="0" w:before="0" w:line="240" w:lineRule="auto"/>
              <w:jc w:val="left"/>
            </w:pPr>
            <w:r>
              <w:rPr>
                <w:rFonts w:ascii="Arial" w:hAnsi="Arial"/>
                <w:sz w:val="15"/>
              </w:rPr>
              <w:t xml:space="preserve">Foreign institution</w:t>
            </w:r>
          </w:p>
        </w:tc>
        <w:tc>
          <w:tcPr>
            <w:tcW w:type="dxa" w:w="1499"/>
          </w:tcPr>
          <w:p>
            <w:pPr>
              <w:pStyle w:val="Compact"/>
              <w:spacing w:after="0" w:before="0" w:line="240" w:lineRule="auto"/>
              <w:jc w:val="right"/>
            </w:pPr>
            <w:r>
              <w:rPr>
                <w:rFonts w:ascii="Arial" w:hAnsi="Arial"/>
                <w:sz w:val="15"/>
              </w:rPr>
              <w:t xml:space="preserve">1.08</w:t>
            </w:r>
          </w:p>
        </w:tc>
        <w:tc>
          <w:tcPr>
            <w:tcW w:type="dxa" w:w="1102"/>
          </w:tcPr>
          <w:p>
            <w:pPr>
              <w:pStyle w:val="Compact"/>
              <w:spacing w:after="0" w:before="0" w:line="240" w:lineRule="auto"/>
              <w:jc w:val="right"/>
            </w:pPr>
            <w:r>
              <w:rPr>
                <w:rFonts w:ascii="Arial" w:hAnsi="Arial"/>
                <w:sz w:val="15"/>
              </w:rPr>
              <w:t xml:space="preserve">0.25%</w:t>
            </w:r>
          </w:p>
        </w:tc>
        <w:tc>
          <w:tcPr>
            <w:tcW w:type="dxa" w:w="3051"/>
          </w:tcPr>
          <w:p>
            <w:pPr>
              <w:pStyle w:val="Compact"/>
              <w:spacing w:after="0" w:before="0" w:line="240" w:lineRule="auto"/>
              <w:jc w:val="left"/>
            </w:pPr>
            <w:r>
              <w:rPr>
                <w:rFonts w:ascii="Arial" w:hAnsi="Arial"/>
                <w:sz w:val="15"/>
              </w:rPr>
              <w:t xml:space="preserve">MarketScreener [u]</w:t>
            </w:r>
          </w:p>
        </w:tc>
      </w:tr>
      <w:tr>
        <w:trPr>
          <w:cantSplit/>
        </w:trPr>
        <w:tc>
          <w:tcPr>
            <w:tcW w:type="dxa" w:w="410"/>
            <w:shd w:val="clear" w:color="auto" w:fill="F1F2F5"/>
          </w:tcPr>
          <w:p>
            <w:pPr>
              <w:pStyle w:val="Compact"/>
              <w:spacing w:after="0" w:before="0" w:line="240" w:lineRule="auto"/>
              <w:jc w:val="right"/>
            </w:pPr>
            <w:r>
              <w:rPr>
                <w:rFonts w:ascii="Arial" w:hAnsi="Arial"/>
                <w:sz w:val="15"/>
              </w:rPr>
              <w:t xml:space="preserve">8</w:t>
            </w:r>
          </w:p>
        </w:tc>
        <w:tc>
          <w:tcPr>
            <w:tcW w:type="dxa" w:w="1986"/>
            <w:shd w:val="clear" w:color="auto" w:fill="F1F2F5"/>
          </w:tcPr>
          <w:p>
            <w:pPr>
              <w:pStyle w:val="Compact"/>
              <w:spacing w:after="0" w:before="0" w:line="240" w:lineRule="auto"/>
              <w:jc w:val="left"/>
            </w:pPr>
            <w:r>
              <w:rPr>
                <w:rFonts w:ascii="Arial" w:hAnsi="Arial"/>
                <w:sz w:val="15"/>
              </w:rPr>
              <w:t xml:space="preserve">State Street Global Advisors</w:t>
            </w:r>
          </w:p>
        </w:tc>
        <w:tc>
          <w:tcPr>
            <w:tcW w:type="dxa" w:w="1930"/>
            <w:shd w:val="clear" w:color="auto" w:fill="F1F2F5"/>
          </w:tcPr>
          <w:p>
            <w:pPr>
              <w:pStyle w:val="Compact"/>
              <w:spacing w:after="0" w:before="0" w:line="240" w:lineRule="auto"/>
              <w:jc w:val="left"/>
            </w:pPr>
            <w:r>
              <w:rPr>
                <w:rFonts w:ascii="Arial" w:hAnsi="Arial"/>
                <w:sz w:val="15"/>
              </w:rPr>
              <w:t xml:space="preserve">Foreign passive</w:t>
            </w:r>
          </w:p>
        </w:tc>
        <w:tc>
          <w:tcPr>
            <w:tcW w:type="dxa" w:w="1499"/>
            <w:shd w:val="clear" w:color="auto" w:fill="F1F2F5"/>
          </w:tcPr>
          <w:p>
            <w:pPr>
              <w:pStyle w:val="Compact"/>
              <w:spacing w:after="0" w:before="0" w:line="240" w:lineRule="auto"/>
              <w:jc w:val="right"/>
            </w:pPr>
            <w:r>
              <w:rPr>
                <w:rFonts w:ascii="Arial" w:hAnsi="Arial"/>
                <w:sz w:val="15"/>
              </w:rPr>
              <w:t xml:space="preserve">~0.8</w:t>
            </w:r>
          </w:p>
        </w:tc>
        <w:tc>
          <w:tcPr>
            <w:tcW w:type="dxa" w:w="1102"/>
            <w:shd w:val="clear" w:color="auto" w:fill="F1F2F5"/>
          </w:tcPr>
          <w:p>
            <w:pPr>
              <w:pStyle w:val="Compact"/>
              <w:spacing w:after="0" w:before="0" w:line="240" w:lineRule="auto"/>
              <w:jc w:val="right"/>
            </w:pPr>
            <w:r>
              <w:rPr>
                <w:rFonts w:ascii="Arial" w:hAnsi="Arial"/>
                <w:sz w:val="15"/>
              </w:rPr>
              <w:t xml:space="preserve">~0.19%</w:t>
            </w:r>
          </w:p>
        </w:tc>
        <w:tc>
          <w:tcPr>
            <w:tcW w:type="dxa" w:w="3051"/>
            <w:shd w:val="clear" w:color="auto" w:fill="F1F2F5"/>
          </w:tcPr>
          <w:p>
            <w:pPr>
              <w:pStyle w:val="Compact"/>
              <w:spacing w:after="0" w:before="0" w:line="240" w:lineRule="auto"/>
              <w:jc w:val="left"/>
            </w:pPr>
            <w:r>
              <w:rPr>
                <w:rFonts w:ascii="Arial" w:hAnsi="Arial"/>
                <w:sz w:val="15"/>
              </w:rPr>
              <w:t xml:space="preserve">MarketScreener [u]</w:t>
            </w:r>
          </w:p>
        </w:tc>
      </w:tr>
      <w:tr>
        <w:trPr>
          <w:cantSplit/>
        </w:trPr>
        <w:tc>
          <w:tcPr>
            <w:tcW w:type="dxa" w:w="410"/>
          </w:tcPr>
          <w:p>
            <w:pPr>
              <w:pStyle w:val="Compact"/>
              <w:spacing w:after="0" w:before="0" w:line="240" w:lineRule="auto"/>
              <w:jc w:val="right"/>
            </w:pPr>
            <w:r>
              <w:rPr>
                <w:rFonts w:ascii="Arial" w:hAnsi="Arial"/>
                <w:sz w:val="15"/>
              </w:rPr>
              <w:t xml:space="preserve">9</w:t>
            </w:r>
          </w:p>
        </w:tc>
        <w:tc>
          <w:tcPr>
            <w:tcW w:type="dxa" w:w="1986"/>
          </w:tcPr>
          <w:p>
            <w:pPr>
              <w:pStyle w:val="Compact"/>
              <w:spacing w:after="0" w:before="0" w:line="240" w:lineRule="auto"/>
              <w:jc w:val="left"/>
            </w:pPr>
            <w:r>
              <w:rPr>
                <w:rFonts w:ascii="Arial" w:hAnsi="Arial"/>
                <w:sz w:val="15"/>
              </w:rPr>
              <w:t xml:space="preserve">Niche Asset Management</w:t>
            </w:r>
          </w:p>
        </w:tc>
        <w:tc>
          <w:tcPr>
            <w:tcW w:type="dxa" w:w="1930"/>
          </w:tcPr>
          <w:p>
            <w:pPr>
              <w:pStyle w:val="Compact"/>
              <w:spacing w:after="0" w:before="0" w:line="240" w:lineRule="auto"/>
              <w:jc w:val="left"/>
            </w:pPr>
            <w:r>
              <w:rPr>
                <w:rFonts w:ascii="Arial" w:hAnsi="Arial"/>
                <w:sz w:val="15"/>
              </w:rPr>
              <w:t xml:space="preserve">Institution</w:t>
            </w:r>
          </w:p>
        </w:tc>
        <w:tc>
          <w:tcPr>
            <w:tcW w:type="dxa" w:w="1499"/>
          </w:tcPr>
          <w:p>
            <w:pPr>
              <w:pStyle w:val="Compact"/>
              <w:spacing w:after="0" w:before="0" w:line="240" w:lineRule="auto"/>
              <w:jc w:val="right"/>
            </w:pPr>
            <w:r>
              <w:rPr>
                <w:rFonts w:ascii="Arial" w:hAnsi="Arial"/>
                <w:sz w:val="15"/>
              </w:rPr>
              <w:t xml:space="preserve">0.73</w:t>
            </w:r>
          </w:p>
        </w:tc>
        <w:tc>
          <w:tcPr>
            <w:tcW w:type="dxa" w:w="1102"/>
          </w:tcPr>
          <w:p>
            <w:pPr>
              <w:pStyle w:val="Compact"/>
              <w:spacing w:after="0" w:before="0" w:line="240" w:lineRule="auto"/>
              <w:jc w:val="right"/>
            </w:pPr>
            <w:r>
              <w:rPr>
                <w:rFonts w:ascii="Arial" w:hAnsi="Arial"/>
                <w:sz w:val="15"/>
              </w:rPr>
              <w:t xml:space="preserve">0.17%</w:t>
            </w:r>
          </w:p>
        </w:tc>
        <w:tc>
          <w:tcPr>
            <w:tcW w:type="dxa" w:w="3051"/>
          </w:tcPr>
          <w:p>
            <w:pPr>
              <w:pStyle w:val="Compact"/>
              <w:spacing w:after="0" w:before="0" w:line="240" w:lineRule="auto"/>
              <w:jc w:val="left"/>
            </w:pPr>
            <w:r>
              <w:rPr>
                <w:rFonts w:ascii="Arial" w:hAnsi="Arial"/>
                <w:sz w:val="15"/>
              </w:rPr>
              <w:t xml:space="preserve">MarketScreener [u]</w:t>
            </w:r>
          </w:p>
        </w:tc>
      </w:tr>
      <w:tr>
        <w:trPr>
          <w:cantSplit/>
        </w:trPr>
        <w:tc>
          <w:tcPr>
            <w:tcW w:type="dxa" w:w="410"/>
            <w:shd w:val="clear" w:color="auto" w:fill="F1F2F5"/>
          </w:tcPr>
          <w:p>
            <w:pPr>
              <w:pStyle w:val="Compact"/>
              <w:spacing w:after="0" w:before="0" w:line="240" w:lineRule="auto"/>
              <w:jc w:val="right"/>
            </w:pPr>
            <w:r>
              <w:rPr>
                <w:rFonts w:ascii="Arial" w:hAnsi="Arial"/>
                <w:sz w:val="15"/>
              </w:rPr>
              <w:t xml:space="preserve">10</w:t>
            </w:r>
          </w:p>
        </w:tc>
        <w:tc>
          <w:tcPr>
            <w:tcW w:type="dxa" w:w="1986"/>
            <w:shd w:val="clear" w:color="auto" w:fill="F1F2F5"/>
          </w:tcPr>
          <w:p>
            <w:pPr>
              <w:pStyle w:val="Compact"/>
              <w:spacing w:after="0" w:before="0" w:line="240" w:lineRule="auto"/>
              <w:jc w:val="left"/>
            </w:pPr>
            <w:r>
              <w:rPr>
                <w:rFonts w:ascii="Arial" w:hAnsi="Arial"/>
                <w:sz w:val="15"/>
              </w:rPr>
              <w:t xml:space="preserve">Nordea Investment Management</w:t>
            </w:r>
          </w:p>
        </w:tc>
        <w:tc>
          <w:tcPr>
            <w:tcW w:type="dxa" w:w="1930"/>
            <w:shd w:val="clear" w:color="auto" w:fill="F1F2F5"/>
          </w:tcPr>
          <w:p>
            <w:pPr>
              <w:pStyle w:val="Compact"/>
              <w:spacing w:after="0" w:before="0" w:line="240" w:lineRule="auto"/>
              <w:jc w:val="left"/>
            </w:pPr>
            <w:r>
              <w:rPr>
                <w:rFonts w:ascii="Arial" w:hAnsi="Arial"/>
                <w:sz w:val="15"/>
              </w:rPr>
              <w:t xml:space="preserve">Foreign institution</w:t>
            </w:r>
          </w:p>
        </w:tc>
        <w:tc>
          <w:tcPr>
            <w:tcW w:type="dxa" w:w="1499"/>
            <w:shd w:val="clear" w:color="auto" w:fill="F1F2F5"/>
          </w:tcPr>
          <w:p>
            <w:pPr>
              <w:pStyle w:val="Compact"/>
              <w:spacing w:after="0" w:before="0" w:line="240" w:lineRule="auto"/>
              <w:jc w:val="right"/>
            </w:pPr>
            <w:r>
              <w:rPr>
                <w:rFonts w:ascii="Arial" w:hAnsi="Arial"/>
                <w:sz w:val="15"/>
              </w:rPr>
              <w:t xml:space="preserve">0.57</w:t>
            </w:r>
          </w:p>
        </w:tc>
        <w:tc>
          <w:tcPr>
            <w:tcW w:type="dxa" w:w="1102"/>
            <w:shd w:val="clear" w:color="auto" w:fill="F1F2F5"/>
          </w:tcPr>
          <w:p>
            <w:pPr>
              <w:pStyle w:val="Compact"/>
              <w:spacing w:after="0" w:before="0" w:line="240" w:lineRule="auto"/>
              <w:jc w:val="right"/>
            </w:pPr>
            <w:r>
              <w:rPr>
                <w:rFonts w:ascii="Arial" w:hAnsi="Arial"/>
                <w:sz w:val="15"/>
              </w:rPr>
              <w:t xml:space="preserve">0.13%</w:t>
            </w:r>
          </w:p>
        </w:tc>
        <w:tc>
          <w:tcPr>
            <w:tcW w:type="dxa" w:w="3051"/>
            <w:shd w:val="clear" w:color="auto" w:fill="F1F2F5"/>
          </w:tcPr>
          <w:p>
            <w:pPr>
              <w:pStyle w:val="Compact"/>
              <w:spacing w:after="0" w:before="0" w:line="240" w:lineRule="auto"/>
              <w:jc w:val="left"/>
            </w:pPr>
            <w:r>
              <w:rPr>
                <w:rFonts w:ascii="Arial" w:hAnsi="Arial"/>
                <w:sz w:val="15"/>
              </w:rPr>
              <w:t xml:space="preserve">MarketScreener [u]</w:t>
            </w:r>
          </w:p>
        </w:tc>
      </w:tr>
      <w:tr>
        <w:trPr>
          <w:cantSplit/>
        </w:trPr>
        <w:tc>
          <w:tcPr>
            <w:tcW w:type="dxa" w:w="410"/>
          </w:tcPr>
          <w:p>
            <w:pPr>
              <w:pStyle w:val="Compact"/>
              <w:spacing w:after="0" w:before="0" w:line="240" w:lineRule="auto"/>
              <w:jc w:val="right"/>
            </w:pPr>
            <w:r>
              <w:rPr>
                <w:rFonts w:ascii="Arial" w:hAnsi="Arial"/>
                <w:sz w:val="15"/>
              </w:rPr>
              <w:t xml:space="preserve">–</w:t>
            </w:r>
          </w:p>
        </w:tc>
        <w:tc>
          <w:tcPr>
            <w:tcW w:type="dxa" w:w="1986"/>
          </w:tcPr>
          <w:p>
            <w:pPr>
              <w:pStyle w:val="Compact"/>
              <w:spacing w:after="0" w:before="0" w:line="240" w:lineRule="auto"/>
              <w:jc w:val="left"/>
            </w:pPr>
            <w:r>
              <w:rPr>
                <w:rFonts w:ascii="Arial" w:hAnsi="Arial"/>
                <w:sz w:val="15"/>
              </w:rPr>
              <w:t xml:space="preserve">Directors and officers</w:t>
            </w:r>
          </w:p>
        </w:tc>
        <w:tc>
          <w:tcPr>
            <w:tcW w:type="dxa" w:w="1930"/>
          </w:tcPr>
          <w:p>
            <w:pPr>
              <w:pStyle w:val="Compact"/>
              <w:spacing w:after="0" w:before="0" w:line="240" w:lineRule="auto"/>
              <w:jc w:val="left"/>
            </w:pPr>
            <w:r>
              <w:rPr>
                <w:rFonts w:ascii="Arial" w:hAnsi="Arial"/>
                <w:sz w:val="15"/>
              </w:rPr>
              <w:t xml:space="preserve">Insiders</w:t>
            </w:r>
          </w:p>
        </w:tc>
        <w:tc>
          <w:tcPr>
            <w:tcW w:type="dxa" w:w="1499"/>
          </w:tcPr>
          <w:p>
            <w:pPr>
              <w:pStyle w:val="Compact"/>
              <w:spacing w:after="0" w:before="0" w:line="240" w:lineRule="auto"/>
              <w:jc w:val="right"/>
            </w:pPr>
            <w:r>
              <w:rPr>
                <w:rFonts w:ascii="Arial" w:hAnsi="Arial"/>
                <w:sz w:val="15"/>
              </w:rPr>
              <w:t xml:space="preserve">~0.09</w:t>
            </w:r>
          </w:p>
        </w:tc>
        <w:tc>
          <w:tcPr>
            <w:tcW w:type="dxa" w:w="1102"/>
          </w:tcPr>
          <w:p>
            <w:pPr>
              <w:pStyle w:val="Compact"/>
              <w:spacing w:after="0" w:before="0" w:line="240" w:lineRule="auto"/>
              <w:jc w:val="right"/>
            </w:pPr>
            <w:r>
              <w:rPr>
                <w:rFonts w:ascii="Arial" w:hAnsi="Arial"/>
                <w:sz w:val="15"/>
              </w:rPr>
              <w:t xml:space="preserve">&lt;0.02%</w:t>
            </w:r>
          </w:p>
        </w:tc>
        <w:tc>
          <w:tcPr>
            <w:tcW w:type="dxa" w:w="3051"/>
          </w:tcPr>
          <w:p>
            <w:pPr>
              <w:pStyle w:val="Compact"/>
              <w:spacing w:after="0" w:before="0" w:line="240" w:lineRule="auto"/>
              <w:jc w:val="left"/>
            </w:pPr>
            <w:r>
              <w:rPr>
                <w:rFonts w:ascii="Arial" w:hAnsi="Arial"/>
                <w:sz w:val="15"/>
              </w:rPr>
              <w:t xml:space="preserve">Hong 20k; Yeo ≥5k; Hwang ~60.8k [e]</w:t>
            </w:r>
          </w:p>
        </w:tc>
      </w:tr>
      <w:tr>
        <w:trPr>
          <w:cantSplit/>
        </w:trPr>
        <w:tc>
          <w:tcPr>
            <w:tcW w:type="dxa" w:w="410"/>
            <w:shd w:val="clear" w:color="auto" w:fill="F1F2F5"/>
          </w:tcPr>
          <w:p>
            <w:pPr>
              <w:pStyle w:val="Compact"/>
              <w:spacing w:after="0" w:before="0" w:line="240" w:lineRule="auto"/>
              <w:jc w:val="right"/>
            </w:pPr>
            <w:r>
              <w:rPr>
                <w:rFonts w:ascii="Arial" w:hAnsi="Arial"/>
                <w:sz w:val="15"/>
              </w:rPr>
              <w:t xml:space="preserve">–</w:t>
            </w:r>
          </w:p>
        </w:tc>
        <w:tc>
          <w:tcPr>
            <w:tcW w:type="dxa" w:w="1986"/>
            <w:shd w:val="clear" w:color="auto" w:fill="F1F2F5"/>
          </w:tcPr>
          <w:p>
            <w:pPr>
              <w:pStyle w:val="Compact"/>
              <w:spacing w:after="0" w:before="0" w:line="240" w:lineRule="auto"/>
              <w:jc w:val="left"/>
            </w:pPr>
            <w:r>
              <w:rPr>
                <w:rFonts w:ascii="Arial" w:hAnsi="Arial"/>
                <w:sz w:val="15"/>
              </w:rPr>
              <w:t xml:space="preserve">Treasury shares</w:t>
            </w:r>
          </w:p>
        </w:tc>
        <w:tc>
          <w:tcPr>
            <w:tcW w:type="dxa" w:w="1930"/>
            <w:shd w:val="clear" w:color="auto" w:fill="F1F2F5"/>
          </w:tcPr>
          <w:p>
            <w:pPr>
              <w:pStyle w:val="Compact"/>
              <w:spacing w:after="0" w:before="0" w:line="240" w:lineRule="auto"/>
              <w:jc w:val="left"/>
            </w:pPr>
            <w:r>
              <w:rPr>
                <w:rFonts w:ascii="Arial" w:hAnsi="Arial"/>
                <w:sz w:val="15"/>
              </w:rPr>
              <w:t xml:space="preserve">Company</w:t>
            </w:r>
          </w:p>
        </w:tc>
        <w:tc>
          <w:tcPr>
            <w:tcW w:type="dxa" w:w="1499"/>
            <w:shd w:val="clear" w:color="auto" w:fill="F1F2F5"/>
          </w:tcPr>
          <w:p>
            <w:pPr>
              <w:pStyle w:val="Compact"/>
              <w:spacing w:after="0" w:before="0" w:line="240" w:lineRule="auto"/>
              <w:jc w:val="right"/>
            </w:pPr>
            <w:r>
              <w:rPr>
                <w:rFonts w:ascii="Arial" w:hAnsi="Arial"/>
                <w:sz w:val="15"/>
              </w:rPr>
              <w:t xml:space="preserve">0 at 30-Jun-2026</w:t>
            </w:r>
          </w:p>
        </w:tc>
        <w:tc>
          <w:tcPr>
            <w:tcW w:type="dxa" w:w="1102"/>
            <w:shd w:val="clear" w:color="auto" w:fill="F1F2F5"/>
          </w:tcPr>
          <w:p>
            <w:pPr>
              <w:pStyle w:val="Compact"/>
              <w:spacing w:after="0" w:before="0" w:line="240" w:lineRule="auto"/>
              <w:jc w:val="right"/>
            </w:pPr>
            <w:r>
              <w:rPr>
                <w:rFonts w:ascii="Arial" w:hAnsi="Arial"/>
                <w:sz w:val="15"/>
              </w:rPr>
              <w:t xml:space="preserve">0%</w:t>
            </w:r>
          </w:p>
        </w:tc>
        <w:tc>
          <w:tcPr>
            <w:tcW w:type="dxa" w:w="3051"/>
            <w:shd w:val="clear" w:color="auto" w:fill="F1F2F5"/>
          </w:tcPr>
          <w:p>
            <w:pPr>
              <w:pStyle w:val="Compact"/>
              <w:spacing w:after="0" w:before="0" w:line="240" w:lineRule="auto"/>
              <w:jc w:val="left"/>
            </w:pPr>
            <w:r>
              <w:rPr>
                <w:rFonts w:ascii="Arial" w:hAnsi="Arial"/>
                <w:sz w:val="15"/>
              </w:rPr>
              <w:t xml:space="preserve">KRW90bn buyback buying since 14-Aug-2026 (~6.0m shares by Feb-2027)</w:t>
            </w:r>
          </w:p>
        </w:tc>
      </w:tr>
      <w:tr>
        <w:trPr>
          <w:cantSplit/>
        </w:trPr>
        <w:tc>
          <w:tcPr>
            <w:tcW w:type="dxa" w:w="410"/>
          </w:tcPr>
          <w:p>
            <w:pPr>
              <w:pStyle w:val="Compact"/>
              <w:spacing w:after="0" w:before="0" w:line="240" w:lineRule="auto"/>
              <w:jc w:val="right"/>
            </w:pPr>
            <w:r>
              <w:rPr>
                <w:rFonts w:ascii="Arial" w:hAnsi="Arial"/>
                <w:sz w:val="15"/>
              </w:rPr>
              <w:t xml:space="preserve">–</w:t>
            </w:r>
          </w:p>
        </w:tc>
        <w:tc>
          <w:tcPr>
            <w:tcW w:type="dxa" w:w="1986"/>
          </w:tcPr>
          <w:p>
            <w:pPr>
              <w:pStyle w:val="Compact"/>
              <w:spacing w:after="0" w:before="0" w:line="240" w:lineRule="auto"/>
              <w:jc w:val="left"/>
            </w:pPr>
            <w:r>
              <w:rPr>
                <w:rFonts w:ascii="Arial" w:hAnsi="Arial"/>
                <w:sz w:val="15"/>
              </w:rPr>
              <w:t xml:space="preserve">Aggregate foreign ownership</w:t>
            </w:r>
          </w:p>
        </w:tc>
        <w:tc>
          <w:tcPr>
            <w:tcW w:type="dxa" w:w="1930"/>
          </w:tcPr>
          <w:p>
            <w:pPr>
              <w:pStyle w:val="Compact"/>
              <w:spacing w:after="0" w:before="0" w:line="240" w:lineRule="auto"/>
              <w:jc w:val="left"/>
            </w:pPr>
            <w:r>
              <w:rPr>
                <w:rFonts w:ascii="Arial" w:hAnsi="Arial"/>
                <w:sz w:val="15"/>
              </w:rPr>
              <w:t xml:space="preserve">–</w:t>
            </w:r>
          </w:p>
        </w:tc>
        <w:tc>
          <w:tcPr>
            <w:tcW w:type="dxa" w:w="1499"/>
          </w:tcPr>
          <w:p>
            <w:pPr>
              <w:pStyle w:val="Compact"/>
              <w:spacing w:after="0" w:before="0" w:line="240" w:lineRule="auto"/>
              <w:jc w:val="right"/>
            </w:pPr>
            <w:r>
              <w:rPr>
                <w:rFonts w:ascii="Arial" w:hAnsi="Arial"/>
                <w:sz w:val="15"/>
              </w:rPr>
              <w:t xml:space="preserve">~178</w:t>
            </w:r>
          </w:p>
        </w:tc>
        <w:tc>
          <w:tcPr>
            <w:tcW w:type="dxa" w:w="1102"/>
          </w:tcPr>
          <w:p>
            <w:pPr>
              <w:pStyle w:val="Compact"/>
              <w:spacing w:after="0" w:before="0" w:line="240" w:lineRule="auto"/>
              <w:jc w:val="right"/>
            </w:pPr>
            <w:r>
              <w:rPr>
                <w:rFonts w:ascii="Arial" w:hAnsi="Arial"/>
                <w:sz w:val="15"/>
              </w:rPr>
              <w:t xml:space="preserve">~41.9%</w:t>
            </w:r>
          </w:p>
        </w:tc>
        <w:tc>
          <w:tcPr>
            <w:tcW w:type="dxa" w:w="3051"/>
          </w:tcPr>
          <w:p>
            <w:pPr>
              <w:pStyle w:val="Compact"/>
              <w:spacing w:after="0" w:before="0" w:line="240" w:lineRule="auto"/>
              <w:jc w:val="left"/>
            </w:pPr>
            <w:r>
              <w:rPr>
                <w:rFonts w:ascii="Arial" w:hAnsi="Arial"/>
                <w:sz w:val="15"/>
              </w:rPr>
              <w:t xml:space="preserve">Apr-2026; 49% statutory cap</w:t>
            </w:r>
          </w:p>
        </w:tc>
      </w:tr>
      <w:tr>
        <w:trPr>
          <w:cantSplit/>
        </w:trPr>
        <w:tc>
          <w:tcPr>
            <w:tcW w:type="dxa" w:w="410"/>
            <w:shd w:val="clear" w:color="auto" w:fill="F1F2F5"/>
          </w:tcPr>
          <w:p>
            <w:pPr>
              <w:pStyle w:val="Compact"/>
              <w:spacing w:after="0" w:before="0" w:line="240" w:lineRule="auto"/>
              <w:jc w:val="right"/>
            </w:pPr>
            <w:r>
              <w:rPr>
                <w:rFonts w:ascii="Arial" w:hAnsi="Arial"/>
                <w:sz w:val="15"/>
              </w:rPr>
              <w:t xml:space="preserve">–</w:t>
            </w:r>
          </w:p>
        </w:tc>
        <w:tc>
          <w:tcPr>
            <w:tcW w:type="dxa" w:w="1986"/>
            <w:shd w:val="clear" w:color="auto" w:fill="F1F2F5"/>
          </w:tcPr>
          <w:p>
            <w:pPr>
              <w:pStyle w:val="Compact"/>
              <w:spacing w:after="0" w:before="0" w:line="240" w:lineRule="auto"/>
              <w:jc w:val="left"/>
            </w:pPr>
            <w:r>
              <w:rPr>
                <w:rFonts w:ascii="Arial" w:hAnsi="Arial"/>
                <w:sz w:val="15"/>
              </w:rPr>
              <w:t xml:space="preserve">Minority / free float</w:t>
            </w:r>
          </w:p>
        </w:tc>
        <w:tc>
          <w:tcPr>
            <w:tcW w:type="dxa" w:w="1930"/>
            <w:shd w:val="clear" w:color="auto" w:fill="F1F2F5"/>
          </w:tcPr>
          <w:p>
            <w:pPr>
              <w:pStyle w:val="Compact"/>
              <w:spacing w:after="0" w:before="0" w:line="240" w:lineRule="auto"/>
              <w:jc w:val="left"/>
            </w:pPr>
            <w:r>
              <w:rPr>
                <w:rFonts w:ascii="Arial" w:hAnsi="Arial"/>
                <w:sz w:val="15"/>
              </w:rPr>
              <w:t xml:space="preserve">–</w:t>
            </w:r>
          </w:p>
        </w:tc>
        <w:tc>
          <w:tcPr>
            <w:tcW w:type="dxa" w:w="1499"/>
            <w:shd w:val="clear" w:color="auto" w:fill="F1F2F5"/>
          </w:tcPr>
          <w:p>
            <w:pPr>
              <w:pStyle w:val="Compact"/>
              <w:spacing w:after="0" w:before="0" w:line="240" w:lineRule="auto"/>
              <w:jc w:val="right"/>
            </w:pPr>
            <w:r>
              <w:rPr>
                <w:rFonts w:ascii="Arial" w:hAnsi="Arial"/>
                <w:sz w:val="15"/>
              </w:rPr>
              <w:t xml:space="preserve">–</w:t>
            </w:r>
          </w:p>
        </w:tc>
        <w:tc>
          <w:tcPr>
            <w:tcW w:type="dxa" w:w="1102"/>
            <w:shd w:val="clear" w:color="auto" w:fill="F1F2F5"/>
          </w:tcPr>
          <w:p>
            <w:pPr>
              <w:pStyle w:val="Compact"/>
              <w:spacing w:after="0" w:before="0" w:line="240" w:lineRule="auto"/>
              <w:jc w:val="right"/>
            </w:pPr>
            <w:r>
              <w:rPr>
                <w:rFonts w:ascii="Arial" w:hAnsi="Arial"/>
                <w:sz w:val="15"/>
              </w:rPr>
              <w:t xml:space="preserve">~55%</w:t>
            </w:r>
          </w:p>
        </w:tc>
        <w:tc>
          <w:tcPr>
            <w:tcW w:type="dxa" w:w="3051"/>
            <w:shd w:val="clear" w:color="auto" w:fill="F1F2F5"/>
          </w:tcPr>
          <w:p>
            <w:pPr>
              <w:pStyle w:val="Compact"/>
              <w:spacing w:after="0" w:before="0" w:line="240" w:lineRule="auto"/>
              <w:jc w:val="left"/>
            </w:pPr>
            <w:r>
              <w:rPr>
                <w:rFonts w:ascii="Arial" w:hAnsi="Arial"/>
                <w:sz w:val="15"/>
              </w:rPr>
              <w:t xml:space="preserve">ex LG Corp and NPS</w:t>
            </w:r>
          </w:p>
        </w:tc>
      </w:tr>
    </w:tbl>
    <w:p>
      <w:pPr>
        <w:pStyle w:val="BodyText"/>
      </w:pPr>
      <w:r>
        <w:rPr>
          <w:iCs/>
          <w:i/>
        </w:rPr>
        <w:t xml:space="preserve">DART 5% filings and the full register could not be accessed; holders 4–10 are indicative only. Index weights are constrained by the foreign-ownership cap.</w:t>
      </w:r>
    </w:p>
    <w:bookmarkEnd w:id="105"/>
    <w:bookmarkStart w:id="106" w:name="shareholder-activism"/>
    <w:p>
      <w:pPr>
        <w:pStyle w:val="Heading2"/>
      </w:pPr>
      <w:r>
        <w:t xml:space="preserve">Shareholder activism</w:t>
      </w:r>
    </w:p>
    <w:p>
      <w:pPr>
        <w:numPr>
          <w:ilvl w:val="0"/>
          <w:numId w:val="1040"/>
        </w:numPr>
        <w:pStyle w:val="Compact"/>
      </w:pPr>
      <w:r>
        <w:rPr>
          <w:bCs/>
          <w:b/>
        </w:rPr>
        <w:t xml:space="preserve">No activist campaign, shareholder proposal or proxy fight at LG Uplus has been identified (2018–2026).</w:t>
      </w:r>
      <w:r>
        <w:t xml:space="preserve"> </w:t>
      </w:r>
      <w:r>
        <w:t xml:space="preserve">NPS’s published 2026</w:t>
      </w:r>
      <w:r>
        <w:t xml:space="preserve"> </w:t>
      </w:r>
      <w:r>
        <w:t xml:space="preserve">“</w:t>
      </w:r>
      <w:r>
        <w:t xml:space="preserve">against</w:t>
      </w:r>
      <w:r>
        <w:t xml:space="preserve">”</w:t>
      </w:r>
      <w:r>
        <w:t xml:space="preserve"> </w:t>
      </w:r>
      <w:r>
        <w:t xml:space="preserve">votes did not include LG Uplus.</w:t>
      </w:r>
    </w:p>
    <w:p>
      <w:pPr>
        <w:numPr>
          <w:ilvl w:val="0"/>
          <w:numId w:val="1040"/>
        </w:numPr>
        <w:pStyle w:val="Compact"/>
      </w:pPr>
      <w:r>
        <w:rPr>
          <w:bCs/>
          <w:b/>
        </w:rPr>
        <w:t xml:space="preserve">The closest precedent is LG Chem (Oct-2025 to Mar-2026).</w:t>
      </w:r>
      <w:r>
        <w:t xml:space="preserve"> </w:t>
      </w:r>
      <w:r>
        <w:t xml:space="preserve">Palliser Capital (~1%, backed by Carmignac, with ISS and Glass Lewis support) demanded:</w:t>
      </w:r>
    </w:p>
    <w:p>
      <w:pPr>
        <w:numPr>
          <w:ilvl w:val="1"/>
          <w:numId w:val="1041"/>
        </w:numPr>
        <w:pStyle w:val="Compact"/>
      </w:pPr>
      <w:r>
        <w:t xml:space="preserve">sale of ~10% of LG Energy Solution, with buybacks and cancellations;</w:t>
      </w:r>
    </w:p>
    <w:p>
      <w:pPr>
        <w:numPr>
          <w:ilvl w:val="1"/>
          <w:numId w:val="1041"/>
        </w:numPr>
        <w:pStyle w:val="Compact"/>
      </w:pPr>
      <w:r>
        <w:t xml:space="preserve">a lead independent director;</w:t>
      </w:r>
    </w:p>
    <w:p>
      <w:pPr>
        <w:numPr>
          <w:ilvl w:val="1"/>
          <w:numId w:val="1041"/>
        </w:numPr>
        <w:pStyle w:val="Compact"/>
      </w:pPr>
      <w:r>
        <w:t xml:space="preserve">equity-linked executive pay.</w:t>
      </w:r>
    </w:p>
    <w:p>
      <w:pPr>
        <w:numPr>
          <w:ilvl w:val="0"/>
          <w:numId w:val="1000"/>
        </w:numPr>
        <w:pStyle w:val="Compact"/>
      </w:pPr>
      <w:r>
        <w:t xml:space="preserve">All proposals were</w:t>
      </w:r>
      <w:r>
        <w:t xml:space="preserve"> </w:t>
      </w:r>
      <w:r>
        <w:rPr>
          <w:bCs/>
          <w:b/>
        </w:rPr>
        <w:t xml:space="preserve">rejected</w:t>
      </w:r>
      <w:r>
        <w:t xml:space="preserve"> </w:t>
      </w:r>
      <w:r>
        <w:t xml:space="preserve">at the 31-Mar-2026 AGM, with NPS voting against.</w:t>
      </w:r>
    </w:p>
    <w:p>
      <w:pPr>
        <w:numPr>
          <w:ilvl w:val="0"/>
          <w:numId w:val="1040"/>
        </w:numPr>
        <w:pStyle w:val="Compact"/>
      </w:pPr>
      <w:r>
        <w:rPr>
          <w:bCs/>
          <w:b/>
        </w:rPr>
        <w:t xml:space="preserve">Implications for LG Uplus.</w:t>
      </w:r>
      <w:r>
        <w:t xml:space="preserve"> </w:t>
      </w:r>
      <w:r>
        <w:t xml:space="preserve">The demands an activist would make here are easy to frame:</w:t>
      </w:r>
    </w:p>
    <w:p>
      <w:pPr>
        <w:numPr>
          <w:ilvl w:val="1"/>
          <w:numId w:val="1042"/>
        </w:numPr>
        <w:pStyle w:val="Compact"/>
      </w:pPr>
      <w:r>
        <w:t xml:space="preserve">Monetise the AIDC through a minority sale on the SK Horizon template, and return part of the proceeds.</w:t>
      </w:r>
    </w:p>
    <w:p>
      <w:pPr>
        <w:numPr>
          <w:ilvl w:val="1"/>
          <w:numId w:val="1042"/>
        </w:numPr>
        <w:pStyle w:val="Compact"/>
      </w:pPr>
      <w:r>
        <w:t xml:space="preserve">Lift the payout to the 60% ceiling, with all buybacks cancelled.</w:t>
      </w:r>
    </w:p>
    <w:p>
      <w:pPr>
        <w:numPr>
          <w:ilvl w:val="1"/>
          <w:numId w:val="1042"/>
        </w:numPr>
        <w:pStyle w:val="Compact"/>
      </w:pPr>
      <w:r>
        <w:t xml:space="preserve">Simplify LG HelloVision.</w:t>
      </w:r>
    </w:p>
    <w:p>
      <w:pPr>
        <w:numPr>
          <w:ilvl w:val="1"/>
          <w:numId w:val="1042"/>
        </w:numPr>
        <w:pStyle w:val="Compact"/>
      </w:pPr>
      <w:r>
        <w:t xml:space="preserve">Publish related-party spend (LG CNS, brand fee) and benchmark it.</w:t>
      </w:r>
    </w:p>
    <w:p>
      <w:pPr>
        <w:numPr>
          <w:ilvl w:val="1"/>
          <w:numId w:val="1042"/>
        </w:numPr>
        <w:pStyle w:val="Compact"/>
      </w:pPr>
      <w:r>
        <w:t xml:space="preserve">Introduce equity-linked pay.</w:t>
      </w:r>
    </w:p>
    <w:p>
      <w:pPr>
        <w:numPr>
          <w:ilvl w:val="0"/>
          <w:numId w:val="1000"/>
        </w:numPr>
        <w:pStyle w:val="Compact"/>
      </w:pPr>
      <w:r>
        <w:rPr>
          <w:bCs/>
          <w:b/>
        </w:rPr>
        <w:t xml:space="preserve">LG Corp’s 38.7% stake makes a proxy win improbable.</w:t>
      </w:r>
      <w:r>
        <w:t xml:space="preserve"> </w:t>
      </w:r>
      <w:r>
        <w:t xml:space="preserve">The leverage comes from the 2025 Commercial Act changes:</w:t>
      </w:r>
    </w:p>
    <w:p>
      <w:pPr>
        <w:numPr>
          <w:ilvl w:val="1"/>
          <w:numId w:val="1043"/>
        </w:numPr>
        <w:pStyle w:val="Compact"/>
      </w:pPr>
      <w:r>
        <w:t xml:space="preserve">fiduciary duty to shareholders;</w:t>
      </w:r>
    </w:p>
    <w:p>
      <w:pPr>
        <w:numPr>
          <w:ilvl w:val="1"/>
          <w:numId w:val="1043"/>
        </w:numPr>
        <w:pStyle w:val="Compact"/>
      </w:pPr>
      <w:r>
        <w:t xml:space="preserve">separate election of audit-committee members, with the 3% rule;</w:t>
      </w:r>
    </w:p>
    <w:p>
      <w:pPr>
        <w:numPr>
          <w:ilvl w:val="1"/>
          <w:numId w:val="1043"/>
        </w:numPr>
        <w:pStyle w:val="Compact"/>
      </w:pPr>
      <w:r>
        <w:t xml:space="preserve">mandatory cumulative voting for large companies [u].</w:t>
      </w:r>
    </w:p>
    <w:p>
      <w:pPr>
        <w:numPr>
          <w:ilvl w:val="0"/>
          <w:numId w:val="1000"/>
        </w:numPr>
        <w:pStyle w:val="Compact"/>
      </w:pPr>
      <w:r>
        <w:t xml:space="preserve">A coalition of ~10–15% of minorities could plausibly seat one director at the March 2027 AGM.</w:t>
      </w:r>
    </w:p>
    <w:p>
      <w:pPr>
        <w:numPr>
          <w:ilvl w:val="0"/>
          <w:numId w:val="1040"/>
        </w:numPr>
        <w:pStyle w:val="Compact"/>
      </w:pPr>
      <w:r>
        <w:rPr>
          <w:bCs/>
          <w:b/>
        </w:rPr>
        <w:t xml:space="preserve">Activist success odds:</w:t>
      </w:r>
      <w:r>
        <w:t xml:space="preserve"> </w:t>
      </w:r>
      <w:r>
        <w:t xml:space="preserve">low on control issues, moderate on capital returns. Management has already moved pre-emptively, alongside the LG Group-wide value-up disclosures of Nov-2025.</w:t>
      </w:r>
    </w:p>
    <w:bookmarkEnd w:id="106"/>
    <w:bookmarkStart w:id="107" w:name="short-interest"/>
    <w:p>
      <w:pPr>
        <w:pStyle w:val="Heading2"/>
      </w:pPr>
      <w:r>
        <w:t xml:space="preserve">Short interest</w:t>
      </w:r>
    </w:p>
    <w:p>
      <w:pPr>
        <w:numPr>
          <w:ilvl w:val="0"/>
          <w:numId w:val="1044"/>
        </w:numPr>
        <w:pStyle w:val="Compact"/>
      </w:pPr>
      <w:r>
        <w:rPr>
          <w:bCs/>
          <w:b/>
        </w:rPr>
        <w:t xml:space="preserve">Short balance: not retrievable from our sources.</w:t>
      </w:r>
      <w:r>
        <w:t xml:space="preserve"> </w:t>
      </w:r>
      <w:r>
        <w:t xml:space="preserve">KRX disclosure was not accessible. LG Uplus does not appear in KRX’s top short-balance lists (May, Aug and Oct 2026), and no holder at or above the 0.5% public-disclosure threshold was found.</w:t>
      </w:r>
    </w:p>
    <w:p>
      <w:pPr>
        <w:numPr>
          <w:ilvl w:val="0"/>
          <w:numId w:val="1044"/>
        </w:numPr>
        <w:pStyle w:val="Compact"/>
      </w:pPr>
      <w:r>
        <w:t xml:space="preserve">Korea fully resumed short selling on 31-Mar-2025. The KOSPI net short balance hit a record above KRW20tn in May–Jun 2026, concentrated in semiconductors and batteries.</w:t>
      </w:r>
    </w:p>
    <w:p>
      <w:pPr>
        <w:numPr>
          <w:ilvl w:val="0"/>
          <w:numId w:val="1044"/>
        </w:numPr>
        <w:pStyle w:val="Compact"/>
      </w:pPr>
      <w:r>
        <w:rPr>
          <w:bCs/>
          <w:b/>
        </w:rPr>
        <w:t xml:space="preserve">Our estimate: short interest under 1% of shares [e].</w:t>
      </w:r>
      <w:r>
        <w:t xml:space="preserve"> </w:t>
      </w:r>
      <w:r>
        <w:t xml:space="preserve">This is a low-beta, high-dividend stock with an ongoing buyback and negative correlation to the market; the shorting that exists is probably pair or hedge activity against KT/SKT or the index.</w:t>
      </w:r>
      <w:r>
        <w:t xml:space="preserve"> </w:t>
      </w:r>
      <w:r>
        <w:rPr>
          <w:bCs/>
          <w:b/>
        </w:rPr>
        <w:t xml:space="preserve">No known short-seller campaign.</w:t>
      </w:r>
    </w:p>
    <w:bookmarkEnd w:id="107"/>
    <w:bookmarkEnd w:id="108"/>
    <w:bookmarkStart w:id="109" w:name="Xd5526f51d5eaee39e416a67e85a14c1cf78da6e"/>
    <w:p>
      <w:pPr>
        <w:pStyle w:val="Heading1"/>
      </w:pPr>
      <w:r>
        <w:t xml:space="preserve">Strategic initiatives (last 10 years): success, failure and status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1887"/>
        <w:gridCol w:w="1159"/>
        <w:gridCol w:w="2478"/>
        <w:gridCol w:w="2554"/>
        <w:gridCol w:w="1897"/>
      </w:tblGrid>
      <w:tr>
        <w:trPr>
          <w:tblHeader w:val="true"/>
          <w:tblHeader w:val="true"/>
          <w:cantSplit/>
        </w:trPr>
        <w:tc>
          <w:tcPr>
            <w:tcW w:type="dxa" w:w="1887"/>
            <w:shd w:val="clear" w:color="auto" w:fill="13213F"/>
          </w:tcPr>
          <w:p>
            <w:pPr>
              <w:pStyle w:val="Compact"/>
              <w:spacing w:after="0" w:before="0" w:line="240" w:lineRule="auto"/>
              <w:jc w:val="left"/>
            </w:pPr>
            <w:r>
              <w:rPr>
                <w:rFonts w:ascii="Arial" w:hAnsi="Arial"/>
                <w:b/>
                <w:color w:val="FFFFFF"/>
                <w:sz w:val="15"/>
              </w:rPr>
              <w:t xml:space="preserve">Initiative</w:t>
            </w:r>
          </w:p>
        </w:tc>
        <w:tc>
          <w:tcPr>
            <w:tcW w:type="dxa" w:w="1160"/>
            <w:shd w:val="clear" w:color="auto" w:fill="13213F"/>
          </w:tcPr>
          <w:p>
            <w:pPr>
              <w:pStyle w:val="Compact"/>
              <w:spacing w:after="0" w:before="0" w:line="240" w:lineRule="auto"/>
              <w:jc w:val="left"/>
            </w:pPr>
            <w:r>
              <w:rPr>
                <w:rFonts w:ascii="Arial" w:hAnsi="Arial"/>
                <w:b/>
                <w:color w:val="FFFFFF"/>
                <w:sz w:val="15"/>
              </w:rPr>
              <w:t xml:space="preserve">Years</w:t>
            </w:r>
          </w:p>
        </w:tc>
        <w:tc>
          <w:tcPr>
            <w:tcW w:type="dxa" w:w="2479"/>
            <w:shd w:val="clear" w:color="auto" w:fill="13213F"/>
          </w:tcPr>
          <w:p>
            <w:pPr>
              <w:pStyle w:val="Compact"/>
              <w:spacing w:after="0" w:before="0" w:line="240" w:lineRule="auto"/>
              <w:jc w:val="left"/>
            </w:pPr>
            <w:r>
              <w:rPr>
                <w:rFonts w:ascii="Arial" w:hAnsi="Arial"/>
                <w:b/>
                <w:color w:val="FFFFFF"/>
                <w:sz w:val="15"/>
              </w:rPr>
              <w:t xml:space="preserve">What</w:t>
            </w:r>
          </w:p>
        </w:tc>
        <w:tc>
          <w:tcPr>
            <w:tcW w:type="dxa" w:w="2554"/>
            <w:shd w:val="clear" w:color="auto" w:fill="13213F"/>
          </w:tcPr>
          <w:p>
            <w:pPr>
              <w:pStyle w:val="Compact"/>
              <w:spacing w:after="0" w:before="0" w:line="240" w:lineRule="auto"/>
              <w:jc w:val="left"/>
            </w:pPr>
            <w:r>
              <w:rPr>
                <w:rFonts w:ascii="Arial" w:hAnsi="Arial"/>
                <w:b/>
                <w:color w:val="FFFFFF"/>
                <w:sz w:val="15"/>
              </w:rPr>
              <w:t xml:space="preserve">Result / status</w:t>
            </w:r>
          </w:p>
        </w:tc>
        <w:tc>
          <w:tcPr>
            <w:tcW w:type="dxa" w:w="1898"/>
            <w:shd w:val="clear" w:color="auto" w:fill="13213F"/>
          </w:tcPr>
          <w:p>
            <w:pPr>
              <w:pStyle w:val="Compact"/>
              <w:spacing w:after="0" w:before="0" w:line="240" w:lineRule="auto"/>
              <w:jc w:val="left"/>
            </w:pPr>
            <w:r>
              <w:rPr>
                <w:rFonts w:ascii="Arial" w:hAnsi="Arial"/>
                <w:b/>
                <w:color w:val="FFFFFF"/>
                <w:sz w:val="15"/>
              </w:rPr>
              <w:t xml:space="preserve">Assessment</w:t>
            </w:r>
          </w:p>
        </w:tc>
      </w:tr>
      <w:tr>
        <w:trPr>
          <w:cantSplit/>
        </w:trPr>
        <w:tc>
          <w:tcPr>
            <w:tcW w:type="dxa" w:w="1887"/>
          </w:tcPr>
          <w:p>
            <w:pPr>
              <w:pStyle w:val="Compact"/>
              <w:spacing w:after="0" w:before="0" w:line="240" w:lineRule="auto"/>
              <w:jc w:val="left"/>
            </w:pPr>
            <w:r>
              <w:rPr>
                <w:rFonts w:ascii="Arial" w:hAnsi="Arial"/>
                <w:sz w:val="15"/>
              </w:rPr>
              <w:t xml:space="preserve">Huawei 5G radio</w:t>
            </w:r>
          </w:p>
        </w:tc>
        <w:tc>
          <w:tcPr>
            <w:tcW w:type="dxa" w:w="1160"/>
          </w:tcPr>
          <w:p>
            <w:pPr>
              <w:pStyle w:val="Compact"/>
              <w:spacing w:after="0" w:before="0" w:line="240" w:lineRule="auto"/>
              <w:jc w:val="left"/>
            </w:pPr>
            <w:r>
              <w:rPr>
                <w:rFonts w:ascii="Arial" w:hAnsi="Arial"/>
                <w:sz w:val="15"/>
              </w:rPr>
              <w:t xml:space="preserve">2018–20</w:t>
            </w:r>
          </w:p>
        </w:tc>
        <w:tc>
          <w:tcPr>
            <w:tcW w:type="dxa" w:w="2479"/>
          </w:tcPr>
          <w:p>
            <w:pPr>
              <w:pStyle w:val="Compact"/>
              <w:spacing w:after="0" w:before="0" w:line="240" w:lineRule="auto"/>
              <w:jc w:val="left"/>
            </w:pPr>
            <w:r>
              <w:rPr>
                <w:rFonts w:ascii="Arial" w:hAnsi="Arial"/>
                <w:sz w:val="15"/>
              </w:rPr>
              <w:t xml:space="preserve">Only Korean MNO to choose Huawei for 5G</w:t>
            </w:r>
          </w:p>
        </w:tc>
        <w:tc>
          <w:tcPr>
            <w:tcW w:type="dxa" w:w="2554"/>
          </w:tcPr>
          <w:p>
            <w:pPr>
              <w:pStyle w:val="Compact"/>
              <w:spacing w:after="0" w:before="0" w:line="240" w:lineRule="auto"/>
              <w:jc w:val="left"/>
            </w:pPr>
            <w:r>
              <w:rPr>
                <w:rFonts w:ascii="Arial" w:hAnsi="Arial"/>
                <w:sz w:val="15"/>
              </w:rPr>
              <w:t xml:space="preserve">Faster and cheaper roll-out; persistent US pressure (stock -6.4% on one day in May-2019)</w:t>
            </w:r>
          </w:p>
        </w:tc>
        <w:tc>
          <w:tcPr>
            <w:tcW w:type="dxa" w:w="1898"/>
          </w:tcPr>
          <w:p>
            <w:pPr>
              <w:pStyle w:val="Compact"/>
              <w:spacing w:after="0" w:before="0" w:line="240" w:lineRule="auto"/>
              <w:jc w:val="left"/>
            </w:pPr>
            <w:r>
              <w:rPr>
                <w:rFonts w:ascii="Arial" w:hAnsi="Arial"/>
                <w:sz w:val="15"/>
              </w:rPr>
              <w:t xml:space="preserve">Delivered on cost; lasting geopolitical overhang</w:t>
            </w:r>
          </w:p>
        </w:tc>
      </w:tr>
      <w:tr>
        <w:trPr>
          <w:cantSplit/>
        </w:trPr>
        <w:tc>
          <w:tcPr>
            <w:tcW w:type="dxa" w:w="1887"/>
            <w:shd w:val="clear" w:color="auto" w:fill="F1F2F5"/>
          </w:tcPr>
          <w:p>
            <w:pPr>
              <w:pStyle w:val="Compact"/>
              <w:spacing w:after="0" w:before="0" w:line="240" w:lineRule="auto"/>
              <w:jc w:val="left"/>
            </w:pPr>
            <w:r>
              <w:rPr>
                <w:rFonts w:ascii="Arial" w:hAnsi="Arial"/>
                <w:sz w:val="15"/>
              </w:rPr>
              <w:t xml:space="preserve">5G launch</w:t>
            </w:r>
          </w:p>
        </w:tc>
        <w:tc>
          <w:tcPr>
            <w:tcW w:type="dxa" w:w="1160"/>
            <w:shd w:val="clear" w:color="auto" w:fill="F1F2F5"/>
          </w:tcPr>
          <w:p>
            <w:pPr>
              <w:pStyle w:val="Compact"/>
              <w:spacing w:after="0" w:before="0" w:line="240" w:lineRule="auto"/>
              <w:jc w:val="left"/>
            </w:pPr>
            <w:r>
              <w:rPr>
                <w:rFonts w:ascii="Arial" w:hAnsi="Arial"/>
                <w:sz w:val="15"/>
              </w:rPr>
              <w:t xml:space="preserve">Apr-2019</w:t>
            </w:r>
          </w:p>
        </w:tc>
        <w:tc>
          <w:tcPr>
            <w:tcW w:type="dxa" w:w="2479"/>
            <w:shd w:val="clear" w:color="auto" w:fill="F1F2F5"/>
          </w:tcPr>
          <w:p>
            <w:pPr>
              <w:pStyle w:val="Compact"/>
              <w:spacing w:after="0" w:before="0" w:line="240" w:lineRule="auto"/>
              <w:jc w:val="left"/>
            </w:pPr>
            <w:r>
              <w:rPr>
                <w:rFonts w:ascii="Arial" w:hAnsi="Arial"/>
                <w:sz w:val="15"/>
              </w:rPr>
              <w:t xml:space="preserve">World-first commercial 5G</w:t>
            </w:r>
          </w:p>
        </w:tc>
        <w:tc>
          <w:tcPr>
            <w:tcW w:type="dxa" w:w="2554"/>
            <w:shd w:val="clear" w:color="auto" w:fill="F1F2F5"/>
          </w:tcPr>
          <w:p>
            <w:pPr>
              <w:pStyle w:val="Compact"/>
              <w:spacing w:after="0" w:before="0" w:line="240" w:lineRule="auto"/>
              <w:jc w:val="left"/>
            </w:pPr>
            <w:r>
              <w:rPr>
                <w:rFonts w:ascii="Arial" w:hAnsi="Arial"/>
                <w:sz w:val="15"/>
              </w:rPr>
              <w:t xml:space="preserve">85% penetration; ARPU uplift now exhausted</w:t>
            </w:r>
          </w:p>
        </w:tc>
        <w:tc>
          <w:tcPr>
            <w:tcW w:type="dxa" w:w="1898"/>
            <w:shd w:val="clear" w:color="auto" w:fill="F1F2F5"/>
          </w:tcPr>
          <w:p>
            <w:pPr>
              <w:pStyle w:val="Compact"/>
              <w:spacing w:after="0" w:before="0" w:line="240" w:lineRule="auto"/>
              <w:jc w:val="left"/>
            </w:pPr>
            <w:r>
              <w:rPr>
                <w:rFonts w:ascii="Arial" w:hAnsi="Arial"/>
                <w:sz w:val="15"/>
              </w:rPr>
              <w:t xml:space="preserve">Done; neutral</w:t>
            </w:r>
          </w:p>
        </w:tc>
      </w:tr>
      <w:tr>
        <w:trPr>
          <w:cantSplit/>
        </w:trPr>
        <w:tc>
          <w:tcPr>
            <w:tcW w:type="dxa" w:w="1887"/>
          </w:tcPr>
          <w:p>
            <w:pPr>
              <w:pStyle w:val="Compact"/>
              <w:spacing w:after="0" w:before="0" w:line="240" w:lineRule="auto"/>
              <w:jc w:val="left"/>
            </w:pPr>
            <w:r>
              <w:rPr>
                <w:rFonts w:ascii="Arial" w:hAnsi="Arial"/>
                <w:sz w:val="15"/>
              </w:rPr>
              <w:t xml:space="preserve">Netflix / Disney+ IPTV exclusives</w:t>
            </w:r>
          </w:p>
        </w:tc>
        <w:tc>
          <w:tcPr>
            <w:tcW w:type="dxa" w:w="1160"/>
          </w:tcPr>
          <w:p>
            <w:pPr>
              <w:pStyle w:val="Compact"/>
              <w:spacing w:after="0" w:before="0" w:line="240" w:lineRule="auto"/>
              <w:jc w:val="left"/>
            </w:pPr>
            <w:r>
              <w:rPr>
                <w:rFonts w:ascii="Arial" w:hAnsi="Arial"/>
                <w:sz w:val="15"/>
              </w:rPr>
              <w:t xml:space="preserve">2018 / 2021</w:t>
            </w:r>
          </w:p>
        </w:tc>
        <w:tc>
          <w:tcPr>
            <w:tcW w:type="dxa" w:w="2479"/>
          </w:tcPr>
          <w:p>
            <w:pPr>
              <w:pStyle w:val="Compact"/>
              <w:spacing w:after="0" w:before="0" w:line="240" w:lineRule="auto"/>
              <w:jc w:val="left"/>
            </w:pPr>
            <w:r>
              <w:rPr>
                <w:rFonts w:ascii="Arial" w:hAnsi="Arial"/>
                <w:sz w:val="15"/>
              </w:rPr>
              <w:t xml:space="preserve">First Korean IPTV partner for Netflix; Disney+ exclusive</w:t>
            </w:r>
          </w:p>
        </w:tc>
        <w:tc>
          <w:tcPr>
            <w:tcW w:type="dxa" w:w="2554"/>
          </w:tcPr>
          <w:p>
            <w:pPr>
              <w:pStyle w:val="Compact"/>
              <w:spacing w:after="0" w:before="0" w:line="240" w:lineRule="auto"/>
              <w:jc w:val="left"/>
            </w:pPr>
            <w:r>
              <w:rPr>
                <w:rFonts w:ascii="Arial" w:hAnsi="Arial"/>
                <w:sz w:val="15"/>
              </w:rPr>
              <w:t xml:space="preserve">Helped IPTV net adds; exclusivity value eroded</w:t>
            </w:r>
          </w:p>
        </w:tc>
        <w:tc>
          <w:tcPr>
            <w:tcW w:type="dxa" w:w="1898"/>
          </w:tcPr>
          <w:p>
            <w:pPr>
              <w:pStyle w:val="Compact"/>
              <w:spacing w:after="0" w:before="0" w:line="240" w:lineRule="auto"/>
              <w:jc w:val="left"/>
            </w:pPr>
            <w:r>
              <w:rPr>
                <w:rFonts w:ascii="Arial" w:hAnsi="Arial"/>
                <w:sz w:val="15"/>
              </w:rPr>
              <w:t xml:space="preserve">Tactical success</w:t>
            </w:r>
          </w:p>
        </w:tc>
      </w:tr>
      <w:tr>
        <w:trPr>
          <w:cantSplit/>
        </w:trPr>
        <w:tc>
          <w:tcPr>
            <w:tcW w:type="dxa" w:w="1887"/>
            <w:shd w:val="clear" w:color="auto" w:fill="F1F2F5"/>
          </w:tcPr>
          <w:p>
            <w:pPr>
              <w:pStyle w:val="Compact"/>
              <w:spacing w:after="0" w:before="0" w:line="240" w:lineRule="auto"/>
              <w:jc w:val="left"/>
            </w:pPr>
            <w:r>
              <w:rPr>
                <w:rFonts w:ascii="Arial" w:hAnsi="Arial"/>
                <w:sz w:val="15"/>
              </w:rPr>
              <w:t xml:space="preserve">CJ Hello (LG HelloVision)</w:t>
            </w:r>
          </w:p>
        </w:tc>
        <w:tc>
          <w:tcPr>
            <w:tcW w:type="dxa" w:w="1160"/>
            <w:shd w:val="clear" w:color="auto" w:fill="F1F2F5"/>
          </w:tcPr>
          <w:p>
            <w:pPr>
              <w:pStyle w:val="Compact"/>
              <w:spacing w:after="0" w:before="0" w:line="240" w:lineRule="auto"/>
              <w:jc w:val="left"/>
            </w:pPr>
            <w:r>
              <w:rPr>
                <w:rFonts w:ascii="Arial" w:hAnsi="Arial"/>
                <w:sz w:val="15"/>
              </w:rPr>
              <w:t xml:space="preserve">2019–</w:t>
            </w:r>
          </w:p>
        </w:tc>
        <w:tc>
          <w:tcPr>
            <w:tcW w:type="dxa" w:w="2479"/>
            <w:shd w:val="clear" w:color="auto" w:fill="F1F2F5"/>
          </w:tcPr>
          <w:p>
            <w:pPr>
              <w:pStyle w:val="Compact"/>
              <w:spacing w:after="0" w:before="0" w:line="240" w:lineRule="auto"/>
              <w:jc w:val="left"/>
            </w:pPr>
            <w:r>
              <w:rPr>
                <w:rFonts w:ascii="Arial" w:hAnsi="Arial"/>
                <w:sz w:val="15"/>
              </w:rPr>
              <w:t xml:space="preserve">Become #2 in pay-TV</w:t>
            </w:r>
          </w:p>
        </w:tc>
        <w:tc>
          <w:tcPr>
            <w:tcW w:type="dxa" w:w="2554"/>
            <w:shd w:val="clear" w:color="auto" w:fill="F1F2F5"/>
          </w:tcPr>
          <w:p>
            <w:pPr>
              <w:pStyle w:val="Compact"/>
              <w:spacing w:after="0" w:before="0" w:line="240" w:lineRule="auto"/>
              <w:jc w:val="left"/>
            </w:pPr>
            <w:r>
              <w:rPr>
                <w:rFonts w:ascii="Arial" w:hAnsi="Arial"/>
                <w:sz w:val="15"/>
              </w:rPr>
              <w:t xml:space="preserve">EBITDA -64% since FY18; impairments; stake worth ~10% of book</w:t>
            </w:r>
          </w:p>
        </w:tc>
        <w:tc>
          <w:tcPr>
            <w:tcW w:type="dxa" w:w="1898"/>
            <w:shd w:val="clear" w:color="auto" w:fill="F1F2F5"/>
          </w:tcPr>
          <w:p>
            <w:pPr>
              <w:pStyle w:val="Compact"/>
              <w:spacing w:after="0" w:before="0" w:line="240" w:lineRule="auto"/>
              <w:jc w:val="left"/>
            </w:pPr>
            <w:r>
              <w:rPr>
                <w:bCs/>
                <w:rFonts w:ascii="Arial" w:hAnsi="Arial"/>
                <w:b/>
                <w:sz w:val="15"/>
              </w:rPr>
              <w:t xml:space="preserve">Failure</w:t>
            </w:r>
          </w:p>
        </w:tc>
      </w:tr>
      <w:tr>
        <w:trPr>
          <w:cantSplit/>
        </w:trPr>
        <w:tc>
          <w:tcPr>
            <w:tcW w:type="dxa" w:w="1887"/>
          </w:tcPr>
          <w:p>
            <w:pPr>
              <w:pStyle w:val="Compact"/>
              <w:spacing w:after="0" w:before="0" w:line="240" w:lineRule="auto"/>
              <w:jc w:val="left"/>
            </w:pPr>
            <w:r>
              <w:rPr>
                <w:rFonts w:ascii="Arial" w:hAnsi="Arial"/>
                <w:sz w:val="15"/>
              </w:rPr>
              <w:t xml:space="preserve">Payments sale (Toss)</w:t>
            </w:r>
          </w:p>
        </w:tc>
        <w:tc>
          <w:tcPr>
            <w:tcW w:type="dxa" w:w="1160"/>
          </w:tcPr>
          <w:p>
            <w:pPr>
              <w:pStyle w:val="Compact"/>
              <w:spacing w:after="0" w:before="0" w:line="240" w:lineRule="auto"/>
              <w:jc w:val="left"/>
            </w:pPr>
            <w:r>
              <w:rPr>
                <w:rFonts w:ascii="Arial" w:hAnsi="Arial"/>
                <w:sz w:val="15"/>
              </w:rPr>
              <w:t xml:space="preserve">2019–20</w:t>
            </w:r>
          </w:p>
        </w:tc>
        <w:tc>
          <w:tcPr>
            <w:tcW w:type="dxa" w:w="2479"/>
          </w:tcPr>
          <w:p>
            <w:pPr>
              <w:pStyle w:val="Compact"/>
              <w:spacing w:after="0" w:before="0" w:line="240" w:lineRule="auto"/>
              <w:jc w:val="left"/>
            </w:pPr>
            <w:r>
              <w:rPr>
                <w:rFonts w:ascii="Arial" w:hAnsi="Arial"/>
                <w:sz w:val="15"/>
              </w:rPr>
              <w:t xml:space="preserve">Exit fintech for KRW365bn</w:t>
            </w:r>
          </w:p>
        </w:tc>
        <w:tc>
          <w:tcPr>
            <w:tcW w:type="dxa" w:w="2554"/>
          </w:tcPr>
          <w:p>
            <w:pPr>
              <w:pStyle w:val="Compact"/>
              <w:spacing w:after="0" w:before="0" w:line="240" w:lineRule="auto"/>
              <w:jc w:val="left"/>
            </w:pPr>
            <w:r>
              <w:rPr>
                <w:rFonts w:ascii="Arial" w:hAnsi="Arial"/>
                <w:sz w:val="15"/>
              </w:rPr>
              <w:t xml:space="preserve">Done</w:t>
            </w:r>
          </w:p>
        </w:tc>
        <w:tc>
          <w:tcPr>
            <w:tcW w:type="dxa" w:w="1898"/>
          </w:tcPr>
          <w:p>
            <w:pPr>
              <w:pStyle w:val="Compact"/>
              <w:spacing w:after="0" w:before="0" w:line="240" w:lineRule="auto"/>
              <w:jc w:val="left"/>
            </w:pPr>
            <w:r>
              <w:rPr>
                <w:rFonts w:ascii="Arial" w:hAnsi="Arial"/>
                <w:sz w:val="15"/>
              </w:rPr>
              <w:t xml:space="preserve">Success</w:t>
            </w:r>
          </w:p>
        </w:tc>
      </w:tr>
      <w:tr>
        <w:trPr>
          <w:cantSplit/>
        </w:trPr>
        <w:tc>
          <w:tcPr>
            <w:tcW w:type="dxa" w:w="1887"/>
            <w:shd w:val="clear" w:color="auto" w:fill="F1F2F5"/>
          </w:tcPr>
          <w:p>
            <w:pPr>
              <w:pStyle w:val="Compact"/>
              <w:spacing w:after="0" w:before="0" w:line="240" w:lineRule="auto"/>
              <w:jc w:val="left"/>
            </w:pPr>
            <w:r>
              <w:rPr>
                <w:rFonts w:ascii="Arial" w:hAnsi="Arial"/>
                <w:sz w:val="15"/>
              </w:rPr>
              <w:t xml:space="preserve">“</w:t>
            </w:r>
            <w:r>
              <w:rPr>
                <w:rFonts w:ascii="Arial" w:hAnsi="Arial"/>
                <w:sz w:val="15"/>
              </w:rPr>
              <w:t xml:space="preserve">U+3.0</w:t>
            </w:r>
            <w:r>
              <w:rPr>
                <w:rFonts w:ascii="Arial" w:hAnsi="Arial"/>
                <w:sz w:val="15"/>
              </w:rPr>
              <w:t xml:space="preserve">”</w:t>
            </w:r>
            <w:r>
              <w:rPr>
                <w:rFonts w:ascii="Arial" w:hAnsi="Arial"/>
                <w:sz w:val="15"/>
              </w:rPr>
              <w:t xml:space="preserve"> </w:t>
            </w:r>
            <w:r>
              <w:rPr>
                <w:rFonts w:ascii="Arial" w:hAnsi="Arial"/>
                <w:sz w:val="15"/>
              </w:rPr>
              <w:t xml:space="preserve">platform pivot</w:t>
            </w:r>
          </w:p>
        </w:tc>
        <w:tc>
          <w:tcPr>
            <w:tcW w:type="dxa" w:w="1160"/>
            <w:shd w:val="clear" w:color="auto" w:fill="F1F2F5"/>
          </w:tcPr>
          <w:p>
            <w:pPr>
              <w:pStyle w:val="Compact"/>
              <w:spacing w:after="0" w:before="0" w:line="240" w:lineRule="auto"/>
              <w:jc w:val="left"/>
            </w:pPr>
            <w:r>
              <w:rPr>
                <w:rFonts w:ascii="Arial" w:hAnsi="Arial"/>
                <w:sz w:val="15"/>
              </w:rPr>
              <w:t xml:space="preserve">2022–24</w:t>
            </w:r>
          </w:p>
        </w:tc>
        <w:tc>
          <w:tcPr>
            <w:tcW w:type="dxa" w:w="2479"/>
            <w:shd w:val="clear" w:color="auto" w:fill="F1F2F5"/>
          </w:tcPr>
          <w:p>
            <w:pPr>
              <w:pStyle w:val="Compact"/>
              <w:spacing w:after="0" w:before="0" w:line="240" w:lineRule="auto"/>
              <w:jc w:val="left"/>
            </w:pPr>
            <w:r>
              <w:rPr>
                <w:rFonts w:ascii="Arial" w:hAnsi="Arial"/>
                <w:sz w:val="15"/>
              </w:rPr>
              <w:t xml:space="preserve">Four platforms; target 40% non-telecom revenue and KRW12tn EV by 2027</w:t>
            </w:r>
          </w:p>
        </w:tc>
        <w:tc>
          <w:tcPr>
            <w:tcW w:type="dxa" w:w="2554"/>
            <w:shd w:val="clear" w:color="auto" w:fill="F1F2F5"/>
          </w:tcPr>
          <w:p>
            <w:pPr>
              <w:pStyle w:val="Compact"/>
              <w:spacing w:after="0" w:before="0" w:line="240" w:lineRule="auto"/>
              <w:jc w:val="left"/>
            </w:pPr>
            <w:r>
              <w:rPr>
                <w:rFonts w:ascii="Arial" w:hAnsi="Arial"/>
                <w:sz w:val="15"/>
              </w:rPr>
              <w:t xml:space="preserve">~KRW90bn into 18 start-ups; EV ~KRW11tn today; several platforms closed (Idol Plus, Sporki, metaverse)</w:t>
            </w:r>
          </w:p>
        </w:tc>
        <w:tc>
          <w:tcPr>
            <w:tcW w:type="dxa" w:w="1898"/>
            <w:shd w:val="clear" w:color="auto" w:fill="F1F2F5"/>
          </w:tcPr>
          <w:p>
            <w:pPr>
              <w:pStyle w:val="Compact"/>
              <w:spacing w:after="0" w:before="0" w:line="240" w:lineRule="auto"/>
              <w:jc w:val="left"/>
            </w:pPr>
            <w:r>
              <w:rPr>
                <w:bCs/>
                <w:rFonts w:ascii="Arial" w:hAnsi="Arial"/>
                <w:b/>
                <w:sz w:val="15"/>
              </w:rPr>
              <w:t xml:space="preserve">Largely missed</w:t>
            </w:r>
          </w:p>
        </w:tc>
      </w:tr>
      <w:tr>
        <w:trPr>
          <w:cantSplit/>
        </w:trPr>
        <w:tc>
          <w:tcPr>
            <w:tcW w:type="dxa" w:w="1887"/>
          </w:tcPr>
          <w:p>
            <w:pPr>
              <w:pStyle w:val="Compact"/>
              <w:spacing w:after="0" w:before="0" w:line="240" w:lineRule="auto"/>
              <w:jc w:val="left"/>
            </w:pPr>
            <w:r>
              <w:rPr>
                <w:rFonts w:ascii="Arial" w:hAnsi="Arial"/>
                <w:sz w:val="15"/>
              </w:rPr>
              <w:t xml:space="preserve">Smart factory / smart mobility / metaverse</w:t>
            </w:r>
          </w:p>
        </w:tc>
        <w:tc>
          <w:tcPr>
            <w:tcW w:type="dxa" w:w="1160"/>
          </w:tcPr>
          <w:p>
            <w:pPr>
              <w:pStyle w:val="Compact"/>
              <w:spacing w:after="0" w:before="0" w:line="240" w:lineRule="auto"/>
              <w:jc w:val="left"/>
            </w:pPr>
            <w:r>
              <w:rPr>
                <w:rFonts w:ascii="Arial" w:hAnsi="Arial"/>
                <w:sz w:val="15"/>
              </w:rPr>
              <w:t xml:space="preserve">2021–24</w:t>
            </w:r>
          </w:p>
        </w:tc>
        <w:tc>
          <w:tcPr>
            <w:tcW w:type="dxa" w:w="2479"/>
          </w:tcPr>
          <w:p>
            <w:pPr>
              <w:pStyle w:val="Compact"/>
              <w:spacing w:after="0" w:before="0" w:line="240" w:lineRule="auto"/>
              <w:jc w:val="left"/>
            </w:pPr>
            <w:r>
              <w:rPr>
                <w:rFonts w:ascii="Arial" w:hAnsi="Arial"/>
                <w:sz w:val="15"/>
              </w:rPr>
              <w:t xml:space="preserve">B2B platform bets</w:t>
            </w:r>
          </w:p>
        </w:tc>
        <w:tc>
          <w:tcPr>
            <w:tcW w:type="dxa" w:w="2554"/>
          </w:tcPr>
          <w:p>
            <w:pPr>
              <w:pStyle w:val="Compact"/>
              <w:spacing w:after="0" w:before="0" w:line="240" w:lineRule="auto"/>
              <w:jc w:val="left"/>
            </w:pPr>
            <w:r>
              <w:rPr>
                <w:rFonts w:ascii="Arial" w:hAnsi="Arial"/>
                <w:sz w:val="15"/>
              </w:rPr>
              <w:t xml:space="preserve">Exited 2024–25</w:t>
            </w:r>
          </w:p>
        </w:tc>
        <w:tc>
          <w:tcPr>
            <w:tcW w:type="dxa" w:w="1898"/>
          </w:tcPr>
          <w:p>
            <w:pPr>
              <w:pStyle w:val="Compact"/>
              <w:spacing w:after="0" w:before="0" w:line="240" w:lineRule="auto"/>
              <w:jc w:val="left"/>
            </w:pPr>
            <w:r>
              <w:rPr>
                <w:rFonts w:ascii="Arial" w:hAnsi="Arial"/>
                <w:sz w:val="15"/>
              </w:rPr>
              <w:t xml:space="preserve">Failure (small)</w:t>
            </w:r>
          </w:p>
        </w:tc>
      </w:tr>
      <w:tr>
        <w:trPr>
          <w:cantSplit/>
        </w:trPr>
        <w:tc>
          <w:tcPr>
            <w:tcW w:type="dxa" w:w="1887"/>
            <w:shd w:val="clear" w:color="auto" w:fill="F1F2F5"/>
          </w:tcPr>
          <w:p>
            <w:pPr>
              <w:pStyle w:val="Compact"/>
              <w:spacing w:after="0" w:before="0" w:line="240" w:lineRule="auto"/>
              <w:jc w:val="left"/>
            </w:pPr>
            <w:r>
              <w:rPr>
                <w:rFonts w:ascii="Arial" w:hAnsi="Arial"/>
                <w:sz w:val="15"/>
              </w:rPr>
              <w:t xml:space="preserve">EV charging (VoltUp JV with Kakao Mobility)</w:t>
            </w:r>
          </w:p>
        </w:tc>
        <w:tc>
          <w:tcPr>
            <w:tcW w:type="dxa" w:w="1160"/>
            <w:shd w:val="clear" w:color="auto" w:fill="F1F2F5"/>
          </w:tcPr>
          <w:p>
            <w:pPr>
              <w:pStyle w:val="Compact"/>
              <w:spacing w:after="0" w:before="0" w:line="240" w:lineRule="auto"/>
              <w:jc w:val="left"/>
            </w:pPr>
            <w:r>
              <w:rPr>
                <w:rFonts w:ascii="Arial" w:hAnsi="Arial"/>
                <w:sz w:val="15"/>
              </w:rPr>
              <w:t xml:space="preserve">2023–</w:t>
            </w:r>
          </w:p>
        </w:tc>
        <w:tc>
          <w:tcPr>
            <w:tcW w:type="dxa" w:w="2479"/>
            <w:shd w:val="clear" w:color="auto" w:fill="F1F2F5"/>
          </w:tcPr>
          <w:p>
            <w:pPr>
              <w:pStyle w:val="Compact"/>
              <w:spacing w:after="0" w:before="0" w:line="240" w:lineRule="auto"/>
              <w:jc w:val="left"/>
            </w:pPr>
            <w:r>
              <w:rPr>
                <w:rFonts w:ascii="Arial" w:hAnsi="Arial"/>
                <w:sz w:val="15"/>
              </w:rPr>
              <w:t xml:space="preserve">50%+1 JV</w:t>
            </w:r>
          </w:p>
        </w:tc>
        <w:tc>
          <w:tcPr>
            <w:tcW w:type="dxa" w:w="2554"/>
            <w:shd w:val="clear" w:color="auto" w:fill="F1F2F5"/>
          </w:tcPr>
          <w:p>
            <w:pPr>
              <w:pStyle w:val="Compact"/>
              <w:spacing w:after="0" w:before="0" w:line="240" w:lineRule="auto"/>
              <w:jc w:val="left"/>
            </w:pPr>
            <w:r>
              <w:rPr>
                <w:rFonts w:ascii="Arial" w:hAnsi="Arial"/>
                <w:sz w:val="15"/>
              </w:rPr>
              <w:t xml:space="preserve">~10k chargers; sub-scale; partner friction reported [u]</w:t>
            </w:r>
          </w:p>
        </w:tc>
        <w:tc>
          <w:tcPr>
            <w:tcW w:type="dxa" w:w="1898"/>
            <w:shd w:val="clear" w:color="auto" w:fill="F1F2F5"/>
          </w:tcPr>
          <w:p>
            <w:pPr>
              <w:pStyle w:val="Compact"/>
              <w:spacing w:after="0" w:before="0" w:line="240" w:lineRule="auto"/>
              <w:jc w:val="left"/>
            </w:pPr>
            <w:r>
              <w:rPr>
                <w:rFonts w:ascii="Arial" w:hAnsi="Arial"/>
                <w:sz w:val="15"/>
              </w:rPr>
              <w:t xml:space="preserve">Unproven; candidate for exit</w:t>
            </w:r>
          </w:p>
        </w:tc>
      </w:tr>
      <w:tr>
        <w:trPr>
          <w:cantSplit/>
        </w:trPr>
        <w:tc>
          <w:tcPr>
            <w:tcW w:type="dxa" w:w="1887"/>
          </w:tcPr>
          <w:p>
            <w:pPr>
              <w:pStyle w:val="Compact"/>
              <w:spacing w:after="0" w:before="0" w:line="240" w:lineRule="auto"/>
              <w:jc w:val="left"/>
            </w:pPr>
            <w:r>
              <w:rPr>
                <w:rFonts w:ascii="Arial" w:hAnsi="Arial"/>
                <w:sz w:val="15"/>
              </w:rPr>
              <w:t xml:space="preserve">Value-up programme</w:t>
            </w:r>
          </w:p>
        </w:tc>
        <w:tc>
          <w:tcPr>
            <w:tcW w:type="dxa" w:w="1160"/>
          </w:tcPr>
          <w:p>
            <w:pPr>
              <w:pStyle w:val="Compact"/>
              <w:spacing w:after="0" w:before="0" w:line="240" w:lineRule="auto"/>
              <w:jc w:val="left"/>
            </w:pPr>
            <w:r>
              <w:rPr>
                <w:rFonts w:ascii="Arial" w:hAnsi="Arial"/>
                <w:sz w:val="15"/>
              </w:rPr>
              <w:t xml:space="preserve">Nov-2024–</w:t>
            </w:r>
          </w:p>
        </w:tc>
        <w:tc>
          <w:tcPr>
            <w:tcW w:type="dxa" w:w="2479"/>
          </w:tcPr>
          <w:p>
            <w:pPr>
              <w:pStyle w:val="Compact"/>
              <w:spacing w:after="0" w:before="0" w:line="240" w:lineRule="auto"/>
              <w:jc w:val="left"/>
            </w:pPr>
            <w:r>
              <w:rPr>
                <w:rFonts w:ascii="Arial" w:hAnsi="Arial"/>
                <w:sz w:val="15"/>
              </w:rPr>
              <w:t xml:space="preserve">ROE 8–10%; return up to 60%; cancellations; D/E ~100%</w:t>
            </w:r>
          </w:p>
        </w:tc>
        <w:tc>
          <w:tcPr>
            <w:tcW w:type="dxa" w:w="2554"/>
          </w:tcPr>
          <w:p>
            <w:pPr>
              <w:pStyle w:val="Compact"/>
              <w:spacing w:after="0" w:before="0" w:line="240" w:lineRule="auto"/>
              <w:jc w:val="left"/>
            </w:pPr>
            <w:r>
              <w:rPr>
                <w:rFonts w:ascii="Arial" w:hAnsi="Arial"/>
                <w:sz w:val="15"/>
              </w:rPr>
              <w:t xml:space="preserve">KRW180bn cancelled; DPS rising; ROE 6% (FY25)</w:t>
            </w:r>
          </w:p>
        </w:tc>
        <w:tc>
          <w:tcPr>
            <w:tcW w:type="dxa" w:w="1898"/>
          </w:tcPr>
          <w:p>
            <w:pPr>
              <w:pStyle w:val="Compact"/>
              <w:spacing w:after="0" w:before="0" w:line="240" w:lineRule="auto"/>
              <w:jc w:val="left"/>
            </w:pPr>
            <w:r>
              <w:rPr>
                <w:bCs/>
                <w:rFonts w:ascii="Arial" w:hAnsi="Arial"/>
                <w:b/>
                <w:sz w:val="15"/>
              </w:rPr>
              <w:t xml:space="preserve">On track for returns; ROE still a stretch</w:t>
            </w:r>
          </w:p>
        </w:tc>
      </w:tr>
      <w:tr>
        <w:trPr>
          <w:cantSplit/>
        </w:trPr>
        <w:tc>
          <w:tcPr>
            <w:tcW w:type="dxa" w:w="1887"/>
            <w:shd w:val="clear" w:color="auto" w:fill="F1F2F5"/>
          </w:tcPr>
          <w:p>
            <w:pPr>
              <w:pStyle w:val="Compact"/>
              <w:spacing w:after="0" w:before="0" w:line="240" w:lineRule="auto"/>
              <w:jc w:val="left"/>
            </w:pPr>
            <w:r>
              <w:rPr>
                <w:rFonts w:ascii="Arial" w:hAnsi="Arial"/>
                <w:sz w:val="15"/>
              </w:rPr>
              <w:t xml:space="preserve">AX company / ixi-O AI agent</w:t>
            </w:r>
          </w:p>
        </w:tc>
        <w:tc>
          <w:tcPr>
            <w:tcW w:type="dxa" w:w="1160"/>
            <w:shd w:val="clear" w:color="auto" w:fill="F1F2F5"/>
          </w:tcPr>
          <w:p>
            <w:pPr>
              <w:pStyle w:val="Compact"/>
              <w:spacing w:after="0" w:before="0" w:line="240" w:lineRule="auto"/>
              <w:jc w:val="left"/>
            </w:pPr>
            <w:r>
              <w:rPr>
                <w:rFonts w:ascii="Arial" w:hAnsi="Arial"/>
                <w:sz w:val="15"/>
              </w:rPr>
              <w:t xml:space="preserve">2024–</w:t>
            </w:r>
          </w:p>
        </w:tc>
        <w:tc>
          <w:tcPr>
            <w:tcW w:type="dxa" w:w="2479"/>
            <w:shd w:val="clear" w:color="auto" w:fill="F1F2F5"/>
          </w:tcPr>
          <w:p>
            <w:pPr>
              <w:pStyle w:val="Compact"/>
              <w:spacing w:after="0" w:before="0" w:line="240" w:lineRule="auto"/>
              <w:jc w:val="left"/>
            </w:pPr>
            <w:r>
              <w:rPr>
                <w:rFonts w:ascii="Arial" w:hAnsi="Arial"/>
                <w:sz w:val="15"/>
              </w:rPr>
              <w:t xml:space="preserve">On-device AI call agent; AICC; ixi-GEN sLLM</w:t>
            </w:r>
          </w:p>
        </w:tc>
        <w:tc>
          <w:tcPr>
            <w:tcW w:type="dxa" w:w="2554"/>
            <w:shd w:val="clear" w:color="auto" w:fill="F1F2F5"/>
          </w:tcPr>
          <w:p>
            <w:pPr>
              <w:pStyle w:val="Compact"/>
              <w:spacing w:after="0" w:before="0" w:line="240" w:lineRule="auto"/>
              <w:jc w:val="left"/>
            </w:pPr>
            <w:r>
              <w:rPr>
                <w:rFonts w:ascii="Arial" w:hAnsi="Arial"/>
                <w:sz w:val="15"/>
              </w:rPr>
              <w:t xml:space="preserve">ixi-O &gt;1m users; AICC revenue +30% (FY25); export to Maxis</w:t>
            </w:r>
          </w:p>
        </w:tc>
        <w:tc>
          <w:tcPr>
            <w:tcW w:type="dxa" w:w="1898"/>
            <w:shd w:val="clear" w:color="auto" w:fill="F1F2F5"/>
          </w:tcPr>
          <w:p>
            <w:pPr>
              <w:pStyle w:val="Compact"/>
              <w:spacing w:after="0" w:before="0" w:line="240" w:lineRule="auto"/>
              <w:jc w:val="left"/>
            </w:pPr>
            <w:r>
              <w:rPr>
                <w:rFonts w:ascii="Arial" w:hAnsi="Arial"/>
                <w:sz w:val="15"/>
              </w:rPr>
              <w:t xml:space="preserve">Retention tool; early-stage revenue</w:t>
            </w:r>
          </w:p>
        </w:tc>
      </w:tr>
      <w:tr>
        <w:trPr>
          <w:cantSplit/>
        </w:trPr>
        <w:tc>
          <w:tcPr>
            <w:tcW w:type="dxa" w:w="1887"/>
          </w:tcPr>
          <w:p>
            <w:pPr>
              <w:pStyle w:val="Compact"/>
              <w:spacing w:after="0" w:before="0" w:line="240" w:lineRule="auto"/>
              <w:jc w:val="left"/>
            </w:pPr>
            <w:r>
              <w:rPr>
                <w:rFonts w:ascii="Arial" w:hAnsi="Arial"/>
                <w:sz w:val="15"/>
              </w:rPr>
              <w:t xml:space="preserve">IDC / AIDC (</w:t>
            </w:r>
            <w:r>
              <w:rPr>
                <w:rFonts w:ascii="Arial" w:hAnsi="Arial"/>
                <w:sz w:val="15"/>
              </w:rPr>
              <w:t xml:space="preserve">“</w:t>
            </w:r>
            <w:r>
              <w:rPr>
                <w:rFonts w:ascii="Arial" w:hAnsi="Arial"/>
                <w:sz w:val="15"/>
              </w:rPr>
              <w:t xml:space="preserve">ACE on Trust</w:t>
            </w:r>
            <w:r>
              <w:rPr>
                <w:rFonts w:ascii="Arial" w:hAnsi="Arial"/>
                <w:sz w:val="15"/>
              </w:rPr>
              <w:t xml:space="preserve">”</w:t>
            </w:r>
            <w:r>
              <w:rPr>
                <w:rFonts w:ascii="Arial" w:hAnsi="Arial"/>
                <w:sz w:val="15"/>
              </w:rPr>
              <w:t xml:space="preserve">)</w:t>
            </w:r>
          </w:p>
        </w:tc>
        <w:tc>
          <w:tcPr>
            <w:tcW w:type="dxa" w:w="1160"/>
          </w:tcPr>
          <w:p>
            <w:pPr>
              <w:pStyle w:val="Compact"/>
              <w:spacing w:after="0" w:before="0" w:line="240" w:lineRule="auto"/>
              <w:jc w:val="left"/>
            </w:pPr>
            <w:r>
              <w:rPr>
                <w:rFonts w:ascii="Arial" w:hAnsi="Arial"/>
                <w:sz w:val="15"/>
              </w:rPr>
              <w:t xml:space="preserve">2023–30</w:t>
            </w:r>
          </w:p>
        </w:tc>
        <w:tc>
          <w:tcPr>
            <w:tcW w:type="dxa" w:w="2479"/>
          </w:tcPr>
          <w:p>
            <w:pPr>
              <w:pStyle w:val="Compact"/>
              <w:spacing w:after="0" w:before="0" w:line="240" w:lineRule="auto"/>
              <w:jc w:val="left"/>
            </w:pPr>
            <w:r>
              <w:rPr>
                <w:rFonts w:ascii="Arial" w:hAnsi="Arial"/>
                <w:sz w:val="15"/>
              </w:rPr>
              <w:t xml:space="preserve">Pyeongchon #2; Gasan DBO;</w:t>
            </w:r>
            <w:r>
              <w:rPr>
                <w:rFonts w:ascii="Arial" w:hAnsi="Arial"/>
                <w:sz w:val="15"/>
              </w:rPr>
              <w:t xml:space="preserve"> </w:t>
            </w:r>
            <w:r>
              <w:rPr>
                <w:bCs/>
                <w:rFonts w:ascii="Arial" w:hAnsi="Arial"/>
                <w:b/>
                <w:sz w:val="15"/>
              </w:rPr>
              <w:t xml:space="preserve">Paju 200MW (~KRW2tn)</w:t>
            </w:r>
            <w:r>
              <w:rPr>
                <w:rFonts w:ascii="Arial" w:hAnsi="Arial"/>
                <w:sz w:val="15"/>
              </w:rPr>
              <w:t xml:space="preserve">; KRW5tn order target</w:t>
            </w:r>
          </w:p>
        </w:tc>
        <w:tc>
          <w:tcPr>
            <w:tcW w:type="dxa" w:w="2554"/>
          </w:tcPr>
          <w:p>
            <w:pPr>
              <w:pStyle w:val="Compact"/>
              <w:spacing w:after="0" w:before="0" w:line="240" w:lineRule="auto"/>
              <w:jc w:val="left"/>
            </w:pPr>
            <w:r>
              <w:rPr>
                <w:rFonts w:ascii="Arial" w:hAnsi="Arial"/>
                <w:sz w:val="15"/>
              </w:rPr>
              <w:t xml:space="preserve">AIDC +29–31% in 1H26; Paju DC1 sold out [u]; DC2/3 tenants undisclosed</w:t>
            </w:r>
          </w:p>
        </w:tc>
        <w:tc>
          <w:tcPr>
            <w:tcW w:type="dxa" w:w="1898"/>
          </w:tcPr>
          <w:p>
            <w:pPr>
              <w:pStyle w:val="Compact"/>
              <w:spacing w:after="0" w:before="0" w:line="240" w:lineRule="auto"/>
              <w:jc w:val="left"/>
            </w:pPr>
            <w:r>
              <w:rPr>
                <w:bCs/>
                <w:rFonts w:ascii="Arial" w:hAnsi="Arial"/>
                <w:b/>
                <w:sz w:val="15"/>
              </w:rPr>
              <w:t xml:space="preserve">Most valuable initiative; execution risk</w:t>
            </w:r>
          </w:p>
        </w:tc>
      </w:tr>
      <w:tr>
        <w:trPr>
          <w:cantSplit/>
        </w:trPr>
        <w:tc>
          <w:tcPr>
            <w:tcW w:type="dxa" w:w="1887"/>
            <w:shd w:val="clear" w:color="auto" w:fill="F1F2F5"/>
          </w:tcPr>
          <w:p>
            <w:pPr>
              <w:pStyle w:val="Compact"/>
              <w:spacing w:after="0" w:before="0" w:line="240" w:lineRule="auto"/>
              <w:jc w:val="left"/>
            </w:pPr>
            <w:r>
              <w:rPr>
                <w:rFonts w:ascii="Arial" w:hAnsi="Arial"/>
                <w:sz w:val="15"/>
              </w:rPr>
              <w:t xml:space="preserve">Cost reset</w:t>
            </w:r>
          </w:p>
        </w:tc>
        <w:tc>
          <w:tcPr>
            <w:tcW w:type="dxa" w:w="1160"/>
            <w:shd w:val="clear" w:color="auto" w:fill="F1F2F5"/>
          </w:tcPr>
          <w:p>
            <w:pPr>
              <w:pStyle w:val="Compact"/>
              <w:spacing w:after="0" w:before="0" w:line="240" w:lineRule="auto"/>
              <w:jc w:val="left"/>
            </w:pPr>
            <w:r>
              <w:rPr>
                <w:rFonts w:ascii="Arial" w:hAnsi="Arial"/>
                <w:sz w:val="15"/>
              </w:rPr>
              <w:t xml:space="preserve">2025</w:t>
            </w:r>
          </w:p>
        </w:tc>
        <w:tc>
          <w:tcPr>
            <w:tcW w:type="dxa" w:w="2479"/>
            <w:shd w:val="clear" w:color="auto" w:fill="F1F2F5"/>
          </w:tcPr>
          <w:p>
            <w:pPr>
              <w:pStyle w:val="Compact"/>
              <w:spacing w:after="0" w:before="0" w:line="240" w:lineRule="auto"/>
              <w:jc w:val="left"/>
            </w:pPr>
            <w:r>
              <w:rPr>
                <w:rFonts w:ascii="Arial" w:hAnsi="Arial"/>
                <w:sz w:val="15"/>
              </w:rPr>
              <w:t xml:space="preserve">Early retirement of ~600 staff (KRW150bn); tariff simplification</w:t>
            </w:r>
          </w:p>
        </w:tc>
        <w:tc>
          <w:tcPr>
            <w:tcW w:type="dxa" w:w="2554"/>
            <w:shd w:val="clear" w:color="auto" w:fill="F1F2F5"/>
          </w:tcPr>
          <w:p>
            <w:pPr>
              <w:pStyle w:val="Compact"/>
              <w:spacing w:after="0" w:before="0" w:line="240" w:lineRule="auto"/>
              <w:jc w:val="left"/>
            </w:pPr>
            <w:r>
              <w:rPr>
                <w:rFonts w:ascii="Arial" w:hAnsi="Arial"/>
                <w:sz w:val="15"/>
              </w:rPr>
              <w:t xml:space="preserve">Labour -2.5% YoY in 2Q26</w:t>
            </w:r>
          </w:p>
        </w:tc>
        <w:tc>
          <w:tcPr>
            <w:tcW w:type="dxa" w:w="1898"/>
            <w:shd w:val="clear" w:color="auto" w:fill="F1F2F5"/>
          </w:tcPr>
          <w:p>
            <w:pPr>
              <w:pStyle w:val="Compact"/>
              <w:spacing w:after="0" w:before="0" w:line="240" w:lineRule="auto"/>
              <w:jc w:val="left"/>
            </w:pPr>
            <w:r>
              <w:rPr>
                <w:rFonts w:ascii="Arial" w:hAnsi="Arial"/>
                <w:sz w:val="15"/>
              </w:rPr>
              <w:t xml:space="preserve">Working</w:t>
            </w:r>
          </w:p>
        </w:tc>
      </w:tr>
      <w:tr>
        <w:trPr>
          <w:cantSplit/>
        </w:trPr>
        <w:tc>
          <w:tcPr>
            <w:tcW w:type="dxa" w:w="1887"/>
          </w:tcPr>
          <w:p>
            <w:pPr>
              <w:pStyle w:val="Compact"/>
              <w:spacing w:after="0" w:before="0" w:line="240" w:lineRule="auto"/>
              <w:jc w:val="left"/>
            </w:pPr>
            <w:r>
              <w:rPr>
                <w:rFonts w:ascii="Arial" w:hAnsi="Arial"/>
                <w:sz w:val="15"/>
              </w:rPr>
              <w:t xml:space="preserve">Security rebuild</w:t>
            </w:r>
          </w:p>
        </w:tc>
        <w:tc>
          <w:tcPr>
            <w:tcW w:type="dxa" w:w="1160"/>
          </w:tcPr>
          <w:p>
            <w:pPr>
              <w:pStyle w:val="Compact"/>
              <w:spacing w:after="0" w:before="0" w:line="240" w:lineRule="auto"/>
              <w:jc w:val="left"/>
            </w:pPr>
            <w:r>
              <w:rPr>
                <w:rFonts w:ascii="Arial" w:hAnsi="Arial"/>
                <w:sz w:val="15"/>
              </w:rPr>
              <w:t xml:space="preserve">2023–26</w:t>
            </w:r>
          </w:p>
        </w:tc>
        <w:tc>
          <w:tcPr>
            <w:tcW w:type="dxa" w:w="2479"/>
          </w:tcPr>
          <w:p>
            <w:pPr>
              <w:pStyle w:val="Compact"/>
              <w:spacing w:after="0" w:before="0" w:line="240" w:lineRule="auto"/>
              <w:jc w:val="left"/>
            </w:pPr>
            <w:r>
              <w:rPr>
                <w:rFonts w:ascii="Arial" w:hAnsi="Arial"/>
                <w:sz w:val="15"/>
              </w:rPr>
              <w:t xml:space="preserve">Security capex pledge; PAGO acquisition (Aug-2026)</w:t>
            </w:r>
          </w:p>
        </w:tc>
        <w:tc>
          <w:tcPr>
            <w:tcW w:type="dxa" w:w="2554"/>
          </w:tcPr>
          <w:p>
            <w:pPr>
              <w:pStyle w:val="Compact"/>
              <w:spacing w:after="0" w:before="0" w:line="240" w:lineRule="auto"/>
              <w:jc w:val="left"/>
            </w:pPr>
            <w:r>
              <w:rPr>
                <w:rFonts w:ascii="Arial" w:hAnsi="Arial"/>
                <w:sz w:val="15"/>
              </w:rPr>
              <w:t xml:space="preserve">2025 APPM case and police probe remain open</w:t>
            </w:r>
          </w:p>
        </w:tc>
        <w:tc>
          <w:tcPr>
            <w:tcW w:type="dxa" w:w="1898"/>
          </w:tcPr>
          <w:p>
            <w:pPr>
              <w:pStyle w:val="Compact"/>
              <w:spacing w:after="0" w:before="0" w:line="240" w:lineRule="auto"/>
              <w:jc w:val="left"/>
            </w:pPr>
            <w:r>
              <w:rPr>
                <w:rFonts w:ascii="Arial" w:hAnsi="Arial"/>
                <w:sz w:val="15"/>
              </w:rPr>
              <w:t xml:space="preserve">Unresolved</w:t>
            </w:r>
          </w:p>
        </w:tc>
      </w:tr>
      <w:tr>
        <w:trPr>
          <w:cantSplit/>
        </w:trPr>
        <w:tc>
          <w:tcPr>
            <w:tcW w:type="dxa" w:w="1887"/>
            <w:shd w:val="clear" w:color="auto" w:fill="F1F2F5"/>
          </w:tcPr>
          <w:p>
            <w:pPr>
              <w:pStyle w:val="Compact"/>
              <w:spacing w:after="0" w:before="0" w:line="240" w:lineRule="auto"/>
              <w:jc w:val="left"/>
            </w:pPr>
            <w:r>
              <w:rPr>
                <w:rFonts w:ascii="Arial" w:hAnsi="Arial"/>
                <w:sz w:val="15"/>
              </w:rPr>
              <w:t xml:space="preserve">6G / 5G standalone</w:t>
            </w:r>
          </w:p>
        </w:tc>
        <w:tc>
          <w:tcPr>
            <w:tcW w:type="dxa" w:w="1160"/>
            <w:shd w:val="clear" w:color="auto" w:fill="F1F2F5"/>
          </w:tcPr>
          <w:p>
            <w:pPr>
              <w:pStyle w:val="Compact"/>
              <w:spacing w:after="0" w:before="0" w:line="240" w:lineRule="auto"/>
              <w:jc w:val="left"/>
            </w:pPr>
            <w:r>
              <w:rPr>
                <w:rFonts w:ascii="Arial" w:hAnsi="Arial"/>
                <w:sz w:val="15"/>
              </w:rPr>
              <w:t xml:space="preserve">2026–</w:t>
            </w:r>
          </w:p>
        </w:tc>
        <w:tc>
          <w:tcPr>
            <w:tcW w:type="dxa" w:w="2479"/>
            <w:shd w:val="clear" w:color="auto" w:fill="F1F2F5"/>
          </w:tcPr>
          <w:p>
            <w:pPr>
              <w:pStyle w:val="Compact"/>
              <w:spacing w:after="0" w:before="0" w:line="240" w:lineRule="auto"/>
              <w:jc w:val="left"/>
            </w:pPr>
            <w:r>
              <w:rPr>
                <w:rFonts w:ascii="Arial" w:hAnsi="Arial"/>
                <w:sz w:val="15"/>
              </w:rPr>
              <w:t xml:space="preserve">5G SA by end-2026 (software upgrade)</w:t>
            </w:r>
          </w:p>
        </w:tc>
        <w:tc>
          <w:tcPr>
            <w:tcW w:type="dxa" w:w="2554"/>
            <w:shd w:val="clear" w:color="auto" w:fill="F1F2F5"/>
          </w:tcPr>
          <w:p>
            <w:pPr>
              <w:pStyle w:val="Compact"/>
              <w:spacing w:after="0" w:before="0" w:line="240" w:lineRule="auto"/>
              <w:jc w:val="left"/>
            </w:pPr>
            <w:r>
              <w:rPr>
                <w:rFonts w:ascii="Arial" w:hAnsi="Arial"/>
                <w:sz w:val="15"/>
              </w:rPr>
              <w:t xml:space="preserve">On plan</w:t>
            </w:r>
          </w:p>
        </w:tc>
        <w:tc>
          <w:tcPr>
            <w:tcW w:type="dxa" w:w="1898"/>
            <w:shd w:val="clear" w:color="auto" w:fill="F1F2F5"/>
          </w:tcPr>
          <w:p>
            <w:pPr>
              <w:pStyle w:val="Compact"/>
              <w:spacing w:after="0" w:before="0" w:line="240" w:lineRule="auto"/>
              <w:jc w:val="left"/>
            </w:pPr>
            <w:r>
              <w:rPr>
                <w:rFonts w:ascii="Arial" w:hAnsi="Arial"/>
                <w:sz w:val="15"/>
              </w:rPr>
              <w:t xml:space="preserve">Neutral</w:t>
            </w:r>
          </w:p>
        </w:tc>
      </w:tr>
    </w:tbl>
    <w:bookmarkEnd w:id="109"/>
    <w:bookmarkStart w:id="110" w:name="stakes-in-other-companies"/>
    <w:p>
      <w:pPr>
        <w:pStyle w:val="Heading1"/>
      </w:pPr>
      <w:r>
        <w:t xml:space="preserve">Stakes in other companies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1826"/>
        <w:gridCol w:w="878"/>
        <w:gridCol w:w="908"/>
        <w:gridCol w:w="1243"/>
        <w:gridCol w:w="1077"/>
        <w:gridCol w:w="1920"/>
        <w:gridCol w:w="2123"/>
      </w:tblGrid>
      <w:tr>
        <w:trPr>
          <w:tblHeader w:val="true"/>
          <w:tblHeader w:val="true"/>
          <w:cantSplit/>
        </w:trPr>
        <w:tc>
          <w:tcPr>
            <w:tcW w:type="dxa" w:w="1827"/>
            <w:shd w:val="clear" w:color="auto" w:fill="13213F"/>
          </w:tcPr>
          <w:p>
            <w:pPr>
              <w:pStyle w:val="Compact"/>
              <w:spacing w:after="0" w:before="0" w:line="240" w:lineRule="auto"/>
              <w:jc w:val="left"/>
            </w:pPr>
            <w:r>
              <w:rPr>
                <w:rFonts w:ascii="Arial" w:hAnsi="Arial"/>
                <w:b/>
                <w:color w:val="FFFFFF"/>
                <w:sz w:val="15"/>
              </w:rPr>
              <w:t xml:space="preserve">Holding</w:t>
            </w:r>
          </w:p>
        </w:tc>
        <w:tc>
          <w:tcPr>
            <w:tcW w:type="dxa" w:w="878"/>
            <w:shd w:val="clear" w:color="auto" w:fill="13213F"/>
          </w:tcPr>
          <w:p>
            <w:pPr>
              <w:pStyle w:val="Compact"/>
              <w:spacing w:after="0" w:before="0" w:line="240" w:lineRule="auto"/>
              <w:jc w:val="center"/>
            </w:pPr>
            <w:r>
              <w:rPr>
                <w:rFonts w:ascii="Arial" w:hAnsi="Arial"/>
                <w:b/>
                <w:color w:val="FFFFFF"/>
                <w:sz w:val="15"/>
              </w:rPr>
              <w:t xml:space="preserve">Listed?</w:t>
            </w:r>
          </w:p>
        </w:tc>
        <w:tc>
          <w:tcPr>
            <w:tcW w:type="dxa" w:w="908"/>
            <w:shd w:val="clear" w:color="auto" w:fill="13213F"/>
          </w:tcPr>
          <w:p>
            <w:pPr>
              <w:pStyle w:val="Compact"/>
              <w:spacing w:after="0" w:before="0" w:line="240" w:lineRule="auto"/>
              <w:jc w:val="right"/>
            </w:pPr>
            <w:r>
              <w:rPr>
                <w:rFonts w:ascii="Arial" w:hAnsi="Arial"/>
                <w:b/>
                <w:color w:val="FFFFFF"/>
                <w:sz w:val="15"/>
              </w:rPr>
              <w:t xml:space="preserve">Stake</w:t>
            </w:r>
          </w:p>
        </w:tc>
        <w:tc>
          <w:tcPr>
            <w:tcW w:type="dxa" w:w="1243"/>
            <w:shd w:val="clear" w:color="auto" w:fill="13213F"/>
          </w:tcPr>
          <w:p>
            <w:pPr>
              <w:pStyle w:val="Compact"/>
              <w:spacing w:after="0" w:before="0" w:line="240" w:lineRule="auto"/>
              <w:jc w:val="right"/>
            </w:pPr>
            <w:r>
              <w:rPr>
                <w:rFonts w:ascii="Arial" w:hAnsi="Arial"/>
                <w:b/>
                <w:color w:val="FFFFFF"/>
                <w:sz w:val="15"/>
              </w:rPr>
              <w:t xml:space="preserve">Book value (KRW bn)</w:t>
            </w:r>
          </w:p>
        </w:tc>
        <w:tc>
          <w:tcPr>
            <w:tcW w:type="dxa" w:w="1078"/>
            <w:shd w:val="clear" w:color="auto" w:fill="13213F"/>
          </w:tcPr>
          <w:p>
            <w:pPr>
              <w:pStyle w:val="Compact"/>
              <w:spacing w:after="0" w:before="0" w:line="240" w:lineRule="auto"/>
              <w:jc w:val="right"/>
            </w:pPr>
            <w:r>
              <w:rPr>
                <w:rFonts w:ascii="Arial" w:hAnsi="Arial"/>
                <w:b/>
                <w:color w:val="FFFFFF"/>
                <w:sz w:val="15"/>
              </w:rPr>
              <w:t xml:space="preserve">Market value (KRW bn)</w:t>
            </w:r>
          </w:p>
        </w:tc>
        <w:tc>
          <w:tcPr>
            <w:tcW w:type="dxa" w:w="1920"/>
            <w:shd w:val="clear" w:color="auto" w:fill="13213F"/>
          </w:tcPr>
          <w:p>
            <w:pPr>
              <w:pStyle w:val="Compact"/>
              <w:spacing w:after="0" w:before="0" w:line="240" w:lineRule="auto"/>
              <w:jc w:val="left"/>
            </w:pPr>
            <w:r>
              <w:rPr>
                <w:rFonts w:ascii="Arial" w:hAnsi="Arial"/>
                <w:b/>
                <w:color w:val="FFFFFF"/>
                <w:sz w:val="15"/>
              </w:rPr>
              <w:t xml:space="preserve">Strategic relevance</w:t>
            </w:r>
          </w:p>
        </w:tc>
        <w:tc>
          <w:tcPr>
            <w:tcW w:type="dxa" w:w="2124"/>
            <w:shd w:val="clear" w:color="auto" w:fill="13213F"/>
          </w:tcPr>
          <w:p>
            <w:pPr>
              <w:pStyle w:val="Compact"/>
              <w:spacing w:after="0" w:before="0" w:line="240" w:lineRule="auto"/>
              <w:jc w:val="left"/>
            </w:pPr>
            <w:r>
              <w:rPr>
                <w:rFonts w:ascii="Arial" w:hAnsi="Arial"/>
                <w:b/>
                <w:color w:val="FFFFFF"/>
                <w:sz w:val="15"/>
              </w:rPr>
              <w:t xml:space="preserve">Financial relevance</w:t>
            </w:r>
          </w:p>
        </w:tc>
      </w:tr>
      <w:tr>
        <w:trPr>
          <w:cantSplit/>
        </w:trPr>
        <w:tc>
          <w:tcPr>
            <w:tcW w:type="dxa" w:w="1827"/>
          </w:tcPr>
          <w:p>
            <w:pPr>
              <w:pStyle w:val="Compact"/>
              <w:spacing w:after="0" w:before="0" w:line="240" w:lineRule="auto"/>
              <w:jc w:val="left"/>
            </w:pPr>
            <w:r>
              <w:rPr>
                <w:rFonts w:ascii="Arial" w:hAnsi="Arial"/>
                <w:sz w:val="15"/>
              </w:rPr>
              <w:t xml:space="preserve">LG HelloVision (037560 KS)</w:t>
            </w:r>
          </w:p>
        </w:tc>
        <w:tc>
          <w:tcPr>
            <w:tcW w:type="dxa" w:w="878"/>
          </w:tcPr>
          <w:p>
            <w:pPr>
              <w:pStyle w:val="Compact"/>
              <w:spacing w:after="0" w:before="0" w:line="240" w:lineRule="auto"/>
              <w:jc w:val="center"/>
            </w:pPr>
            <w:r>
              <w:rPr>
                <w:rFonts w:ascii="Arial" w:hAnsi="Arial"/>
                <w:sz w:val="15"/>
              </w:rPr>
              <w:t xml:space="preserve">Yes</w:t>
            </w:r>
          </w:p>
        </w:tc>
        <w:tc>
          <w:tcPr>
            <w:tcW w:type="dxa" w:w="908"/>
          </w:tcPr>
          <w:p>
            <w:pPr>
              <w:pStyle w:val="Compact"/>
              <w:spacing w:after="0" w:before="0" w:line="240" w:lineRule="auto"/>
              <w:jc w:val="right"/>
            </w:pPr>
            <w:r>
              <w:rPr>
                <w:rFonts w:ascii="Arial" w:hAnsi="Arial"/>
                <w:sz w:val="15"/>
              </w:rPr>
              <w:t xml:space="preserve">58.61%</w:t>
            </w:r>
          </w:p>
        </w:tc>
        <w:tc>
          <w:tcPr>
            <w:tcW w:type="dxa" w:w="1243"/>
          </w:tcPr>
          <w:p>
            <w:pPr>
              <w:pStyle w:val="Compact"/>
              <w:spacing w:after="0" w:before="0" w:line="240" w:lineRule="auto"/>
              <w:jc w:val="right"/>
            </w:pPr>
            <w:r>
              <w:rPr>
                <w:rFonts w:ascii="Arial" w:hAnsi="Arial"/>
                <w:sz w:val="15"/>
              </w:rPr>
              <w:t xml:space="preserve">656 (separate)</w:t>
            </w:r>
          </w:p>
        </w:tc>
        <w:tc>
          <w:tcPr>
            <w:tcW w:type="dxa" w:w="1078"/>
          </w:tcPr>
          <w:p>
            <w:pPr>
              <w:pStyle w:val="Compact"/>
              <w:spacing w:after="0" w:before="0" w:line="240" w:lineRule="auto"/>
              <w:jc w:val="right"/>
            </w:pPr>
            <w:r>
              <w:rPr>
                <w:bCs/>
                <w:rFonts w:ascii="Arial" w:hAnsi="Arial"/>
                <w:b/>
                <w:sz w:val="15"/>
              </w:rPr>
              <w:t xml:space="preserve">~69</w:t>
            </w:r>
          </w:p>
        </w:tc>
        <w:tc>
          <w:tcPr>
            <w:tcW w:type="dxa" w:w="1920"/>
          </w:tcPr>
          <w:p>
            <w:pPr>
              <w:pStyle w:val="Compact"/>
              <w:spacing w:after="0" w:before="0" w:line="240" w:lineRule="auto"/>
              <w:jc w:val="left"/>
            </w:pPr>
            <w:r>
              <w:rPr>
                <w:rFonts w:ascii="Arial" w:hAnsi="Arial"/>
                <w:sz w:val="15"/>
              </w:rPr>
              <w:t xml:space="preserve">Cable TV, Hello Mobile MVNO, B2G; regional broadband</w:t>
            </w:r>
          </w:p>
        </w:tc>
        <w:tc>
          <w:tcPr>
            <w:tcW w:type="dxa" w:w="2124"/>
          </w:tcPr>
          <w:p>
            <w:pPr>
              <w:pStyle w:val="Compact"/>
              <w:spacing w:after="0" w:before="0" w:line="240" w:lineRule="auto"/>
              <w:jc w:val="left"/>
            </w:pPr>
            <w:r>
              <w:rPr>
                <w:rFonts w:ascii="Arial" w:hAnsi="Arial"/>
                <w:sz w:val="15"/>
              </w:rPr>
              <w:t xml:space="preserve">Low (~8% of revenue, ~3% of EBITDA). An impairment risk at parent level; cheap to squeeze out (~KRW50–70bn)</w:t>
            </w:r>
          </w:p>
        </w:tc>
      </w:tr>
      <w:tr>
        <w:trPr>
          <w:cantSplit/>
        </w:trPr>
        <w:tc>
          <w:tcPr>
            <w:tcW w:type="dxa" w:w="1827"/>
            <w:shd w:val="clear" w:color="auto" w:fill="F1F2F5"/>
          </w:tcPr>
          <w:p>
            <w:pPr>
              <w:pStyle w:val="Compact"/>
              <w:spacing w:after="0" w:before="0" w:line="240" w:lineRule="auto"/>
              <w:jc w:val="left"/>
            </w:pPr>
            <w:r>
              <w:rPr>
                <w:rFonts w:ascii="Arial" w:hAnsi="Arial"/>
                <w:sz w:val="15"/>
              </w:rPr>
              <w:t xml:space="preserve">Media Log (U+ Mobile)</w:t>
            </w:r>
          </w:p>
        </w:tc>
        <w:tc>
          <w:tcPr>
            <w:tcW w:type="dxa" w:w="878"/>
            <w:shd w:val="clear" w:color="auto" w:fill="F1F2F5"/>
          </w:tcPr>
          <w:p>
            <w:pPr>
              <w:pStyle w:val="Compact"/>
              <w:spacing w:after="0" w:before="0" w:line="240" w:lineRule="auto"/>
              <w:jc w:val="center"/>
            </w:pPr>
            <w:r>
              <w:rPr>
                <w:rFonts w:ascii="Arial" w:hAnsi="Arial"/>
                <w:sz w:val="15"/>
              </w:rPr>
              <w:t xml:space="preserve">No</w:t>
            </w:r>
          </w:p>
        </w:tc>
        <w:tc>
          <w:tcPr>
            <w:tcW w:type="dxa" w:w="908"/>
            <w:shd w:val="clear" w:color="auto" w:fill="F1F2F5"/>
          </w:tcPr>
          <w:p>
            <w:pPr>
              <w:pStyle w:val="Compact"/>
              <w:spacing w:after="0" w:before="0" w:line="240" w:lineRule="auto"/>
              <w:jc w:val="right"/>
            </w:pPr>
            <w:r>
              <w:rPr>
                <w:rFonts w:ascii="Arial" w:hAnsi="Arial"/>
                <w:sz w:val="15"/>
              </w:rPr>
              <w:t xml:space="preserve">99.6%</w:t>
            </w:r>
          </w:p>
        </w:tc>
        <w:tc>
          <w:tcPr>
            <w:tcW w:type="dxa" w:w="1243"/>
            <w:shd w:val="clear" w:color="auto" w:fill="F1F2F5"/>
          </w:tcPr>
          <w:p>
            <w:pPr>
              <w:pStyle w:val="Compact"/>
              <w:spacing w:after="0" w:before="0" w:line="240" w:lineRule="auto"/>
              <w:jc w:val="right"/>
            </w:pPr>
            <w:r>
              <w:rPr>
                <w:rFonts w:ascii="Arial" w:hAnsi="Arial"/>
                <w:sz w:val="15"/>
              </w:rPr>
              <w:t xml:space="preserve">64</w:t>
            </w:r>
          </w:p>
        </w:tc>
        <w:tc>
          <w:tcPr>
            <w:tcW w:type="dxa" w:w="1078"/>
            <w:shd w:val="clear" w:color="auto" w:fill="F1F2F5"/>
          </w:tcPr>
          <w:p>
            <w:pPr>
              <w:pStyle w:val="Compact"/>
              <w:spacing w:after="0" w:before="0" w:line="240" w:lineRule="auto"/>
              <w:jc w:val="right"/>
            </w:pPr>
            <w:r>
              <w:rPr>
                <w:rFonts w:ascii="Arial" w:hAnsi="Arial"/>
                <w:sz w:val="15"/>
              </w:rPr>
              <w:t xml:space="preserve">n/a</w:t>
            </w:r>
          </w:p>
        </w:tc>
        <w:tc>
          <w:tcPr>
            <w:tcW w:type="dxa" w:w="1920"/>
            <w:shd w:val="clear" w:color="auto" w:fill="F1F2F5"/>
          </w:tcPr>
          <w:p>
            <w:pPr>
              <w:pStyle w:val="Compact"/>
              <w:spacing w:after="0" w:before="0" w:line="240" w:lineRule="auto"/>
              <w:jc w:val="left"/>
            </w:pPr>
            <w:r>
              <w:rPr>
                <w:rFonts w:ascii="Arial" w:hAnsi="Arial"/>
                <w:sz w:val="15"/>
              </w:rPr>
              <w:t xml:space="preserve">Captive MVNO (low-end defence)</w:t>
            </w:r>
          </w:p>
        </w:tc>
        <w:tc>
          <w:tcPr>
            <w:tcW w:type="dxa" w:w="2124"/>
            <w:shd w:val="clear" w:color="auto" w:fill="F1F2F5"/>
          </w:tcPr>
          <w:p>
            <w:pPr>
              <w:pStyle w:val="Compact"/>
              <w:spacing w:after="0" w:before="0" w:line="240" w:lineRule="auto"/>
              <w:jc w:val="left"/>
            </w:pPr>
            <w:r>
              <w:rPr>
                <w:rFonts w:ascii="Arial" w:hAnsi="Arial"/>
                <w:sz w:val="15"/>
              </w:rPr>
              <w:t xml:space="preserve">Small</w:t>
            </w:r>
          </w:p>
        </w:tc>
      </w:tr>
      <w:tr>
        <w:trPr>
          <w:cantSplit/>
        </w:trPr>
        <w:tc>
          <w:tcPr>
            <w:tcW w:type="dxa" w:w="1827"/>
          </w:tcPr>
          <w:p>
            <w:pPr>
              <w:pStyle w:val="Compact"/>
              <w:spacing w:after="0" w:before="0" w:line="240" w:lineRule="auto"/>
              <w:jc w:val="left"/>
            </w:pPr>
            <w:r>
              <w:rPr>
                <w:rFonts w:ascii="Arial" w:hAnsi="Arial"/>
                <w:sz w:val="15"/>
              </w:rPr>
              <w:t xml:space="preserve">LG U+ VoltUp (EV charging)</w:t>
            </w:r>
          </w:p>
        </w:tc>
        <w:tc>
          <w:tcPr>
            <w:tcW w:type="dxa" w:w="878"/>
          </w:tcPr>
          <w:p>
            <w:pPr>
              <w:pStyle w:val="Compact"/>
              <w:spacing w:after="0" w:before="0" w:line="240" w:lineRule="auto"/>
              <w:jc w:val="center"/>
            </w:pPr>
            <w:r>
              <w:rPr>
                <w:rFonts w:ascii="Arial" w:hAnsi="Arial"/>
                <w:sz w:val="15"/>
              </w:rPr>
              <w:t xml:space="preserve">No</w:t>
            </w:r>
          </w:p>
        </w:tc>
        <w:tc>
          <w:tcPr>
            <w:tcW w:type="dxa" w:w="908"/>
          </w:tcPr>
          <w:p>
            <w:pPr>
              <w:pStyle w:val="Compact"/>
              <w:spacing w:after="0" w:before="0" w:line="240" w:lineRule="auto"/>
              <w:jc w:val="right"/>
            </w:pPr>
            <w:r>
              <w:rPr>
                <w:rFonts w:ascii="Arial" w:hAnsi="Arial"/>
                <w:sz w:val="15"/>
              </w:rPr>
              <w:t xml:space="preserve">50%+1</w:t>
            </w:r>
          </w:p>
        </w:tc>
        <w:tc>
          <w:tcPr>
            <w:tcW w:type="dxa" w:w="1243"/>
          </w:tcPr>
          <w:p>
            <w:pPr>
              <w:pStyle w:val="Compact"/>
              <w:spacing w:after="0" w:before="0" w:line="240" w:lineRule="auto"/>
              <w:jc w:val="right"/>
            </w:pPr>
            <w:r>
              <w:rPr>
                <w:rFonts w:ascii="Arial" w:hAnsi="Arial"/>
                <w:sz w:val="15"/>
              </w:rPr>
              <w:t xml:space="preserve">50</w:t>
            </w:r>
          </w:p>
        </w:tc>
        <w:tc>
          <w:tcPr>
            <w:tcW w:type="dxa" w:w="1078"/>
          </w:tcPr>
          <w:p>
            <w:pPr>
              <w:pStyle w:val="Compact"/>
              <w:spacing w:after="0" w:before="0" w:line="240" w:lineRule="auto"/>
              <w:jc w:val="right"/>
            </w:pPr>
            <w:r>
              <w:rPr>
                <w:rFonts w:ascii="Arial" w:hAnsi="Arial"/>
                <w:sz w:val="15"/>
              </w:rPr>
              <w:t xml:space="preserve">n/a</w:t>
            </w:r>
          </w:p>
        </w:tc>
        <w:tc>
          <w:tcPr>
            <w:tcW w:type="dxa" w:w="1920"/>
          </w:tcPr>
          <w:p>
            <w:pPr>
              <w:pStyle w:val="Compact"/>
              <w:spacing w:after="0" w:before="0" w:line="240" w:lineRule="auto"/>
              <w:jc w:val="left"/>
            </w:pPr>
            <w:r>
              <w:rPr>
                <w:rFonts w:ascii="Arial" w:hAnsi="Arial"/>
                <w:sz w:val="15"/>
              </w:rPr>
              <w:t xml:space="preserve">EV-charging JV with Kakao Mobility</w:t>
            </w:r>
          </w:p>
        </w:tc>
        <w:tc>
          <w:tcPr>
            <w:tcW w:type="dxa" w:w="2124"/>
          </w:tcPr>
          <w:p>
            <w:pPr>
              <w:pStyle w:val="Compact"/>
              <w:spacing w:after="0" w:before="0" w:line="240" w:lineRule="auto"/>
              <w:jc w:val="left"/>
            </w:pPr>
            <w:r>
              <w:rPr>
                <w:rFonts w:ascii="Arial" w:hAnsi="Arial"/>
                <w:sz w:val="15"/>
              </w:rPr>
              <w:t xml:space="preserve">Small; sub-scale</w:t>
            </w:r>
          </w:p>
        </w:tc>
      </w:tr>
      <w:tr>
        <w:trPr>
          <w:cantSplit/>
        </w:trPr>
        <w:tc>
          <w:tcPr>
            <w:tcW w:type="dxa" w:w="1827"/>
            <w:shd w:val="clear" w:color="auto" w:fill="F1F2F5"/>
          </w:tcPr>
          <w:p>
            <w:pPr>
              <w:pStyle w:val="Compact"/>
              <w:spacing w:after="0" w:before="0" w:line="240" w:lineRule="auto"/>
              <w:jc w:val="left"/>
            </w:pPr>
            <w:r>
              <w:rPr>
                <w:rFonts w:ascii="Arial" w:hAnsi="Arial"/>
                <w:sz w:val="15"/>
              </w:rPr>
              <w:t xml:space="preserve">Dacom Crossing</w:t>
            </w:r>
          </w:p>
        </w:tc>
        <w:tc>
          <w:tcPr>
            <w:tcW w:type="dxa" w:w="878"/>
            <w:shd w:val="clear" w:color="auto" w:fill="F1F2F5"/>
          </w:tcPr>
          <w:p>
            <w:pPr>
              <w:pStyle w:val="Compact"/>
              <w:spacing w:after="0" w:before="0" w:line="240" w:lineRule="auto"/>
              <w:jc w:val="center"/>
            </w:pPr>
            <w:r>
              <w:rPr>
                <w:rFonts w:ascii="Arial" w:hAnsi="Arial"/>
                <w:sz w:val="15"/>
              </w:rPr>
              <w:t xml:space="preserve">No</w:t>
            </w:r>
          </w:p>
        </w:tc>
        <w:tc>
          <w:tcPr>
            <w:tcW w:type="dxa" w:w="908"/>
            <w:shd w:val="clear" w:color="auto" w:fill="F1F2F5"/>
          </w:tcPr>
          <w:p>
            <w:pPr>
              <w:pStyle w:val="Compact"/>
              <w:spacing w:after="0" w:before="0" w:line="240" w:lineRule="auto"/>
              <w:jc w:val="right"/>
            </w:pPr>
            <w:r>
              <w:rPr>
                <w:rFonts w:ascii="Arial" w:hAnsi="Arial"/>
                <w:sz w:val="15"/>
              </w:rPr>
              <w:t xml:space="preserve">51% (JV)</w:t>
            </w:r>
          </w:p>
        </w:tc>
        <w:tc>
          <w:tcPr>
            <w:tcW w:type="dxa" w:w="1243"/>
            <w:shd w:val="clear" w:color="auto" w:fill="F1F2F5"/>
          </w:tcPr>
          <w:p>
            <w:pPr>
              <w:pStyle w:val="Compact"/>
              <w:spacing w:after="0" w:before="0" w:line="240" w:lineRule="auto"/>
              <w:jc w:val="right"/>
            </w:pPr>
            <w:r>
              <w:rPr>
                <w:rFonts w:ascii="Arial" w:hAnsi="Arial"/>
                <w:sz w:val="15"/>
              </w:rPr>
              <w:t xml:space="preserve">17</w:t>
            </w:r>
          </w:p>
        </w:tc>
        <w:tc>
          <w:tcPr>
            <w:tcW w:type="dxa" w:w="1078"/>
            <w:shd w:val="clear" w:color="auto" w:fill="F1F2F5"/>
          </w:tcPr>
          <w:p>
            <w:pPr>
              <w:pStyle w:val="Compact"/>
              <w:spacing w:after="0" w:before="0" w:line="240" w:lineRule="auto"/>
              <w:jc w:val="right"/>
            </w:pPr>
            <w:r>
              <w:rPr>
                <w:rFonts w:ascii="Arial" w:hAnsi="Arial"/>
                <w:sz w:val="15"/>
              </w:rPr>
              <w:t xml:space="preserve">n/a</w:t>
            </w:r>
          </w:p>
        </w:tc>
        <w:tc>
          <w:tcPr>
            <w:tcW w:type="dxa" w:w="1920"/>
            <w:shd w:val="clear" w:color="auto" w:fill="F1F2F5"/>
          </w:tcPr>
          <w:p>
            <w:pPr>
              <w:pStyle w:val="Compact"/>
              <w:spacing w:after="0" w:before="0" w:line="240" w:lineRule="auto"/>
              <w:jc w:val="left"/>
            </w:pPr>
            <w:r>
              <w:rPr>
                <w:rFonts w:ascii="Arial" w:hAnsi="Arial"/>
                <w:sz w:val="15"/>
              </w:rPr>
              <w:t xml:space="preserve">International / submarine capacity</w:t>
            </w:r>
          </w:p>
        </w:tc>
        <w:tc>
          <w:tcPr>
            <w:tcW w:type="dxa" w:w="2124"/>
            <w:shd w:val="clear" w:color="auto" w:fill="F1F2F5"/>
          </w:tcPr>
          <w:p>
            <w:pPr>
              <w:pStyle w:val="Compact"/>
              <w:spacing w:after="0" w:before="0" w:line="240" w:lineRule="auto"/>
              <w:jc w:val="left"/>
            </w:pPr>
            <w:r>
              <w:rPr>
                <w:rFonts w:ascii="Arial" w:hAnsi="Arial"/>
                <w:sz w:val="15"/>
              </w:rPr>
              <w:t xml:space="preserve">Small</w:t>
            </w:r>
          </w:p>
        </w:tc>
      </w:tr>
      <w:tr>
        <w:trPr>
          <w:cantSplit/>
        </w:trPr>
        <w:tc>
          <w:tcPr>
            <w:tcW w:type="dxa" w:w="1827"/>
          </w:tcPr>
          <w:p>
            <w:pPr>
              <w:pStyle w:val="Compact"/>
              <w:spacing w:after="0" w:before="0" w:line="240" w:lineRule="auto"/>
              <w:jc w:val="left"/>
            </w:pPr>
            <w:r>
              <w:rPr>
                <w:rFonts w:ascii="Arial" w:hAnsi="Arial"/>
                <w:sz w:val="15"/>
              </w:rPr>
              <w:t xml:space="preserve">KT Genie Music (043610 KS)</w:t>
            </w:r>
          </w:p>
        </w:tc>
        <w:tc>
          <w:tcPr>
            <w:tcW w:type="dxa" w:w="878"/>
          </w:tcPr>
          <w:p>
            <w:pPr>
              <w:pStyle w:val="Compact"/>
              <w:spacing w:after="0" w:before="0" w:line="240" w:lineRule="auto"/>
              <w:jc w:val="center"/>
            </w:pPr>
            <w:r>
              <w:rPr>
                <w:rFonts w:ascii="Arial" w:hAnsi="Arial"/>
                <w:sz w:val="15"/>
              </w:rPr>
              <w:t xml:space="preserve">Yes</w:t>
            </w:r>
          </w:p>
        </w:tc>
        <w:tc>
          <w:tcPr>
            <w:tcW w:type="dxa" w:w="908"/>
          </w:tcPr>
          <w:p>
            <w:pPr>
              <w:pStyle w:val="Compact"/>
              <w:spacing w:after="0" w:before="0" w:line="240" w:lineRule="auto"/>
              <w:jc w:val="right"/>
            </w:pPr>
            <w:r>
              <w:rPr>
                <w:rFonts w:ascii="Arial" w:hAnsi="Arial"/>
                <w:sz w:val="15"/>
              </w:rPr>
              <w:t xml:space="preserve">9.99%</w:t>
            </w:r>
          </w:p>
        </w:tc>
        <w:tc>
          <w:tcPr>
            <w:tcW w:type="dxa" w:w="1243"/>
          </w:tcPr>
          <w:p>
            <w:pPr>
              <w:pStyle w:val="Compact"/>
              <w:spacing w:after="0" w:before="0" w:line="240" w:lineRule="auto"/>
              <w:jc w:val="right"/>
            </w:pPr>
            <w:r>
              <w:rPr>
                <w:rFonts w:ascii="Arial" w:hAnsi="Arial"/>
                <w:sz w:val="15"/>
              </w:rPr>
              <w:t xml:space="preserve">23</w:t>
            </w:r>
          </w:p>
        </w:tc>
        <w:tc>
          <w:tcPr>
            <w:tcW w:type="dxa" w:w="1078"/>
          </w:tcPr>
          <w:p>
            <w:pPr>
              <w:pStyle w:val="Compact"/>
              <w:spacing w:after="0" w:before="0" w:line="240" w:lineRule="auto"/>
              <w:jc w:val="right"/>
            </w:pPr>
            <w:r>
              <w:rPr>
                <w:rFonts w:ascii="Arial" w:hAnsi="Arial"/>
                <w:sz w:val="15"/>
              </w:rPr>
              <w:t xml:space="preserve">~6</w:t>
            </w:r>
          </w:p>
        </w:tc>
        <w:tc>
          <w:tcPr>
            <w:tcW w:type="dxa" w:w="1920"/>
          </w:tcPr>
          <w:p>
            <w:pPr>
              <w:pStyle w:val="Compact"/>
              <w:spacing w:after="0" w:before="0" w:line="240" w:lineRule="auto"/>
              <w:jc w:val="left"/>
            </w:pPr>
            <w:r>
              <w:rPr>
                <w:rFonts w:ascii="Arial" w:hAnsi="Arial"/>
                <w:sz w:val="15"/>
              </w:rPr>
              <w:t xml:space="preserve">Music content for bundles</w:t>
            </w:r>
          </w:p>
        </w:tc>
        <w:tc>
          <w:tcPr>
            <w:tcW w:type="dxa" w:w="2124"/>
          </w:tcPr>
          <w:p>
            <w:pPr>
              <w:pStyle w:val="Compact"/>
              <w:spacing w:after="0" w:before="0" w:line="240" w:lineRule="auto"/>
              <w:jc w:val="left"/>
            </w:pPr>
            <w:r>
              <w:rPr>
                <w:rFonts w:ascii="Arial" w:hAnsi="Arial"/>
                <w:sz w:val="15"/>
              </w:rPr>
              <w:t xml:space="preserve">Negligible</w:t>
            </w:r>
          </w:p>
        </w:tc>
      </w:tr>
      <w:tr>
        <w:trPr>
          <w:cantSplit/>
        </w:trPr>
        <w:tc>
          <w:tcPr>
            <w:tcW w:type="dxa" w:w="1827"/>
            <w:shd w:val="clear" w:color="auto" w:fill="F1F2F5"/>
          </w:tcPr>
          <w:p>
            <w:pPr>
              <w:pStyle w:val="Compact"/>
              <w:spacing w:after="0" w:before="0" w:line="240" w:lineRule="auto"/>
              <w:jc w:val="left"/>
            </w:pPr>
            <w:r>
              <w:rPr>
                <w:rFonts w:ascii="Arial" w:hAnsi="Arial"/>
                <w:sz w:val="15"/>
              </w:rPr>
              <w:t xml:space="preserve">Revu Corp (443250 KS)</w:t>
            </w:r>
          </w:p>
        </w:tc>
        <w:tc>
          <w:tcPr>
            <w:tcW w:type="dxa" w:w="878"/>
            <w:shd w:val="clear" w:color="auto" w:fill="F1F2F5"/>
          </w:tcPr>
          <w:p>
            <w:pPr>
              <w:pStyle w:val="Compact"/>
              <w:spacing w:after="0" w:before="0" w:line="240" w:lineRule="auto"/>
              <w:jc w:val="center"/>
            </w:pPr>
            <w:r>
              <w:rPr>
                <w:rFonts w:ascii="Arial" w:hAnsi="Arial"/>
                <w:sz w:val="15"/>
              </w:rPr>
              <w:t xml:space="preserve">Yes</w:t>
            </w:r>
          </w:p>
        </w:tc>
        <w:tc>
          <w:tcPr>
            <w:tcW w:type="dxa" w:w="908"/>
            <w:shd w:val="clear" w:color="auto" w:fill="F1F2F5"/>
          </w:tcPr>
          <w:p>
            <w:pPr>
              <w:pStyle w:val="Compact"/>
              <w:spacing w:after="0" w:before="0" w:line="240" w:lineRule="auto"/>
              <w:jc w:val="right"/>
            </w:pPr>
            <w:r>
              <w:rPr>
                <w:rFonts w:ascii="Arial" w:hAnsi="Arial"/>
                <w:sz w:val="15"/>
              </w:rPr>
              <w:t xml:space="preserve">8.3%</w:t>
            </w:r>
          </w:p>
        </w:tc>
        <w:tc>
          <w:tcPr>
            <w:tcW w:type="dxa" w:w="1243"/>
            <w:shd w:val="clear" w:color="auto" w:fill="F1F2F5"/>
          </w:tcPr>
          <w:p>
            <w:pPr>
              <w:pStyle w:val="Compact"/>
              <w:spacing w:after="0" w:before="0" w:line="240" w:lineRule="auto"/>
              <w:jc w:val="right"/>
            </w:pPr>
            <w:r>
              <w:rPr>
                <w:rFonts w:ascii="Arial" w:hAnsi="Arial"/>
                <w:sz w:val="15"/>
              </w:rPr>
              <w:t xml:space="preserve">8</w:t>
            </w:r>
          </w:p>
        </w:tc>
        <w:tc>
          <w:tcPr>
            <w:tcW w:type="dxa" w:w="1078"/>
            <w:shd w:val="clear" w:color="auto" w:fill="F1F2F5"/>
          </w:tcPr>
          <w:p>
            <w:pPr>
              <w:pStyle w:val="Compact"/>
              <w:spacing w:after="0" w:before="0" w:line="240" w:lineRule="auto"/>
              <w:jc w:val="right"/>
            </w:pPr>
            <w:r>
              <w:rPr>
                <w:rFonts w:ascii="Arial" w:hAnsi="Arial"/>
                <w:sz w:val="15"/>
              </w:rPr>
              <w:t xml:space="preserve">~5</w:t>
            </w:r>
          </w:p>
        </w:tc>
        <w:tc>
          <w:tcPr>
            <w:tcW w:type="dxa" w:w="1920"/>
            <w:shd w:val="clear" w:color="auto" w:fill="F1F2F5"/>
          </w:tcPr>
          <w:p>
            <w:pPr>
              <w:pStyle w:val="Compact"/>
              <w:spacing w:after="0" w:before="0" w:line="240" w:lineRule="auto"/>
              <w:jc w:val="left"/>
            </w:pPr>
            <w:r>
              <w:rPr>
                <w:rFonts w:ascii="Arial" w:hAnsi="Arial"/>
                <w:sz w:val="15"/>
              </w:rPr>
              <w:t xml:space="preserve">Influencer marketing</w:t>
            </w:r>
          </w:p>
        </w:tc>
        <w:tc>
          <w:tcPr>
            <w:tcW w:type="dxa" w:w="2124"/>
            <w:shd w:val="clear" w:color="auto" w:fill="F1F2F5"/>
          </w:tcPr>
          <w:p>
            <w:pPr>
              <w:pStyle w:val="Compact"/>
              <w:spacing w:after="0" w:before="0" w:line="240" w:lineRule="auto"/>
              <w:jc w:val="left"/>
            </w:pPr>
            <w:r>
              <w:rPr>
                <w:rFonts w:ascii="Arial" w:hAnsi="Arial"/>
                <w:sz w:val="15"/>
              </w:rPr>
              <w:t xml:space="preserve">Negligible (sale collapsed)</w:t>
            </w:r>
          </w:p>
        </w:tc>
      </w:tr>
      <w:tr>
        <w:trPr>
          <w:cantSplit/>
        </w:trPr>
        <w:tc>
          <w:tcPr>
            <w:tcW w:type="dxa" w:w="1827"/>
          </w:tcPr>
          <w:p>
            <w:pPr>
              <w:pStyle w:val="Compact"/>
              <w:spacing w:after="0" w:before="0" w:line="240" w:lineRule="auto"/>
              <w:jc w:val="left"/>
            </w:pPr>
            <w:r>
              <w:rPr>
                <w:rFonts w:ascii="Arial" w:hAnsi="Arial"/>
                <w:sz w:val="15"/>
              </w:rPr>
              <w:t xml:space="preserve">Obigo (352910 KS)</w:t>
            </w:r>
          </w:p>
        </w:tc>
        <w:tc>
          <w:tcPr>
            <w:tcW w:type="dxa" w:w="878"/>
          </w:tcPr>
          <w:p>
            <w:pPr>
              <w:pStyle w:val="Compact"/>
              <w:spacing w:after="0" w:before="0" w:line="240" w:lineRule="auto"/>
              <w:jc w:val="center"/>
            </w:pPr>
            <w:r>
              <w:rPr>
                <w:rFonts w:ascii="Arial" w:hAnsi="Arial"/>
                <w:sz w:val="15"/>
              </w:rPr>
              <w:t xml:space="preserve">Yes</w:t>
            </w:r>
          </w:p>
        </w:tc>
        <w:tc>
          <w:tcPr>
            <w:tcW w:type="dxa" w:w="908"/>
          </w:tcPr>
          <w:p>
            <w:pPr>
              <w:pStyle w:val="Compact"/>
              <w:spacing w:after="0" w:before="0" w:line="240" w:lineRule="auto"/>
              <w:jc w:val="right"/>
            </w:pPr>
            <w:r>
              <w:rPr>
                <w:rFonts w:ascii="Arial" w:hAnsi="Arial"/>
                <w:sz w:val="15"/>
              </w:rPr>
              <w:t xml:space="preserve">~5% [u]</w:t>
            </w:r>
          </w:p>
        </w:tc>
        <w:tc>
          <w:tcPr>
            <w:tcW w:type="dxa" w:w="1243"/>
          </w:tcPr>
          <w:p>
            <w:pPr>
              <w:pStyle w:val="Compact"/>
              <w:spacing w:after="0" w:before="0" w:line="240" w:lineRule="auto"/>
              <w:jc w:val="right"/>
            </w:pPr>
            <w:r>
              <w:rPr>
                <w:rFonts w:ascii="Arial" w:hAnsi="Arial"/>
                <w:sz w:val="15"/>
              </w:rPr>
              <w:t xml:space="preserve">n/d</w:t>
            </w:r>
          </w:p>
        </w:tc>
        <w:tc>
          <w:tcPr>
            <w:tcW w:type="dxa" w:w="1078"/>
          </w:tcPr>
          <w:p>
            <w:pPr>
              <w:pStyle w:val="Compact"/>
              <w:spacing w:after="0" w:before="0" w:line="240" w:lineRule="auto"/>
              <w:jc w:val="right"/>
            </w:pPr>
            <w:r>
              <w:rPr>
                <w:rFonts w:ascii="Arial" w:hAnsi="Arial"/>
                <w:sz w:val="15"/>
              </w:rPr>
              <w:t xml:space="preserve">~3</w:t>
            </w:r>
          </w:p>
        </w:tc>
        <w:tc>
          <w:tcPr>
            <w:tcW w:type="dxa" w:w="1920"/>
          </w:tcPr>
          <w:p>
            <w:pPr>
              <w:pStyle w:val="Compact"/>
              <w:spacing w:after="0" w:before="0" w:line="240" w:lineRule="auto"/>
              <w:jc w:val="left"/>
            </w:pPr>
            <w:r>
              <w:rPr>
                <w:rFonts w:ascii="Arial" w:hAnsi="Arial"/>
                <w:sz w:val="15"/>
              </w:rPr>
              <w:t xml:space="preserve">Connected-car software</w:t>
            </w:r>
          </w:p>
        </w:tc>
        <w:tc>
          <w:tcPr>
            <w:tcW w:type="dxa" w:w="2124"/>
          </w:tcPr>
          <w:p>
            <w:pPr>
              <w:pStyle w:val="Compact"/>
              <w:spacing w:after="0" w:before="0" w:line="240" w:lineRule="auto"/>
              <w:jc w:val="left"/>
            </w:pPr>
            <w:r>
              <w:rPr>
                <w:rFonts w:ascii="Arial" w:hAnsi="Arial"/>
                <w:sz w:val="15"/>
              </w:rPr>
              <w:t xml:space="preserve">Negligible</w:t>
            </w:r>
          </w:p>
        </w:tc>
      </w:tr>
      <w:tr>
        <w:trPr>
          <w:cantSplit/>
        </w:trPr>
        <w:tc>
          <w:tcPr>
            <w:tcW w:type="dxa" w:w="1827"/>
            <w:shd w:val="clear" w:color="auto" w:fill="F1F2F5"/>
          </w:tcPr>
          <w:p>
            <w:pPr>
              <w:pStyle w:val="Compact"/>
              <w:spacing w:after="0" w:before="0" w:line="240" w:lineRule="auto"/>
              <w:jc w:val="left"/>
            </w:pPr>
            <w:r>
              <w:rPr>
                <w:rFonts w:ascii="Arial" w:hAnsi="Arial"/>
                <w:sz w:val="15"/>
              </w:rPr>
              <w:t xml:space="preserve">CVC funds (LG UPLUS FUND I/II), KB Telecom ESG fund, start-up RCPS</w:t>
            </w:r>
          </w:p>
        </w:tc>
        <w:tc>
          <w:tcPr>
            <w:tcW w:type="dxa" w:w="878"/>
            <w:shd w:val="clear" w:color="auto" w:fill="F1F2F5"/>
          </w:tcPr>
          <w:p>
            <w:pPr>
              <w:pStyle w:val="Compact"/>
              <w:spacing w:after="0" w:before="0" w:line="240" w:lineRule="auto"/>
              <w:jc w:val="center"/>
            </w:pPr>
            <w:r>
              <w:rPr>
                <w:rFonts w:ascii="Arial" w:hAnsi="Arial"/>
                <w:sz w:val="15"/>
              </w:rPr>
              <w:t xml:space="preserve">No</w:t>
            </w:r>
          </w:p>
        </w:tc>
        <w:tc>
          <w:tcPr>
            <w:tcW w:type="dxa" w:w="908"/>
            <w:shd w:val="clear" w:color="auto" w:fill="F1F2F5"/>
          </w:tcPr>
          <w:p>
            <w:pPr>
              <w:pStyle w:val="Compact"/>
              <w:spacing w:after="0" w:before="0" w:line="240" w:lineRule="auto"/>
              <w:jc w:val="right"/>
            </w:pPr>
            <w:r>
              <w:rPr>
                <w:rFonts w:ascii="Arial" w:hAnsi="Arial"/>
                <w:sz w:val="15"/>
              </w:rPr>
              <w:t xml:space="preserve">various</w:t>
            </w:r>
          </w:p>
        </w:tc>
        <w:tc>
          <w:tcPr>
            <w:tcW w:type="dxa" w:w="1243"/>
            <w:shd w:val="clear" w:color="auto" w:fill="F1F2F5"/>
          </w:tcPr>
          <w:p>
            <w:pPr>
              <w:pStyle w:val="Compact"/>
              <w:spacing w:after="0" w:before="0" w:line="240" w:lineRule="auto"/>
              <w:jc w:val="right"/>
            </w:pPr>
            <w:r>
              <w:rPr>
                <w:rFonts w:ascii="Arial" w:hAnsi="Arial"/>
                <w:sz w:val="15"/>
              </w:rPr>
              <w:t xml:space="preserve">~200</w:t>
            </w:r>
          </w:p>
        </w:tc>
        <w:tc>
          <w:tcPr>
            <w:tcW w:type="dxa" w:w="1078"/>
            <w:shd w:val="clear" w:color="auto" w:fill="F1F2F5"/>
          </w:tcPr>
          <w:p>
            <w:pPr>
              <w:pStyle w:val="Compact"/>
              <w:spacing w:after="0" w:before="0" w:line="240" w:lineRule="auto"/>
              <w:jc w:val="right"/>
            </w:pPr>
            <w:r>
              <w:rPr>
                <w:rFonts w:ascii="Arial" w:hAnsi="Arial"/>
                <w:sz w:val="15"/>
              </w:rPr>
              <w:t xml:space="preserve">n/a</w:t>
            </w:r>
          </w:p>
        </w:tc>
        <w:tc>
          <w:tcPr>
            <w:tcW w:type="dxa" w:w="1920"/>
            <w:shd w:val="clear" w:color="auto" w:fill="F1F2F5"/>
          </w:tcPr>
          <w:p>
            <w:pPr>
              <w:pStyle w:val="Compact"/>
              <w:spacing w:after="0" w:before="0" w:line="240" w:lineRule="auto"/>
              <w:jc w:val="left"/>
            </w:pPr>
            <w:r>
              <w:rPr>
                <w:rFonts w:ascii="Arial" w:hAnsi="Arial"/>
                <w:sz w:val="15"/>
              </w:rPr>
              <w:t xml:space="preserve">Ecosystem and AI sourcing</w:t>
            </w:r>
          </w:p>
        </w:tc>
        <w:tc>
          <w:tcPr>
            <w:tcW w:type="dxa" w:w="2124"/>
            <w:shd w:val="clear" w:color="auto" w:fill="F1F2F5"/>
          </w:tcPr>
          <w:p>
            <w:pPr>
              <w:pStyle w:val="Compact"/>
              <w:spacing w:after="0" w:before="0" w:line="240" w:lineRule="auto"/>
              <w:jc w:val="left"/>
            </w:pPr>
            <w:r>
              <w:rPr>
                <w:rFonts w:ascii="Arial" w:hAnsi="Arial"/>
                <w:sz w:val="15"/>
              </w:rPr>
              <w:t xml:space="preserve">Small</w:t>
            </w:r>
          </w:p>
        </w:tc>
      </w:tr>
      <w:tr>
        <w:trPr>
          <w:cantSplit/>
        </w:trPr>
        <w:tc>
          <w:tcPr>
            <w:tcW w:type="dxa" w:w="1827"/>
            <w:shd w:val="clear" w:color="auto" w:fill="DCE4F2"/>
          </w:tcPr>
          <w:p>
            <w:pPr>
              <w:pStyle w:val="Compact"/>
              <w:spacing w:after="0" w:before="0" w:line="240" w:lineRule="auto"/>
              <w:jc w:val="left"/>
            </w:pPr>
            <w:r>
              <w:rPr>
                <w:bCs/>
                <w:rFonts w:ascii="Arial" w:hAnsi="Arial"/>
                <w:b/>
                <w:sz w:val="15"/>
              </w:rPr>
              <w:t xml:space="preserve">Total listed stakes (market value)</w:t>
            </w:r>
          </w:p>
        </w:tc>
        <w:tc>
          <w:tcPr>
            <w:tcW w:type="dxa" w:w="878"/>
            <w:shd w:val="clear" w:color="auto" w:fill="DCE4F2"/>
          </w:tcPr>
          <w:p>
            <w:pPr>
              <w:pStyle w:val="Compact"/>
              <w:spacing w:after="0" w:before="0" w:line="240" w:lineRule="auto"/>
            </w:pPr>
          </w:p>
        </w:tc>
        <w:tc>
          <w:tcPr>
            <w:tcW w:type="dxa" w:w="908"/>
            <w:shd w:val="clear" w:color="auto" w:fill="DCE4F2"/>
          </w:tcPr>
          <w:p>
            <w:pPr>
              <w:pStyle w:val="Compact"/>
              <w:spacing w:after="0" w:before="0" w:line="240" w:lineRule="auto"/>
            </w:pPr>
          </w:p>
        </w:tc>
        <w:tc>
          <w:tcPr>
            <w:tcW w:type="dxa" w:w="1243"/>
            <w:shd w:val="clear" w:color="auto" w:fill="DCE4F2"/>
          </w:tcPr>
          <w:p>
            <w:pPr>
              <w:pStyle w:val="Compact"/>
              <w:spacing w:after="0" w:before="0" w:line="240" w:lineRule="auto"/>
            </w:pPr>
          </w:p>
        </w:tc>
        <w:tc>
          <w:tcPr>
            <w:tcW w:type="dxa" w:w="1078"/>
            <w:shd w:val="clear" w:color="auto" w:fill="DCE4F2"/>
          </w:tcPr>
          <w:p>
            <w:pPr>
              <w:pStyle w:val="Compact"/>
              <w:spacing w:after="0" w:before="0" w:line="240" w:lineRule="auto"/>
              <w:jc w:val="right"/>
            </w:pPr>
            <w:r>
              <w:rPr>
                <w:bCs/>
                <w:rFonts w:ascii="Arial" w:hAnsi="Arial"/>
                <w:b/>
                <w:sz w:val="15"/>
              </w:rPr>
              <w:t xml:space="preserve">~KRW82bn</w:t>
            </w:r>
          </w:p>
        </w:tc>
        <w:tc>
          <w:tcPr>
            <w:tcW w:type="dxa" w:w="1920"/>
            <w:shd w:val="clear" w:color="auto" w:fill="DCE4F2"/>
          </w:tcPr>
          <w:p>
            <w:pPr>
              <w:pStyle w:val="Compact"/>
              <w:spacing w:after="0" w:before="0" w:line="240" w:lineRule="auto"/>
            </w:pPr>
          </w:p>
        </w:tc>
        <w:tc>
          <w:tcPr>
            <w:tcW w:type="dxa" w:w="2124"/>
            <w:shd w:val="clear" w:color="auto" w:fill="DCE4F2"/>
          </w:tcPr>
          <w:p>
            <w:pPr>
              <w:pStyle w:val="Compact"/>
              <w:spacing w:after="0" w:before="0" w:line="240" w:lineRule="auto"/>
              <w:jc w:val="left"/>
            </w:pPr>
            <w:r>
              <w:rPr>
                <w:bCs/>
                <w:rFonts w:ascii="Arial" w:hAnsi="Arial"/>
                <w:b/>
                <w:sz w:val="15"/>
              </w:rPr>
              <w:t xml:space="preserve">~1.2% of market cap</w:t>
            </w:r>
          </w:p>
        </w:tc>
      </w:tr>
    </w:tbl>
    <w:p>
      <w:pPr>
        <w:pStyle w:val="BodyText"/>
      </w:pPr>
      <w:r>
        <w:rPr>
          <w:iCs/>
          <w:i/>
        </w:rPr>
        <w:t xml:space="preserve">Source: S&amp;P Capital IQ (1Q25 quarterly report subsidiary table), market prices Oct-2026 [e]; refresh against the FY2025 annual report.</w:t>
      </w:r>
    </w:p>
    <w:p>
      <w:pPr>
        <w:pStyle w:val="BodyText"/>
      </w:pPr>
      <w:r>
        <w:rPr>
          <w:bCs/>
          <w:b/>
        </w:rPr>
        <w:t xml:space="preserve">Relevance.</w:t>
      </w:r>
      <w:r>
        <w:t xml:space="preserve"> </w:t>
      </w:r>
      <w:r>
        <w:t xml:space="preserve">Stakes are financially immaterial. The relevant</w:t>
      </w:r>
      <w:r>
        <w:t xml:space="preserve"> </w:t>
      </w:r>
      <w:r>
        <w:t xml:space="preserve">“</w:t>
      </w:r>
      <w:r>
        <w:t xml:space="preserve">hidden asset</w:t>
      </w:r>
      <w:r>
        <w:t xml:space="preserve">”</w:t>
      </w:r>
      <w:r>
        <w:t xml:space="preserve"> </w:t>
      </w:r>
      <w:r>
        <w:t xml:space="preserve">is not an investment holding but the</w:t>
      </w:r>
      <w:r>
        <w:t xml:space="preserve"> </w:t>
      </w:r>
      <w:r>
        <w:rPr>
          <w:bCs/>
          <w:b/>
        </w:rPr>
        <w:t xml:space="preserve">in-house AIDC business</w:t>
      </w:r>
      <w:r>
        <w:t xml:space="preserve">, which has no separate listing or market mark. LGHV matters because of governance and simplification: a squeeze-out would remove a loss-making listed subsidiary, and its minority shareholders, for the cost of roughly one month of FCF.</w:t>
      </w:r>
    </w:p>
    <w:bookmarkEnd w:id="110"/>
    <w:bookmarkStart w:id="114" w:name="X6d0bec8361899426b84d792749b804157daab0b"/>
    <w:p>
      <w:pPr>
        <w:pStyle w:val="Heading1"/>
      </w:pPr>
      <w:r>
        <w:t xml:space="preserve">Shareholder returns: dividends, buybacks and treasury shares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719"/>
        <w:gridCol w:w="1257"/>
        <w:gridCol w:w="1257"/>
        <w:gridCol w:w="629"/>
        <w:gridCol w:w="988"/>
        <w:gridCol w:w="989"/>
        <w:gridCol w:w="1707"/>
        <w:gridCol w:w="1168"/>
        <w:gridCol w:w="1258"/>
      </w:tblGrid>
      <w:tr>
        <w:trPr>
          <w:tblHeader w:val="true"/>
          <w:tblHeader w:val="true"/>
          <w:cantSplit/>
        </w:trPr>
        <w:tc>
          <w:tcPr>
            <w:tcW w:type="dxa" w:w="720"/>
            <w:shd w:val="clear" w:color="auto" w:fill="13213F"/>
          </w:tcPr>
          <w:p>
            <w:pPr>
              <w:pStyle w:val="Compact"/>
              <w:spacing w:after="0" w:before="0" w:line="240" w:lineRule="auto"/>
              <w:jc w:val="left"/>
            </w:pPr>
            <w:r>
              <w:rPr>
                <w:rFonts w:ascii="Arial" w:hAnsi="Arial"/>
                <w:b/>
                <w:color w:val="FFFFFF"/>
                <w:sz w:val="15"/>
              </w:rPr>
              <w:t xml:space="preserve">Fiscal year</w:t>
            </w:r>
          </w:p>
        </w:tc>
        <w:tc>
          <w:tcPr>
            <w:tcW w:type="dxa" w:w="1258"/>
            <w:shd w:val="clear" w:color="auto" w:fill="13213F"/>
          </w:tcPr>
          <w:p>
            <w:pPr>
              <w:pStyle w:val="Compact"/>
              <w:spacing w:after="0" w:before="0" w:line="240" w:lineRule="auto"/>
              <w:jc w:val="right"/>
            </w:pPr>
            <w:r>
              <w:rPr>
                <w:rFonts w:ascii="Arial" w:hAnsi="Arial"/>
                <w:b/>
                <w:color w:val="FFFFFF"/>
                <w:sz w:val="15"/>
              </w:rPr>
              <w:t xml:space="preserve">Interim DPS (KRW)</w:t>
            </w:r>
          </w:p>
        </w:tc>
        <w:tc>
          <w:tcPr>
            <w:tcW w:type="dxa" w:w="1258"/>
            <w:shd w:val="clear" w:color="auto" w:fill="13213F"/>
          </w:tcPr>
          <w:p>
            <w:pPr>
              <w:pStyle w:val="Compact"/>
              <w:spacing w:after="0" w:before="0" w:line="240" w:lineRule="auto"/>
              <w:jc w:val="right"/>
            </w:pPr>
            <w:r>
              <w:rPr>
                <w:rFonts w:ascii="Arial" w:hAnsi="Arial"/>
                <w:b/>
                <w:color w:val="FFFFFF"/>
                <w:sz w:val="15"/>
              </w:rPr>
              <w:t xml:space="preserve">Final DPS (KRW)</w:t>
            </w:r>
          </w:p>
        </w:tc>
        <w:tc>
          <w:tcPr>
            <w:tcW w:type="dxa" w:w="630"/>
            <w:shd w:val="clear" w:color="auto" w:fill="13213F"/>
          </w:tcPr>
          <w:p>
            <w:pPr>
              <w:pStyle w:val="Compact"/>
              <w:spacing w:after="0" w:before="0" w:line="240" w:lineRule="auto"/>
              <w:jc w:val="right"/>
            </w:pPr>
            <w:r>
              <w:rPr>
                <w:rFonts w:ascii="Arial" w:hAnsi="Arial"/>
                <w:b/>
                <w:color w:val="FFFFFF"/>
                <w:sz w:val="15"/>
              </w:rPr>
              <w:t xml:space="preserve">Total DPS</w:t>
            </w:r>
          </w:p>
        </w:tc>
        <w:tc>
          <w:tcPr>
            <w:tcW w:type="dxa" w:w="989"/>
            <w:shd w:val="clear" w:color="auto" w:fill="13213F"/>
          </w:tcPr>
          <w:p>
            <w:pPr>
              <w:pStyle w:val="Compact"/>
              <w:spacing w:after="0" w:before="0" w:line="240" w:lineRule="auto"/>
              <w:jc w:val="right"/>
            </w:pPr>
            <w:r>
              <w:rPr>
                <w:rFonts w:ascii="Arial" w:hAnsi="Arial"/>
                <w:b/>
                <w:color w:val="FFFFFF"/>
                <w:sz w:val="15"/>
              </w:rPr>
              <w:t xml:space="preserve">Dividends declared (KRW bn)</w:t>
            </w:r>
          </w:p>
        </w:tc>
        <w:tc>
          <w:tcPr>
            <w:tcW w:type="dxa" w:w="989"/>
            <w:shd w:val="clear" w:color="auto" w:fill="13213F"/>
          </w:tcPr>
          <w:p>
            <w:pPr>
              <w:pStyle w:val="Compact"/>
              <w:spacing w:after="0" w:before="0" w:line="240" w:lineRule="auto"/>
              <w:jc w:val="left"/>
            </w:pPr>
            <w:r>
              <w:rPr>
                <w:rFonts w:ascii="Arial" w:hAnsi="Arial"/>
                <w:b/>
                <w:color w:val="FFFFFF"/>
                <w:sz w:val="15"/>
              </w:rPr>
              <w:t xml:space="preserve">Payout (consol. / separate)</w:t>
            </w:r>
          </w:p>
        </w:tc>
        <w:tc>
          <w:tcPr>
            <w:tcW w:type="dxa" w:w="1708"/>
            <w:shd w:val="clear" w:color="auto" w:fill="13213F"/>
          </w:tcPr>
          <w:p>
            <w:pPr>
              <w:pStyle w:val="Compact"/>
              <w:spacing w:after="0" w:before="0" w:line="240" w:lineRule="auto"/>
              <w:jc w:val="left"/>
            </w:pPr>
            <w:r>
              <w:rPr>
                <w:rFonts w:ascii="Arial" w:hAnsi="Arial"/>
                <w:b/>
                <w:color w:val="FFFFFF"/>
                <w:sz w:val="15"/>
              </w:rPr>
              <w:t xml:space="preserve">Buyback</w:t>
            </w:r>
          </w:p>
        </w:tc>
        <w:tc>
          <w:tcPr>
            <w:tcW w:type="dxa" w:w="1168"/>
            <w:shd w:val="clear" w:color="auto" w:fill="13213F"/>
          </w:tcPr>
          <w:p>
            <w:pPr>
              <w:pStyle w:val="Compact"/>
              <w:spacing w:after="0" w:before="0" w:line="240" w:lineRule="auto"/>
              <w:jc w:val="left"/>
            </w:pPr>
            <w:r>
              <w:rPr>
                <w:rFonts w:ascii="Arial" w:hAnsi="Arial"/>
                <w:b/>
                <w:color w:val="FFFFFF"/>
                <w:sz w:val="15"/>
              </w:rPr>
              <w:t xml:space="preserve">Treasury shares at year-end</w:t>
            </w:r>
          </w:p>
        </w:tc>
        <w:tc>
          <w:tcPr>
            <w:tcW w:type="dxa" w:w="1258"/>
            <w:shd w:val="clear" w:color="auto" w:fill="13213F"/>
          </w:tcPr>
          <w:p>
            <w:pPr>
              <w:pStyle w:val="Compact"/>
              <w:spacing w:after="0" w:before="0" w:line="240" w:lineRule="auto"/>
              <w:jc w:val="left"/>
            </w:pPr>
            <w:r>
              <w:rPr>
                <w:rFonts w:ascii="Arial" w:hAnsi="Arial"/>
                <w:b/>
                <w:color w:val="FFFFFF"/>
                <w:sz w:val="15"/>
              </w:rPr>
              <w:t xml:space="preserve">Cancellation</w:t>
            </w:r>
          </w:p>
        </w:tc>
      </w:tr>
      <w:tr>
        <w:trPr>
          <w:cantSplit/>
        </w:trPr>
        <w:tc>
          <w:tcPr>
            <w:tcW w:type="dxa" w:w="720"/>
          </w:tcPr>
          <w:p>
            <w:pPr>
              <w:pStyle w:val="Compact"/>
              <w:spacing w:after="0" w:before="0" w:line="240" w:lineRule="auto"/>
              <w:jc w:val="left"/>
            </w:pPr>
            <w:r>
              <w:rPr>
                <w:rFonts w:ascii="Arial" w:hAnsi="Arial"/>
                <w:sz w:val="15"/>
              </w:rPr>
              <w:t xml:space="preserve">FY2020</w:t>
            </w:r>
          </w:p>
        </w:tc>
        <w:tc>
          <w:tcPr>
            <w:tcW w:type="dxa" w:w="1258"/>
          </w:tcPr>
          <w:p>
            <w:pPr>
              <w:pStyle w:val="Compact"/>
              <w:spacing w:after="0" w:before="0" w:line="240" w:lineRule="auto"/>
              <w:jc w:val="right"/>
            </w:pPr>
            <w:r>
              <w:rPr>
                <w:rFonts w:ascii="Arial" w:hAnsi="Arial"/>
                <w:sz w:val="15"/>
              </w:rPr>
              <w:t xml:space="preserve">–</w:t>
            </w:r>
          </w:p>
        </w:tc>
        <w:tc>
          <w:tcPr>
            <w:tcW w:type="dxa" w:w="1258"/>
          </w:tcPr>
          <w:p>
            <w:pPr>
              <w:pStyle w:val="Compact"/>
              <w:spacing w:after="0" w:before="0" w:line="240" w:lineRule="auto"/>
              <w:jc w:val="right"/>
            </w:pPr>
            <w:r>
              <w:rPr>
                <w:rFonts w:ascii="Arial" w:hAnsi="Arial"/>
                <w:sz w:val="15"/>
              </w:rPr>
              <w:t xml:space="preserve">450</w:t>
            </w:r>
          </w:p>
        </w:tc>
        <w:tc>
          <w:tcPr>
            <w:tcW w:type="dxa" w:w="630"/>
          </w:tcPr>
          <w:p>
            <w:pPr>
              <w:pStyle w:val="Compact"/>
              <w:spacing w:after="0" w:before="0" w:line="240" w:lineRule="auto"/>
              <w:jc w:val="right"/>
            </w:pPr>
            <w:r>
              <w:rPr>
                <w:rFonts w:ascii="Arial" w:hAnsi="Arial"/>
                <w:sz w:val="15"/>
              </w:rPr>
              <w:t xml:space="preserve">450</w:t>
            </w:r>
          </w:p>
        </w:tc>
        <w:tc>
          <w:tcPr>
            <w:tcW w:type="dxa" w:w="989"/>
          </w:tcPr>
          <w:p>
            <w:pPr>
              <w:pStyle w:val="Compact"/>
              <w:spacing w:after="0" w:before="0" w:line="240" w:lineRule="auto"/>
              <w:jc w:val="right"/>
            </w:pPr>
            <w:r>
              <w:rPr>
                <w:rFonts w:ascii="Arial" w:hAnsi="Arial"/>
                <w:sz w:val="15"/>
              </w:rPr>
              <w:t xml:space="preserve">~197</w:t>
            </w:r>
          </w:p>
        </w:tc>
        <w:tc>
          <w:tcPr>
            <w:tcW w:type="dxa" w:w="989"/>
          </w:tcPr>
          <w:p>
            <w:pPr>
              <w:pStyle w:val="Compact"/>
              <w:spacing w:after="0" w:before="0" w:line="240" w:lineRule="auto"/>
              <w:jc w:val="left"/>
            </w:pPr>
            <w:r>
              <w:rPr>
                <w:rFonts w:ascii="Arial" w:hAnsi="Arial"/>
                <w:sz w:val="15"/>
              </w:rPr>
              <w:t xml:space="preserve">n/d</w:t>
            </w:r>
          </w:p>
        </w:tc>
        <w:tc>
          <w:tcPr>
            <w:tcW w:type="dxa" w:w="1708"/>
          </w:tcPr>
          <w:p>
            <w:pPr>
              <w:pStyle w:val="Compact"/>
              <w:spacing w:after="0" w:before="0" w:line="240" w:lineRule="auto"/>
              <w:jc w:val="left"/>
            </w:pPr>
            <w:r>
              <w:rPr>
                <w:rFonts w:ascii="Arial" w:hAnsi="Arial"/>
                <w:sz w:val="15"/>
              </w:rPr>
              <w:t xml:space="preserve">–</w:t>
            </w:r>
          </w:p>
        </w:tc>
        <w:tc>
          <w:tcPr>
            <w:tcW w:type="dxa" w:w="1168"/>
          </w:tcPr>
          <w:p>
            <w:pPr>
              <w:pStyle w:val="Compact"/>
              <w:spacing w:after="0" w:before="0" w:line="240" w:lineRule="auto"/>
              <w:jc w:val="left"/>
            </w:pPr>
            <w:r>
              <w:rPr>
                <w:rFonts w:ascii="Arial" w:hAnsi="Arial"/>
                <w:sz w:val="15"/>
              </w:rPr>
              <w:t xml:space="preserve">3</w:t>
            </w:r>
          </w:p>
        </w:tc>
        <w:tc>
          <w:tcPr>
            <w:tcW w:type="dxa" w:w="1258"/>
          </w:tcPr>
          <w:p>
            <w:pPr>
              <w:pStyle w:val="Compact"/>
              <w:spacing w:after="0" w:before="0" w:line="240" w:lineRule="auto"/>
              <w:jc w:val="left"/>
            </w:pPr>
            <w:r>
              <w:rPr>
                <w:rFonts w:ascii="Arial" w:hAnsi="Arial"/>
                <w:sz w:val="15"/>
              </w:rPr>
              <w:t xml:space="preserve">–</w:t>
            </w:r>
          </w:p>
        </w:tc>
      </w:tr>
      <w:tr>
        <w:trPr>
          <w:cantSplit/>
        </w:trPr>
        <w:tc>
          <w:tcPr>
            <w:tcW w:type="dxa" w:w="720"/>
            <w:shd w:val="clear" w:color="auto" w:fill="F1F2F5"/>
          </w:tcPr>
          <w:p>
            <w:pPr>
              <w:pStyle w:val="Compact"/>
              <w:spacing w:after="0" w:before="0" w:line="240" w:lineRule="auto"/>
              <w:jc w:val="left"/>
            </w:pPr>
            <w:r>
              <w:rPr>
                <w:rFonts w:ascii="Arial" w:hAnsi="Arial"/>
                <w:sz w:val="15"/>
              </w:rPr>
              <w:t xml:space="preserve">FY2021</w:t>
            </w:r>
          </w:p>
        </w:tc>
        <w:tc>
          <w:tcPr>
            <w:tcW w:type="dxa" w:w="1258"/>
            <w:shd w:val="clear" w:color="auto" w:fill="F1F2F5"/>
          </w:tcPr>
          <w:p>
            <w:pPr>
              <w:pStyle w:val="Compact"/>
              <w:spacing w:after="0" w:before="0" w:line="240" w:lineRule="auto"/>
              <w:jc w:val="right"/>
            </w:pPr>
            <w:r>
              <w:rPr>
                <w:rFonts w:ascii="Arial" w:hAnsi="Arial"/>
                <w:sz w:val="15"/>
              </w:rPr>
              <w:t xml:space="preserve">200 (first interim)</w:t>
            </w:r>
          </w:p>
        </w:tc>
        <w:tc>
          <w:tcPr>
            <w:tcW w:type="dxa" w:w="1258"/>
            <w:shd w:val="clear" w:color="auto" w:fill="F1F2F5"/>
          </w:tcPr>
          <w:p>
            <w:pPr>
              <w:pStyle w:val="Compact"/>
              <w:spacing w:after="0" w:before="0" w:line="240" w:lineRule="auto"/>
              <w:jc w:val="right"/>
            </w:pPr>
            <w:r>
              <w:rPr>
                <w:rFonts w:ascii="Arial" w:hAnsi="Arial"/>
                <w:sz w:val="15"/>
              </w:rPr>
              <w:t xml:space="preserve">350</w:t>
            </w:r>
          </w:p>
        </w:tc>
        <w:tc>
          <w:tcPr>
            <w:tcW w:type="dxa" w:w="630"/>
            <w:shd w:val="clear" w:color="auto" w:fill="F1F2F5"/>
          </w:tcPr>
          <w:p>
            <w:pPr>
              <w:pStyle w:val="Compact"/>
              <w:spacing w:after="0" w:before="0" w:line="240" w:lineRule="auto"/>
              <w:jc w:val="right"/>
            </w:pPr>
            <w:r>
              <w:rPr>
                <w:rFonts w:ascii="Arial" w:hAnsi="Arial"/>
                <w:sz w:val="15"/>
              </w:rPr>
              <w:t xml:space="preserve">550</w:t>
            </w:r>
          </w:p>
        </w:tc>
        <w:tc>
          <w:tcPr>
            <w:tcW w:type="dxa" w:w="989"/>
            <w:shd w:val="clear" w:color="auto" w:fill="F1F2F5"/>
          </w:tcPr>
          <w:p>
            <w:pPr>
              <w:pStyle w:val="Compact"/>
              <w:spacing w:after="0" w:before="0" w:line="240" w:lineRule="auto"/>
              <w:jc w:val="right"/>
            </w:pPr>
            <w:r>
              <w:rPr>
                <w:rFonts w:ascii="Arial" w:hAnsi="Arial"/>
                <w:sz w:val="15"/>
              </w:rPr>
              <w:t xml:space="preserve">~238</w:t>
            </w:r>
          </w:p>
        </w:tc>
        <w:tc>
          <w:tcPr>
            <w:tcW w:type="dxa" w:w="989"/>
            <w:shd w:val="clear" w:color="auto" w:fill="F1F2F5"/>
          </w:tcPr>
          <w:p>
            <w:pPr>
              <w:pStyle w:val="Compact"/>
              <w:spacing w:after="0" w:before="0" w:line="240" w:lineRule="auto"/>
              <w:jc w:val="left"/>
            </w:pPr>
            <w:r>
              <w:rPr>
                <w:rFonts w:ascii="Arial" w:hAnsi="Arial"/>
                <w:sz w:val="15"/>
              </w:rPr>
              <w:t xml:space="preserve">~33% / ~35%</w:t>
            </w:r>
          </w:p>
        </w:tc>
        <w:tc>
          <w:tcPr>
            <w:tcW w:type="dxa" w:w="1708"/>
            <w:shd w:val="clear" w:color="auto" w:fill="F1F2F5"/>
          </w:tcPr>
          <w:p>
            <w:pPr>
              <w:pStyle w:val="Compact"/>
              <w:spacing w:after="0" w:before="0" w:line="240" w:lineRule="auto"/>
              <w:jc w:val="left"/>
            </w:pPr>
            <w:r>
              <w:rPr>
                <w:bCs/>
                <w:rFonts w:ascii="Arial" w:hAnsi="Arial"/>
                <w:b/>
                <w:sz w:val="15"/>
              </w:rPr>
              <w:t xml:space="preserve">KRW100bn</w:t>
            </w:r>
            <w:r>
              <w:rPr>
                <w:rFonts w:ascii="Arial" w:hAnsi="Arial"/>
                <w:sz w:val="15"/>
              </w:rPr>
              <w:t xml:space="preserve"> </w:t>
            </w:r>
            <w:r>
              <w:rPr>
                <w:rFonts w:ascii="Arial" w:hAnsi="Arial"/>
                <w:sz w:val="15"/>
              </w:rPr>
              <w:t xml:space="preserve">(6,783,006 shares, Jun–Dec 2021, ~KRW14,743/share)</w:t>
            </w:r>
          </w:p>
        </w:tc>
        <w:tc>
          <w:tcPr>
            <w:tcW w:type="dxa" w:w="1168"/>
            <w:shd w:val="clear" w:color="auto" w:fill="F1F2F5"/>
          </w:tcPr>
          <w:p>
            <w:pPr>
              <w:pStyle w:val="Compact"/>
              <w:spacing w:after="0" w:before="0" w:line="240" w:lineRule="auto"/>
              <w:jc w:val="left"/>
            </w:pPr>
            <w:r>
              <w:rPr>
                <w:rFonts w:ascii="Arial" w:hAnsi="Arial"/>
                <w:sz w:val="15"/>
              </w:rPr>
              <w:t xml:space="preserve">6,783,009 (1.55%)</w:t>
            </w:r>
          </w:p>
        </w:tc>
        <w:tc>
          <w:tcPr>
            <w:tcW w:type="dxa" w:w="1258"/>
            <w:shd w:val="clear" w:color="auto" w:fill="F1F2F5"/>
          </w:tcPr>
          <w:p>
            <w:pPr>
              <w:pStyle w:val="Compact"/>
              <w:spacing w:after="0" w:before="0" w:line="240" w:lineRule="auto"/>
              <w:jc w:val="left"/>
            </w:pPr>
            <w:r>
              <w:rPr>
                <w:rFonts w:ascii="Arial" w:hAnsi="Arial"/>
                <w:sz w:val="15"/>
              </w:rPr>
              <w:t xml:space="preserve">–</w:t>
            </w:r>
          </w:p>
        </w:tc>
      </w:tr>
      <w:tr>
        <w:trPr>
          <w:cantSplit/>
        </w:trPr>
        <w:tc>
          <w:tcPr>
            <w:tcW w:type="dxa" w:w="720"/>
          </w:tcPr>
          <w:p>
            <w:pPr>
              <w:pStyle w:val="Compact"/>
              <w:spacing w:after="0" w:before="0" w:line="240" w:lineRule="auto"/>
              <w:jc w:val="left"/>
            </w:pPr>
            <w:r>
              <w:rPr>
                <w:rFonts w:ascii="Arial" w:hAnsi="Arial"/>
                <w:sz w:val="15"/>
              </w:rPr>
              <w:t xml:space="preserve">FY2022</w:t>
            </w:r>
          </w:p>
        </w:tc>
        <w:tc>
          <w:tcPr>
            <w:tcW w:type="dxa" w:w="1258"/>
          </w:tcPr>
          <w:p>
            <w:pPr>
              <w:pStyle w:val="Compact"/>
              <w:spacing w:after="0" w:before="0" w:line="240" w:lineRule="auto"/>
              <w:jc w:val="right"/>
            </w:pPr>
            <w:r>
              <w:rPr>
                <w:rFonts w:ascii="Arial" w:hAnsi="Arial"/>
                <w:sz w:val="15"/>
              </w:rPr>
              <w:t xml:space="preserve">250</w:t>
            </w:r>
          </w:p>
        </w:tc>
        <w:tc>
          <w:tcPr>
            <w:tcW w:type="dxa" w:w="1258"/>
          </w:tcPr>
          <w:p>
            <w:pPr>
              <w:pStyle w:val="Compact"/>
              <w:spacing w:after="0" w:before="0" w:line="240" w:lineRule="auto"/>
              <w:jc w:val="right"/>
            </w:pPr>
            <w:r>
              <w:rPr>
                <w:rFonts w:ascii="Arial" w:hAnsi="Arial"/>
                <w:sz w:val="15"/>
              </w:rPr>
              <w:t xml:space="preserve">400</w:t>
            </w:r>
          </w:p>
        </w:tc>
        <w:tc>
          <w:tcPr>
            <w:tcW w:type="dxa" w:w="630"/>
          </w:tcPr>
          <w:p>
            <w:pPr>
              <w:pStyle w:val="Compact"/>
              <w:spacing w:after="0" w:before="0" w:line="240" w:lineRule="auto"/>
              <w:jc w:val="right"/>
            </w:pPr>
            <w:r>
              <w:rPr>
                <w:rFonts w:ascii="Arial" w:hAnsi="Arial"/>
                <w:sz w:val="15"/>
              </w:rPr>
              <w:t xml:space="preserve">650</w:t>
            </w:r>
          </w:p>
        </w:tc>
        <w:tc>
          <w:tcPr>
            <w:tcW w:type="dxa" w:w="989"/>
          </w:tcPr>
          <w:p>
            <w:pPr>
              <w:pStyle w:val="Compact"/>
              <w:spacing w:after="0" w:before="0" w:line="240" w:lineRule="auto"/>
              <w:jc w:val="right"/>
            </w:pPr>
            <w:r>
              <w:rPr>
                <w:rFonts w:ascii="Arial" w:hAnsi="Arial"/>
                <w:sz w:val="15"/>
              </w:rPr>
              <w:t xml:space="preserve">279</w:t>
            </w:r>
          </w:p>
        </w:tc>
        <w:tc>
          <w:tcPr>
            <w:tcW w:type="dxa" w:w="989"/>
          </w:tcPr>
          <w:p>
            <w:pPr>
              <w:pStyle w:val="Compact"/>
              <w:spacing w:after="0" w:before="0" w:line="240" w:lineRule="auto"/>
              <w:jc w:val="left"/>
            </w:pPr>
            <w:r>
              <w:rPr>
                <w:rFonts w:ascii="Arial" w:hAnsi="Arial"/>
                <w:sz w:val="15"/>
              </w:rPr>
              <w:t xml:space="preserve">42.1% / 42.2%</w:t>
            </w:r>
          </w:p>
        </w:tc>
        <w:tc>
          <w:tcPr>
            <w:tcW w:type="dxa" w:w="1708"/>
          </w:tcPr>
          <w:p>
            <w:pPr>
              <w:pStyle w:val="Compact"/>
              <w:spacing w:after="0" w:before="0" w:line="240" w:lineRule="auto"/>
              <w:jc w:val="left"/>
            </w:pPr>
            <w:r>
              <w:rPr>
                <w:rFonts w:ascii="Arial" w:hAnsi="Arial"/>
                <w:sz w:val="15"/>
              </w:rPr>
              <w:t xml:space="preserve">–</w:t>
            </w:r>
          </w:p>
        </w:tc>
        <w:tc>
          <w:tcPr>
            <w:tcW w:type="dxa" w:w="1168"/>
          </w:tcPr>
          <w:p>
            <w:pPr>
              <w:pStyle w:val="Compact"/>
              <w:spacing w:after="0" w:before="0" w:line="240" w:lineRule="auto"/>
              <w:jc w:val="left"/>
            </w:pPr>
            <w:r>
              <w:rPr>
                <w:rFonts w:ascii="Arial" w:hAnsi="Arial"/>
                <w:sz w:val="15"/>
              </w:rPr>
              <w:t xml:space="preserve">6,783,009</w:t>
            </w:r>
          </w:p>
        </w:tc>
        <w:tc>
          <w:tcPr>
            <w:tcW w:type="dxa" w:w="1258"/>
          </w:tcPr>
          <w:p>
            <w:pPr>
              <w:pStyle w:val="Compact"/>
              <w:spacing w:after="0" w:before="0" w:line="240" w:lineRule="auto"/>
              <w:jc w:val="left"/>
            </w:pPr>
            <w:r>
              <w:rPr>
                <w:rFonts w:ascii="Arial" w:hAnsi="Arial"/>
                <w:sz w:val="15"/>
              </w:rPr>
              <w:t xml:space="preserve">–</w:t>
            </w:r>
          </w:p>
        </w:tc>
      </w:tr>
      <w:tr>
        <w:trPr>
          <w:cantSplit/>
        </w:trPr>
        <w:tc>
          <w:tcPr>
            <w:tcW w:type="dxa" w:w="720"/>
            <w:shd w:val="clear" w:color="auto" w:fill="F1F2F5"/>
          </w:tcPr>
          <w:p>
            <w:pPr>
              <w:pStyle w:val="Compact"/>
              <w:spacing w:after="0" w:before="0" w:line="240" w:lineRule="auto"/>
              <w:jc w:val="left"/>
            </w:pPr>
            <w:r>
              <w:rPr>
                <w:rFonts w:ascii="Arial" w:hAnsi="Arial"/>
                <w:sz w:val="15"/>
              </w:rPr>
              <w:t xml:space="preserve">FY2023</w:t>
            </w:r>
          </w:p>
        </w:tc>
        <w:tc>
          <w:tcPr>
            <w:tcW w:type="dxa" w:w="1258"/>
            <w:shd w:val="clear" w:color="auto" w:fill="F1F2F5"/>
          </w:tcPr>
          <w:p>
            <w:pPr>
              <w:pStyle w:val="Compact"/>
              <w:spacing w:after="0" w:before="0" w:line="240" w:lineRule="auto"/>
              <w:jc w:val="right"/>
            </w:pPr>
            <w:r>
              <w:rPr>
                <w:rFonts w:ascii="Arial" w:hAnsi="Arial"/>
                <w:sz w:val="15"/>
              </w:rPr>
              <w:t xml:space="preserve">250</w:t>
            </w:r>
          </w:p>
        </w:tc>
        <w:tc>
          <w:tcPr>
            <w:tcW w:type="dxa" w:w="1258"/>
            <w:shd w:val="clear" w:color="auto" w:fill="F1F2F5"/>
          </w:tcPr>
          <w:p>
            <w:pPr>
              <w:pStyle w:val="Compact"/>
              <w:spacing w:after="0" w:before="0" w:line="240" w:lineRule="auto"/>
              <w:jc w:val="right"/>
            </w:pPr>
            <w:r>
              <w:rPr>
                <w:rFonts w:ascii="Arial" w:hAnsi="Arial"/>
                <w:sz w:val="15"/>
              </w:rPr>
              <w:t xml:space="preserve">400</w:t>
            </w:r>
          </w:p>
        </w:tc>
        <w:tc>
          <w:tcPr>
            <w:tcW w:type="dxa" w:w="630"/>
            <w:shd w:val="clear" w:color="auto" w:fill="F1F2F5"/>
          </w:tcPr>
          <w:p>
            <w:pPr>
              <w:pStyle w:val="Compact"/>
              <w:spacing w:after="0" w:before="0" w:line="240" w:lineRule="auto"/>
              <w:jc w:val="right"/>
            </w:pPr>
            <w:r>
              <w:rPr>
                <w:rFonts w:ascii="Arial" w:hAnsi="Arial"/>
                <w:sz w:val="15"/>
              </w:rPr>
              <w:t xml:space="preserve">650</w:t>
            </w:r>
          </w:p>
        </w:tc>
        <w:tc>
          <w:tcPr>
            <w:tcW w:type="dxa" w:w="989"/>
            <w:shd w:val="clear" w:color="auto" w:fill="F1F2F5"/>
          </w:tcPr>
          <w:p>
            <w:pPr>
              <w:pStyle w:val="Compact"/>
              <w:spacing w:after="0" w:before="0" w:line="240" w:lineRule="auto"/>
              <w:jc w:val="right"/>
            </w:pPr>
            <w:r>
              <w:rPr>
                <w:rFonts w:ascii="Arial" w:hAnsi="Arial"/>
                <w:sz w:val="15"/>
              </w:rPr>
              <w:t xml:space="preserve">279</w:t>
            </w:r>
          </w:p>
        </w:tc>
        <w:tc>
          <w:tcPr>
            <w:tcW w:type="dxa" w:w="989"/>
            <w:shd w:val="clear" w:color="auto" w:fill="F1F2F5"/>
          </w:tcPr>
          <w:p>
            <w:pPr>
              <w:pStyle w:val="Compact"/>
              <w:spacing w:after="0" w:before="0" w:line="240" w:lineRule="auto"/>
              <w:jc w:val="left"/>
            </w:pPr>
            <w:r>
              <w:rPr>
                <w:rFonts w:ascii="Arial" w:hAnsi="Arial"/>
                <w:sz w:val="15"/>
              </w:rPr>
              <w:t xml:space="preserve">44.9% / 43.2%</w:t>
            </w:r>
          </w:p>
        </w:tc>
        <w:tc>
          <w:tcPr>
            <w:tcW w:type="dxa" w:w="1708"/>
            <w:shd w:val="clear" w:color="auto" w:fill="F1F2F5"/>
          </w:tcPr>
          <w:p>
            <w:pPr>
              <w:pStyle w:val="Compact"/>
              <w:spacing w:after="0" w:before="0" w:line="240" w:lineRule="auto"/>
              <w:jc w:val="left"/>
            </w:pPr>
            <w:r>
              <w:rPr>
                <w:rFonts w:ascii="Arial" w:hAnsi="Arial"/>
                <w:sz w:val="15"/>
              </w:rPr>
              <w:t xml:space="preserve">–</w:t>
            </w:r>
          </w:p>
        </w:tc>
        <w:tc>
          <w:tcPr>
            <w:tcW w:type="dxa" w:w="1168"/>
            <w:shd w:val="clear" w:color="auto" w:fill="F1F2F5"/>
          </w:tcPr>
          <w:p>
            <w:pPr>
              <w:pStyle w:val="Compact"/>
              <w:spacing w:after="0" w:before="0" w:line="240" w:lineRule="auto"/>
              <w:jc w:val="left"/>
            </w:pPr>
            <w:r>
              <w:rPr>
                <w:rFonts w:ascii="Arial" w:hAnsi="Arial"/>
                <w:sz w:val="15"/>
              </w:rPr>
              <w:t xml:space="preserve">6,783,009</w:t>
            </w:r>
          </w:p>
        </w:tc>
        <w:tc>
          <w:tcPr>
            <w:tcW w:type="dxa" w:w="1258"/>
            <w:shd w:val="clear" w:color="auto" w:fill="F1F2F5"/>
          </w:tcPr>
          <w:p>
            <w:pPr>
              <w:pStyle w:val="Compact"/>
              <w:spacing w:after="0" w:before="0" w:line="240" w:lineRule="auto"/>
              <w:jc w:val="left"/>
            </w:pPr>
            <w:r>
              <w:rPr>
                <w:rFonts w:ascii="Arial" w:hAnsi="Arial"/>
                <w:sz w:val="15"/>
              </w:rPr>
              <w:t xml:space="preserve">–</w:t>
            </w:r>
          </w:p>
        </w:tc>
      </w:tr>
      <w:tr>
        <w:trPr>
          <w:cantSplit/>
        </w:trPr>
        <w:tc>
          <w:tcPr>
            <w:tcW w:type="dxa" w:w="720"/>
          </w:tcPr>
          <w:p>
            <w:pPr>
              <w:pStyle w:val="Compact"/>
              <w:spacing w:after="0" w:before="0" w:line="240" w:lineRule="auto"/>
              <w:jc w:val="left"/>
            </w:pPr>
            <w:r>
              <w:rPr>
                <w:rFonts w:ascii="Arial" w:hAnsi="Arial"/>
                <w:sz w:val="15"/>
              </w:rPr>
              <w:t xml:space="preserve">FY2024</w:t>
            </w:r>
          </w:p>
        </w:tc>
        <w:tc>
          <w:tcPr>
            <w:tcW w:type="dxa" w:w="1258"/>
          </w:tcPr>
          <w:p>
            <w:pPr>
              <w:pStyle w:val="Compact"/>
              <w:spacing w:after="0" w:before="0" w:line="240" w:lineRule="auto"/>
              <w:jc w:val="right"/>
            </w:pPr>
            <w:r>
              <w:rPr>
                <w:rFonts w:ascii="Arial" w:hAnsi="Arial"/>
                <w:sz w:val="15"/>
              </w:rPr>
              <w:t xml:space="preserve">250</w:t>
            </w:r>
          </w:p>
        </w:tc>
        <w:tc>
          <w:tcPr>
            <w:tcW w:type="dxa" w:w="1258"/>
          </w:tcPr>
          <w:p>
            <w:pPr>
              <w:pStyle w:val="Compact"/>
              <w:spacing w:after="0" w:before="0" w:line="240" w:lineRule="auto"/>
              <w:jc w:val="right"/>
            </w:pPr>
            <w:r>
              <w:rPr>
                <w:rFonts w:ascii="Arial" w:hAnsi="Arial"/>
                <w:sz w:val="15"/>
              </w:rPr>
              <w:t xml:space="preserve">400 (record 31-Mar-2025)</w:t>
            </w:r>
          </w:p>
        </w:tc>
        <w:tc>
          <w:tcPr>
            <w:tcW w:type="dxa" w:w="630"/>
          </w:tcPr>
          <w:p>
            <w:pPr>
              <w:pStyle w:val="Compact"/>
              <w:spacing w:after="0" w:before="0" w:line="240" w:lineRule="auto"/>
              <w:jc w:val="right"/>
            </w:pPr>
            <w:r>
              <w:rPr>
                <w:rFonts w:ascii="Arial" w:hAnsi="Arial"/>
                <w:sz w:val="15"/>
              </w:rPr>
              <w:t xml:space="preserve">650</w:t>
            </w:r>
          </w:p>
        </w:tc>
        <w:tc>
          <w:tcPr>
            <w:tcW w:type="dxa" w:w="989"/>
          </w:tcPr>
          <w:p>
            <w:pPr>
              <w:pStyle w:val="Compact"/>
              <w:spacing w:after="0" w:before="0" w:line="240" w:lineRule="auto"/>
              <w:jc w:val="right"/>
            </w:pPr>
            <w:r>
              <w:rPr>
                <w:rFonts w:ascii="Arial" w:hAnsi="Arial"/>
                <w:sz w:val="15"/>
              </w:rPr>
              <w:t xml:space="preserve">279</w:t>
            </w:r>
          </w:p>
        </w:tc>
        <w:tc>
          <w:tcPr>
            <w:tcW w:type="dxa" w:w="989"/>
          </w:tcPr>
          <w:p>
            <w:pPr>
              <w:pStyle w:val="Compact"/>
              <w:spacing w:after="0" w:before="0" w:line="240" w:lineRule="auto"/>
              <w:jc w:val="left"/>
            </w:pPr>
            <w:r>
              <w:rPr>
                <w:rFonts w:ascii="Arial" w:hAnsi="Arial"/>
                <w:sz w:val="15"/>
              </w:rPr>
              <w:t xml:space="preserve">74.6% / 59.1%</w:t>
            </w:r>
          </w:p>
        </w:tc>
        <w:tc>
          <w:tcPr>
            <w:tcW w:type="dxa" w:w="1708"/>
          </w:tcPr>
          <w:p>
            <w:pPr>
              <w:pStyle w:val="Compact"/>
              <w:spacing w:after="0" w:before="0" w:line="240" w:lineRule="auto"/>
              <w:jc w:val="left"/>
            </w:pPr>
            <w:r>
              <w:rPr>
                <w:rFonts w:ascii="Arial" w:hAnsi="Arial"/>
                <w:sz w:val="15"/>
              </w:rPr>
              <w:t xml:space="preserve">– (value-up plan 22-Nov-2024)</w:t>
            </w:r>
          </w:p>
        </w:tc>
        <w:tc>
          <w:tcPr>
            <w:tcW w:type="dxa" w:w="1168"/>
          </w:tcPr>
          <w:p>
            <w:pPr>
              <w:pStyle w:val="Compact"/>
              <w:spacing w:after="0" w:before="0" w:line="240" w:lineRule="auto"/>
              <w:jc w:val="left"/>
            </w:pPr>
            <w:r>
              <w:rPr>
                <w:rFonts w:ascii="Arial" w:hAnsi="Arial"/>
                <w:sz w:val="15"/>
              </w:rPr>
              <w:t xml:space="preserve">6,783,009</w:t>
            </w:r>
          </w:p>
        </w:tc>
        <w:tc>
          <w:tcPr>
            <w:tcW w:type="dxa" w:w="1258"/>
          </w:tcPr>
          <w:p>
            <w:pPr>
              <w:pStyle w:val="Compact"/>
              <w:spacing w:after="0" w:before="0" w:line="240" w:lineRule="auto"/>
              <w:jc w:val="left"/>
            </w:pPr>
            <w:r>
              <w:rPr>
                <w:rFonts w:ascii="Arial" w:hAnsi="Arial"/>
                <w:sz w:val="15"/>
              </w:rPr>
              <w:t xml:space="preserve">–</w:t>
            </w:r>
          </w:p>
        </w:tc>
      </w:tr>
      <w:tr>
        <w:trPr>
          <w:cantSplit/>
        </w:trPr>
        <w:tc>
          <w:tcPr>
            <w:tcW w:type="dxa" w:w="720"/>
            <w:shd w:val="clear" w:color="auto" w:fill="F1F2F5"/>
          </w:tcPr>
          <w:p>
            <w:pPr>
              <w:pStyle w:val="Compact"/>
              <w:spacing w:after="0" w:before="0" w:line="240" w:lineRule="auto"/>
              <w:jc w:val="left"/>
            </w:pPr>
            <w:r>
              <w:rPr>
                <w:rFonts w:ascii="Arial" w:hAnsi="Arial"/>
                <w:sz w:val="15"/>
              </w:rPr>
              <w:t xml:space="preserve">FY2025</w:t>
            </w:r>
          </w:p>
        </w:tc>
        <w:tc>
          <w:tcPr>
            <w:tcW w:type="dxa" w:w="1258"/>
            <w:shd w:val="clear" w:color="auto" w:fill="F1F2F5"/>
          </w:tcPr>
          <w:p>
            <w:pPr>
              <w:pStyle w:val="Compact"/>
              <w:spacing w:after="0" w:before="0" w:line="240" w:lineRule="auto"/>
              <w:jc w:val="right"/>
            </w:pPr>
            <w:r>
              <w:rPr>
                <w:rFonts w:ascii="Arial" w:hAnsi="Arial"/>
                <w:sz w:val="15"/>
              </w:rPr>
              <w:t xml:space="preserve">250</w:t>
            </w:r>
          </w:p>
        </w:tc>
        <w:tc>
          <w:tcPr>
            <w:tcW w:type="dxa" w:w="1258"/>
            <w:shd w:val="clear" w:color="auto" w:fill="F1F2F5"/>
          </w:tcPr>
          <w:p>
            <w:pPr>
              <w:pStyle w:val="Compact"/>
              <w:spacing w:after="0" w:before="0" w:line="240" w:lineRule="auto"/>
              <w:jc w:val="right"/>
            </w:pPr>
            <w:r>
              <w:rPr>
                <w:rFonts w:ascii="Arial" w:hAnsi="Arial"/>
                <w:sz w:val="15"/>
              </w:rPr>
              <w:t xml:space="preserve">410 (record 31-Mar-2026)</w:t>
            </w:r>
          </w:p>
        </w:tc>
        <w:tc>
          <w:tcPr>
            <w:tcW w:type="dxa" w:w="630"/>
            <w:shd w:val="clear" w:color="auto" w:fill="F1F2F5"/>
          </w:tcPr>
          <w:p>
            <w:pPr>
              <w:pStyle w:val="Compact"/>
              <w:spacing w:after="0" w:before="0" w:line="240" w:lineRule="auto"/>
              <w:jc w:val="right"/>
            </w:pPr>
            <w:r>
              <w:rPr>
                <w:rFonts w:ascii="Arial" w:hAnsi="Arial"/>
                <w:sz w:val="15"/>
              </w:rPr>
              <w:t xml:space="preserve">660</w:t>
            </w:r>
          </w:p>
        </w:tc>
        <w:tc>
          <w:tcPr>
            <w:tcW w:type="dxa" w:w="989"/>
            <w:shd w:val="clear" w:color="auto" w:fill="F1F2F5"/>
          </w:tcPr>
          <w:p>
            <w:pPr>
              <w:pStyle w:val="Compact"/>
              <w:spacing w:after="0" w:before="0" w:line="240" w:lineRule="auto"/>
              <w:jc w:val="right"/>
            </w:pPr>
            <w:r>
              <w:rPr>
                <w:rFonts w:ascii="Arial" w:hAnsi="Arial"/>
                <w:sz w:val="15"/>
              </w:rPr>
              <w:t xml:space="preserve">282</w:t>
            </w:r>
          </w:p>
        </w:tc>
        <w:tc>
          <w:tcPr>
            <w:tcW w:type="dxa" w:w="989"/>
            <w:shd w:val="clear" w:color="auto" w:fill="F1F2F5"/>
          </w:tcPr>
          <w:p>
            <w:pPr>
              <w:pStyle w:val="Compact"/>
              <w:spacing w:after="0" w:before="0" w:line="240" w:lineRule="auto"/>
              <w:jc w:val="left"/>
            </w:pPr>
            <w:r>
              <w:rPr>
                <w:rFonts w:ascii="Arial" w:hAnsi="Arial"/>
                <w:sz w:val="15"/>
              </w:rPr>
              <w:t xml:space="preserve">53.7% / 51.9%</w:t>
            </w:r>
          </w:p>
        </w:tc>
        <w:tc>
          <w:tcPr>
            <w:tcW w:type="dxa" w:w="1708"/>
            <w:shd w:val="clear" w:color="auto" w:fill="F1F2F5"/>
          </w:tcPr>
          <w:p>
            <w:pPr>
              <w:pStyle w:val="Compact"/>
              <w:spacing w:after="0" w:before="0" w:line="240" w:lineRule="auto"/>
              <w:jc w:val="left"/>
            </w:pPr>
            <w:r>
              <w:rPr>
                <w:bCs/>
                <w:rFonts w:ascii="Arial" w:hAnsi="Arial"/>
                <w:b/>
                <w:sz w:val="15"/>
              </w:rPr>
              <w:t xml:space="preserve">KRW80bn</w:t>
            </w:r>
            <w:r>
              <w:rPr>
                <w:rFonts w:ascii="Arial" w:hAnsi="Arial"/>
                <w:sz w:val="15"/>
              </w:rPr>
              <w:t xml:space="preserve"> </w:t>
            </w:r>
            <w:r>
              <w:rPr>
                <w:rFonts w:ascii="Arial" w:hAnsi="Arial"/>
                <w:sz w:val="15"/>
              </w:rPr>
              <w:t xml:space="preserve">(5,400,620 shares, Aug-2025 to Feb-2026, ~KRW14,813/share)</w:t>
            </w:r>
          </w:p>
        </w:tc>
        <w:tc>
          <w:tcPr>
            <w:tcW w:type="dxa" w:w="1168"/>
            <w:shd w:val="clear" w:color="auto" w:fill="F1F2F5"/>
          </w:tcPr>
          <w:p>
            <w:pPr>
              <w:pStyle w:val="Compact"/>
              <w:spacing w:after="0" w:before="0" w:line="240" w:lineRule="auto"/>
              <w:jc w:val="left"/>
            </w:pPr>
            <w:r>
              <w:rPr>
                <w:rFonts w:ascii="Arial" w:hAnsi="Arial"/>
                <w:sz w:val="15"/>
              </w:rPr>
              <w:t xml:space="preserve">4,059,811 (0.94%)</w:t>
            </w:r>
          </w:p>
        </w:tc>
        <w:tc>
          <w:tcPr>
            <w:tcW w:type="dxa" w:w="1258"/>
            <w:shd w:val="clear" w:color="auto" w:fill="F1F2F5"/>
          </w:tcPr>
          <w:p>
            <w:pPr>
              <w:pStyle w:val="Compact"/>
              <w:spacing w:after="0" w:before="0" w:line="240" w:lineRule="auto"/>
              <w:jc w:val="left"/>
            </w:pPr>
            <w:r>
              <w:rPr>
                <w:bCs/>
                <w:rFonts w:ascii="Arial" w:hAnsi="Arial"/>
                <w:b/>
                <w:sz w:val="15"/>
              </w:rPr>
              <w:t xml:space="preserve">5-Aug-2025: 6,783,006 shares (1.55%)</w:t>
            </w:r>
          </w:p>
        </w:tc>
      </w:tr>
      <w:tr>
        <w:trPr>
          <w:cantSplit/>
        </w:trPr>
        <w:tc>
          <w:tcPr>
            <w:tcW w:type="dxa" w:w="720"/>
          </w:tcPr>
          <w:p>
            <w:pPr>
              <w:pStyle w:val="Compact"/>
              <w:spacing w:after="0" w:before="0" w:line="240" w:lineRule="auto"/>
              <w:jc w:val="left"/>
            </w:pPr>
            <w:r>
              <w:rPr>
                <w:rFonts w:ascii="Arial" w:hAnsi="Arial"/>
                <w:sz w:val="15"/>
              </w:rPr>
              <w:t xml:space="preserve">FY2026 YTD</w:t>
            </w:r>
          </w:p>
        </w:tc>
        <w:tc>
          <w:tcPr>
            <w:tcW w:type="dxa" w:w="1258"/>
          </w:tcPr>
          <w:p>
            <w:pPr>
              <w:pStyle w:val="Compact"/>
              <w:spacing w:after="0" w:before="0" w:line="240" w:lineRule="auto"/>
              <w:jc w:val="right"/>
            </w:pPr>
            <w:r>
              <w:rPr>
                <w:bCs/>
                <w:rFonts w:ascii="Arial" w:hAnsi="Arial"/>
                <w:b/>
                <w:sz w:val="15"/>
              </w:rPr>
              <w:t xml:space="preserve">270</w:t>
            </w:r>
            <w:r>
              <w:rPr>
                <w:rFonts w:ascii="Arial" w:hAnsi="Arial"/>
                <w:sz w:val="15"/>
              </w:rPr>
              <w:t xml:space="preserve"> </w:t>
            </w:r>
            <w:r>
              <w:rPr>
                <w:rFonts w:ascii="Arial" w:hAnsi="Arial"/>
                <w:sz w:val="15"/>
              </w:rPr>
              <w:t xml:space="preserve">(+8%; record 13-Aug-2026)</w:t>
            </w:r>
          </w:p>
        </w:tc>
        <w:tc>
          <w:tcPr>
            <w:tcW w:type="dxa" w:w="1258"/>
          </w:tcPr>
          <w:p>
            <w:pPr>
              <w:pStyle w:val="Compact"/>
              <w:spacing w:after="0" w:before="0" w:line="240" w:lineRule="auto"/>
              <w:jc w:val="right"/>
            </w:pPr>
            <w:r>
              <w:rPr>
                <w:rFonts w:ascii="Arial" w:hAnsi="Arial"/>
                <w:sz w:val="15"/>
              </w:rPr>
              <w:t xml:space="preserve">TBD (late Jan-2027)</w:t>
            </w:r>
          </w:p>
        </w:tc>
        <w:tc>
          <w:tcPr>
            <w:tcW w:type="dxa" w:w="630"/>
          </w:tcPr>
          <w:p>
            <w:pPr>
              <w:pStyle w:val="Compact"/>
              <w:spacing w:after="0" w:before="0" w:line="240" w:lineRule="auto"/>
              <w:jc w:val="right"/>
            </w:pPr>
            <w:r>
              <w:rPr>
                <w:rFonts w:ascii="Arial" w:hAnsi="Arial"/>
                <w:sz w:val="15"/>
              </w:rPr>
              <w:t xml:space="preserve">700E</w:t>
            </w:r>
          </w:p>
        </w:tc>
        <w:tc>
          <w:tcPr>
            <w:tcW w:type="dxa" w:w="989"/>
          </w:tcPr>
          <w:p>
            <w:pPr>
              <w:pStyle w:val="Compact"/>
              <w:spacing w:after="0" w:before="0" w:line="240" w:lineRule="auto"/>
              <w:jc w:val="right"/>
            </w:pPr>
            <w:r>
              <w:rPr>
                <w:rFonts w:ascii="Arial" w:hAnsi="Arial"/>
                <w:sz w:val="15"/>
              </w:rPr>
              <w:t xml:space="preserve">~297E</w:t>
            </w:r>
          </w:p>
        </w:tc>
        <w:tc>
          <w:tcPr>
            <w:tcW w:type="dxa" w:w="989"/>
          </w:tcPr>
          <w:p>
            <w:pPr>
              <w:pStyle w:val="Compact"/>
              <w:spacing w:after="0" w:before="0" w:line="240" w:lineRule="auto"/>
              <w:jc w:val="left"/>
            </w:pPr>
            <w:r>
              <w:rPr>
                <w:rFonts w:ascii="Arial" w:hAnsi="Arial"/>
                <w:sz w:val="15"/>
              </w:rPr>
              <w:t xml:space="preserve">~42%E</w:t>
            </w:r>
          </w:p>
        </w:tc>
        <w:tc>
          <w:tcPr>
            <w:tcW w:type="dxa" w:w="1708"/>
          </w:tcPr>
          <w:p>
            <w:pPr>
              <w:pStyle w:val="Compact"/>
              <w:spacing w:after="0" w:before="0" w:line="240" w:lineRule="auto"/>
              <w:jc w:val="left"/>
            </w:pPr>
            <w:r>
              <w:rPr>
                <w:bCs/>
                <w:rFonts w:ascii="Arial" w:hAnsi="Arial"/>
                <w:b/>
                <w:sz w:val="15"/>
              </w:rPr>
              <w:t xml:space="preserve">KRW90bn</w:t>
            </w:r>
            <w:r>
              <w:rPr>
                <w:rFonts w:ascii="Arial" w:hAnsi="Arial"/>
                <w:sz w:val="15"/>
              </w:rPr>
              <w:t xml:space="preserve"> </w:t>
            </w:r>
            <w:r>
              <w:rPr>
                <w:rFonts w:ascii="Arial" w:hAnsi="Arial"/>
                <w:sz w:val="15"/>
              </w:rPr>
              <w:t xml:space="preserve">(14-Aug-2026 to 13-Feb-2027; ~6.0m shares)</w:t>
            </w:r>
          </w:p>
        </w:tc>
        <w:tc>
          <w:tcPr>
            <w:tcW w:type="dxa" w:w="1168"/>
          </w:tcPr>
          <w:p>
            <w:pPr>
              <w:pStyle w:val="Compact"/>
              <w:spacing w:after="0" w:before="0" w:line="240" w:lineRule="auto"/>
              <w:jc w:val="left"/>
            </w:pPr>
            <w:r>
              <w:rPr>
                <w:rFonts w:ascii="Arial" w:hAnsi="Arial"/>
                <w:sz w:val="15"/>
              </w:rPr>
              <w:t xml:space="preserve">0 at 30-Jun-2026</w:t>
            </w:r>
          </w:p>
        </w:tc>
        <w:tc>
          <w:tcPr>
            <w:tcW w:type="dxa" w:w="1258"/>
          </w:tcPr>
          <w:p>
            <w:pPr>
              <w:pStyle w:val="Compact"/>
              <w:spacing w:after="0" w:before="0" w:line="240" w:lineRule="auto"/>
              <w:jc w:val="left"/>
            </w:pPr>
            <w:r>
              <w:rPr>
                <w:bCs/>
                <w:rFonts w:ascii="Arial" w:hAnsi="Arial"/>
                <w:b/>
                <w:sz w:val="15"/>
              </w:rPr>
              <w:t xml:space="preserve">15-May-2026: 5,400,623 shares (1.26%)</w:t>
            </w:r>
          </w:p>
        </w:tc>
      </w:tr>
    </w:tbl>
    <w:p>
      <w:pPr>
        <w:pStyle w:val="BodyText"/>
      </w:pPr>
      <w:r>
        <w:rPr>
          <w:bCs/>
          <w:b/>
        </w:rPr>
        <w:t xml:space="preserve">Totals FY2021–FY2025.</w:t>
      </w:r>
      <w:r>
        <w:t xml:space="preserve"> </w:t>
      </w:r>
      <w:r>
        <w:t xml:space="preserve">Dividends ~KRW1.36tn plus buybacks KRW180bn, ~53% of cumulative net income (KRW2.90tn). Issued shares fell from 436.6m to 424.4m (-2.8%) and will reach ~418.4m (-4.2%) after the current programme is cancelled.</w:t>
      </w:r>
    </w:p>
    <w:p>
      <w:pPr>
        <w:pStyle w:val="CaptionedFigure"/>
      </w:pPr>
      <w:r>
        <w:drawing>
          <wp:inline>
            <wp:extent cx="6261100" cy="2410595"/>
            <wp:effectExtent b="0" l="0" r="0" t="0"/>
            <wp:docPr descr="Shareholder returns" title="" id="112" name="Picture"/>
            <a:graphic>
              <a:graphicData uri="http://schemas.openxmlformats.org/drawingml/2006/picture">
                <pic:pic>
                  <pic:nvPicPr>
                    <pic:cNvPr descr="../charts/returns.png" id="113" name="Picture"/>
                    <pic:cNvPicPr>
                      <a:picLocks noChangeArrowheads="1" noChangeAspect="1"/>
                    </pic:cNvPicPr>
                  </pic:nvPicPr>
                  <pic:blipFill>
                    <a:blip r:embed="rId111"/>
                    <a:stretch>
                      <a:fillRect/>
                    </a:stretch>
                  </pic:blipFill>
                  <pic:spPr bwMode="auto">
                    <a:xfrm>
                      <a:off x="0" y="0"/>
                      <a:ext cx="6261100" cy="2410595"/>
                    </a:xfrm>
                    <a:prstGeom prst="rect">
                      <a:avLst/>
                    </a:prstGeom>
                    <a:noFill/>
                    <a:ln w="9525">
                      <a:noFill/>
                      <a:headEnd/>
                      <a:tailEnd/>
                    </a:ln>
                  </pic:spPr>
                </pic:pic>
              </a:graphicData>
            </a:graphic>
          </wp:inline>
        </w:drawing>
      </w:r>
    </w:p>
    <w:p>
      <w:pPr>
        <w:pStyle w:val="ImageCaption"/>
      </w:pPr>
      <w:r>
        <w:t xml:space="preserve">Shareholder returns</w:t>
      </w:r>
    </w:p>
    <w:p>
      <w:pPr>
        <w:pStyle w:val="BodyText"/>
      </w:pPr>
      <w:r>
        <w:rPr>
          <w:bCs/>
          <w:b/>
        </w:rPr>
        <w:t xml:space="preserve">Policy.</w:t>
      </w:r>
    </w:p>
    <w:p>
      <w:pPr>
        <w:numPr>
          <w:ilvl w:val="0"/>
          <w:numId w:val="1045"/>
        </w:numPr>
        <w:pStyle w:val="Compact"/>
      </w:pPr>
      <w:r>
        <w:t xml:space="preserve">Dividends: at least 40% of separate net income excluding one-offs, with DPS no lower than the prior year.</w:t>
      </w:r>
    </w:p>
    <w:p>
      <w:pPr>
        <w:numPr>
          <w:ilvl w:val="0"/>
          <w:numId w:val="1045"/>
        </w:numPr>
        <w:pStyle w:val="Compact"/>
      </w:pPr>
      <w:r>
        <w:t xml:space="preserve">Buybacks: 0–20% of net income depending on FCF.</w:t>
      </w:r>
    </w:p>
    <w:p>
      <w:pPr>
        <w:numPr>
          <w:ilvl w:val="0"/>
          <w:numId w:val="1045"/>
        </w:numPr>
        <w:pStyle w:val="Compact"/>
      </w:pPr>
      <w:r>
        <w:t xml:space="preserve">Total return: 40–60%.</w:t>
      </w:r>
    </w:p>
    <w:p>
      <w:pPr>
        <w:numPr>
          <w:ilvl w:val="0"/>
          <w:numId w:val="1045"/>
        </w:numPr>
        <w:pStyle w:val="Compact"/>
      </w:pPr>
      <w:r>
        <w:t xml:space="preserve">FY25 total return was ~66.6% of separate net income [e], above the ceiling.</w:t>
      </w:r>
    </w:p>
    <w:p>
      <w:pPr>
        <w:numPr>
          <w:ilvl w:val="0"/>
          <w:numId w:val="1045"/>
        </w:numPr>
        <w:pStyle w:val="Compact"/>
      </w:pPr>
      <w:r>
        <w:t xml:space="preserve">The new dividend procedure (board sets the DPS before the record date, since 2024) and</w:t>
      </w:r>
      <w:r>
        <w:t xml:space="preserve"> </w:t>
      </w:r>
      <w:r>
        <w:t xml:space="preserve">“</w:t>
      </w:r>
      <w:r>
        <w:t xml:space="preserve">high-dividend company</w:t>
      </w:r>
      <w:r>
        <w:t xml:space="preserve">”</w:t>
      </w:r>
      <w:r>
        <w:t xml:space="preserve"> </w:t>
      </w:r>
      <w:r>
        <w:t xml:space="preserve">status for 2025 support domestic demand under the separate dividend-tax regime [u].</w:t>
      </w:r>
    </w:p>
    <w:bookmarkEnd w:id="114"/>
    <w:bookmarkStart w:id="120" w:name="Xb066d6c9f18251ad48833c0e755d68a26d11fc7"/>
    <w:p>
      <w:pPr>
        <w:pStyle w:val="Heading1"/>
      </w:pPr>
      <w:r>
        <w:t xml:space="preserve">Adversarial analysis: bull case, bear case, pre-mortem and contrarian view</w:t>
      </w:r>
    </w:p>
    <w:bookmarkStart w:id="115" w:name="bull-case"/>
    <w:p>
      <w:pPr>
        <w:pStyle w:val="Heading2"/>
      </w:pPr>
      <w:r>
        <w:t xml:space="preserve">Bull case</w:t>
      </w:r>
    </w:p>
    <w:p>
      <w:pPr>
        <w:numPr>
          <w:ilvl w:val="0"/>
          <w:numId w:val="1046"/>
        </w:numPr>
        <w:pStyle w:val="Compact"/>
      </w:pPr>
      <w:r>
        <w:rPr>
          <w:bCs/>
          <w:b/>
        </w:rPr>
        <w:t xml:space="preserve">Competitive advantages and moat sustainability.</w:t>
      </w:r>
    </w:p>
    <w:p>
      <w:pPr>
        <w:numPr>
          <w:ilvl w:val="1"/>
          <w:numId w:val="1047"/>
        </w:numPr>
        <w:pStyle w:val="Compact"/>
      </w:pPr>
      <w:r>
        <w:t xml:space="preserve">A licence-protected three-player oligopoly with no realistic new entrant: the 4th-carrier attempts failed and 28GHz was abandoned.</w:t>
      </w:r>
    </w:p>
    <w:p>
      <w:pPr>
        <w:numPr>
          <w:ilvl w:val="1"/>
          <w:numId w:val="1047"/>
        </w:numPr>
        <w:pStyle w:val="Compact"/>
      </w:pPr>
      <w:r>
        <w:t xml:space="preserve">Sticky bundled households.</w:t>
      </w:r>
    </w:p>
    <w:p>
      <w:pPr>
        <w:numPr>
          <w:ilvl w:val="1"/>
          <w:numId w:val="1047"/>
        </w:numPr>
        <w:pStyle w:val="Compact"/>
      </w:pPr>
      <w:r>
        <w:t xml:space="preserve">EBITDA of KRW3.4–3.6tn every year for five years.</w:t>
      </w:r>
    </w:p>
    <w:p>
      <w:pPr>
        <w:numPr>
          <w:ilvl w:val="1"/>
          <w:numId w:val="1047"/>
        </w:numPr>
        <w:pStyle w:val="Compact"/>
      </w:pPr>
      <w:r>
        <w:t xml:space="preserve">LG Uplus now leads KT on total lines (29.8% share) and has the lowest churn in its history.</w:t>
      </w:r>
    </w:p>
    <w:p>
      <w:pPr>
        <w:numPr>
          <w:ilvl w:val="0"/>
          <w:numId w:val="1046"/>
        </w:numPr>
        <w:pStyle w:val="Compact"/>
      </w:pPr>
      <w:r>
        <w:rPr>
          <w:bCs/>
          <w:b/>
        </w:rPr>
        <w:t xml:space="preserve">Growth levers and secular tailwinds.</w:t>
      </w:r>
    </w:p>
    <w:p>
      <w:pPr>
        <w:numPr>
          <w:ilvl w:val="1"/>
          <w:numId w:val="1048"/>
        </w:numPr>
        <w:pStyle w:val="Compact"/>
      </w:pPr>
      <w:r>
        <w:t xml:space="preserve">AI data centres: Paju 200MW, DC1 reportedly pre-let, AIDC revenue +29–31%, a KRW5tn order target by 2030. Each 100bn of AIDC revenue is worth ~KRW1,900 a share at 8x sales.</w:t>
      </w:r>
    </w:p>
    <w:p>
      <w:pPr>
        <w:numPr>
          <w:ilvl w:val="1"/>
          <w:numId w:val="1048"/>
        </w:numPr>
        <w:pStyle w:val="Compact"/>
      </w:pPr>
      <w:r>
        <w:t xml:space="preserve">AICC (+50% guided) and ixi-O exports.</w:t>
      </w:r>
    </w:p>
    <w:p>
      <w:pPr>
        <w:numPr>
          <w:ilvl w:val="1"/>
          <w:numId w:val="1048"/>
        </w:numPr>
        <w:pStyle w:val="Compact"/>
      </w:pPr>
      <w:r>
        <w:t xml:space="preserve">Enterprise lines.</w:t>
      </w:r>
    </w:p>
    <w:p>
      <w:pPr>
        <w:numPr>
          <w:ilvl w:val="1"/>
          <w:numId w:val="1048"/>
        </w:numPr>
        <w:pStyle w:val="Compact"/>
      </w:pPr>
      <w:r>
        <w:t xml:space="preserve">Rivals’ security failures are pushing share towards LG Uplus.</w:t>
      </w:r>
    </w:p>
    <w:p>
      <w:pPr>
        <w:numPr>
          <w:ilvl w:val="0"/>
          <w:numId w:val="1046"/>
        </w:numPr>
        <w:pStyle w:val="Compact"/>
      </w:pPr>
      <w:r>
        <w:rPr>
          <w:bCs/>
          <w:b/>
        </w:rPr>
        <w:t xml:space="preserve">Potential earnings surprises.</w:t>
      </w:r>
    </w:p>
    <w:p>
      <w:pPr>
        <w:numPr>
          <w:ilvl w:val="1"/>
          <w:numId w:val="1049"/>
        </w:numPr>
        <w:pStyle w:val="Compact"/>
      </w:pPr>
      <w:r>
        <w:t xml:space="preserve">Labour savings run ~KRW60–70bn a year.</w:t>
      </w:r>
    </w:p>
    <w:p>
      <w:pPr>
        <w:numPr>
          <w:ilvl w:val="1"/>
          <w:numId w:val="1049"/>
        </w:numPr>
        <w:pStyle w:val="Compact"/>
      </w:pPr>
      <w:r>
        <w:t xml:space="preserve">D&amp;A should fall as 2019–23 5G capex rolls off.</w:t>
      </w:r>
    </w:p>
    <w:p>
      <w:pPr>
        <w:numPr>
          <w:ilvl w:val="1"/>
          <w:numId w:val="1049"/>
        </w:numPr>
        <w:pStyle w:val="Compact"/>
      </w:pPr>
      <w:r>
        <w:t xml:space="preserve">Marketing could normalise below 20% of service revenue.</w:t>
      </w:r>
    </w:p>
    <w:p>
      <w:pPr>
        <w:numPr>
          <w:ilvl w:val="1"/>
          <w:numId w:val="1049"/>
        </w:numPr>
        <w:pStyle w:val="Compact"/>
      </w:pPr>
      <w:r>
        <w:t xml:space="preserve">The tax-rate spike should reverse.</w:t>
      </w:r>
    </w:p>
    <w:p>
      <w:pPr>
        <w:numPr>
          <w:ilvl w:val="1"/>
          <w:numId w:val="1049"/>
        </w:numPr>
        <w:pStyle w:val="Compact"/>
      </w:pPr>
      <w:r>
        <w:t xml:space="preserve">Together these could take FY27 OP to KRW1.25–1.30tn, versus our KRW1.185tn and consensus KRW1.232tn.</w:t>
      </w:r>
    </w:p>
    <w:p>
      <w:pPr>
        <w:numPr>
          <w:ilvl w:val="0"/>
          <w:numId w:val="1046"/>
        </w:numPr>
        <w:pStyle w:val="Compact"/>
      </w:pPr>
      <w:r>
        <w:rPr>
          <w:bCs/>
          <w:b/>
        </w:rPr>
        <w:t xml:space="preserve">Capital allocation.</w:t>
      </w:r>
    </w:p>
    <w:p>
      <w:pPr>
        <w:numPr>
          <w:ilvl w:val="1"/>
          <w:numId w:val="1050"/>
        </w:numPr>
        <w:pStyle w:val="Compact"/>
      </w:pPr>
      <w:r>
        <w:t xml:space="preserve">Every repurchased share has been cancelled since 2025.</w:t>
      </w:r>
    </w:p>
    <w:p>
      <w:pPr>
        <w:numPr>
          <w:ilvl w:val="1"/>
          <w:numId w:val="1050"/>
        </w:numPr>
        <w:pStyle w:val="Compact"/>
      </w:pPr>
      <w:r>
        <w:t xml:space="preserve">DPS is rising (+8% interim).</w:t>
      </w:r>
    </w:p>
    <w:p>
      <w:pPr>
        <w:numPr>
          <w:ilvl w:val="1"/>
          <w:numId w:val="1050"/>
        </w:numPr>
        <w:pStyle w:val="Compact"/>
      </w:pPr>
      <w:r>
        <w:t xml:space="preserve">Payout is moving towards 60%.</w:t>
      </w:r>
    </w:p>
    <w:p>
      <w:pPr>
        <w:numPr>
          <w:ilvl w:val="1"/>
          <w:numId w:val="1050"/>
        </w:numPr>
        <w:pStyle w:val="Compact"/>
      </w:pPr>
      <w:r>
        <w:t xml:space="preserve">Leverage is falling, with AA+ ratings.</w:t>
      </w:r>
    </w:p>
    <w:p>
      <w:pPr>
        <w:numPr>
          <w:ilvl w:val="1"/>
          <w:numId w:val="1050"/>
        </w:numPr>
        <w:pStyle w:val="Compact"/>
      </w:pPr>
      <w:r>
        <w:t xml:space="preserve">Shareholder yield is 5.9% today, rising to ~7% if management goes to the policy ceiling.</w:t>
      </w:r>
    </w:p>
    <w:p>
      <w:pPr>
        <w:numPr>
          <w:ilvl w:val="0"/>
          <w:numId w:val="1046"/>
        </w:numPr>
        <w:pStyle w:val="Compact"/>
      </w:pPr>
      <w:r>
        <w:rPr>
          <w:bCs/>
          <w:b/>
        </w:rPr>
        <w:t xml:space="preserve">Valuation asymmetry.</w:t>
      </w:r>
    </w:p>
    <w:p>
      <w:pPr>
        <w:numPr>
          <w:ilvl w:val="1"/>
          <w:numId w:val="1051"/>
        </w:numPr>
        <w:pStyle w:val="Compact"/>
      </w:pPr>
      <w:r>
        <w:t xml:space="preserve">At 2.9x EBITDA, 0.73x book and a 13% FCF yield, the market is paying little for AIDC.</w:t>
      </w:r>
    </w:p>
    <w:p>
      <w:pPr>
        <w:numPr>
          <w:ilvl w:val="1"/>
          <w:numId w:val="1051"/>
        </w:numPr>
        <w:pStyle w:val="Compact"/>
      </w:pPr>
      <w:r>
        <w:t xml:space="preserve">On the SK Horizon mark the AIDC alone could be worth 45–120% of the market cap.</w:t>
      </w:r>
    </w:p>
    <w:bookmarkEnd w:id="115"/>
    <w:bookmarkStart w:id="116" w:name="X20d78e618132c0c2cef024c5a6af6db13daf8b1"/>
    <w:p>
      <w:pPr>
        <w:pStyle w:val="Heading2"/>
      </w:pPr>
      <w:r>
        <w:t xml:space="preserve">Bear case: risks that could permanently impair the business</w:t>
      </w:r>
    </w:p>
    <w:p>
      <w:pPr>
        <w:numPr>
          <w:ilvl w:val="0"/>
          <w:numId w:val="1052"/>
        </w:numPr>
        <w:pStyle w:val="Compact"/>
      </w:pPr>
      <w:r>
        <w:rPr>
          <w:bCs/>
          <w:b/>
        </w:rPr>
        <w:t xml:space="preserve">Regulatory</w:t>
      </w:r>
      <w:r>
        <w:rPr>
          <w:bCs/>
          <w:b/>
        </w:rPr>
        <w:t xml:space="preserve"> </w:t>
      </w:r>
      <w:r>
        <w:rPr>
          <w:bCs/>
          <w:b/>
        </w:rPr>
        <w:t xml:space="preserve">“</w:t>
      </w:r>
      <w:r>
        <w:rPr>
          <w:bCs/>
          <w:b/>
        </w:rPr>
        <w:t xml:space="preserve">public-good</w:t>
      </w:r>
      <w:r>
        <w:rPr>
          <w:bCs/>
          <w:b/>
        </w:rPr>
        <w:t xml:space="preserve">”</w:t>
      </w:r>
      <w:r>
        <w:rPr>
          <w:bCs/>
          <w:b/>
        </w:rPr>
        <w:t xml:space="preserve"> </w:t>
      </w:r>
      <w:r>
        <w:rPr>
          <w:bCs/>
          <w:b/>
        </w:rPr>
        <w:t xml:space="preserve">squeeze.</w:t>
      </w:r>
    </w:p>
    <w:p>
      <w:pPr>
        <w:numPr>
          <w:ilvl w:val="1"/>
          <w:numId w:val="1053"/>
        </w:numPr>
        <w:pStyle w:val="Compact"/>
      </w:pPr>
      <w:r>
        <w:t xml:space="preserve">The government can cut tariffs, mandate</w:t>
      </w:r>
      <w:r>
        <w:t xml:space="preserve"> </w:t>
      </w:r>
      <w:r>
        <w:t xml:space="preserve">“</w:t>
      </w:r>
      <w:r>
        <w:t xml:space="preserve">data safety-net</w:t>
      </w:r>
      <w:r>
        <w:t xml:space="preserve">”</w:t>
      </w:r>
      <w:r>
        <w:t xml:space="preserve"> </w:t>
      </w:r>
      <w:r>
        <w:t xml:space="preserve">plans, order fee waivers and raise spectrum fees at will.</w:t>
      </w:r>
    </w:p>
    <w:p>
      <w:pPr>
        <w:numPr>
          <w:ilvl w:val="1"/>
          <w:numId w:val="1053"/>
        </w:numPr>
        <w:pStyle w:val="Compact"/>
      </w:pPr>
      <w:r>
        <w:t xml:space="preserve">The PIPC case is different in kind. LG Uplus is accused of destroying evidence, the PIPC is seeking fines of up to 3% of revenue for that conduct, and the precedents are KRW135bn for SKT and KRW54bn for KT.</w:t>
      </w:r>
    </w:p>
    <w:p>
      <w:pPr>
        <w:numPr>
          <w:ilvl w:val="1"/>
          <w:numId w:val="1053"/>
        </w:numPr>
        <w:pStyle w:val="Compact"/>
      </w:pPr>
      <w:r>
        <w:t xml:space="preserve">A fine of KRW100–300bn plus licence conditions is possible. Any of these could cap ROE permanently below the cost of equity.</w:t>
      </w:r>
    </w:p>
    <w:p>
      <w:pPr>
        <w:numPr>
          <w:ilvl w:val="0"/>
          <w:numId w:val="1052"/>
        </w:numPr>
        <w:pStyle w:val="Compact"/>
      </w:pPr>
      <w:r>
        <w:rPr>
          <w:bCs/>
          <w:b/>
        </w:rPr>
        <w:t xml:space="preserve">AIDC over-investment.</w:t>
      </w:r>
    </w:p>
    <w:p>
      <w:pPr>
        <w:numPr>
          <w:ilvl w:val="1"/>
          <w:numId w:val="1054"/>
        </w:numPr>
        <w:pStyle w:val="Compact"/>
      </w:pPr>
      <w:r>
        <w:t xml:space="preserve">~KRW2tn (30% of the market cap) is being committed to a business in which LG Uplus has less scale than SK Horizon (318MW, with KKR/IMM capital and the AWS Ulsan JV) and KT Cloud, and in which hyperscalers can self-build.</w:t>
      </w:r>
    </w:p>
    <w:p>
      <w:pPr>
        <w:numPr>
          <w:ilvl w:val="1"/>
          <w:numId w:val="1054"/>
        </w:numPr>
        <w:pStyle w:val="Compact"/>
      </w:pPr>
      <w:r>
        <w:t xml:space="preserve">Korea’s power-grid constraints and a cooling of AI capex could leave DC2–DC4 under-let, with depreciation arriving before revenue.</w:t>
      </w:r>
    </w:p>
    <w:p>
      <w:pPr>
        <w:numPr>
          <w:ilvl w:val="0"/>
          <w:numId w:val="1052"/>
        </w:numPr>
        <w:pStyle w:val="Compact"/>
      </w:pPr>
      <w:r>
        <w:rPr>
          <w:bCs/>
          <w:b/>
        </w:rPr>
        <w:t xml:space="preserve">Competitive margin compression.</w:t>
      </w:r>
    </w:p>
    <w:p>
      <w:pPr>
        <w:numPr>
          <w:ilvl w:val="1"/>
          <w:numId w:val="1055"/>
        </w:numPr>
        <w:pStyle w:val="Compact"/>
      </w:pPr>
      <w:r>
        <w:t xml:space="preserve">With the handset-subsidy cap abolished in Jul-2025, a recovering SK Telecom could buy back share.</w:t>
      </w:r>
    </w:p>
    <w:p>
      <w:pPr>
        <w:numPr>
          <w:ilvl w:val="1"/>
          <w:numId w:val="1055"/>
        </w:numPr>
        <w:pStyle w:val="Compact"/>
      </w:pPr>
      <w:r>
        <w:t xml:space="preserve">Bank and fintech MVNOs (KB Liiv M, Toss) undercut the value segment, partly on LG Uplus’s own network.</w:t>
      </w:r>
    </w:p>
    <w:p>
      <w:pPr>
        <w:numPr>
          <w:ilvl w:val="1"/>
          <w:numId w:val="1055"/>
        </w:numPr>
        <w:pStyle w:val="Compact"/>
      </w:pPr>
      <w:r>
        <w:t xml:space="preserve">Marketing is capitalised and amortised, so a subsidy war hurts OP for two to three years.</w:t>
      </w:r>
    </w:p>
    <w:p>
      <w:pPr>
        <w:numPr>
          <w:ilvl w:val="0"/>
          <w:numId w:val="1052"/>
        </w:numPr>
        <w:pStyle w:val="Compact"/>
      </w:pPr>
      <w:r>
        <w:rPr>
          <w:bCs/>
          <w:b/>
        </w:rPr>
        <w:t xml:space="preserve">Revenue deceleration is already visible.</w:t>
      </w:r>
    </w:p>
    <w:p>
      <w:pPr>
        <w:numPr>
          <w:ilvl w:val="1"/>
          <w:numId w:val="1056"/>
        </w:numPr>
        <w:pStyle w:val="Compact"/>
      </w:pPr>
      <w:r>
        <w:t xml:space="preserve">Mobile service growth slowed from +5.2% (3Q25) to +1.2% (2Q26).</w:t>
      </w:r>
    </w:p>
    <w:p>
      <w:pPr>
        <w:numPr>
          <w:ilvl w:val="1"/>
          <w:numId w:val="1056"/>
        </w:numPr>
        <w:pStyle w:val="Compact"/>
      </w:pPr>
      <w:r>
        <w:t xml:space="preserve">5G penetration has saturated.</w:t>
      </w:r>
    </w:p>
    <w:p>
      <w:pPr>
        <w:numPr>
          <w:ilvl w:val="1"/>
          <w:numId w:val="1056"/>
        </w:numPr>
        <w:pStyle w:val="Compact"/>
      </w:pPr>
      <w:r>
        <w:t xml:space="preserve">LGHV revenue fell 31%.</w:t>
      </w:r>
    </w:p>
    <w:p>
      <w:pPr>
        <w:numPr>
          <w:ilvl w:val="0"/>
          <w:numId w:val="1052"/>
        </w:numPr>
        <w:pStyle w:val="Compact"/>
      </w:pPr>
      <w:r>
        <w:rPr>
          <w:bCs/>
          <w:b/>
        </w:rPr>
        <w:t xml:space="preserve">High expectations?</w:t>
      </w:r>
      <w:r>
        <w:t xml:space="preserve"> </w:t>
      </w:r>
      <w:r>
        <w:t xml:space="preserve">Not really. Consensus FY26 OP of KRW1,149bn (+29%) is largely banked by 1H26. The 9x P/E and 4.5% yield do not embed heroic growth. The risk is that FY27–28 consensus (+7% and +5% OP) proves too high.</w:t>
      </w:r>
    </w:p>
    <w:bookmarkEnd w:id="116"/>
    <w:bookmarkStart w:id="117" w:name="Xb64e7772b50e312c8f38128e33d8cb5c64e1ffe"/>
    <w:p>
      <w:pPr>
        <w:pStyle w:val="Heading2"/>
      </w:pPr>
      <w:r>
        <w:t xml:space="preserve">Pre-mortem: it is October 2027 and the stock is at KRW11,000. What happened?</w:t>
      </w:r>
    </w:p>
    <w:p>
      <w:pPr>
        <w:numPr>
          <w:ilvl w:val="0"/>
          <w:numId w:val="1057"/>
        </w:numPr>
        <w:pStyle w:val="Compact"/>
      </w:pPr>
      <w:r>
        <w:t xml:space="preserve">PIPC fined LG Uplus ~KRW200bn and imposed security-investment conditions. Prosecutors indicted executives over the server wipe. The ESG and index exclusion that followed pushed foreign ownership down.</w:t>
      </w:r>
    </w:p>
    <w:p>
      <w:pPr>
        <w:numPr>
          <w:ilvl w:val="0"/>
          <w:numId w:val="1057"/>
        </w:numPr>
        <w:pStyle w:val="Compact"/>
      </w:pPr>
      <w:r>
        <w:t xml:space="preserve">MSCI deleted the stock in Nov-2026. Passive selling met no new buyers because domestic institutions rotated into the KOSPI rally.</w:t>
      </w:r>
    </w:p>
    <w:p>
      <w:pPr>
        <w:numPr>
          <w:ilvl w:val="0"/>
          <w:numId w:val="1057"/>
        </w:numPr>
        <w:pStyle w:val="Compact"/>
      </w:pPr>
      <w:r>
        <w:t xml:space="preserve">SK Telecom launched an aggressive subsidy campaign around the iPhone 18 launch to recover the share it lost in 2025. LG Uplus marketing rose to 22% of service revenue and FY27 OP fell 10%.</w:t>
      </w:r>
    </w:p>
    <w:p>
      <w:pPr>
        <w:numPr>
          <w:ilvl w:val="0"/>
          <w:numId w:val="1057"/>
        </w:numPr>
        <w:pStyle w:val="Compact"/>
      </w:pPr>
      <w:r>
        <w:t xml:space="preserve">Paju DC2/DC3 tenants failed to materialise when a hyperscaler chose SK Horizon’s Ulsan campus. Management paused the buyback (</w:t>
      </w:r>
      <w:r>
        <w:t xml:space="preserve">“</w:t>
      </w:r>
      <w:r>
        <w:t xml:space="preserve">flexible</w:t>
      </w:r>
      <w:r>
        <w:t xml:space="preserve">”</w:t>
      </w:r>
      <w:r>
        <w:t xml:space="preserve">) to fund capex. The dividend was held flat, so the payout fell back to 40%.</w:t>
      </w:r>
    </w:p>
    <w:p>
      <w:pPr>
        <w:numPr>
          <w:ilvl w:val="0"/>
          <w:numId w:val="1057"/>
        </w:numPr>
        <w:pStyle w:val="Compact"/>
      </w:pPr>
      <w:r>
        <w:t xml:space="preserve">The government’s 2027 5G re-allocation plan priced 3.5GHz above expectations.</w:t>
      </w:r>
    </w:p>
    <w:p>
      <w:pPr>
        <w:pStyle w:val="FirstParagraph"/>
      </w:pPr>
      <w:r>
        <w:rPr>
          <w:bCs/>
          <w:b/>
        </w:rPr>
        <w:t xml:space="preserve">What would we see first?</w:t>
      </w:r>
      <w:r>
        <w:t xml:space="preserve"> </w:t>
      </w:r>
      <w:r>
        <w:t xml:space="preserve">Marketing above 21% of service revenue; any DPS or buyback below the prior year; a PIPC decision above KRW150bn; no Paju DC2 pre-let announcement by end-2027.</w:t>
      </w:r>
    </w:p>
    <w:bookmarkEnd w:id="117"/>
    <w:bookmarkStart w:id="118" w:name="are-current-multiples-too-high"/>
    <w:p>
      <w:pPr>
        <w:pStyle w:val="Heading2"/>
      </w:pPr>
      <w:r>
        <w:t xml:space="preserve">Are current multiples too high?</w:t>
      </w:r>
    </w:p>
    <w:p>
      <w:pPr>
        <w:pStyle w:val="FirstParagraph"/>
      </w:pPr>
      <w:r>
        <w:t xml:space="preserve">No. On every EV-based multiple LG Uplus is in the bottom quintile of its own ten-year history and of its global peer group. The place where valuation could be</w:t>
      </w:r>
      <w:r>
        <w:t xml:space="preserve"> </w:t>
      </w:r>
      <w:r>
        <w:t xml:space="preserve">“</w:t>
      </w:r>
      <w:r>
        <w:t xml:space="preserve">too high</w:t>
      </w:r>
      <w:r>
        <w:t xml:space="preserve">”</w:t>
      </w:r>
      <w:r>
        <w:t xml:space="preserve"> </w:t>
      </w:r>
      <w:r>
        <w:t xml:space="preserve">is P/E: 12.4x LTM, against a five-year average of 10.3x. That is because LTM earnings are depressed. If FY27 EPS comes in 20–30% below consensus (KRW1,345–1,538), the stock would trade at 10–11.5x that lower EPS at today’s price, close to its five-year average and not obviously cheap. That is the main valuation risk.</w:t>
      </w:r>
    </w:p>
    <w:bookmarkEnd w:id="118"/>
    <w:bookmarkStart w:id="119" w:name="Xe019ba43ddf0cd98b245c609b6af6de54804614"/>
    <w:p>
      <w:pPr>
        <w:pStyle w:val="Heading2"/>
      </w:pPr>
      <w:r>
        <w:t xml:space="preserve">Contrarian view: what the market is refusing to see</w:t>
      </w:r>
    </w:p>
    <w:p>
      <w:pPr>
        <w:numPr>
          <w:ilvl w:val="0"/>
          <w:numId w:val="1058"/>
        </w:numPr>
        <w:pStyle w:val="Compact"/>
      </w:pPr>
      <w:r>
        <w:rPr>
          <w:bCs/>
          <w:b/>
        </w:rPr>
        <w:t xml:space="preserve">The telecom core is priced at ~1.8x EBITDA once the data-centre business is valued at even a heavily discounted market mark.</w:t>
      </w:r>
      <w:r>
        <w:t xml:space="preserve"> </w:t>
      </w:r>
      <w:r>
        <w:t xml:space="preserve">The market capitalises LG Uplus’s EV of ~KRW11tn as if it were a single ex-growth telecom asset. In August 2026, though, infrastructure investors paid ~14.6x sales for SK Telecom’s data-centre business. LG Uplus has a comparable growth platform (IDC revenue ~KRW540bn FY26E, +28%; a 200MW campus under construction). Even at 8x sales, that is KRW4.3tn of value inside a KRW6.6tn market cap.</w:t>
      </w:r>
    </w:p>
    <w:p>
      <w:pPr>
        <w:numPr>
          <w:ilvl w:val="0"/>
          <w:numId w:val="1058"/>
        </w:numPr>
        <w:pStyle w:val="Compact"/>
      </w:pPr>
      <w:r>
        <w:rPr>
          <w:bCs/>
          <w:b/>
        </w:rPr>
        <w:t xml:space="preserve">Earnings quality is improving, not deteriorating.</w:t>
      </w:r>
    </w:p>
    <w:p>
      <w:pPr>
        <w:numPr>
          <w:ilvl w:val="1"/>
          <w:numId w:val="1059"/>
        </w:numPr>
        <w:pStyle w:val="Compact"/>
      </w:pPr>
      <w:r>
        <w:t xml:space="preserve">The 5G capex cycle that crushed ROE from ~11% to ~4–6% is over: capex/sales has fallen from 17.5% to 11–14%, and that is what drove the AA+ upgrade.</w:t>
      </w:r>
    </w:p>
    <w:p>
      <w:pPr>
        <w:numPr>
          <w:ilvl w:val="1"/>
          <w:numId w:val="1059"/>
        </w:numPr>
        <w:pStyle w:val="Compact"/>
      </w:pPr>
      <w:r>
        <w:t xml:space="preserve">D&amp;A has peaked as a share of revenue.</w:t>
      </w:r>
    </w:p>
    <w:p>
      <w:pPr>
        <w:numPr>
          <w:ilvl w:val="1"/>
          <w:numId w:val="1059"/>
        </w:numPr>
        <w:pStyle w:val="Compact"/>
      </w:pPr>
      <w:r>
        <w:t xml:space="preserve">Levered FCF yield is ~13% (LTM, Capital IQ) even as AIDC spend ramps.</w:t>
      </w:r>
    </w:p>
    <w:p>
      <w:pPr>
        <w:numPr>
          <w:ilvl w:val="0"/>
          <w:numId w:val="1058"/>
        </w:numPr>
        <w:pStyle w:val="Compact"/>
      </w:pPr>
      <w:r>
        <w:rPr>
          <w:bCs/>
          <w:b/>
        </w:rPr>
        <w:t xml:space="preserve">The stock is a hedge, not a value trap.</w:t>
      </w:r>
      <w:r>
        <w:t xml:space="preserve"> </w:t>
      </w:r>
      <w:r>
        <w:t xml:space="preserve">It has become negatively correlated with KOSPI risk-on/risk-off swings: +10% in Sep–Oct 2026 while the KOSPI 200 fell 19%. In a portfolio it offers a 5.9% shareholder yield with negative beta.</w:t>
      </w:r>
    </w:p>
    <w:p>
      <w:pPr>
        <w:numPr>
          <w:ilvl w:val="0"/>
          <w:numId w:val="1058"/>
        </w:numPr>
        <w:pStyle w:val="Compact"/>
      </w:pPr>
      <w:r>
        <w:rPr>
          <w:bCs/>
          <w:b/>
        </w:rPr>
        <w:t xml:space="preserve">Governance optionality is underpriced.</w:t>
      </w:r>
    </w:p>
    <w:p>
      <w:pPr>
        <w:numPr>
          <w:ilvl w:val="1"/>
          <w:numId w:val="1060"/>
        </w:numPr>
        <w:pStyle w:val="Compact"/>
      </w:pPr>
      <w:r>
        <w:t xml:space="preserve">Korea’s Commercial Act reforms make the LG Group’s minority-unfriendly choices costlier. Those choices include LG CNS spend, the LGHV structure and an un-monetised AIDC.</w:t>
      </w:r>
    </w:p>
    <w:p>
      <w:pPr>
        <w:numPr>
          <w:ilvl w:val="1"/>
          <w:numId w:val="1060"/>
        </w:numPr>
        <w:pStyle w:val="Compact"/>
      </w:pPr>
      <w:r>
        <w:t xml:space="preserve">LG Corp’s own value-up pressure, and the precedent of Palliser at LG Chem, make an AIDC partnership or carve-out more likely than the market assumes.</w:t>
      </w:r>
    </w:p>
    <w:bookmarkEnd w:id="119"/>
    <w:bookmarkEnd w:id="120"/>
    <w:bookmarkStart w:id="127" w:name="scenario-analysis"/>
    <w:p>
      <w:pPr>
        <w:pStyle w:val="Heading1"/>
      </w:pPr>
      <w:r>
        <w:t xml:space="preserve">Scenario analysis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2751"/>
        <w:gridCol w:w="2136"/>
        <w:gridCol w:w="2491"/>
        <w:gridCol w:w="2599"/>
      </w:tblGrid>
      <w:tr>
        <w:trPr>
          <w:tblHeader w:val="true"/>
          <w:tblHeader w:val="true"/>
          <w:cantSplit/>
        </w:trPr>
        <w:tc>
          <w:tcPr>
            <w:tcW w:type="dxa" w:w="2751"/>
            <w:shd w:val="clear" w:color="auto" w:fill="13213F"/>
          </w:tcPr>
          <w:p>
            <w:pPr>
              <w:pStyle w:val="Compact"/>
              <w:spacing w:after="0" w:before="0" w:line="240" w:lineRule="auto"/>
              <w:jc w:val="left"/>
            </w:pPr>
            <w:r>
              <w:rPr>
                <w:rFonts w:ascii="Arial" w:hAnsi="Arial"/>
                <w:b/>
                <w:color w:val="FFFFFF"/>
                <w:sz w:val="15"/>
              </w:rPr>
              <w:t xml:space="preserve">Assumption</w:t>
            </w:r>
          </w:p>
        </w:tc>
        <w:tc>
          <w:tcPr>
            <w:tcW w:type="dxa" w:w="2136"/>
            <w:shd w:val="clear" w:color="auto" w:fill="13213F"/>
          </w:tcPr>
          <w:p>
            <w:pPr>
              <w:pStyle w:val="Compact"/>
              <w:spacing w:after="0" w:before="0" w:line="240" w:lineRule="auto"/>
              <w:jc w:val="left"/>
            </w:pPr>
            <w:r>
              <w:rPr>
                <w:rFonts w:ascii="Arial" w:hAnsi="Arial"/>
                <w:b/>
                <w:color w:val="FFFFFF"/>
                <w:sz w:val="15"/>
              </w:rPr>
              <w:t xml:space="preserve">Bear (25%)</w:t>
            </w:r>
          </w:p>
        </w:tc>
        <w:tc>
          <w:tcPr>
            <w:tcW w:type="dxa" w:w="2491"/>
            <w:shd w:val="clear" w:color="auto" w:fill="13213F"/>
          </w:tcPr>
          <w:p>
            <w:pPr>
              <w:pStyle w:val="Compact"/>
              <w:spacing w:after="0" w:before="0" w:line="240" w:lineRule="auto"/>
              <w:jc w:val="left"/>
            </w:pPr>
            <w:r>
              <w:rPr>
                <w:rFonts w:ascii="Arial" w:hAnsi="Arial"/>
                <w:b/>
                <w:color w:val="FFFFFF"/>
                <w:sz w:val="15"/>
              </w:rPr>
              <w:t xml:space="preserve">Base (50%)</w:t>
            </w:r>
          </w:p>
        </w:tc>
        <w:tc>
          <w:tcPr>
            <w:tcW w:type="dxa" w:w="2599"/>
            <w:shd w:val="clear" w:color="auto" w:fill="13213F"/>
          </w:tcPr>
          <w:p>
            <w:pPr>
              <w:pStyle w:val="Compact"/>
              <w:spacing w:after="0" w:before="0" w:line="240" w:lineRule="auto"/>
              <w:jc w:val="left"/>
            </w:pPr>
            <w:r>
              <w:rPr>
                <w:rFonts w:ascii="Arial" w:hAnsi="Arial"/>
                <w:b/>
                <w:color w:val="FFFFFF"/>
                <w:sz w:val="15"/>
              </w:rPr>
              <w:t xml:space="preserve">Bull (25%)</w:t>
            </w:r>
          </w:p>
        </w:tc>
      </w:tr>
      <w:tr>
        <w:trPr>
          <w:cantSplit/>
        </w:trPr>
        <w:tc>
          <w:tcPr>
            <w:tcW w:type="dxa" w:w="2751"/>
          </w:tcPr>
          <w:p>
            <w:pPr>
              <w:pStyle w:val="Compact"/>
              <w:spacing w:after="0" w:before="0" w:line="240" w:lineRule="auto"/>
              <w:jc w:val="left"/>
            </w:pPr>
            <w:r>
              <w:rPr>
                <w:rFonts w:ascii="Arial" w:hAnsi="Arial"/>
                <w:sz w:val="15"/>
              </w:rPr>
              <w:t xml:space="preserve">Core telecom EBITDA (FY26E basis)</w:t>
            </w:r>
          </w:p>
        </w:tc>
        <w:tc>
          <w:tcPr>
            <w:tcW w:type="dxa" w:w="2136"/>
          </w:tcPr>
          <w:p>
            <w:pPr>
              <w:pStyle w:val="Compact"/>
              <w:spacing w:after="0" w:before="0" w:line="240" w:lineRule="auto"/>
              <w:jc w:val="left"/>
            </w:pPr>
            <w:r>
              <w:rPr>
                <w:rFonts w:ascii="Arial" w:hAnsi="Arial"/>
                <w:sz w:val="15"/>
              </w:rPr>
              <w:t xml:space="preserve">KRW3,550bn (subsidy war, tariff cuts)</w:t>
            </w:r>
          </w:p>
        </w:tc>
        <w:tc>
          <w:tcPr>
            <w:tcW w:type="dxa" w:w="2491"/>
          </w:tcPr>
          <w:p>
            <w:pPr>
              <w:pStyle w:val="Compact"/>
              <w:spacing w:after="0" w:before="0" w:line="240" w:lineRule="auto"/>
              <w:jc w:val="left"/>
            </w:pPr>
            <w:r>
              <w:rPr>
                <w:rFonts w:ascii="Arial" w:hAnsi="Arial"/>
                <w:sz w:val="15"/>
              </w:rPr>
              <w:t xml:space="preserve">KRW3,688bn (our estimate ex-AIDC)</w:t>
            </w:r>
          </w:p>
        </w:tc>
        <w:tc>
          <w:tcPr>
            <w:tcW w:type="dxa" w:w="2599"/>
          </w:tcPr>
          <w:p>
            <w:pPr>
              <w:pStyle w:val="Compact"/>
              <w:spacing w:after="0" w:before="0" w:line="240" w:lineRule="auto"/>
              <w:jc w:val="left"/>
            </w:pPr>
            <w:r>
              <w:rPr>
                <w:rFonts w:ascii="Arial" w:hAnsi="Arial"/>
                <w:sz w:val="15"/>
              </w:rPr>
              <w:t xml:space="preserve">KRW3,750bn (marketing &lt;19%, labour savings)</w:t>
            </w:r>
          </w:p>
        </w:tc>
      </w:tr>
      <w:tr>
        <w:trPr>
          <w:cantSplit/>
        </w:trPr>
        <w:tc>
          <w:tcPr>
            <w:tcW w:type="dxa" w:w="2751"/>
            <w:shd w:val="clear" w:color="auto" w:fill="F1F2F5"/>
          </w:tcPr>
          <w:p>
            <w:pPr>
              <w:pStyle w:val="Compact"/>
              <w:spacing w:after="0" w:before="0" w:line="240" w:lineRule="auto"/>
              <w:jc w:val="left"/>
            </w:pPr>
            <w:r>
              <w:rPr>
                <w:rFonts w:ascii="Arial" w:hAnsi="Arial"/>
                <w:sz w:val="15"/>
              </w:rPr>
              <w:t xml:space="preserve">Service revenue growth (FY27E)</w:t>
            </w:r>
          </w:p>
        </w:tc>
        <w:tc>
          <w:tcPr>
            <w:tcW w:type="dxa" w:w="2136"/>
            <w:shd w:val="clear" w:color="auto" w:fill="F1F2F5"/>
          </w:tcPr>
          <w:p>
            <w:pPr>
              <w:pStyle w:val="Compact"/>
              <w:spacing w:after="0" w:before="0" w:line="240" w:lineRule="auto"/>
              <w:jc w:val="left"/>
            </w:pPr>
            <w:r>
              <w:rPr>
                <w:rFonts w:ascii="Arial" w:hAnsi="Arial"/>
                <w:sz w:val="15"/>
              </w:rPr>
              <w:t xml:space="preserve">~0%</w:t>
            </w:r>
          </w:p>
        </w:tc>
        <w:tc>
          <w:tcPr>
            <w:tcW w:type="dxa" w:w="2491"/>
            <w:shd w:val="clear" w:color="auto" w:fill="F1F2F5"/>
          </w:tcPr>
          <w:p>
            <w:pPr>
              <w:pStyle w:val="Compact"/>
              <w:spacing w:after="0" w:before="0" w:line="240" w:lineRule="auto"/>
              <w:jc w:val="left"/>
            </w:pPr>
            <w:r>
              <w:rPr>
                <w:rFonts w:ascii="Arial" w:hAnsi="Arial"/>
                <w:sz w:val="15"/>
              </w:rPr>
              <w:t xml:space="preserve">+2.1%</w:t>
            </w:r>
          </w:p>
        </w:tc>
        <w:tc>
          <w:tcPr>
            <w:tcW w:type="dxa" w:w="2599"/>
            <w:shd w:val="clear" w:color="auto" w:fill="F1F2F5"/>
          </w:tcPr>
          <w:p>
            <w:pPr>
              <w:pStyle w:val="Compact"/>
              <w:spacing w:after="0" w:before="0" w:line="240" w:lineRule="auto"/>
              <w:jc w:val="left"/>
            </w:pPr>
            <w:r>
              <w:rPr>
                <w:rFonts w:ascii="Arial" w:hAnsi="Arial"/>
                <w:sz w:val="15"/>
              </w:rPr>
              <w:t xml:space="preserve">+3.5%</w:t>
            </w:r>
          </w:p>
        </w:tc>
      </w:tr>
      <w:tr>
        <w:trPr>
          <w:cantSplit/>
        </w:trPr>
        <w:tc>
          <w:tcPr>
            <w:tcW w:type="dxa" w:w="2751"/>
          </w:tcPr>
          <w:p>
            <w:pPr>
              <w:pStyle w:val="Compact"/>
              <w:spacing w:after="0" w:before="0" w:line="240" w:lineRule="auto"/>
              <w:jc w:val="left"/>
            </w:pPr>
            <w:r>
              <w:rPr>
                <w:rFonts w:ascii="Arial" w:hAnsi="Arial"/>
                <w:sz w:val="15"/>
              </w:rPr>
              <w:t xml:space="preserve">OP margin FY27E</w:t>
            </w:r>
          </w:p>
        </w:tc>
        <w:tc>
          <w:tcPr>
            <w:tcW w:type="dxa" w:w="2136"/>
          </w:tcPr>
          <w:p>
            <w:pPr>
              <w:pStyle w:val="Compact"/>
              <w:spacing w:after="0" w:before="0" w:line="240" w:lineRule="auto"/>
              <w:jc w:val="left"/>
            </w:pPr>
            <w:r>
              <w:rPr>
                <w:rFonts w:ascii="Arial" w:hAnsi="Arial"/>
                <w:sz w:val="15"/>
              </w:rPr>
              <w:t xml:space="preserve">~6.0%</w:t>
            </w:r>
          </w:p>
        </w:tc>
        <w:tc>
          <w:tcPr>
            <w:tcW w:type="dxa" w:w="2491"/>
          </w:tcPr>
          <w:p>
            <w:pPr>
              <w:pStyle w:val="Compact"/>
              <w:spacing w:after="0" w:before="0" w:line="240" w:lineRule="auto"/>
              <w:jc w:val="left"/>
            </w:pPr>
            <w:r>
              <w:rPr>
                <w:rFonts w:ascii="Arial" w:hAnsi="Arial"/>
                <w:sz w:val="15"/>
              </w:rPr>
              <w:t xml:space="preserve">7.6%</w:t>
            </w:r>
          </w:p>
        </w:tc>
        <w:tc>
          <w:tcPr>
            <w:tcW w:type="dxa" w:w="2599"/>
          </w:tcPr>
          <w:p>
            <w:pPr>
              <w:pStyle w:val="Compact"/>
              <w:spacing w:after="0" w:before="0" w:line="240" w:lineRule="auto"/>
              <w:jc w:val="left"/>
            </w:pPr>
            <w:r>
              <w:rPr>
                <w:rFonts w:ascii="Arial" w:hAnsi="Arial"/>
                <w:sz w:val="15"/>
              </w:rPr>
              <w:t xml:space="preserve">~8.5%</w:t>
            </w:r>
          </w:p>
        </w:tc>
      </w:tr>
      <w:tr>
        <w:trPr>
          <w:cantSplit/>
        </w:trPr>
        <w:tc>
          <w:tcPr>
            <w:tcW w:type="dxa" w:w="2751"/>
            <w:shd w:val="clear" w:color="auto" w:fill="F1F2F5"/>
          </w:tcPr>
          <w:p>
            <w:pPr>
              <w:pStyle w:val="Compact"/>
              <w:spacing w:after="0" w:before="0" w:line="240" w:lineRule="auto"/>
              <w:jc w:val="left"/>
            </w:pPr>
            <w:r>
              <w:rPr>
                <w:rFonts w:ascii="Arial" w:hAnsi="Arial"/>
                <w:sz w:val="15"/>
              </w:rPr>
              <w:t xml:space="preserve">Core EV/EBITDA</w:t>
            </w:r>
          </w:p>
        </w:tc>
        <w:tc>
          <w:tcPr>
            <w:tcW w:type="dxa" w:w="2136"/>
            <w:shd w:val="clear" w:color="auto" w:fill="F1F2F5"/>
          </w:tcPr>
          <w:p>
            <w:pPr>
              <w:pStyle w:val="Compact"/>
              <w:spacing w:after="0" w:before="0" w:line="240" w:lineRule="auto"/>
              <w:jc w:val="left"/>
            </w:pPr>
            <w:r>
              <w:rPr>
                <w:rFonts w:ascii="Arial" w:hAnsi="Arial"/>
                <w:sz w:val="15"/>
              </w:rPr>
              <w:t xml:space="preserve">2.4x (KT ex-KT Cloud)</w:t>
            </w:r>
          </w:p>
        </w:tc>
        <w:tc>
          <w:tcPr>
            <w:tcW w:type="dxa" w:w="2491"/>
            <w:shd w:val="clear" w:color="auto" w:fill="F1F2F5"/>
          </w:tcPr>
          <w:p>
            <w:pPr>
              <w:pStyle w:val="Compact"/>
              <w:spacing w:after="0" w:before="0" w:line="240" w:lineRule="auto"/>
              <w:jc w:val="left"/>
            </w:pPr>
            <w:r>
              <w:rPr>
                <w:rFonts w:ascii="Arial" w:hAnsi="Arial"/>
                <w:sz w:val="15"/>
              </w:rPr>
              <w:t xml:space="preserve">2.7x</w:t>
            </w:r>
          </w:p>
        </w:tc>
        <w:tc>
          <w:tcPr>
            <w:tcW w:type="dxa" w:w="2599"/>
            <w:shd w:val="clear" w:color="auto" w:fill="F1F2F5"/>
          </w:tcPr>
          <w:p>
            <w:pPr>
              <w:pStyle w:val="Compact"/>
              <w:spacing w:after="0" w:before="0" w:line="240" w:lineRule="auto"/>
              <w:jc w:val="left"/>
            </w:pPr>
            <w:r>
              <w:rPr>
                <w:rFonts w:ascii="Arial" w:hAnsi="Arial"/>
                <w:sz w:val="15"/>
              </w:rPr>
              <w:t xml:space="preserve">3.1x (LG Uplus 5-yr average)</w:t>
            </w:r>
          </w:p>
        </w:tc>
      </w:tr>
      <w:tr>
        <w:trPr>
          <w:cantSplit/>
        </w:trPr>
        <w:tc>
          <w:tcPr>
            <w:tcW w:type="dxa" w:w="2751"/>
          </w:tcPr>
          <w:p>
            <w:pPr>
              <w:pStyle w:val="Compact"/>
              <w:spacing w:after="0" w:before="0" w:line="240" w:lineRule="auto"/>
              <w:jc w:val="left"/>
            </w:pPr>
            <w:r>
              <w:rPr>
                <w:rFonts w:ascii="Arial" w:hAnsi="Arial"/>
                <w:sz w:val="15"/>
              </w:rPr>
              <w:t xml:space="preserve">AIDC valuation (FY26E sales KRW540bn)</w:t>
            </w:r>
          </w:p>
        </w:tc>
        <w:tc>
          <w:tcPr>
            <w:tcW w:type="dxa" w:w="2136"/>
          </w:tcPr>
          <w:p>
            <w:pPr>
              <w:pStyle w:val="Compact"/>
              <w:spacing w:after="0" w:before="0" w:line="240" w:lineRule="auto"/>
              <w:jc w:val="left"/>
            </w:pPr>
            <w:r>
              <w:rPr>
                <w:rFonts w:ascii="Arial" w:hAnsi="Arial"/>
                <w:sz w:val="15"/>
              </w:rPr>
              <w:t xml:space="preserve">4x sales, less 30%</w:t>
            </w:r>
          </w:p>
        </w:tc>
        <w:tc>
          <w:tcPr>
            <w:tcW w:type="dxa" w:w="2491"/>
          </w:tcPr>
          <w:p>
            <w:pPr>
              <w:pStyle w:val="Compact"/>
              <w:spacing w:after="0" w:before="0" w:line="240" w:lineRule="auto"/>
              <w:jc w:val="left"/>
            </w:pPr>
            <w:r>
              <w:rPr>
                <w:rFonts w:ascii="Arial" w:hAnsi="Arial"/>
                <w:sz w:val="15"/>
              </w:rPr>
              <w:t xml:space="preserve">8x sales, less 30% (not yet crystallised)</w:t>
            </w:r>
          </w:p>
        </w:tc>
        <w:tc>
          <w:tcPr>
            <w:tcW w:type="dxa" w:w="2599"/>
          </w:tcPr>
          <w:p>
            <w:pPr>
              <w:pStyle w:val="Compact"/>
              <w:spacing w:after="0" w:before="0" w:line="240" w:lineRule="auto"/>
              <w:jc w:val="left"/>
            </w:pPr>
            <w:r>
              <w:rPr>
                <w:rFonts w:ascii="Arial" w:hAnsi="Arial"/>
                <w:sz w:val="15"/>
              </w:rPr>
              <w:t xml:space="preserve">10x sales (minority stake sold; ~30% below SK Horizon)</w:t>
            </w:r>
          </w:p>
        </w:tc>
      </w:tr>
      <w:tr>
        <w:trPr>
          <w:cantSplit/>
        </w:trPr>
        <w:tc>
          <w:tcPr>
            <w:tcW w:type="dxa" w:w="2751"/>
            <w:shd w:val="clear" w:color="auto" w:fill="F1F2F5"/>
          </w:tcPr>
          <w:p>
            <w:pPr>
              <w:pStyle w:val="Compact"/>
              <w:spacing w:after="0" w:before="0" w:line="240" w:lineRule="auto"/>
              <w:jc w:val="left"/>
            </w:pPr>
            <w:r>
              <w:rPr>
                <w:rFonts w:ascii="Arial" w:hAnsi="Arial"/>
                <w:sz w:val="15"/>
              </w:rPr>
              <w:t xml:space="preserve">PIPC fine / contingencies</w:t>
            </w:r>
          </w:p>
        </w:tc>
        <w:tc>
          <w:tcPr>
            <w:tcW w:type="dxa" w:w="2136"/>
            <w:shd w:val="clear" w:color="auto" w:fill="F1F2F5"/>
          </w:tcPr>
          <w:p>
            <w:pPr>
              <w:pStyle w:val="Compact"/>
              <w:spacing w:after="0" w:before="0" w:line="240" w:lineRule="auto"/>
              <w:jc w:val="left"/>
            </w:pPr>
            <w:r>
              <w:rPr>
                <w:rFonts w:ascii="Arial" w:hAnsi="Arial"/>
                <w:sz w:val="15"/>
              </w:rPr>
              <w:t xml:space="preserve">KRW150bn</w:t>
            </w:r>
          </w:p>
        </w:tc>
        <w:tc>
          <w:tcPr>
            <w:tcW w:type="dxa" w:w="2491"/>
            <w:shd w:val="clear" w:color="auto" w:fill="F1F2F5"/>
          </w:tcPr>
          <w:p>
            <w:pPr>
              <w:pStyle w:val="Compact"/>
              <w:spacing w:after="0" w:before="0" w:line="240" w:lineRule="auto"/>
              <w:jc w:val="left"/>
            </w:pPr>
            <w:r>
              <w:rPr>
                <w:rFonts w:ascii="Arial" w:hAnsi="Arial"/>
                <w:sz w:val="15"/>
              </w:rPr>
              <w:t xml:space="preserve">KRW60bn</w:t>
            </w:r>
          </w:p>
        </w:tc>
        <w:tc>
          <w:tcPr>
            <w:tcW w:type="dxa" w:w="2599"/>
            <w:shd w:val="clear" w:color="auto" w:fill="F1F2F5"/>
          </w:tcPr>
          <w:p>
            <w:pPr>
              <w:pStyle w:val="Compact"/>
              <w:spacing w:after="0" w:before="0" w:line="240" w:lineRule="auto"/>
              <w:jc w:val="left"/>
            </w:pPr>
            <w:r>
              <w:rPr>
                <w:rFonts w:ascii="Arial" w:hAnsi="Arial"/>
                <w:sz w:val="15"/>
              </w:rPr>
              <w:t xml:space="preserve">None</w:t>
            </w:r>
          </w:p>
        </w:tc>
      </w:tr>
      <w:tr>
        <w:trPr>
          <w:cantSplit/>
        </w:trPr>
        <w:tc>
          <w:tcPr>
            <w:tcW w:type="dxa" w:w="2751"/>
            <w:shd w:val="clear" w:color="auto" w:fill="DCE4F2"/>
          </w:tcPr>
          <w:p>
            <w:pPr>
              <w:pStyle w:val="Compact"/>
              <w:spacing w:after="0" w:before="0" w:line="240" w:lineRule="auto"/>
              <w:jc w:val="left"/>
            </w:pPr>
            <w:r>
              <w:rPr>
                <w:bCs/>
                <w:rFonts w:ascii="Arial" w:hAnsi="Arial"/>
                <w:b/>
                <w:sz w:val="15"/>
              </w:rPr>
              <w:t xml:space="preserve">Equity value (KRW tn)</w:t>
            </w:r>
          </w:p>
        </w:tc>
        <w:tc>
          <w:tcPr>
            <w:tcW w:type="dxa" w:w="2136"/>
            <w:shd w:val="clear" w:color="auto" w:fill="DCE4F2"/>
          </w:tcPr>
          <w:p>
            <w:pPr>
              <w:pStyle w:val="Compact"/>
              <w:spacing w:after="0" w:before="0" w:line="240" w:lineRule="auto"/>
              <w:jc w:val="left"/>
            </w:pPr>
            <w:r>
              <w:rPr>
                <w:bCs/>
                <w:rFonts w:ascii="Arial" w:hAnsi="Arial"/>
                <w:b/>
                <w:sz w:val="15"/>
              </w:rPr>
              <w:t xml:space="preserve">5.5</w:t>
            </w:r>
          </w:p>
        </w:tc>
        <w:tc>
          <w:tcPr>
            <w:tcW w:type="dxa" w:w="2491"/>
            <w:shd w:val="clear" w:color="auto" w:fill="DCE4F2"/>
          </w:tcPr>
          <w:p>
            <w:pPr>
              <w:pStyle w:val="Compact"/>
              <w:spacing w:after="0" w:before="0" w:line="240" w:lineRule="auto"/>
              <w:jc w:val="left"/>
            </w:pPr>
            <w:r>
              <w:rPr>
                <w:bCs/>
                <w:rFonts w:ascii="Arial" w:hAnsi="Arial"/>
                <w:b/>
                <w:sz w:val="15"/>
              </w:rPr>
              <w:t xml:space="preserve">8.6</w:t>
            </w:r>
          </w:p>
        </w:tc>
        <w:tc>
          <w:tcPr>
            <w:tcW w:type="dxa" w:w="2599"/>
            <w:shd w:val="clear" w:color="auto" w:fill="DCE4F2"/>
          </w:tcPr>
          <w:p>
            <w:pPr>
              <w:pStyle w:val="Compact"/>
              <w:spacing w:after="0" w:before="0" w:line="240" w:lineRule="auto"/>
              <w:jc w:val="left"/>
            </w:pPr>
            <w:r>
              <w:rPr>
                <w:bCs/>
                <w:rFonts w:ascii="Arial" w:hAnsi="Arial"/>
                <w:b/>
                <w:sz w:val="15"/>
              </w:rPr>
              <w:t xml:space="preserve">12.7</w:t>
            </w:r>
          </w:p>
        </w:tc>
      </w:tr>
      <w:tr>
        <w:trPr>
          <w:cantSplit/>
        </w:trPr>
        <w:tc>
          <w:tcPr>
            <w:tcW w:type="dxa" w:w="2751"/>
            <w:shd w:val="clear" w:color="auto" w:fill="F1F2F5"/>
          </w:tcPr>
          <w:p>
            <w:pPr>
              <w:pStyle w:val="Compact"/>
              <w:spacing w:after="0" w:before="0" w:line="240" w:lineRule="auto"/>
              <w:jc w:val="left"/>
            </w:pPr>
            <w:r>
              <w:rPr>
                <w:bCs/>
                <w:rFonts w:ascii="Arial" w:hAnsi="Arial"/>
                <w:b/>
                <w:sz w:val="15"/>
              </w:rPr>
              <w:t xml:space="preserve">Value per share (KRW)</w:t>
            </w:r>
          </w:p>
        </w:tc>
        <w:tc>
          <w:tcPr>
            <w:tcW w:type="dxa" w:w="2136"/>
            <w:shd w:val="clear" w:color="auto" w:fill="F1F2F5"/>
          </w:tcPr>
          <w:p>
            <w:pPr>
              <w:pStyle w:val="Compact"/>
              <w:spacing w:after="0" w:before="0" w:line="240" w:lineRule="auto"/>
              <w:jc w:val="left"/>
            </w:pPr>
            <w:r>
              <w:rPr>
                <w:bCs/>
                <w:rFonts w:ascii="Arial" w:hAnsi="Arial"/>
                <w:b/>
                <w:sz w:val="15"/>
              </w:rPr>
              <w:t xml:space="preserve">12,990 (-16%)</w:t>
            </w:r>
          </w:p>
        </w:tc>
        <w:tc>
          <w:tcPr>
            <w:tcW w:type="dxa" w:w="2491"/>
            <w:shd w:val="clear" w:color="auto" w:fill="F1F2F5"/>
          </w:tcPr>
          <w:p>
            <w:pPr>
              <w:pStyle w:val="Compact"/>
              <w:spacing w:after="0" w:before="0" w:line="240" w:lineRule="auto"/>
              <w:jc w:val="left"/>
            </w:pPr>
            <w:r>
              <w:rPr>
                <w:bCs/>
                <w:rFonts w:ascii="Arial" w:hAnsi="Arial"/>
                <w:b/>
                <w:sz w:val="15"/>
              </w:rPr>
              <w:t xml:space="preserve">20,150 (+30%)</w:t>
            </w:r>
          </w:p>
        </w:tc>
        <w:tc>
          <w:tcPr>
            <w:tcW w:type="dxa" w:w="2599"/>
            <w:shd w:val="clear" w:color="auto" w:fill="F1F2F5"/>
          </w:tcPr>
          <w:p>
            <w:pPr>
              <w:pStyle w:val="Compact"/>
              <w:spacing w:after="0" w:before="0" w:line="240" w:lineRule="auto"/>
              <w:jc w:val="left"/>
            </w:pPr>
            <w:r>
              <w:rPr>
                <w:bCs/>
                <w:rFonts w:ascii="Arial" w:hAnsi="Arial"/>
                <w:b/>
                <w:sz w:val="15"/>
              </w:rPr>
              <w:t xml:space="preserve">29,820 (+92%)</w:t>
            </w:r>
          </w:p>
        </w:tc>
      </w:tr>
      <w:tr>
        <w:trPr>
          <w:cantSplit/>
        </w:trPr>
        <w:tc>
          <w:tcPr>
            <w:tcW w:type="dxa" w:w="2751"/>
            <w:shd w:val="clear" w:color="auto" w:fill="DCE4F2"/>
          </w:tcPr>
          <w:p>
            <w:pPr>
              <w:pStyle w:val="Compact"/>
              <w:spacing w:after="0" w:before="0" w:line="240" w:lineRule="auto"/>
              <w:jc w:val="left"/>
            </w:pPr>
            <w:r>
              <w:rPr>
                <w:rFonts w:ascii="Arial" w:hAnsi="Arial"/>
                <w:b/>
                <w:sz w:val="15"/>
              </w:rPr>
              <w:t xml:space="preserve">Implied TEV / FY26E EBITDA</w:t>
            </w:r>
          </w:p>
        </w:tc>
        <w:tc>
          <w:tcPr>
            <w:tcW w:type="dxa" w:w="2136"/>
            <w:shd w:val="clear" w:color="auto" w:fill="DCE4F2"/>
          </w:tcPr>
          <w:p>
            <w:pPr>
              <w:pStyle w:val="Compact"/>
              <w:spacing w:after="0" w:before="0" w:line="240" w:lineRule="auto"/>
              <w:jc w:val="left"/>
            </w:pPr>
            <w:r>
              <w:rPr>
                <w:rFonts w:ascii="Arial" w:hAnsi="Arial"/>
                <w:b/>
                <w:sz w:val="15"/>
              </w:rPr>
              <w:t xml:space="preserve">2.6x</w:t>
            </w:r>
          </w:p>
        </w:tc>
        <w:tc>
          <w:tcPr>
            <w:tcW w:type="dxa" w:w="2491"/>
            <w:shd w:val="clear" w:color="auto" w:fill="DCE4F2"/>
          </w:tcPr>
          <w:p>
            <w:pPr>
              <w:pStyle w:val="Compact"/>
              <w:spacing w:after="0" w:before="0" w:line="240" w:lineRule="auto"/>
              <w:jc w:val="left"/>
            </w:pPr>
            <w:r>
              <w:rPr>
                <w:rFonts w:ascii="Arial" w:hAnsi="Arial"/>
                <w:b/>
                <w:sz w:val="15"/>
              </w:rPr>
              <w:t xml:space="preserve">3.3x</w:t>
            </w:r>
          </w:p>
        </w:tc>
        <w:tc>
          <w:tcPr>
            <w:tcW w:type="dxa" w:w="2599"/>
            <w:shd w:val="clear" w:color="auto" w:fill="DCE4F2"/>
          </w:tcPr>
          <w:p>
            <w:pPr>
              <w:pStyle w:val="Compact"/>
              <w:spacing w:after="0" w:before="0" w:line="240" w:lineRule="auto"/>
              <w:jc w:val="left"/>
            </w:pPr>
            <w:r>
              <w:rPr>
                <w:rFonts w:ascii="Arial" w:hAnsi="Arial"/>
                <w:b/>
                <w:sz w:val="15"/>
              </w:rPr>
              <w:t xml:space="preserve">4.4x</w:t>
            </w:r>
          </w:p>
        </w:tc>
      </w:tr>
      <w:tr>
        <w:trPr>
          <w:cantSplit/>
        </w:trPr>
        <w:tc>
          <w:tcPr>
            <w:tcW w:type="dxa" w:w="2751"/>
            <w:shd w:val="clear" w:color="auto" w:fill="DCE4F2"/>
          </w:tcPr>
          <w:p>
            <w:pPr>
              <w:pStyle w:val="Compact"/>
              <w:spacing w:after="0" w:before="0" w:line="240" w:lineRule="auto"/>
              <w:jc w:val="left"/>
            </w:pPr>
            <w:r>
              <w:rPr>
                <w:rFonts w:ascii="Arial" w:hAnsi="Arial"/>
                <w:b/>
                <w:sz w:val="15"/>
              </w:rPr>
              <w:t xml:space="preserve">Implied P/E on FY27E EPS</w:t>
            </w:r>
          </w:p>
        </w:tc>
        <w:tc>
          <w:tcPr>
            <w:tcW w:type="dxa" w:w="2136"/>
            <w:shd w:val="clear" w:color="auto" w:fill="DCE4F2"/>
          </w:tcPr>
          <w:p>
            <w:pPr>
              <w:pStyle w:val="Compact"/>
              <w:spacing w:after="0" w:before="0" w:line="240" w:lineRule="auto"/>
              <w:jc w:val="left"/>
            </w:pPr>
            <w:r>
              <w:rPr>
                <w:rFonts w:ascii="Arial" w:hAnsi="Arial"/>
                <w:b/>
                <w:sz w:val="15"/>
              </w:rPr>
              <w:t xml:space="preserve">7.4x</w:t>
            </w:r>
          </w:p>
        </w:tc>
        <w:tc>
          <w:tcPr>
            <w:tcW w:type="dxa" w:w="2491"/>
            <w:shd w:val="clear" w:color="auto" w:fill="DCE4F2"/>
          </w:tcPr>
          <w:p>
            <w:pPr>
              <w:pStyle w:val="Compact"/>
              <w:spacing w:after="0" w:before="0" w:line="240" w:lineRule="auto"/>
              <w:jc w:val="left"/>
            </w:pPr>
            <w:r>
              <w:rPr>
                <w:rFonts w:ascii="Arial" w:hAnsi="Arial"/>
                <w:b/>
                <w:sz w:val="15"/>
              </w:rPr>
              <w:t xml:space="preserve">11.5x</w:t>
            </w:r>
          </w:p>
        </w:tc>
        <w:tc>
          <w:tcPr>
            <w:tcW w:type="dxa" w:w="2599"/>
            <w:shd w:val="clear" w:color="auto" w:fill="DCE4F2"/>
          </w:tcPr>
          <w:p>
            <w:pPr>
              <w:pStyle w:val="Compact"/>
              <w:spacing w:after="0" w:before="0" w:line="240" w:lineRule="auto"/>
              <w:jc w:val="left"/>
            </w:pPr>
            <w:r>
              <w:rPr>
                <w:rFonts w:ascii="Arial" w:hAnsi="Arial"/>
                <w:b/>
                <w:sz w:val="15"/>
              </w:rPr>
              <w:t xml:space="preserve">17.0x</w:t>
            </w:r>
          </w:p>
        </w:tc>
      </w:tr>
    </w:tbl>
    <w:p>
      <w:pPr>
        <w:pStyle w:val="BodyText"/>
      </w:pPr>
      <w:r>
        <w:rPr>
          <w:bCs/>
          <w:b/>
        </w:rPr>
        <w:t xml:space="preserve">Probability-weighted value KRW20,775 (+34%). With the 4.5% dividend yield, expected 12-month total return is ~38%.</w:t>
      </w:r>
      <w:r>
        <w:t xml:space="preserve"> </w:t>
      </w:r>
      <w:r>
        <w:t xml:space="preserve">Downside is cushioned by the dividend, the FCF yield and negative market beta. The upside depends almost entirely on the market valuing the AIDC.</w:t>
      </w:r>
    </w:p>
    <w:p>
      <w:pPr>
        <w:pStyle w:val="CaptionedFigure"/>
      </w:pPr>
      <w:r>
        <w:drawing>
          <wp:inline>
            <wp:extent cx="6261100" cy="2168478"/>
            <wp:effectExtent b="0" l="0" r="0" t="0"/>
            <wp:docPr descr="Scenario values" title="" id="122" name="Picture"/>
            <a:graphic>
              <a:graphicData uri="http://schemas.openxmlformats.org/drawingml/2006/picture">
                <pic:pic>
                  <pic:nvPicPr>
                    <pic:cNvPr descr="../charts/scenarios.png" id="123" name="Picture"/>
                    <pic:cNvPicPr>
                      <a:picLocks noChangeArrowheads="1" noChangeAspect="1"/>
                    </pic:cNvPicPr>
                  </pic:nvPicPr>
                  <pic:blipFill>
                    <a:blip r:embed="rId121"/>
                    <a:stretch>
                      <a:fillRect/>
                    </a:stretch>
                  </pic:blipFill>
                  <pic:spPr bwMode="auto">
                    <a:xfrm>
                      <a:off x="0" y="0"/>
                      <a:ext cx="6261100" cy="2168478"/>
                    </a:xfrm>
                    <a:prstGeom prst="rect">
                      <a:avLst/>
                    </a:prstGeom>
                    <a:noFill/>
                    <a:ln w="9525">
                      <a:noFill/>
                      <a:headEnd/>
                      <a:tailEnd/>
                    </a:ln>
                  </pic:spPr>
                </pic:pic>
              </a:graphicData>
            </a:graphic>
          </wp:inline>
        </w:drawing>
      </w:r>
    </w:p>
    <w:p>
      <w:pPr>
        <w:pStyle w:val="ImageCaption"/>
      </w:pPr>
      <w:r>
        <w:t xml:space="preserve">Scenario values</w:t>
      </w:r>
    </w:p>
    <w:p>
      <w:pPr>
        <w:pStyle w:val="CaptionedFigure"/>
      </w:pPr>
      <w:r>
        <w:drawing>
          <wp:inline>
            <wp:extent cx="6261100" cy="2886473"/>
            <wp:effectExtent b="0" l="0" r="0" t="0"/>
            <wp:docPr descr="Base-case sum-of-the-parts" title="" id="125" name="Picture"/>
            <a:graphic>
              <a:graphicData uri="http://schemas.openxmlformats.org/drawingml/2006/picture">
                <pic:pic>
                  <pic:nvPicPr>
                    <pic:cNvPr descr="../charts/sotp.png" id="126" name="Picture"/>
                    <pic:cNvPicPr>
                      <a:picLocks noChangeArrowheads="1" noChangeAspect="1"/>
                    </pic:cNvPicPr>
                  </pic:nvPicPr>
                  <pic:blipFill>
                    <a:blip r:embed="rId124"/>
                    <a:stretch>
                      <a:fillRect/>
                    </a:stretch>
                  </pic:blipFill>
                  <pic:spPr bwMode="auto">
                    <a:xfrm>
                      <a:off x="0" y="0"/>
                      <a:ext cx="6261100" cy="2886473"/>
                    </a:xfrm>
                    <a:prstGeom prst="rect">
                      <a:avLst/>
                    </a:prstGeom>
                    <a:noFill/>
                    <a:ln w="9525">
                      <a:noFill/>
                      <a:headEnd/>
                      <a:tailEnd/>
                    </a:ln>
                  </pic:spPr>
                </pic:pic>
              </a:graphicData>
            </a:graphic>
          </wp:inline>
        </w:drawing>
      </w:r>
    </w:p>
    <w:p>
      <w:pPr>
        <w:pStyle w:val="ImageCaption"/>
      </w:pPr>
      <w:r>
        <w:t xml:space="preserve">Base-case sum-of-the-parts</w:t>
      </w:r>
    </w:p>
    <w:p>
      <w:pPr>
        <w:pStyle w:val="BodyText"/>
      </w:pPr>
      <w:r>
        <w:rPr>
          <w:bCs/>
          <w:b/>
        </w:rPr>
        <w:t xml:space="preserve">AIDC valuation sensitivity (no discount applied).</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3724"/>
        <w:gridCol w:w="1006"/>
        <w:gridCol w:w="1006"/>
        <w:gridCol w:w="1143"/>
        <w:gridCol w:w="1154"/>
        <w:gridCol w:w="1942"/>
      </w:tblGrid>
      <w:tr>
        <w:trPr>
          <w:tblHeader w:val="true"/>
          <w:tblHeader w:val="true"/>
          <w:cantSplit/>
        </w:trPr>
        <w:tc>
          <w:tcPr>
            <w:tcW w:type="dxa" w:w="3725"/>
            <w:shd w:val="clear" w:color="auto" w:fill="13213F"/>
          </w:tcPr>
          <w:p>
            <w:pPr>
              <w:pStyle w:val="Compact"/>
              <w:spacing w:after="0" w:before="0" w:line="240" w:lineRule="auto"/>
              <w:jc w:val="left"/>
            </w:pPr>
            <w:r>
              <w:rPr>
                <w:rFonts w:ascii="Arial" w:hAnsi="Arial"/>
                <w:b/>
                <w:color w:val="FFFFFF"/>
                <w:sz w:val="15"/>
              </w:rPr>
              <w:t xml:space="preserve">AIDC EV / FY26E sales</w:t>
            </w:r>
          </w:p>
        </w:tc>
        <w:tc>
          <w:tcPr>
            <w:tcW w:type="dxa" w:w="1007"/>
            <w:shd w:val="clear" w:color="auto" w:fill="13213F"/>
          </w:tcPr>
          <w:p>
            <w:pPr>
              <w:pStyle w:val="Compact"/>
              <w:spacing w:after="0" w:before="0" w:line="240" w:lineRule="auto"/>
              <w:jc w:val="right"/>
            </w:pPr>
            <w:r>
              <w:rPr>
                <w:rFonts w:ascii="Arial" w:hAnsi="Arial"/>
                <w:b/>
                <w:color w:val="FFFFFF"/>
                <w:sz w:val="15"/>
              </w:rPr>
              <w:t xml:space="preserve">4x</w:t>
            </w:r>
          </w:p>
        </w:tc>
        <w:tc>
          <w:tcPr>
            <w:tcW w:type="dxa" w:w="1007"/>
            <w:shd w:val="clear" w:color="auto" w:fill="13213F"/>
          </w:tcPr>
          <w:p>
            <w:pPr>
              <w:pStyle w:val="Compact"/>
              <w:spacing w:after="0" w:before="0" w:line="240" w:lineRule="auto"/>
              <w:jc w:val="right"/>
            </w:pPr>
            <w:r>
              <w:rPr>
                <w:rFonts w:ascii="Arial" w:hAnsi="Arial"/>
                <w:b/>
                <w:color w:val="FFFFFF"/>
                <w:sz w:val="15"/>
              </w:rPr>
              <w:t xml:space="preserve">6x</w:t>
            </w:r>
          </w:p>
        </w:tc>
        <w:tc>
          <w:tcPr>
            <w:tcW w:type="dxa" w:w="1143"/>
            <w:shd w:val="clear" w:color="auto" w:fill="13213F"/>
          </w:tcPr>
          <w:p>
            <w:pPr>
              <w:pStyle w:val="Compact"/>
              <w:spacing w:after="0" w:before="0" w:line="240" w:lineRule="auto"/>
              <w:jc w:val="right"/>
            </w:pPr>
            <w:r>
              <w:rPr>
                <w:rFonts w:ascii="Arial" w:hAnsi="Arial"/>
                <w:b/>
                <w:color w:val="FFFFFF"/>
                <w:sz w:val="15"/>
              </w:rPr>
              <w:t xml:space="preserve">8x</w:t>
            </w:r>
          </w:p>
        </w:tc>
        <w:tc>
          <w:tcPr>
            <w:tcW w:type="dxa" w:w="1154"/>
            <w:shd w:val="clear" w:color="auto" w:fill="13213F"/>
          </w:tcPr>
          <w:p>
            <w:pPr>
              <w:pStyle w:val="Compact"/>
              <w:spacing w:after="0" w:before="0" w:line="240" w:lineRule="auto"/>
              <w:jc w:val="right"/>
            </w:pPr>
            <w:r>
              <w:rPr>
                <w:rFonts w:ascii="Arial" w:hAnsi="Arial"/>
                <w:b/>
                <w:color w:val="FFFFFF"/>
                <w:sz w:val="15"/>
              </w:rPr>
              <w:t xml:space="preserve">10x</w:t>
            </w:r>
          </w:p>
        </w:tc>
        <w:tc>
          <w:tcPr>
            <w:tcW w:type="dxa" w:w="1943"/>
            <w:shd w:val="clear" w:color="auto" w:fill="13213F"/>
          </w:tcPr>
          <w:p>
            <w:pPr>
              <w:pStyle w:val="Compact"/>
              <w:spacing w:after="0" w:before="0" w:line="240" w:lineRule="auto"/>
              <w:jc w:val="right"/>
            </w:pPr>
            <w:r>
              <w:rPr>
                <w:rFonts w:ascii="Arial" w:hAnsi="Arial"/>
                <w:b/>
                <w:color w:val="FFFFFF"/>
                <w:sz w:val="15"/>
              </w:rPr>
              <w:t xml:space="preserve">14.6x (SK Horizon)</w:t>
            </w:r>
          </w:p>
        </w:tc>
      </w:tr>
      <w:tr>
        <w:trPr>
          <w:cantSplit/>
        </w:trPr>
        <w:tc>
          <w:tcPr>
            <w:tcW w:type="dxa" w:w="3725"/>
          </w:tcPr>
          <w:p>
            <w:pPr>
              <w:pStyle w:val="Compact"/>
              <w:spacing w:after="0" w:before="0" w:line="240" w:lineRule="auto"/>
              <w:jc w:val="left"/>
            </w:pPr>
            <w:r>
              <w:rPr>
                <w:rFonts w:ascii="Arial" w:hAnsi="Arial"/>
                <w:sz w:val="15"/>
              </w:rPr>
              <w:t xml:space="preserve">AIDC value (KRW tn)</w:t>
            </w:r>
          </w:p>
        </w:tc>
        <w:tc>
          <w:tcPr>
            <w:tcW w:type="dxa" w:w="1007"/>
          </w:tcPr>
          <w:p>
            <w:pPr>
              <w:pStyle w:val="Compact"/>
              <w:spacing w:after="0" w:before="0" w:line="240" w:lineRule="auto"/>
              <w:jc w:val="right"/>
            </w:pPr>
            <w:r>
              <w:rPr>
                <w:rFonts w:ascii="Arial" w:hAnsi="Arial"/>
                <w:sz w:val="15"/>
              </w:rPr>
              <w:t xml:space="preserve">2.16</w:t>
            </w:r>
          </w:p>
        </w:tc>
        <w:tc>
          <w:tcPr>
            <w:tcW w:type="dxa" w:w="1007"/>
          </w:tcPr>
          <w:p>
            <w:pPr>
              <w:pStyle w:val="Compact"/>
              <w:spacing w:after="0" w:before="0" w:line="240" w:lineRule="auto"/>
              <w:jc w:val="right"/>
            </w:pPr>
            <w:r>
              <w:rPr>
                <w:rFonts w:ascii="Arial" w:hAnsi="Arial"/>
                <w:sz w:val="15"/>
              </w:rPr>
              <w:t xml:space="preserve">3.24</w:t>
            </w:r>
          </w:p>
        </w:tc>
        <w:tc>
          <w:tcPr>
            <w:tcW w:type="dxa" w:w="1143"/>
          </w:tcPr>
          <w:p>
            <w:pPr>
              <w:pStyle w:val="Compact"/>
              <w:spacing w:after="0" w:before="0" w:line="240" w:lineRule="auto"/>
              <w:jc w:val="right"/>
            </w:pPr>
            <w:r>
              <w:rPr>
                <w:rFonts w:ascii="Arial" w:hAnsi="Arial"/>
                <w:sz w:val="15"/>
              </w:rPr>
              <w:t xml:space="preserve">4.32</w:t>
            </w:r>
          </w:p>
        </w:tc>
        <w:tc>
          <w:tcPr>
            <w:tcW w:type="dxa" w:w="1154"/>
          </w:tcPr>
          <w:p>
            <w:pPr>
              <w:pStyle w:val="Compact"/>
              <w:spacing w:after="0" w:before="0" w:line="240" w:lineRule="auto"/>
              <w:jc w:val="right"/>
            </w:pPr>
            <w:r>
              <w:rPr>
                <w:rFonts w:ascii="Arial" w:hAnsi="Arial"/>
                <w:sz w:val="15"/>
              </w:rPr>
              <w:t xml:space="preserve">5.40</w:t>
            </w:r>
          </w:p>
        </w:tc>
        <w:tc>
          <w:tcPr>
            <w:tcW w:type="dxa" w:w="1943"/>
          </w:tcPr>
          <w:p>
            <w:pPr>
              <w:pStyle w:val="Compact"/>
              <w:spacing w:after="0" w:before="0" w:line="240" w:lineRule="auto"/>
              <w:jc w:val="right"/>
            </w:pPr>
            <w:r>
              <w:rPr>
                <w:rFonts w:ascii="Arial" w:hAnsi="Arial"/>
                <w:sz w:val="15"/>
              </w:rPr>
              <w:t xml:space="preserve">7.89</w:t>
            </w:r>
          </w:p>
        </w:tc>
      </w:tr>
      <w:tr>
        <w:trPr>
          <w:cantSplit/>
        </w:trPr>
        <w:tc>
          <w:tcPr>
            <w:tcW w:type="dxa" w:w="3725"/>
            <w:shd w:val="clear" w:color="auto" w:fill="F1F2F5"/>
          </w:tcPr>
          <w:p>
            <w:pPr>
              <w:pStyle w:val="Compact"/>
              <w:spacing w:after="0" w:before="0" w:line="240" w:lineRule="auto"/>
              <w:jc w:val="left"/>
            </w:pPr>
            <w:r>
              <w:rPr>
                <w:rFonts w:ascii="Arial" w:hAnsi="Arial"/>
                <w:sz w:val="15"/>
              </w:rPr>
              <w:t xml:space="preserve">Per share (KRW)</w:t>
            </w:r>
          </w:p>
        </w:tc>
        <w:tc>
          <w:tcPr>
            <w:tcW w:type="dxa" w:w="1007"/>
            <w:shd w:val="clear" w:color="auto" w:fill="F1F2F5"/>
          </w:tcPr>
          <w:p>
            <w:pPr>
              <w:pStyle w:val="Compact"/>
              <w:spacing w:after="0" w:before="0" w:line="240" w:lineRule="auto"/>
              <w:jc w:val="right"/>
            </w:pPr>
            <w:r>
              <w:rPr>
                <w:rFonts w:ascii="Arial" w:hAnsi="Arial"/>
                <w:sz w:val="15"/>
              </w:rPr>
              <w:t xml:space="preserve">5,090</w:t>
            </w:r>
          </w:p>
        </w:tc>
        <w:tc>
          <w:tcPr>
            <w:tcW w:type="dxa" w:w="1007"/>
            <w:shd w:val="clear" w:color="auto" w:fill="F1F2F5"/>
          </w:tcPr>
          <w:p>
            <w:pPr>
              <w:pStyle w:val="Compact"/>
              <w:spacing w:after="0" w:before="0" w:line="240" w:lineRule="auto"/>
              <w:jc w:val="right"/>
            </w:pPr>
            <w:r>
              <w:rPr>
                <w:rFonts w:ascii="Arial" w:hAnsi="Arial"/>
                <w:sz w:val="15"/>
              </w:rPr>
              <w:t xml:space="preserve">7,640</w:t>
            </w:r>
          </w:p>
        </w:tc>
        <w:tc>
          <w:tcPr>
            <w:tcW w:type="dxa" w:w="1143"/>
            <w:shd w:val="clear" w:color="auto" w:fill="F1F2F5"/>
          </w:tcPr>
          <w:p>
            <w:pPr>
              <w:pStyle w:val="Compact"/>
              <w:spacing w:after="0" w:before="0" w:line="240" w:lineRule="auto"/>
              <w:jc w:val="right"/>
            </w:pPr>
            <w:r>
              <w:rPr>
                <w:rFonts w:ascii="Arial" w:hAnsi="Arial"/>
                <w:sz w:val="15"/>
              </w:rPr>
              <w:t xml:space="preserve">10,180</w:t>
            </w:r>
          </w:p>
        </w:tc>
        <w:tc>
          <w:tcPr>
            <w:tcW w:type="dxa" w:w="1154"/>
            <w:shd w:val="clear" w:color="auto" w:fill="F1F2F5"/>
          </w:tcPr>
          <w:p>
            <w:pPr>
              <w:pStyle w:val="Compact"/>
              <w:spacing w:after="0" w:before="0" w:line="240" w:lineRule="auto"/>
              <w:jc w:val="right"/>
            </w:pPr>
            <w:r>
              <w:rPr>
                <w:rFonts w:ascii="Arial" w:hAnsi="Arial"/>
                <w:sz w:val="15"/>
              </w:rPr>
              <w:t xml:space="preserve">12,730</w:t>
            </w:r>
          </w:p>
        </w:tc>
        <w:tc>
          <w:tcPr>
            <w:tcW w:type="dxa" w:w="1943"/>
            <w:shd w:val="clear" w:color="auto" w:fill="F1F2F5"/>
          </w:tcPr>
          <w:p>
            <w:pPr>
              <w:pStyle w:val="Compact"/>
              <w:spacing w:after="0" w:before="0" w:line="240" w:lineRule="auto"/>
              <w:jc w:val="right"/>
            </w:pPr>
            <w:r>
              <w:rPr>
                <w:rFonts w:ascii="Arial" w:hAnsi="Arial"/>
                <w:sz w:val="15"/>
              </w:rPr>
              <w:t xml:space="preserve">18,580</w:t>
            </w:r>
          </w:p>
        </w:tc>
      </w:tr>
      <w:tr>
        <w:trPr>
          <w:cantSplit/>
        </w:trPr>
        <w:tc>
          <w:tcPr>
            <w:tcW w:type="dxa" w:w="3725"/>
          </w:tcPr>
          <w:p>
            <w:pPr>
              <w:pStyle w:val="Compact"/>
              <w:spacing w:after="0" w:before="0" w:line="240" w:lineRule="auto"/>
              <w:jc w:val="left"/>
            </w:pPr>
            <w:r>
              <w:rPr>
                <w:rFonts w:ascii="Arial" w:hAnsi="Arial"/>
                <w:sz w:val="15"/>
              </w:rPr>
              <w:t xml:space="preserve">% of market cap</w:t>
            </w:r>
          </w:p>
        </w:tc>
        <w:tc>
          <w:tcPr>
            <w:tcW w:type="dxa" w:w="1007"/>
          </w:tcPr>
          <w:p>
            <w:pPr>
              <w:pStyle w:val="Compact"/>
              <w:spacing w:after="0" w:before="0" w:line="240" w:lineRule="auto"/>
              <w:jc w:val="right"/>
            </w:pPr>
            <w:r>
              <w:rPr>
                <w:rFonts w:ascii="Arial" w:hAnsi="Arial"/>
                <w:sz w:val="15"/>
              </w:rPr>
              <w:t xml:space="preserve">33%</w:t>
            </w:r>
          </w:p>
        </w:tc>
        <w:tc>
          <w:tcPr>
            <w:tcW w:type="dxa" w:w="1007"/>
          </w:tcPr>
          <w:p>
            <w:pPr>
              <w:pStyle w:val="Compact"/>
              <w:spacing w:after="0" w:before="0" w:line="240" w:lineRule="auto"/>
              <w:jc w:val="right"/>
            </w:pPr>
            <w:r>
              <w:rPr>
                <w:rFonts w:ascii="Arial" w:hAnsi="Arial"/>
                <w:sz w:val="15"/>
              </w:rPr>
              <w:t xml:space="preserve">49%</w:t>
            </w:r>
          </w:p>
        </w:tc>
        <w:tc>
          <w:tcPr>
            <w:tcW w:type="dxa" w:w="1143"/>
          </w:tcPr>
          <w:p>
            <w:pPr>
              <w:pStyle w:val="Compact"/>
              <w:spacing w:after="0" w:before="0" w:line="240" w:lineRule="auto"/>
              <w:jc w:val="right"/>
            </w:pPr>
            <w:r>
              <w:rPr>
                <w:rFonts w:ascii="Arial" w:hAnsi="Arial"/>
                <w:sz w:val="15"/>
              </w:rPr>
              <w:t xml:space="preserve">66%</w:t>
            </w:r>
          </w:p>
        </w:tc>
        <w:tc>
          <w:tcPr>
            <w:tcW w:type="dxa" w:w="1154"/>
          </w:tcPr>
          <w:p>
            <w:pPr>
              <w:pStyle w:val="Compact"/>
              <w:spacing w:after="0" w:before="0" w:line="240" w:lineRule="auto"/>
              <w:jc w:val="right"/>
            </w:pPr>
            <w:r>
              <w:rPr>
                <w:rFonts w:ascii="Arial" w:hAnsi="Arial"/>
                <w:sz w:val="15"/>
              </w:rPr>
              <w:t xml:space="preserve">82%</w:t>
            </w:r>
          </w:p>
        </w:tc>
        <w:tc>
          <w:tcPr>
            <w:tcW w:type="dxa" w:w="1943"/>
          </w:tcPr>
          <w:p>
            <w:pPr>
              <w:pStyle w:val="Compact"/>
              <w:spacing w:after="0" w:before="0" w:line="240" w:lineRule="auto"/>
              <w:jc w:val="right"/>
            </w:pPr>
            <w:r>
              <w:rPr>
                <w:rFonts w:ascii="Arial" w:hAnsi="Arial"/>
                <w:sz w:val="15"/>
              </w:rPr>
              <w:t xml:space="preserve">120%</w:t>
            </w:r>
          </w:p>
        </w:tc>
      </w:tr>
      <w:tr>
        <w:trPr>
          <w:cantSplit/>
        </w:trPr>
        <w:tc>
          <w:tcPr>
            <w:tcW w:type="dxa" w:w="3725"/>
            <w:shd w:val="clear" w:color="auto" w:fill="DCE4F2"/>
          </w:tcPr>
          <w:p>
            <w:pPr>
              <w:pStyle w:val="Compact"/>
              <w:spacing w:after="0" w:before="0" w:line="240" w:lineRule="auto"/>
              <w:jc w:val="left"/>
            </w:pPr>
            <w:r>
              <w:rPr>
                <w:rFonts w:ascii="Arial" w:hAnsi="Arial"/>
                <w:b/>
                <w:sz w:val="15"/>
              </w:rPr>
              <w:t xml:space="preserve">Implied core TEV/EBITDA at today’s price</w:t>
            </w:r>
          </w:p>
        </w:tc>
        <w:tc>
          <w:tcPr>
            <w:tcW w:type="dxa" w:w="1007"/>
            <w:shd w:val="clear" w:color="auto" w:fill="DCE4F2"/>
          </w:tcPr>
          <w:p>
            <w:pPr>
              <w:pStyle w:val="Compact"/>
              <w:spacing w:after="0" w:before="0" w:line="240" w:lineRule="auto"/>
              <w:jc w:val="right"/>
            </w:pPr>
            <w:r>
              <w:rPr>
                <w:rFonts w:ascii="Arial" w:hAnsi="Arial"/>
                <w:b/>
                <w:sz w:val="15"/>
              </w:rPr>
              <w:t xml:space="preserve">2.4x</w:t>
            </w:r>
          </w:p>
        </w:tc>
        <w:tc>
          <w:tcPr>
            <w:tcW w:type="dxa" w:w="1007"/>
            <w:shd w:val="clear" w:color="auto" w:fill="DCE4F2"/>
          </w:tcPr>
          <w:p>
            <w:pPr>
              <w:pStyle w:val="Compact"/>
              <w:spacing w:after="0" w:before="0" w:line="240" w:lineRule="auto"/>
              <w:jc w:val="right"/>
            </w:pPr>
            <w:r>
              <w:rPr>
                <w:rFonts w:ascii="Arial" w:hAnsi="Arial"/>
                <w:b/>
                <w:sz w:val="15"/>
              </w:rPr>
              <w:t xml:space="preserve">2.1x</w:t>
            </w:r>
          </w:p>
        </w:tc>
        <w:tc>
          <w:tcPr>
            <w:tcW w:type="dxa" w:w="1143"/>
            <w:shd w:val="clear" w:color="auto" w:fill="DCE4F2"/>
          </w:tcPr>
          <w:p>
            <w:pPr>
              <w:pStyle w:val="Compact"/>
              <w:spacing w:after="0" w:before="0" w:line="240" w:lineRule="auto"/>
              <w:jc w:val="right"/>
            </w:pPr>
            <w:r>
              <w:rPr>
                <w:rFonts w:ascii="Arial" w:hAnsi="Arial"/>
                <w:b/>
                <w:sz w:val="15"/>
              </w:rPr>
              <w:t xml:space="preserve">1.8x</w:t>
            </w:r>
          </w:p>
        </w:tc>
        <w:tc>
          <w:tcPr>
            <w:tcW w:type="dxa" w:w="1154"/>
            <w:shd w:val="clear" w:color="auto" w:fill="DCE4F2"/>
          </w:tcPr>
          <w:p>
            <w:pPr>
              <w:pStyle w:val="Compact"/>
              <w:spacing w:after="0" w:before="0" w:line="240" w:lineRule="auto"/>
              <w:jc w:val="right"/>
            </w:pPr>
            <w:r>
              <w:rPr>
                <w:rFonts w:ascii="Arial" w:hAnsi="Arial"/>
                <w:b/>
                <w:sz w:val="15"/>
              </w:rPr>
              <w:t xml:space="preserve">1.5x</w:t>
            </w:r>
          </w:p>
        </w:tc>
        <w:tc>
          <w:tcPr>
            <w:tcW w:type="dxa" w:w="1943"/>
            <w:shd w:val="clear" w:color="auto" w:fill="DCE4F2"/>
          </w:tcPr>
          <w:p>
            <w:pPr>
              <w:pStyle w:val="Compact"/>
              <w:spacing w:after="0" w:before="0" w:line="240" w:lineRule="auto"/>
              <w:jc w:val="right"/>
            </w:pPr>
            <w:r>
              <w:rPr>
                <w:rFonts w:ascii="Arial" w:hAnsi="Arial"/>
                <w:b/>
                <w:sz w:val="15"/>
              </w:rPr>
              <w:t xml:space="preserve">0.8x</w:t>
            </w:r>
          </w:p>
        </w:tc>
      </w:tr>
    </w:tbl>
    <w:bookmarkEnd w:id="127"/>
    <w:bookmarkStart w:id="128" w:name="X3b59ec5290e3a719d5d55e3d93a5172c513fd03"/>
    <w:p>
      <w:pPr>
        <w:pStyle w:val="Heading1"/>
      </w:pPr>
      <w:r>
        <w:t xml:space="preserve">Fifteen questions for the CEO / Chairman (ordered by information value)</w:t>
      </w:r>
    </w:p>
    <w:p>
      <w:pPr>
        <w:numPr>
          <w:ilvl w:val="0"/>
          <w:numId w:val="1061"/>
        </w:numPr>
        <w:pStyle w:val="Compact"/>
      </w:pPr>
      <w:r>
        <w:rPr>
          <w:bCs/>
          <w:b/>
        </w:rPr>
        <w:t xml:space="preserve">AIDC economics.</w:t>
      </w:r>
    </w:p>
    <w:p>
      <w:pPr>
        <w:numPr>
          <w:ilvl w:val="1"/>
          <w:numId w:val="1062"/>
        </w:numPr>
        <w:pStyle w:val="Compact"/>
      </w:pPr>
      <w:r>
        <w:t xml:space="preserve">How many MW are contracted at Paju DC1, and what are the term, pricing and tenant mix?</w:t>
      </w:r>
    </w:p>
    <w:p>
      <w:pPr>
        <w:numPr>
          <w:ilvl w:val="1"/>
          <w:numId w:val="1062"/>
        </w:numPr>
        <w:pStyle w:val="Compact"/>
      </w:pPr>
      <w:r>
        <w:t xml:space="preserve">What IRR and payback did the board require to approve the KRW1.35tn phase 2?</w:t>
      </w:r>
    </w:p>
    <w:p>
      <w:pPr>
        <w:numPr>
          <w:ilvl w:val="1"/>
          <w:numId w:val="1062"/>
        </w:numPr>
        <w:pStyle w:val="Compact"/>
      </w:pPr>
      <w:r>
        <w:t xml:space="preserve">What is the leasing status of DC2–DC4?</w:t>
      </w:r>
    </w:p>
    <w:p>
      <w:pPr>
        <w:numPr>
          <w:ilvl w:val="0"/>
          <w:numId w:val="1061"/>
        </w:numPr>
        <w:pStyle w:val="Compact"/>
      </w:pPr>
      <w:r>
        <w:rPr>
          <w:bCs/>
          <w:b/>
        </w:rPr>
        <w:t xml:space="preserve">Value crystallisation.</w:t>
      </w:r>
      <w:r>
        <w:t xml:space="preserve"> </w:t>
      </w:r>
      <w:r>
        <w:t xml:space="preserve">SK Telecom sold 49% of its data-centre business to KKR and IMM at ~15x sales. Under what conditions would LG Uplus bring in a financial partner for the AIDC, or separate it into a subsidiary?</w:t>
      </w:r>
    </w:p>
    <w:p>
      <w:pPr>
        <w:numPr>
          <w:ilvl w:val="0"/>
          <w:numId w:val="1061"/>
        </w:numPr>
        <w:pStyle w:val="Compact"/>
      </w:pPr>
      <w:r>
        <w:rPr>
          <w:bCs/>
          <w:b/>
        </w:rPr>
        <w:t xml:space="preserve">The 2025 hacking case.</w:t>
      </w:r>
    </w:p>
    <w:p>
      <w:pPr>
        <w:numPr>
          <w:ilvl w:val="1"/>
          <w:numId w:val="1063"/>
        </w:numPr>
        <w:pStyle w:val="Compact"/>
      </w:pPr>
      <w:r>
        <w:t xml:space="preserve">Who authorised reformatting the APPM servers before the investigation?</w:t>
      </w:r>
    </w:p>
    <w:p>
      <w:pPr>
        <w:numPr>
          <w:ilvl w:val="1"/>
          <w:numId w:val="1063"/>
        </w:numPr>
        <w:pStyle w:val="Compact"/>
      </w:pPr>
      <w:r>
        <w:t xml:space="preserve">What liability (PIPC fine, criminal exposure, compensation) do you expect?</w:t>
      </w:r>
    </w:p>
    <w:p>
      <w:pPr>
        <w:numPr>
          <w:ilvl w:val="1"/>
          <w:numId w:val="1063"/>
        </w:numPr>
        <w:pStyle w:val="Compact"/>
      </w:pPr>
      <w:r>
        <w:t xml:space="preserve">What has changed in security governance and accountability, including at CTO level?</w:t>
      </w:r>
    </w:p>
    <w:p>
      <w:pPr>
        <w:numPr>
          <w:ilvl w:val="0"/>
          <w:numId w:val="1061"/>
        </w:numPr>
        <w:pStyle w:val="Compact"/>
      </w:pPr>
      <w:r>
        <w:rPr>
          <w:bCs/>
          <w:b/>
        </w:rPr>
        <w:t xml:space="preserve">Capital-allocation hierarchy.</w:t>
      </w:r>
      <w:r>
        <w:t xml:space="preserve"> </w:t>
      </w:r>
      <w:r>
        <w:t xml:space="preserve">If AIDC demand surprises positively, will you cut buybacks to fund capex, or raise external capital? Is</w:t>
      </w:r>
      <w:r>
        <w:t xml:space="preserve"> </w:t>
      </w:r>
      <w:r>
        <w:t xml:space="preserve">“</w:t>
      </w:r>
      <w:r>
        <w:t xml:space="preserve">capex within EBITDA</w:t>
      </w:r>
      <w:r>
        <w:t xml:space="preserve">”</w:t>
      </w:r>
      <w:r>
        <w:t xml:space="preserve"> </w:t>
      </w:r>
      <w:r>
        <w:t xml:space="preserve">a hard constraint?</w:t>
      </w:r>
    </w:p>
    <w:p>
      <w:pPr>
        <w:numPr>
          <w:ilvl w:val="0"/>
          <w:numId w:val="1061"/>
        </w:numPr>
        <w:pStyle w:val="Compact"/>
      </w:pPr>
      <w:r>
        <w:rPr>
          <w:bCs/>
          <w:b/>
        </w:rPr>
        <w:t xml:space="preserve">ROE target.</w:t>
      </w:r>
      <w:r>
        <w:t xml:space="preserve"> </w:t>
      </w:r>
      <w:r>
        <w:t xml:space="preserve">By which year will you reach ROE of 8–10%? What is the bridge (margin, capex, payout, leverage)? Would you commit to returning 60% of net income while ROE is below target?</w:t>
      </w:r>
    </w:p>
    <w:p>
      <w:pPr>
        <w:numPr>
          <w:ilvl w:val="0"/>
          <w:numId w:val="1061"/>
        </w:numPr>
        <w:pStyle w:val="Compact"/>
      </w:pPr>
      <w:r>
        <w:rPr>
          <w:bCs/>
          <w:b/>
        </w:rPr>
        <w:t xml:space="preserve">Competitive discipline after Dansuobeop.</w:t>
      </w:r>
      <w:r>
        <w:t xml:space="preserve"> </w:t>
      </w:r>
      <w:r>
        <w:t xml:space="preserve">How will you respond if SK Telecom uses subsidies to recover share? What marketing-to-service-revenue ratio is your ceiling?</w:t>
      </w:r>
    </w:p>
    <w:p>
      <w:pPr>
        <w:numPr>
          <w:ilvl w:val="0"/>
          <w:numId w:val="1061"/>
        </w:numPr>
        <w:pStyle w:val="Compact"/>
      </w:pPr>
      <w:r>
        <w:rPr>
          <w:bCs/>
          <w:b/>
        </w:rPr>
        <w:t xml:space="preserve">LG HelloVision.</w:t>
      </w:r>
      <w:r>
        <w:t xml:space="preserve"> </w:t>
      </w:r>
      <w:r>
        <w:t xml:space="preserve">What is the end-game: merger, squeeze-out of the 41% minority, or sale to another operator? Why keep a listed subsidiary trading at 0.26x book?</w:t>
      </w:r>
    </w:p>
    <w:p>
      <w:pPr>
        <w:numPr>
          <w:ilvl w:val="0"/>
          <w:numId w:val="1061"/>
        </w:numPr>
        <w:pStyle w:val="Compact"/>
      </w:pPr>
      <w:r>
        <w:rPr>
          <w:bCs/>
          <w:b/>
        </w:rPr>
        <w:t xml:space="preserve">Related parties.</w:t>
      </w:r>
      <w:r>
        <w:t xml:space="preserve"> </w:t>
      </w:r>
      <w:r>
        <w:t xml:space="preserve">What share of IT capex and opex goes to LG CNS, and how is it tendered and benchmarked? How do you manage the overlap with LG CNS in AIDC design-build?</w:t>
      </w:r>
    </w:p>
    <w:p>
      <w:pPr>
        <w:numPr>
          <w:ilvl w:val="0"/>
          <w:numId w:val="1061"/>
        </w:numPr>
        <w:pStyle w:val="Compact"/>
      </w:pPr>
      <w:r>
        <w:rPr>
          <w:bCs/>
          <w:b/>
        </w:rPr>
        <w:t xml:space="preserve">Spectrum.</w:t>
      </w:r>
      <w:r>
        <w:t xml:space="preserve"> </w:t>
      </w:r>
      <w:r>
        <w:t xml:space="preserve">What is LG Uplus’s expected cost for the 2026 3G/LTE re-allocation, and how is it phased? What do you expect for the 2028 5G re-allocation?</w:t>
      </w:r>
    </w:p>
    <w:p>
      <w:pPr>
        <w:numPr>
          <w:ilvl w:val="0"/>
          <w:numId w:val="1061"/>
        </w:numPr>
        <w:pStyle w:val="Compact"/>
      </w:pPr>
      <w:r>
        <w:rPr>
          <w:bCs/>
          <w:b/>
        </w:rPr>
        <w:t xml:space="preserve">Pricing and ARPU.</w:t>
      </w:r>
      <w:r>
        <w:t xml:space="preserve"> </w:t>
      </w:r>
      <w:r>
        <w:t xml:space="preserve">What is the ARPU impact of</w:t>
      </w:r>
      <w:r>
        <w:t xml:space="preserve"> </w:t>
      </w:r>
      <w:r>
        <w:t xml:space="preserve">“</w:t>
      </w:r>
      <w:r>
        <w:t xml:space="preserve">Simply 2.0</w:t>
      </w:r>
      <w:r>
        <w:t xml:space="preserve">”</w:t>
      </w:r>
      <w:r>
        <w:t xml:space="preserve">, the government’s mid-tier and safety-net plan push, and the 5G saturation?</w:t>
      </w:r>
    </w:p>
    <w:p>
      <w:pPr>
        <w:numPr>
          <w:ilvl w:val="0"/>
          <w:numId w:val="1061"/>
        </w:numPr>
        <w:pStyle w:val="Compact"/>
      </w:pPr>
      <w:r>
        <w:rPr>
          <w:bCs/>
          <w:b/>
        </w:rPr>
        <w:t xml:space="preserve">MVNO strategy.</w:t>
      </w:r>
      <w:r>
        <w:t xml:space="preserve"> </w:t>
      </w:r>
      <w:r>
        <w:t xml:space="preserve">Is hosting bank and fintech MVNOs (KB Liiv M, Toss) value-accretive, or does it cannibalise your own retail base?</w:t>
      </w:r>
    </w:p>
    <w:p>
      <w:pPr>
        <w:numPr>
          <w:ilvl w:val="0"/>
          <w:numId w:val="1061"/>
        </w:numPr>
        <w:pStyle w:val="Compact"/>
      </w:pPr>
      <w:r>
        <w:rPr>
          <w:bCs/>
          <w:b/>
        </w:rPr>
        <w:t xml:space="preserve">Investor base and index eligibility.</w:t>
      </w:r>
      <w:r>
        <w:t xml:space="preserve"> </w:t>
      </w:r>
      <w:r>
        <w:t xml:space="preserve">With foreign ownership near the cap, MSCI deletion risk and the S&amp;P BMI removal, how will you broaden the shareholder base? Will you support relaxation of the foreign-ownership rules?</w:t>
      </w:r>
    </w:p>
    <w:p>
      <w:pPr>
        <w:numPr>
          <w:ilvl w:val="0"/>
          <w:numId w:val="1061"/>
        </w:numPr>
        <w:pStyle w:val="Compact"/>
      </w:pPr>
      <w:r>
        <w:rPr>
          <w:bCs/>
          <w:b/>
        </w:rPr>
        <w:t xml:space="preserve">AI monetisation.</w:t>
      </w:r>
      <w:r>
        <w:t xml:space="preserve"> </w:t>
      </w:r>
      <w:r>
        <w:t xml:space="preserve">When will ixi-O and AICC become a disclosed revenue line? What is the cumulative AI investment versus the KRW2tn B2B AI revenue target for 2028?</w:t>
      </w:r>
    </w:p>
    <w:p>
      <w:pPr>
        <w:numPr>
          <w:ilvl w:val="0"/>
          <w:numId w:val="1061"/>
        </w:numPr>
        <w:pStyle w:val="Compact"/>
      </w:pPr>
      <w:r>
        <w:rPr>
          <w:bCs/>
          <w:b/>
        </w:rPr>
        <w:t xml:space="preserve">Governance and incentives.</w:t>
      </w:r>
    </w:p>
    <w:p>
      <w:pPr>
        <w:numPr>
          <w:ilvl w:val="1"/>
          <w:numId w:val="1064"/>
        </w:numPr>
        <w:pStyle w:val="Compact"/>
      </w:pPr>
      <w:r>
        <w:t xml:space="preserve">Will you introduce equity-linked pay?</w:t>
      </w:r>
    </w:p>
    <w:p>
      <w:pPr>
        <w:numPr>
          <w:ilvl w:val="1"/>
          <w:numId w:val="1064"/>
        </w:numPr>
        <w:pStyle w:val="Compact"/>
      </w:pPr>
      <w:r>
        <w:t xml:space="preserve">Will you raise board independence above the legal minimum?</w:t>
      </w:r>
    </w:p>
    <w:p>
      <w:pPr>
        <w:numPr>
          <w:ilvl w:val="1"/>
          <w:numId w:val="1064"/>
        </w:numPr>
        <w:pStyle w:val="Compact"/>
      </w:pPr>
      <w:r>
        <w:t xml:space="preserve">How will you comply with mandatory cumulative voting?</w:t>
      </w:r>
    </w:p>
    <w:p>
      <w:pPr>
        <w:numPr>
          <w:ilvl w:val="0"/>
          <w:numId w:val="1061"/>
        </w:numPr>
        <w:pStyle w:val="Compact"/>
      </w:pPr>
      <w:r>
        <w:rPr>
          <w:bCs/>
          <w:b/>
        </w:rPr>
        <w:t xml:space="preserve">Labour and cost.</w:t>
      </w:r>
      <w:r>
        <w:t xml:space="preserve"> </w:t>
      </w:r>
      <w:r>
        <w:t xml:space="preserve">Are further early-retirement programmes planned? What remaining liabilities stem from the ordinary-wage ruling? What headcount do you target by 2028?</w:t>
      </w:r>
    </w:p>
    <w:bookmarkEnd w:id="128"/>
    <w:bookmarkStart w:id="130" w:name="Xbbb49457129df0cb7d0c92e434184349f0267c8"/>
    <w:p>
      <w:pPr>
        <w:pStyle w:val="Heading1"/>
      </w:pPr>
      <w:r>
        <w:t xml:space="preserve">Short-seller and forensic perspective: dismantling the bull case</w:t>
      </w:r>
    </w:p>
    <w:p>
      <w:pPr>
        <w:pStyle w:val="FirstParagraph"/>
      </w:pPr>
      <w:r>
        <w:rPr>
          <w:bCs/>
          <w:b/>
        </w:rPr>
        <w:t xml:space="preserve">What could structurally break the way LG Uplus makes money?</w:t>
      </w:r>
      <w:r>
        <w:t xml:space="preserve"> </w:t>
      </w:r>
      <w:r>
        <w:t xml:space="preserve">The model is a regulated rent on spectrum. If the state decides telecom is a public utility whose returns should be capped, the rent shrinks; it has done so before (2017 tariff discount, 2022 mid-tier 5G, 2025–26 fee waivers). Each intervention transfers value from shareholders to subscribers, and LG Uplus, as #3 with the lowest margins, has the least cushion.</w:t>
      </w:r>
    </w:p>
    <w:p>
      <w:pPr>
        <w:pStyle w:val="BodyText"/>
      </w:pPr>
      <w:r>
        <w:rPr>
          <w:bCs/>
          <w:b/>
        </w:rPr>
        <w:t xml:space="preserve">Where revenue is concentrated, and what happens if that shifts.</w:t>
      </w:r>
      <w:r>
        <w:t xml:space="preserve"> </w:t>
      </w:r>
      <w:r>
        <w:t xml:space="preserve">Revenue is 100% Korean and ~41% mobile service, concentrated in ~11m handset subscribers. Two features compound the exposure:</w:t>
      </w:r>
    </w:p>
    <w:p>
      <w:pPr>
        <w:numPr>
          <w:ilvl w:val="0"/>
          <w:numId w:val="1065"/>
        </w:numPr>
        <w:pStyle w:val="Compact"/>
      </w:pPr>
      <w:r>
        <w:t xml:space="preserve">The FY25 growth spurt came from one-off inflows from rivals’ breaches. If SK Telecom and KT win those subscribers back, mobile service revenue could fall outright. In 2Q26 it grew only +1.2%.</w:t>
      </w:r>
    </w:p>
    <w:p>
      <w:pPr>
        <w:numPr>
          <w:ilvl w:val="0"/>
          <w:numId w:val="1065"/>
        </w:numPr>
        <w:pStyle w:val="Compact"/>
      </w:pPr>
      <w:r>
        <w:t xml:space="preserve">The AIDC growth story depends on a handful of undisclosed tenants. Losing one anchor tenant at Paju would wipe out a large part of the expected growth.</w:t>
      </w:r>
    </w:p>
    <w:p>
      <w:pPr>
        <w:pStyle w:val="FirstParagraph"/>
      </w:pPr>
      <w:r>
        <w:rPr>
          <w:bCs/>
          <w:b/>
        </w:rPr>
        <w:t xml:space="preserve">Why the moat may be weaker than bulls think.</w:t>
      </w:r>
    </w:p>
    <w:p>
      <w:pPr>
        <w:numPr>
          <w:ilvl w:val="0"/>
          <w:numId w:val="1066"/>
        </w:numPr>
        <w:pStyle w:val="Compact"/>
      </w:pPr>
      <w:r>
        <w:t xml:space="preserve">Regulators override switching costs: KT was ordered to waive termination fees.</w:t>
      </w:r>
    </w:p>
    <w:p>
      <w:pPr>
        <w:numPr>
          <w:ilvl w:val="0"/>
          <w:numId w:val="1066"/>
        </w:numPr>
        <w:pStyle w:val="Compact"/>
      </w:pPr>
      <w:r>
        <w:t xml:space="preserve">Number portability is instant, so the network is not differentiated.</w:t>
      </w:r>
    </w:p>
    <w:p>
      <w:pPr>
        <w:numPr>
          <w:ilvl w:val="0"/>
          <w:numId w:val="1066"/>
        </w:numPr>
        <w:pStyle w:val="Compact"/>
      </w:pPr>
      <w:r>
        <w:t xml:space="preserve">Bank and fintech MVNOs use LG Uplus’s own network to sell cheaper plans to LG Uplus’s own customers.</w:t>
      </w:r>
    </w:p>
    <w:p>
      <w:pPr>
        <w:numPr>
          <w:ilvl w:val="0"/>
          <w:numId w:val="1066"/>
        </w:numPr>
        <w:pStyle w:val="Compact"/>
      </w:pPr>
      <w:r>
        <w:t xml:space="preserve">In data centres LG Uplus has no moat at all. Power allocation, land and capital are the scarce inputs, and its rivals have more of each: SK Horizon has KKR/IMM capital and a 318MW portfolio, KT Cloud has IMM capital, and the hyperscalers can self-build.</w:t>
      </w:r>
    </w:p>
    <w:p>
      <w:pPr>
        <w:pStyle w:val="FirstParagraph"/>
      </w:pPr>
      <w:r>
        <w:rPr>
          <w:bCs/>
          <w:b/>
        </w:rPr>
        <w:t xml:space="preserve">The most dangerous competitor bulls underestimate: SK Telecom.</w:t>
      </w:r>
    </w:p>
    <w:p>
      <w:pPr>
        <w:numPr>
          <w:ilvl w:val="0"/>
          <w:numId w:val="1067"/>
        </w:numPr>
        <w:pStyle w:val="Compact"/>
      </w:pPr>
      <w:r>
        <w:t xml:space="preserve">It lost share after its 2025 breach.</w:t>
      </w:r>
    </w:p>
    <w:p>
      <w:pPr>
        <w:numPr>
          <w:ilvl w:val="0"/>
          <w:numId w:val="1067"/>
        </w:numPr>
        <w:pStyle w:val="Compact"/>
      </w:pPr>
      <w:r>
        <w:t xml:space="preserve">It now has KRW3.08tn of fresh KKR/IMM capital via SK Horizon.</w:t>
      </w:r>
    </w:p>
    <w:p>
      <w:pPr>
        <w:numPr>
          <w:ilvl w:val="0"/>
          <w:numId w:val="1067"/>
        </w:numPr>
        <w:pStyle w:val="Compact"/>
      </w:pPr>
      <w:r>
        <w:t xml:space="preserve">The subsidy cap has been abolished.</w:t>
      </w:r>
    </w:p>
    <w:p>
      <w:pPr>
        <w:numPr>
          <w:ilvl w:val="0"/>
          <w:numId w:val="1067"/>
        </w:numPr>
        <w:pStyle w:val="Compact"/>
      </w:pPr>
      <w:r>
        <w:t xml:space="preserve">It has re-rated to 5.7x EBITDA, and its management has every incentive to buy back share.</w:t>
      </w:r>
    </w:p>
    <w:p>
      <w:pPr>
        <w:pStyle w:val="FirstParagraph"/>
      </w:pPr>
      <w:r>
        <w:t xml:space="preserve">In data centres, the same SK Horizon competes directly for the hyperscale tenants Paju needs.</w:t>
      </w:r>
    </w:p>
    <w:p>
      <w:pPr>
        <w:pStyle w:val="BodyText"/>
      </w:pPr>
      <w:r>
        <w:rPr>
          <w:bCs/>
          <w:b/>
        </w:rPr>
        <w:t xml:space="preserve">The worst capital-allocation decisions.</w:t>
      </w:r>
    </w:p>
    <w:p>
      <w:pPr>
        <w:numPr>
          <w:ilvl w:val="0"/>
          <w:numId w:val="1068"/>
        </w:numPr>
        <w:pStyle w:val="Compact"/>
      </w:pPr>
      <w:r>
        <w:t xml:space="preserve">CJ Hello (KRW800bn at a ~75% premium in 2019; worth ~KRW69bn today).</w:t>
      </w:r>
    </w:p>
    <w:p>
      <w:pPr>
        <w:numPr>
          <w:ilvl w:val="0"/>
          <w:numId w:val="1068"/>
        </w:numPr>
        <w:pStyle w:val="Compact"/>
      </w:pPr>
      <w:r>
        <w:t xml:space="preserve">The ~KRW90bn U+3.0 start-up spree and the platform closures.</w:t>
      </w:r>
    </w:p>
    <w:p>
      <w:pPr>
        <w:numPr>
          <w:ilvl w:val="0"/>
          <w:numId w:val="1068"/>
        </w:numPr>
        <w:pStyle w:val="Compact"/>
      </w:pPr>
      <w:r>
        <w:t xml:space="preserve">Committing ~KRW2tn to AIDC while ROIC is ~4–5%. That is good if returns exceed the cost of capital, but disclosure of the hurdle rate is absent.</w:t>
      </w:r>
    </w:p>
    <w:p>
      <w:pPr>
        <w:pStyle w:val="FirstParagraph"/>
      </w:pPr>
      <w:r>
        <w:rPr>
          <w:bCs/>
          <w:b/>
        </w:rPr>
        <w:t xml:space="preserve">Related parties, accounting and incentives.</w:t>
      </w:r>
    </w:p>
    <w:p>
      <w:pPr>
        <w:numPr>
          <w:ilvl w:val="0"/>
          <w:numId w:val="1069"/>
        </w:numPr>
        <w:pStyle w:val="Compact"/>
      </w:pPr>
      <w:r>
        <w:t xml:space="preserve">LG CNS takes ~KRW500bn a year of spend.</w:t>
      </w:r>
    </w:p>
    <w:p>
      <w:pPr>
        <w:numPr>
          <w:ilvl w:val="0"/>
          <w:numId w:val="1069"/>
        </w:numPr>
        <w:pStyle w:val="Compact"/>
      </w:pPr>
      <w:r>
        <w:t xml:space="preserve">The brand royalty goes to LG Corp.</w:t>
      </w:r>
    </w:p>
    <w:p>
      <w:pPr>
        <w:numPr>
          <w:ilvl w:val="0"/>
          <w:numId w:val="1069"/>
        </w:numPr>
        <w:pStyle w:val="Compact"/>
      </w:pPr>
      <w:r>
        <w:t xml:space="preserve">Land was bought from LG Display.</w:t>
      </w:r>
    </w:p>
    <w:p>
      <w:pPr>
        <w:numPr>
          <w:ilvl w:val="0"/>
          <w:numId w:val="1069"/>
        </w:numPr>
        <w:pStyle w:val="Compact"/>
      </w:pPr>
      <w:r>
        <w:t xml:space="preserve">Executive pay is cash-only, so management is aligned with LG Corp, which picks the CEO, rather than with minorities.</w:t>
      </w:r>
    </w:p>
    <w:p>
      <w:pPr>
        <w:pStyle w:val="FirstParagraph"/>
      </w:pPr>
      <w:r>
        <w:rPr>
          <w:bCs/>
          <w:b/>
        </w:rPr>
        <w:t xml:space="preserve">Assumptions that must hold to justify KRW15,510.</w:t>
      </w:r>
      <w:r>
        <w:t xml:space="preserve"> </w:t>
      </w:r>
      <w:r>
        <w:t xml:space="preserve">Surprisingly few:</w:t>
      </w:r>
    </w:p>
    <w:p>
      <w:pPr>
        <w:numPr>
          <w:ilvl w:val="0"/>
          <w:numId w:val="1070"/>
        </w:numPr>
        <w:pStyle w:val="Compact"/>
      </w:pPr>
      <w:r>
        <w:t xml:space="preserve">FY27 EPS of at least KRW1,750 at 8.8x;</w:t>
      </w:r>
    </w:p>
    <w:p>
      <w:pPr>
        <w:numPr>
          <w:ilvl w:val="0"/>
          <w:numId w:val="1070"/>
        </w:numPr>
        <w:pStyle w:val="Compact"/>
      </w:pPr>
      <w:r>
        <w:t xml:space="preserve">the dividend is not cut;</w:t>
      </w:r>
    </w:p>
    <w:p>
      <w:pPr>
        <w:numPr>
          <w:ilvl w:val="0"/>
          <w:numId w:val="1070"/>
        </w:numPr>
        <w:pStyle w:val="Compact"/>
      </w:pPr>
      <w:r>
        <w:t xml:space="preserve">AIDC capex earns at least its cost of capital.</w:t>
      </w:r>
    </w:p>
    <w:p>
      <w:pPr>
        <w:pStyle w:val="FirstParagraph"/>
      </w:pPr>
      <w:r>
        <w:t xml:space="preserve">At today’s price, normalised FCF to equity of ~KRW1.2tn [e] implies the market expects FCF to</w:t>
      </w:r>
      <w:r>
        <w:t xml:space="preserve"> </w:t>
      </w:r>
      <w:r>
        <w:rPr>
          <w:bCs/>
          <w:b/>
        </w:rPr>
        <w:t xml:space="preserve">decline ~9% a year in perpetuity</w:t>
      </w:r>
      <w:r>
        <w:t xml:space="preserve"> </w:t>
      </w:r>
      <w:r>
        <w:t xml:space="preserve">(at a 9% cost of equity). The current price is therefore not demanding. The short case relies on an impairment event, not a de-rating from high expectations.</w:t>
      </w:r>
    </w:p>
    <w:p>
      <w:pPr>
        <w:pStyle w:val="BodyText"/>
      </w:pPr>
      <w:r>
        <w:rPr>
          <w:bCs/>
          <w:b/>
        </w:rPr>
        <w:t xml:space="preserve">What happens to the valuation if growth disappoints by 20–30%?</w:t>
      </w:r>
      <w:r>
        <w:t xml:space="preserve"> </w:t>
      </w:r>
      <w:r>
        <w:t xml:space="preserve">Operating leverage is extreme: D&amp;A is ~70% of EBITDA, so a 5% EBITDA miss is a ~17% OP miss and a ~21% net-income miss.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2221"/>
        <w:gridCol w:w="1268"/>
        <w:gridCol w:w="1690"/>
        <w:gridCol w:w="1610"/>
        <w:gridCol w:w="3187"/>
      </w:tblGrid>
      <w:tr>
        <w:trPr>
          <w:tblHeader w:val="true"/>
          <w:tblHeader w:val="true"/>
          <w:cantSplit/>
        </w:trPr>
        <w:tc>
          <w:tcPr>
            <w:tcW w:type="dxa" w:w="2221"/>
            <w:shd w:val="clear" w:color="auto" w:fill="13213F"/>
          </w:tcPr>
          <w:p>
            <w:pPr>
              <w:pStyle w:val="Compact"/>
              <w:spacing w:after="0" w:before="0" w:line="240" w:lineRule="auto"/>
              <w:jc w:val="left"/>
            </w:pPr>
            <w:r>
              <w:rPr>
                <w:rFonts w:ascii="Arial" w:hAnsi="Arial"/>
                <w:b/>
                <w:color w:val="FFFFFF"/>
                <w:sz w:val="15"/>
              </w:rPr>
              <w:t xml:space="preserve">FY27E EPS vs consensus</w:t>
            </w:r>
          </w:p>
        </w:tc>
        <w:tc>
          <w:tcPr>
            <w:tcW w:type="dxa" w:w="1268"/>
            <w:shd w:val="clear" w:color="auto" w:fill="13213F"/>
          </w:tcPr>
          <w:p>
            <w:pPr>
              <w:pStyle w:val="Compact"/>
              <w:spacing w:after="0" w:before="0" w:line="240" w:lineRule="auto"/>
              <w:jc w:val="right"/>
            </w:pPr>
            <w:r>
              <w:rPr>
                <w:rFonts w:ascii="Arial" w:hAnsi="Arial"/>
                <w:b/>
                <w:color w:val="FFFFFF"/>
                <w:sz w:val="15"/>
              </w:rPr>
              <w:t xml:space="preserve">EPS (KRW)</w:t>
            </w:r>
          </w:p>
        </w:tc>
        <w:tc>
          <w:tcPr>
            <w:tcW w:type="dxa" w:w="1691"/>
            <w:shd w:val="clear" w:color="auto" w:fill="13213F"/>
          </w:tcPr>
          <w:p>
            <w:pPr>
              <w:pStyle w:val="Compact"/>
              <w:spacing w:after="0" w:before="0" w:line="240" w:lineRule="auto"/>
              <w:jc w:val="right"/>
            </w:pPr>
            <w:r>
              <w:rPr>
                <w:rFonts w:ascii="Arial" w:hAnsi="Arial"/>
                <w:b/>
                <w:color w:val="FFFFFF"/>
                <w:sz w:val="15"/>
              </w:rPr>
              <w:t xml:space="preserve">Value at 8x P/E</w:t>
            </w:r>
          </w:p>
        </w:tc>
        <w:tc>
          <w:tcPr>
            <w:tcW w:type="dxa" w:w="1611"/>
            <w:shd w:val="clear" w:color="auto" w:fill="13213F"/>
          </w:tcPr>
          <w:p>
            <w:pPr>
              <w:pStyle w:val="Compact"/>
              <w:spacing w:after="0" w:before="0" w:line="240" w:lineRule="auto"/>
              <w:jc w:val="right"/>
            </w:pPr>
            <w:r>
              <w:rPr>
                <w:rFonts w:ascii="Arial" w:hAnsi="Arial"/>
                <w:b/>
                <w:color w:val="FFFFFF"/>
                <w:sz w:val="15"/>
              </w:rPr>
              <w:t xml:space="preserve">Change vs today</w:t>
            </w:r>
          </w:p>
        </w:tc>
        <w:tc>
          <w:tcPr>
            <w:tcW w:type="dxa" w:w="3187"/>
            <w:shd w:val="clear" w:color="auto" w:fill="13213F"/>
          </w:tcPr>
          <w:p>
            <w:pPr>
              <w:pStyle w:val="Compact"/>
              <w:spacing w:after="0" w:before="0" w:line="240" w:lineRule="auto"/>
              <w:jc w:val="right"/>
            </w:pPr>
            <w:r>
              <w:rPr>
                <w:rFonts w:ascii="Arial" w:hAnsi="Arial"/>
                <w:b/>
                <w:color w:val="FFFFFF"/>
                <w:sz w:val="15"/>
              </w:rPr>
              <w:t xml:space="preserve">Value at today’s multiple (8.8x our FY27E)</w:t>
            </w:r>
          </w:p>
        </w:tc>
      </w:tr>
      <w:tr>
        <w:trPr>
          <w:cantSplit/>
        </w:trPr>
        <w:tc>
          <w:tcPr>
            <w:tcW w:type="dxa" w:w="2221"/>
          </w:tcPr>
          <w:p>
            <w:pPr>
              <w:pStyle w:val="Compact"/>
              <w:spacing w:after="0" w:before="0" w:line="240" w:lineRule="auto"/>
              <w:jc w:val="left"/>
            </w:pPr>
            <w:r>
              <w:rPr>
                <w:rFonts w:ascii="Arial" w:hAnsi="Arial"/>
                <w:sz w:val="15"/>
              </w:rPr>
              <w:t xml:space="preserve">-10%</w:t>
            </w:r>
          </w:p>
        </w:tc>
        <w:tc>
          <w:tcPr>
            <w:tcW w:type="dxa" w:w="1268"/>
          </w:tcPr>
          <w:p>
            <w:pPr>
              <w:pStyle w:val="Compact"/>
              <w:spacing w:after="0" w:before="0" w:line="240" w:lineRule="auto"/>
              <w:jc w:val="right"/>
            </w:pPr>
            <w:r>
              <w:rPr>
                <w:rFonts w:ascii="Arial" w:hAnsi="Arial"/>
                <w:sz w:val="15"/>
              </w:rPr>
              <w:t xml:space="preserve">1,730</w:t>
            </w:r>
          </w:p>
        </w:tc>
        <w:tc>
          <w:tcPr>
            <w:tcW w:type="dxa" w:w="1691"/>
          </w:tcPr>
          <w:p>
            <w:pPr>
              <w:pStyle w:val="Compact"/>
              <w:spacing w:after="0" w:before="0" w:line="240" w:lineRule="auto"/>
              <w:jc w:val="right"/>
            </w:pPr>
            <w:r>
              <w:rPr>
                <w:rFonts w:ascii="Arial" w:hAnsi="Arial"/>
                <w:sz w:val="15"/>
              </w:rPr>
              <w:t xml:space="preserve">13,840</w:t>
            </w:r>
          </w:p>
        </w:tc>
        <w:tc>
          <w:tcPr>
            <w:tcW w:type="dxa" w:w="1611"/>
          </w:tcPr>
          <w:p>
            <w:pPr>
              <w:pStyle w:val="Compact"/>
              <w:spacing w:after="0" w:before="0" w:line="240" w:lineRule="auto"/>
              <w:jc w:val="right"/>
            </w:pPr>
            <w:r>
              <w:rPr>
                <w:rFonts w:ascii="Arial" w:hAnsi="Arial"/>
                <w:sz w:val="15"/>
              </w:rPr>
              <w:t xml:space="preserve">-11%</w:t>
            </w:r>
          </w:p>
        </w:tc>
        <w:tc>
          <w:tcPr>
            <w:tcW w:type="dxa" w:w="3187"/>
          </w:tcPr>
          <w:p>
            <w:pPr>
              <w:pStyle w:val="Compact"/>
              <w:spacing w:after="0" w:before="0" w:line="240" w:lineRule="auto"/>
              <w:jc w:val="right"/>
            </w:pPr>
            <w:r>
              <w:rPr>
                <w:rFonts w:ascii="Arial" w:hAnsi="Arial"/>
                <w:sz w:val="15"/>
              </w:rPr>
              <w:t xml:space="preserve">15,280</w:t>
            </w:r>
          </w:p>
        </w:tc>
      </w:tr>
      <w:tr>
        <w:trPr>
          <w:cantSplit/>
        </w:trPr>
        <w:tc>
          <w:tcPr>
            <w:tcW w:type="dxa" w:w="2221"/>
            <w:shd w:val="clear" w:color="auto" w:fill="F1F2F5"/>
          </w:tcPr>
          <w:p>
            <w:pPr>
              <w:pStyle w:val="Compact"/>
              <w:spacing w:after="0" w:before="0" w:line="240" w:lineRule="auto"/>
              <w:jc w:val="left"/>
            </w:pPr>
            <w:r>
              <w:rPr>
                <w:rFonts w:ascii="Arial" w:hAnsi="Arial"/>
                <w:sz w:val="15"/>
              </w:rPr>
              <w:t xml:space="preserve">-20%</w:t>
            </w:r>
          </w:p>
        </w:tc>
        <w:tc>
          <w:tcPr>
            <w:tcW w:type="dxa" w:w="1268"/>
            <w:shd w:val="clear" w:color="auto" w:fill="F1F2F5"/>
          </w:tcPr>
          <w:p>
            <w:pPr>
              <w:pStyle w:val="Compact"/>
              <w:spacing w:after="0" w:before="0" w:line="240" w:lineRule="auto"/>
              <w:jc w:val="right"/>
            </w:pPr>
            <w:r>
              <w:rPr>
                <w:rFonts w:ascii="Arial" w:hAnsi="Arial"/>
                <w:sz w:val="15"/>
              </w:rPr>
              <w:t xml:space="preserve">1,538</w:t>
            </w:r>
          </w:p>
        </w:tc>
        <w:tc>
          <w:tcPr>
            <w:tcW w:type="dxa" w:w="1691"/>
            <w:shd w:val="clear" w:color="auto" w:fill="F1F2F5"/>
          </w:tcPr>
          <w:p>
            <w:pPr>
              <w:pStyle w:val="Compact"/>
              <w:spacing w:after="0" w:before="0" w:line="240" w:lineRule="auto"/>
              <w:jc w:val="right"/>
            </w:pPr>
            <w:r>
              <w:rPr>
                <w:rFonts w:ascii="Arial" w:hAnsi="Arial"/>
                <w:sz w:val="15"/>
              </w:rPr>
              <w:t xml:space="preserve">12,300</w:t>
            </w:r>
          </w:p>
        </w:tc>
        <w:tc>
          <w:tcPr>
            <w:tcW w:type="dxa" w:w="1611"/>
            <w:shd w:val="clear" w:color="auto" w:fill="F1F2F5"/>
          </w:tcPr>
          <w:p>
            <w:pPr>
              <w:pStyle w:val="Compact"/>
              <w:spacing w:after="0" w:before="0" w:line="240" w:lineRule="auto"/>
              <w:jc w:val="right"/>
            </w:pPr>
            <w:r>
              <w:rPr>
                <w:rFonts w:ascii="Arial" w:hAnsi="Arial"/>
                <w:sz w:val="15"/>
              </w:rPr>
              <w:t xml:space="preserve">-21%</w:t>
            </w:r>
          </w:p>
        </w:tc>
        <w:tc>
          <w:tcPr>
            <w:tcW w:type="dxa" w:w="3187"/>
            <w:shd w:val="clear" w:color="auto" w:fill="F1F2F5"/>
          </w:tcPr>
          <w:p>
            <w:pPr>
              <w:pStyle w:val="Compact"/>
              <w:spacing w:after="0" w:before="0" w:line="240" w:lineRule="auto"/>
              <w:jc w:val="right"/>
            </w:pPr>
            <w:r>
              <w:rPr>
                <w:rFonts w:ascii="Arial" w:hAnsi="Arial"/>
                <w:sz w:val="15"/>
              </w:rPr>
              <w:t xml:space="preserve">13,580</w:t>
            </w:r>
          </w:p>
        </w:tc>
      </w:tr>
      <w:tr>
        <w:trPr>
          <w:cantSplit/>
        </w:trPr>
        <w:tc>
          <w:tcPr>
            <w:tcW w:type="dxa" w:w="2221"/>
          </w:tcPr>
          <w:p>
            <w:pPr>
              <w:pStyle w:val="Compact"/>
              <w:spacing w:after="0" w:before="0" w:line="240" w:lineRule="auto"/>
              <w:jc w:val="left"/>
            </w:pPr>
            <w:r>
              <w:rPr>
                <w:rFonts w:ascii="Arial" w:hAnsi="Arial"/>
                <w:sz w:val="15"/>
              </w:rPr>
              <w:t xml:space="preserve">-30%</w:t>
            </w:r>
          </w:p>
        </w:tc>
        <w:tc>
          <w:tcPr>
            <w:tcW w:type="dxa" w:w="1268"/>
          </w:tcPr>
          <w:p>
            <w:pPr>
              <w:pStyle w:val="Compact"/>
              <w:spacing w:after="0" w:before="0" w:line="240" w:lineRule="auto"/>
              <w:jc w:val="right"/>
            </w:pPr>
            <w:r>
              <w:rPr>
                <w:rFonts w:ascii="Arial" w:hAnsi="Arial"/>
                <w:sz w:val="15"/>
              </w:rPr>
              <w:t xml:space="preserve">1,345</w:t>
            </w:r>
          </w:p>
        </w:tc>
        <w:tc>
          <w:tcPr>
            <w:tcW w:type="dxa" w:w="1691"/>
          </w:tcPr>
          <w:p>
            <w:pPr>
              <w:pStyle w:val="Compact"/>
              <w:spacing w:after="0" w:before="0" w:line="240" w:lineRule="auto"/>
              <w:jc w:val="right"/>
            </w:pPr>
            <w:r>
              <w:rPr>
                <w:rFonts w:ascii="Arial" w:hAnsi="Arial"/>
                <w:sz w:val="15"/>
              </w:rPr>
              <w:t xml:space="preserve">10,760</w:t>
            </w:r>
          </w:p>
        </w:tc>
        <w:tc>
          <w:tcPr>
            <w:tcW w:type="dxa" w:w="1611"/>
          </w:tcPr>
          <w:p>
            <w:pPr>
              <w:pStyle w:val="Compact"/>
              <w:spacing w:after="0" w:before="0" w:line="240" w:lineRule="auto"/>
              <w:jc w:val="right"/>
            </w:pPr>
            <w:r>
              <w:rPr>
                <w:rFonts w:ascii="Arial" w:hAnsi="Arial"/>
                <w:sz w:val="15"/>
              </w:rPr>
              <w:t xml:space="preserve">-31%</w:t>
            </w:r>
          </w:p>
        </w:tc>
        <w:tc>
          <w:tcPr>
            <w:tcW w:type="dxa" w:w="3187"/>
          </w:tcPr>
          <w:p>
            <w:pPr>
              <w:pStyle w:val="Compact"/>
              <w:spacing w:after="0" w:before="0" w:line="240" w:lineRule="auto"/>
              <w:jc w:val="right"/>
            </w:pPr>
            <w:r>
              <w:rPr>
                <w:rFonts w:ascii="Arial" w:hAnsi="Arial"/>
                <w:sz w:val="15"/>
              </w:rPr>
              <w:t xml:space="preserve">11,890</w:t>
            </w:r>
          </w:p>
        </w:tc>
      </w:tr>
    </w:tbl>
    <w:p>
      <w:pPr>
        <w:pStyle w:val="BodyText"/>
      </w:pPr>
      <w:r>
        <w:rPr>
          <w:bCs/>
          <w:b/>
        </w:rPr>
        <w:t xml:space="preserve">The single scenario that would permanently impair the business.</w:t>
      </w:r>
      <w:r>
        <w:t xml:space="preserve"> </w:t>
      </w:r>
      <w:r>
        <w:t xml:space="preserve">A combination of (a) a punitive PIPC/criminal outcome over evidence destruction that leads to licence conditions and loss of public-sector and enterprise contracts, and (b) an AIDC build-out that fails to lease up, leaving ~KRW2tn of stranded capex and no buyback. We put the joint probability at ~10–15% over three years [e]. The PIPC outcome alone is more likely (~50% chance of a fine above KRW50bn [e]) but would be a one-off of KRW50–300bn, or 1–5% of the market cap, not a permanent impairment.</w:t>
      </w:r>
    </w:p>
    <w:bookmarkStart w:id="129" w:name="red-flags-and-accounting-risks"/>
    <w:p>
      <w:pPr>
        <w:pStyle w:val="Heading2"/>
      </w:pPr>
      <w:r>
        <w:t xml:space="preserve">Red flags and accounting risks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1758"/>
        <w:gridCol w:w="4302"/>
        <w:gridCol w:w="2237"/>
        <w:gridCol w:w="1679"/>
      </w:tblGrid>
      <w:tr>
        <w:trPr>
          <w:tblHeader w:val="true"/>
          <w:tblHeader w:val="true"/>
          <w:cantSplit/>
        </w:trPr>
        <w:tc>
          <w:tcPr>
            <w:tcW w:type="dxa" w:w="1759"/>
            <w:shd w:val="clear" w:color="auto" w:fill="13213F"/>
          </w:tcPr>
          <w:p>
            <w:pPr>
              <w:pStyle w:val="Compact"/>
              <w:spacing w:after="0" w:before="0" w:line="240" w:lineRule="auto"/>
              <w:jc w:val="left"/>
            </w:pPr>
            <w:r>
              <w:rPr>
                <w:rFonts w:ascii="Arial" w:hAnsi="Arial"/>
                <w:b/>
                <w:color w:val="FFFFFF"/>
                <w:sz w:val="15"/>
              </w:rPr>
              <w:t xml:space="preserve">Area</w:t>
            </w:r>
          </w:p>
        </w:tc>
        <w:tc>
          <w:tcPr>
            <w:tcW w:type="dxa" w:w="4302"/>
            <w:shd w:val="clear" w:color="auto" w:fill="13213F"/>
          </w:tcPr>
          <w:p>
            <w:pPr>
              <w:pStyle w:val="Compact"/>
              <w:spacing w:after="0" w:before="0" w:line="240" w:lineRule="auto"/>
              <w:jc w:val="left"/>
            </w:pPr>
            <w:r>
              <w:rPr>
                <w:rFonts w:ascii="Arial" w:hAnsi="Arial"/>
                <w:b/>
                <w:color w:val="FFFFFF"/>
                <w:sz w:val="15"/>
              </w:rPr>
              <w:t xml:space="preserve">Issue</w:t>
            </w:r>
          </w:p>
        </w:tc>
        <w:tc>
          <w:tcPr>
            <w:tcW w:type="dxa" w:w="2237"/>
            <w:shd w:val="clear" w:color="auto" w:fill="13213F"/>
          </w:tcPr>
          <w:p>
            <w:pPr>
              <w:pStyle w:val="Compact"/>
              <w:spacing w:after="0" w:before="0" w:line="240" w:lineRule="auto"/>
              <w:jc w:val="left"/>
            </w:pPr>
            <w:r>
              <w:rPr>
                <w:rFonts w:ascii="Arial" w:hAnsi="Arial"/>
                <w:b/>
                <w:color w:val="FFFFFF"/>
                <w:sz w:val="15"/>
              </w:rPr>
              <w:t xml:space="preserve">Where it shows</w:t>
            </w:r>
          </w:p>
        </w:tc>
        <w:tc>
          <w:tcPr>
            <w:tcW w:type="dxa" w:w="1680"/>
            <w:shd w:val="clear" w:color="auto" w:fill="13213F"/>
          </w:tcPr>
          <w:p>
            <w:pPr>
              <w:pStyle w:val="Compact"/>
              <w:spacing w:after="0" w:before="0" w:line="240" w:lineRule="auto"/>
              <w:jc w:val="center"/>
            </w:pPr>
            <w:r>
              <w:rPr>
                <w:rFonts w:ascii="Arial" w:hAnsi="Arial"/>
                <w:b/>
                <w:color w:val="FFFFFF"/>
                <w:sz w:val="15"/>
              </w:rPr>
              <w:t xml:space="preserve">Risk</w:t>
            </w:r>
          </w:p>
        </w:tc>
      </w:tr>
      <w:tr>
        <w:trPr>
          <w:cantSplit/>
        </w:trPr>
        <w:tc>
          <w:tcPr>
            <w:tcW w:type="dxa" w:w="1759"/>
          </w:tcPr>
          <w:p>
            <w:pPr>
              <w:pStyle w:val="Compact"/>
              <w:spacing w:after="0" w:before="0" w:line="240" w:lineRule="auto"/>
              <w:jc w:val="left"/>
            </w:pPr>
            <w:r>
              <w:rPr>
                <w:rFonts w:ascii="Arial" w:hAnsi="Arial"/>
                <w:sz w:val="15"/>
              </w:rPr>
              <w:t xml:space="preserve">Revenue recognition</w:t>
            </w:r>
          </w:p>
        </w:tc>
        <w:tc>
          <w:tcPr>
            <w:tcW w:type="dxa" w:w="4302"/>
          </w:tcPr>
          <w:p>
            <w:pPr>
              <w:pStyle w:val="Compact"/>
              <w:spacing w:after="0" w:before="0" w:line="240" w:lineRule="auto"/>
              <w:jc w:val="left"/>
            </w:pPr>
            <w:r>
              <w:rPr>
                <w:rFonts w:ascii="Arial" w:hAnsi="Arial"/>
                <w:sz w:val="15"/>
              </w:rPr>
              <w:t xml:space="preserve">IFRS 15 bundling of handset and service (allocation of transaction price, selective 25% discount, contract assets); handset revenue swings</w:t>
            </w:r>
          </w:p>
        </w:tc>
        <w:tc>
          <w:tcPr>
            <w:tcW w:type="dxa" w:w="2237"/>
          </w:tcPr>
          <w:p>
            <w:pPr>
              <w:pStyle w:val="Compact"/>
              <w:spacing w:after="0" w:before="0" w:line="240" w:lineRule="auto"/>
              <w:jc w:val="left"/>
            </w:pPr>
            <w:r>
              <w:rPr>
                <w:rFonts w:ascii="Arial" w:hAnsi="Arial"/>
                <w:sz w:val="15"/>
              </w:rPr>
              <w:t xml:space="preserve">Income statement / balance sheet (contract assets, long-term receivables +21% since 3Q25)</w:t>
            </w:r>
          </w:p>
        </w:tc>
        <w:tc>
          <w:tcPr>
            <w:tcW w:type="dxa" w:w="1680"/>
          </w:tcPr>
          <w:p>
            <w:pPr>
              <w:pStyle w:val="Compact"/>
              <w:spacing w:after="0" w:before="0" w:line="240" w:lineRule="auto"/>
              <w:jc w:val="center"/>
            </w:pPr>
            <w:r>
              <w:rPr>
                <w:rFonts w:ascii="Arial" w:hAnsi="Arial"/>
                <w:sz w:val="15"/>
              </w:rPr>
              <w:t xml:space="preserve">Medium</w:t>
            </w:r>
          </w:p>
        </w:tc>
      </w:tr>
      <w:tr>
        <w:trPr>
          <w:cantSplit/>
        </w:trPr>
        <w:tc>
          <w:tcPr>
            <w:tcW w:type="dxa" w:w="1759"/>
            <w:shd w:val="clear" w:color="auto" w:fill="F1F2F5"/>
          </w:tcPr>
          <w:p>
            <w:pPr>
              <w:pStyle w:val="Compact"/>
              <w:spacing w:after="0" w:before="0" w:line="240" w:lineRule="auto"/>
              <w:jc w:val="left"/>
            </w:pPr>
            <w:r>
              <w:rPr>
                <w:rFonts w:ascii="Arial" w:hAnsi="Arial"/>
                <w:sz w:val="15"/>
              </w:rPr>
              <w:t xml:space="preserve">Capitalised acquisition costs</w:t>
            </w:r>
          </w:p>
        </w:tc>
        <w:tc>
          <w:tcPr>
            <w:tcW w:type="dxa" w:w="4302"/>
            <w:shd w:val="clear" w:color="auto" w:fill="F1F2F5"/>
          </w:tcPr>
          <w:p>
            <w:pPr>
              <w:pStyle w:val="Compact"/>
              <w:spacing w:after="0" w:before="0" w:line="240" w:lineRule="auto"/>
              <w:jc w:val="left"/>
            </w:pPr>
            <w:r>
              <w:rPr>
                <w:rFonts w:ascii="Arial" w:hAnsi="Arial"/>
                <w:sz w:val="15"/>
              </w:rPr>
              <w:t xml:space="preserve">Dealer commissions capitalised and amortised.</w:t>
            </w:r>
            <w:r>
              <w:rPr>
                <w:rFonts w:ascii="Arial" w:hAnsi="Arial"/>
                <w:sz w:val="15"/>
              </w:rPr>
              <w:t xml:space="preserve"> </w:t>
            </w:r>
            <w:r>
              <w:rPr>
                <w:rFonts w:ascii="Arial" w:hAnsi="Arial"/>
                <w:sz w:val="15"/>
              </w:rPr>
              <w:t xml:space="preserve">“</w:t>
            </w:r>
            <w:r>
              <w:rPr>
                <w:rFonts w:ascii="Arial" w:hAnsi="Arial"/>
                <w:sz w:val="15"/>
              </w:rPr>
              <w:t xml:space="preserve">Change in other net operating assets</w:t>
            </w:r>
            <w:r>
              <w:rPr>
                <w:rFonts w:ascii="Arial" w:hAnsi="Arial"/>
                <w:sz w:val="15"/>
              </w:rPr>
              <w:t xml:space="preserve">”</w:t>
            </w:r>
            <w:r>
              <w:rPr>
                <w:rFonts w:ascii="Arial" w:hAnsi="Arial"/>
                <w:sz w:val="15"/>
              </w:rPr>
              <w:t xml:space="preserve"> </w:t>
            </w:r>
            <w:r>
              <w:rPr>
                <w:rFonts w:ascii="Arial" w:hAnsi="Arial"/>
                <w:sz w:val="15"/>
              </w:rPr>
              <w:t xml:space="preserve">outflow of ~KRW3.1tn in FY25 includes capitalised costs, so expensed marketing lags cash marketing</w:t>
            </w:r>
          </w:p>
        </w:tc>
        <w:tc>
          <w:tcPr>
            <w:tcW w:type="dxa" w:w="2237"/>
            <w:shd w:val="clear" w:color="auto" w:fill="F1F2F5"/>
          </w:tcPr>
          <w:p>
            <w:pPr>
              <w:pStyle w:val="Compact"/>
              <w:spacing w:after="0" w:before="0" w:line="240" w:lineRule="auto"/>
              <w:jc w:val="left"/>
            </w:pPr>
            <w:r>
              <w:rPr>
                <w:rFonts w:ascii="Arial" w:hAnsi="Arial"/>
                <w:sz w:val="15"/>
              </w:rPr>
              <w:t xml:space="preserve">Cash flow; marketing expense</w:t>
            </w:r>
          </w:p>
        </w:tc>
        <w:tc>
          <w:tcPr>
            <w:tcW w:type="dxa" w:w="1680"/>
            <w:shd w:val="clear" w:color="auto" w:fill="F1F2F5"/>
          </w:tcPr>
          <w:p>
            <w:pPr>
              <w:pStyle w:val="Compact"/>
              <w:spacing w:after="0" w:before="0" w:line="240" w:lineRule="auto"/>
              <w:jc w:val="center"/>
            </w:pPr>
            <w:r>
              <w:rPr>
                <w:rFonts w:ascii="Arial" w:hAnsi="Arial"/>
                <w:sz w:val="15"/>
              </w:rPr>
              <w:t xml:space="preserve">Medium–High in a subsidy war</w:t>
            </w:r>
          </w:p>
        </w:tc>
      </w:tr>
      <w:tr>
        <w:trPr>
          <w:cantSplit/>
        </w:trPr>
        <w:tc>
          <w:tcPr>
            <w:tcW w:type="dxa" w:w="1759"/>
          </w:tcPr>
          <w:p>
            <w:pPr>
              <w:pStyle w:val="Compact"/>
              <w:spacing w:after="0" w:before="0" w:line="240" w:lineRule="auto"/>
              <w:jc w:val="left"/>
            </w:pPr>
            <w:r>
              <w:rPr>
                <w:rFonts w:ascii="Arial" w:hAnsi="Arial"/>
                <w:sz w:val="15"/>
              </w:rPr>
              <w:t xml:space="preserve">Segment reporting</w:t>
            </w:r>
          </w:p>
        </w:tc>
        <w:tc>
          <w:tcPr>
            <w:tcW w:type="dxa" w:w="4302"/>
          </w:tcPr>
          <w:p>
            <w:pPr>
              <w:pStyle w:val="Compact"/>
              <w:spacing w:after="0" w:before="0" w:line="240" w:lineRule="auto"/>
              <w:jc w:val="left"/>
            </w:pPr>
            <w:r>
              <w:rPr>
                <w:rFonts w:ascii="Arial" w:hAnsi="Arial"/>
                <w:sz w:val="15"/>
              </w:rPr>
              <w:t xml:space="preserve">Only two K-IFRS segments; no profit disclosure for mobile, Smart Home, enterprise or AIDC. AIDC revenue is management-defined. Mobile service revenue was restated (~KRW10bn a quarter lower) in 2026</w:t>
            </w:r>
          </w:p>
        </w:tc>
        <w:tc>
          <w:tcPr>
            <w:tcW w:type="dxa" w:w="2237"/>
          </w:tcPr>
          <w:p>
            <w:pPr>
              <w:pStyle w:val="Compact"/>
              <w:spacing w:after="0" w:before="0" w:line="240" w:lineRule="auto"/>
              <w:jc w:val="left"/>
            </w:pPr>
            <w:r>
              <w:rPr>
                <w:rFonts w:ascii="Arial" w:hAnsi="Arial"/>
                <w:sz w:val="15"/>
              </w:rPr>
              <w:t xml:space="preserve">Notes / IR</w:t>
            </w:r>
          </w:p>
        </w:tc>
        <w:tc>
          <w:tcPr>
            <w:tcW w:type="dxa" w:w="1680"/>
          </w:tcPr>
          <w:p>
            <w:pPr>
              <w:pStyle w:val="Compact"/>
              <w:spacing w:after="0" w:before="0" w:line="240" w:lineRule="auto"/>
              <w:jc w:val="center"/>
            </w:pPr>
            <w:r>
              <w:rPr>
                <w:rFonts w:ascii="Arial" w:hAnsi="Arial"/>
                <w:sz w:val="15"/>
              </w:rPr>
              <w:t xml:space="preserve">Medium</w:t>
            </w:r>
          </w:p>
        </w:tc>
      </w:tr>
      <w:tr>
        <w:trPr>
          <w:cantSplit/>
        </w:trPr>
        <w:tc>
          <w:tcPr>
            <w:tcW w:type="dxa" w:w="1759"/>
            <w:shd w:val="clear" w:color="auto" w:fill="F1F2F5"/>
          </w:tcPr>
          <w:p>
            <w:pPr>
              <w:pStyle w:val="Compact"/>
              <w:spacing w:after="0" w:before="0" w:line="240" w:lineRule="auto"/>
              <w:jc w:val="left"/>
            </w:pPr>
            <w:r>
              <w:rPr>
                <w:rFonts w:ascii="Arial" w:hAnsi="Arial"/>
                <w:sz w:val="15"/>
              </w:rPr>
              <w:t xml:space="preserve">Leases</w:t>
            </w:r>
          </w:p>
        </w:tc>
        <w:tc>
          <w:tcPr>
            <w:tcW w:type="dxa" w:w="4302"/>
            <w:shd w:val="clear" w:color="auto" w:fill="F1F2F5"/>
          </w:tcPr>
          <w:p>
            <w:pPr>
              <w:pStyle w:val="Compact"/>
              <w:spacing w:after="0" w:before="0" w:line="240" w:lineRule="auto"/>
              <w:jc w:val="left"/>
            </w:pPr>
            <w:r>
              <w:rPr>
                <w:rFonts w:ascii="Arial" w:hAnsi="Arial"/>
                <w:sz w:val="15"/>
              </w:rPr>
              <w:t xml:space="preserve">IFRS 16 lease liabilities of ~KRW1.1–1.2tn. Lease costs (~KRW250bn a year) sit below EBITDA, so EV/EBITDA is understated by ~0.3x. Lease lines were not separately shown at 2Q26 in S&amp;P data</w:t>
            </w:r>
          </w:p>
        </w:tc>
        <w:tc>
          <w:tcPr>
            <w:tcW w:type="dxa" w:w="2237"/>
            <w:shd w:val="clear" w:color="auto" w:fill="F1F2F5"/>
          </w:tcPr>
          <w:p>
            <w:pPr>
              <w:pStyle w:val="Compact"/>
              <w:spacing w:after="0" w:before="0" w:line="240" w:lineRule="auto"/>
              <w:jc w:val="left"/>
            </w:pPr>
            <w:r>
              <w:rPr>
                <w:rFonts w:ascii="Arial" w:hAnsi="Arial"/>
                <w:sz w:val="15"/>
              </w:rPr>
              <w:t xml:space="preserve">Balance sheet / multiples</w:t>
            </w:r>
          </w:p>
        </w:tc>
        <w:tc>
          <w:tcPr>
            <w:tcW w:type="dxa" w:w="1680"/>
            <w:shd w:val="clear" w:color="auto" w:fill="F1F2F5"/>
          </w:tcPr>
          <w:p>
            <w:pPr>
              <w:pStyle w:val="Compact"/>
              <w:spacing w:after="0" w:before="0" w:line="240" w:lineRule="auto"/>
              <w:jc w:val="center"/>
            </w:pPr>
            <w:r>
              <w:rPr>
                <w:rFonts w:ascii="Arial" w:hAnsi="Arial"/>
                <w:sz w:val="15"/>
              </w:rPr>
              <w:t xml:space="preserve">Low–Medium</w:t>
            </w:r>
          </w:p>
        </w:tc>
      </w:tr>
      <w:tr>
        <w:trPr>
          <w:cantSplit/>
        </w:trPr>
        <w:tc>
          <w:tcPr>
            <w:tcW w:type="dxa" w:w="1759"/>
          </w:tcPr>
          <w:p>
            <w:pPr>
              <w:pStyle w:val="Compact"/>
              <w:spacing w:after="0" w:before="0" w:line="240" w:lineRule="auto"/>
              <w:jc w:val="left"/>
            </w:pPr>
            <w:r>
              <w:rPr>
                <w:rFonts w:ascii="Arial" w:hAnsi="Arial"/>
                <w:sz w:val="15"/>
              </w:rPr>
              <w:t xml:space="preserve">Related parties</w:t>
            </w:r>
          </w:p>
        </w:tc>
        <w:tc>
          <w:tcPr>
            <w:tcW w:type="dxa" w:w="4302"/>
          </w:tcPr>
          <w:p>
            <w:pPr>
              <w:pStyle w:val="Compact"/>
              <w:spacing w:after="0" w:before="0" w:line="240" w:lineRule="auto"/>
              <w:jc w:val="left"/>
            </w:pPr>
            <w:r>
              <w:rPr>
                <w:rFonts w:ascii="Arial" w:hAnsi="Arial"/>
                <w:sz w:val="15"/>
              </w:rPr>
              <w:t xml:space="preserve">LG CNS (~KRW500bn), LG Corp brand fee, D&amp;O, HS Ad; LG Display land (KRW105bn). Group transfer pricing</w:t>
            </w:r>
          </w:p>
        </w:tc>
        <w:tc>
          <w:tcPr>
            <w:tcW w:type="dxa" w:w="2237"/>
          </w:tcPr>
          <w:p>
            <w:pPr>
              <w:pStyle w:val="Compact"/>
              <w:spacing w:after="0" w:before="0" w:line="240" w:lineRule="auto"/>
              <w:jc w:val="left"/>
            </w:pPr>
            <w:r>
              <w:rPr>
                <w:rFonts w:ascii="Arial" w:hAnsi="Arial"/>
                <w:sz w:val="15"/>
              </w:rPr>
              <w:t xml:space="preserve">Notes; Internal Transactions Committee</w:t>
            </w:r>
          </w:p>
        </w:tc>
        <w:tc>
          <w:tcPr>
            <w:tcW w:type="dxa" w:w="1680"/>
          </w:tcPr>
          <w:p>
            <w:pPr>
              <w:pStyle w:val="Compact"/>
              <w:spacing w:after="0" w:before="0" w:line="240" w:lineRule="auto"/>
              <w:jc w:val="center"/>
            </w:pPr>
            <w:r>
              <w:rPr>
                <w:rFonts w:ascii="Arial" w:hAnsi="Arial"/>
                <w:sz w:val="15"/>
              </w:rPr>
              <w:t xml:space="preserve">Medium</w:t>
            </w:r>
          </w:p>
        </w:tc>
      </w:tr>
      <w:tr>
        <w:trPr>
          <w:cantSplit/>
        </w:trPr>
        <w:tc>
          <w:tcPr>
            <w:tcW w:type="dxa" w:w="1759"/>
            <w:shd w:val="clear" w:color="auto" w:fill="F1F2F5"/>
          </w:tcPr>
          <w:p>
            <w:pPr>
              <w:pStyle w:val="Compact"/>
              <w:spacing w:after="0" w:before="0" w:line="240" w:lineRule="auto"/>
              <w:jc w:val="left"/>
            </w:pPr>
            <w:r>
              <w:rPr>
                <w:rFonts w:ascii="Arial" w:hAnsi="Arial"/>
                <w:sz w:val="15"/>
              </w:rPr>
              <w:t xml:space="preserve">Contingencies</w:t>
            </w:r>
          </w:p>
        </w:tc>
        <w:tc>
          <w:tcPr>
            <w:tcW w:type="dxa" w:w="4302"/>
            <w:shd w:val="clear" w:color="auto" w:fill="F1F2F5"/>
          </w:tcPr>
          <w:p>
            <w:pPr>
              <w:pStyle w:val="Compact"/>
              <w:spacing w:after="0" w:before="0" w:line="240" w:lineRule="auto"/>
              <w:jc w:val="left"/>
            </w:pPr>
            <w:r>
              <w:rPr>
                <w:rFonts w:ascii="Arial" w:hAnsi="Arial"/>
                <w:sz w:val="15"/>
              </w:rPr>
              <w:t xml:space="preserve">PIPC case not provided for; KRW125.65bn card-company VAT claim; 138 lawsuits; KFTC appeals; ordinary-wage claims</w:t>
            </w:r>
          </w:p>
        </w:tc>
        <w:tc>
          <w:tcPr>
            <w:tcW w:type="dxa" w:w="2237"/>
            <w:shd w:val="clear" w:color="auto" w:fill="F1F2F5"/>
          </w:tcPr>
          <w:p>
            <w:pPr>
              <w:pStyle w:val="Compact"/>
              <w:spacing w:after="0" w:before="0" w:line="240" w:lineRule="auto"/>
              <w:jc w:val="left"/>
            </w:pPr>
            <w:r>
              <w:rPr>
                <w:rFonts w:ascii="Arial" w:hAnsi="Arial"/>
                <w:sz w:val="15"/>
              </w:rPr>
              <w:t xml:space="preserve">Notes</w:t>
            </w:r>
          </w:p>
        </w:tc>
        <w:tc>
          <w:tcPr>
            <w:tcW w:type="dxa" w:w="1680"/>
            <w:shd w:val="clear" w:color="auto" w:fill="F1F2F5"/>
          </w:tcPr>
          <w:p>
            <w:pPr>
              <w:pStyle w:val="Compact"/>
              <w:spacing w:after="0" w:before="0" w:line="240" w:lineRule="auto"/>
              <w:jc w:val="center"/>
            </w:pPr>
            <w:r>
              <w:rPr>
                <w:bCs/>
                <w:rFonts w:ascii="Arial" w:hAnsi="Arial"/>
                <w:b/>
                <w:sz w:val="15"/>
              </w:rPr>
              <w:t xml:space="preserve">High</w:t>
            </w:r>
            <w:r>
              <w:rPr>
                <w:rFonts w:ascii="Arial" w:hAnsi="Arial"/>
                <w:sz w:val="15"/>
              </w:rPr>
              <w:t xml:space="preserve"> </w:t>
            </w:r>
            <w:r>
              <w:rPr>
                <w:rFonts w:ascii="Arial" w:hAnsi="Arial"/>
                <w:sz w:val="15"/>
              </w:rPr>
              <w:t xml:space="preserve">(PIPC)</w:t>
            </w:r>
          </w:p>
        </w:tc>
      </w:tr>
      <w:tr>
        <w:trPr>
          <w:cantSplit/>
        </w:trPr>
        <w:tc>
          <w:tcPr>
            <w:tcW w:type="dxa" w:w="1759"/>
          </w:tcPr>
          <w:p>
            <w:pPr>
              <w:pStyle w:val="Compact"/>
              <w:spacing w:after="0" w:before="0" w:line="240" w:lineRule="auto"/>
              <w:jc w:val="left"/>
            </w:pPr>
            <w:r>
              <w:rPr>
                <w:rFonts w:ascii="Arial" w:hAnsi="Arial"/>
                <w:sz w:val="15"/>
              </w:rPr>
              <w:t xml:space="preserve">Stock-based compensation</w:t>
            </w:r>
          </w:p>
        </w:tc>
        <w:tc>
          <w:tcPr>
            <w:tcW w:type="dxa" w:w="4302"/>
          </w:tcPr>
          <w:p>
            <w:pPr>
              <w:pStyle w:val="Compact"/>
              <w:spacing w:after="0" w:before="0" w:line="240" w:lineRule="auto"/>
              <w:jc w:val="left"/>
            </w:pPr>
            <w:r>
              <w:rPr>
                <w:rFonts w:ascii="Arial" w:hAnsi="Arial"/>
                <w:sz w:val="15"/>
              </w:rPr>
              <w:t xml:space="preserve">None disclosed (cash pay only). No dilution, but weak alignment</w:t>
            </w:r>
          </w:p>
        </w:tc>
        <w:tc>
          <w:tcPr>
            <w:tcW w:type="dxa" w:w="2237"/>
          </w:tcPr>
          <w:p>
            <w:pPr>
              <w:pStyle w:val="Compact"/>
              <w:spacing w:after="0" w:before="0" w:line="240" w:lineRule="auto"/>
              <w:jc w:val="left"/>
            </w:pPr>
            <w:r>
              <w:rPr>
                <w:rFonts w:ascii="Arial" w:hAnsi="Arial"/>
                <w:sz w:val="15"/>
              </w:rPr>
              <w:t xml:space="preserve">Remuneration report</w:t>
            </w:r>
          </w:p>
        </w:tc>
        <w:tc>
          <w:tcPr>
            <w:tcW w:type="dxa" w:w="1680"/>
          </w:tcPr>
          <w:p>
            <w:pPr>
              <w:pStyle w:val="Compact"/>
              <w:spacing w:after="0" w:before="0" w:line="240" w:lineRule="auto"/>
              <w:jc w:val="center"/>
            </w:pPr>
            <w:r>
              <w:rPr>
                <w:rFonts w:ascii="Arial" w:hAnsi="Arial"/>
                <w:sz w:val="15"/>
              </w:rPr>
              <w:t xml:space="preserve">Low (accounting) / Medium (governance)</w:t>
            </w:r>
          </w:p>
        </w:tc>
      </w:tr>
      <w:tr>
        <w:trPr>
          <w:cantSplit/>
        </w:trPr>
        <w:tc>
          <w:tcPr>
            <w:tcW w:type="dxa" w:w="1759"/>
            <w:shd w:val="clear" w:color="auto" w:fill="F1F2F5"/>
          </w:tcPr>
          <w:p>
            <w:pPr>
              <w:pStyle w:val="Compact"/>
              <w:spacing w:after="0" w:before="0" w:line="240" w:lineRule="auto"/>
              <w:jc w:val="left"/>
            </w:pPr>
            <w:r>
              <w:rPr>
                <w:rFonts w:ascii="Arial" w:hAnsi="Arial"/>
                <w:sz w:val="15"/>
              </w:rPr>
              <w:t xml:space="preserve">Goodwill / intangibles</w:t>
            </w:r>
          </w:p>
        </w:tc>
        <w:tc>
          <w:tcPr>
            <w:tcW w:type="dxa" w:w="4302"/>
            <w:shd w:val="clear" w:color="auto" w:fill="F1F2F5"/>
          </w:tcPr>
          <w:p>
            <w:pPr>
              <w:pStyle w:val="Compact"/>
              <w:spacing w:after="0" w:before="0" w:line="240" w:lineRule="auto"/>
              <w:jc w:val="left"/>
            </w:pPr>
            <w:r>
              <w:rPr>
                <w:rFonts w:ascii="Arial" w:hAnsi="Arial"/>
                <w:sz w:val="15"/>
              </w:rPr>
              <w:t xml:space="preserve">Consolidated goodwill KRW320bn.</w:t>
            </w:r>
            <w:r>
              <w:rPr>
                <w:rFonts w:ascii="Arial" w:hAnsi="Arial"/>
                <w:sz w:val="15"/>
              </w:rPr>
              <w:t xml:space="preserve"> </w:t>
            </w:r>
            <w:r>
              <w:rPr>
                <w:bCs/>
                <w:rFonts w:ascii="Arial" w:hAnsi="Arial"/>
                <w:b/>
                <w:sz w:val="15"/>
              </w:rPr>
              <w:t xml:space="preserve">LGHV carried at KRW656bn in the separate accounts vs ~KRW69bn market value.</w:t>
            </w:r>
            <w:r>
              <w:rPr>
                <w:rFonts w:ascii="Arial" w:hAnsi="Arial"/>
                <w:sz w:val="15"/>
              </w:rPr>
              <w:t xml:space="preserve"> </w:t>
            </w:r>
            <w:r>
              <w:rPr>
                <w:rFonts w:ascii="Arial" w:hAnsi="Arial"/>
                <w:sz w:val="15"/>
              </w:rPr>
              <w:t xml:space="preserve">Dividend policy is based on</w:t>
            </w:r>
            <w:r>
              <w:rPr>
                <w:rFonts w:ascii="Arial" w:hAnsi="Arial"/>
                <w:sz w:val="15"/>
              </w:rPr>
              <w:t xml:space="preserve"> </w:t>
            </w:r>
            <w:r>
              <w:rPr>
                <w:iCs/>
                <w:rFonts w:ascii="Arial" w:hAnsi="Arial"/>
                <w:i/>
                <w:sz w:val="15"/>
              </w:rPr>
              <w:t xml:space="preserve">separate</w:t>
            </w:r>
            <w:r>
              <w:rPr>
                <w:rFonts w:ascii="Arial" w:hAnsi="Arial"/>
                <w:sz w:val="15"/>
              </w:rPr>
              <w:t xml:space="preserve"> </w:t>
            </w:r>
            <w:r>
              <w:rPr>
                <w:rFonts w:ascii="Arial" w:hAnsi="Arial"/>
                <w:sz w:val="15"/>
              </w:rPr>
              <w:t xml:space="preserve">net income, so an impairment would hit the dividend base unless excluded as a one-off. Spectrum intangibles (KRW298bn) roll off and will be replaced by 2026 re-allocation fees</w:t>
            </w:r>
          </w:p>
        </w:tc>
        <w:tc>
          <w:tcPr>
            <w:tcW w:type="dxa" w:w="2237"/>
            <w:shd w:val="clear" w:color="auto" w:fill="F1F2F5"/>
          </w:tcPr>
          <w:p>
            <w:pPr>
              <w:pStyle w:val="Compact"/>
              <w:spacing w:after="0" w:before="0" w:line="240" w:lineRule="auto"/>
              <w:jc w:val="left"/>
            </w:pPr>
            <w:r>
              <w:rPr>
                <w:rFonts w:ascii="Arial" w:hAnsi="Arial"/>
                <w:sz w:val="15"/>
              </w:rPr>
              <w:t xml:space="preserve">Separate financial statements</w:t>
            </w:r>
          </w:p>
        </w:tc>
        <w:tc>
          <w:tcPr>
            <w:tcW w:type="dxa" w:w="1680"/>
            <w:shd w:val="clear" w:color="auto" w:fill="F1F2F5"/>
          </w:tcPr>
          <w:p>
            <w:pPr>
              <w:pStyle w:val="Compact"/>
              <w:spacing w:after="0" w:before="0" w:line="240" w:lineRule="auto"/>
              <w:jc w:val="center"/>
            </w:pPr>
            <w:r>
              <w:rPr>
                <w:rFonts w:ascii="Arial" w:hAnsi="Arial"/>
                <w:sz w:val="15"/>
              </w:rPr>
              <w:t xml:space="preserve">Medium</w:t>
            </w:r>
          </w:p>
        </w:tc>
      </w:tr>
      <w:tr>
        <w:trPr>
          <w:cantSplit/>
        </w:trPr>
        <w:tc>
          <w:tcPr>
            <w:tcW w:type="dxa" w:w="1759"/>
          </w:tcPr>
          <w:p>
            <w:pPr>
              <w:pStyle w:val="Compact"/>
              <w:spacing w:after="0" w:before="0" w:line="240" w:lineRule="auto"/>
              <w:jc w:val="left"/>
            </w:pPr>
            <w:r>
              <w:rPr>
                <w:rFonts w:ascii="Arial" w:hAnsi="Arial"/>
                <w:sz w:val="15"/>
              </w:rPr>
              <w:t xml:space="preserve">Cash-flow quality</w:t>
            </w:r>
          </w:p>
        </w:tc>
        <w:tc>
          <w:tcPr>
            <w:tcW w:type="dxa" w:w="4302"/>
          </w:tcPr>
          <w:p>
            <w:pPr>
              <w:pStyle w:val="Compact"/>
              <w:spacing w:after="0" w:before="0" w:line="240" w:lineRule="auto"/>
              <w:jc w:val="left"/>
            </w:pPr>
            <w:r>
              <w:rPr>
                <w:rFonts w:ascii="Arial" w:hAnsi="Arial"/>
                <w:sz w:val="15"/>
              </w:rPr>
              <w:t xml:space="preserve">~KRW1.5tn a year of handset-receivable ABS sales accelerate operating cash flow. Spectrum payments sit in investing (intangibles). Lease principal sits in financing, so headline FCF is overstated by ~KRW250bn</w:t>
            </w:r>
          </w:p>
        </w:tc>
        <w:tc>
          <w:tcPr>
            <w:tcW w:type="dxa" w:w="2237"/>
          </w:tcPr>
          <w:p>
            <w:pPr>
              <w:pStyle w:val="Compact"/>
              <w:spacing w:after="0" w:before="0" w:line="240" w:lineRule="auto"/>
              <w:jc w:val="left"/>
            </w:pPr>
            <w:r>
              <w:rPr>
                <w:rFonts w:ascii="Arial" w:hAnsi="Arial"/>
                <w:sz w:val="15"/>
              </w:rPr>
              <w:t xml:space="preserve">Cash flow statement</w:t>
            </w:r>
          </w:p>
        </w:tc>
        <w:tc>
          <w:tcPr>
            <w:tcW w:type="dxa" w:w="1680"/>
          </w:tcPr>
          <w:p>
            <w:pPr>
              <w:pStyle w:val="Compact"/>
              <w:spacing w:after="0" w:before="0" w:line="240" w:lineRule="auto"/>
              <w:jc w:val="center"/>
            </w:pPr>
            <w:r>
              <w:rPr>
                <w:rFonts w:ascii="Arial" w:hAnsi="Arial"/>
                <w:sz w:val="15"/>
              </w:rPr>
              <w:t xml:space="preserve">Medium</w:t>
            </w:r>
          </w:p>
        </w:tc>
      </w:tr>
      <w:tr>
        <w:trPr>
          <w:cantSplit/>
        </w:trPr>
        <w:tc>
          <w:tcPr>
            <w:tcW w:type="dxa" w:w="1759"/>
            <w:shd w:val="clear" w:color="auto" w:fill="F1F2F5"/>
          </w:tcPr>
          <w:p>
            <w:pPr>
              <w:pStyle w:val="Compact"/>
              <w:spacing w:after="0" w:before="0" w:line="240" w:lineRule="auto"/>
              <w:jc w:val="left"/>
            </w:pPr>
            <w:r>
              <w:rPr>
                <w:rFonts w:ascii="Arial" w:hAnsi="Arial"/>
                <w:sz w:val="15"/>
              </w:rPr>
              <w:t xml:space="preserve">One-off framing</w:t>
            </w:r>
          </w:p>
        </w:tc>
        <w:tc>
          <w:tcPr>
            <w:tcW w:type="dxa" w:w="4302"/>
            <w:shd w:val="clear" w:color="auto" w:fill="F1F2F5"/>
          </w:tcPr>
          <w:p>
            <w:pPr>
              <w:pStyle w:val="Compact"/>
              <w:spacing w:after="0" w:before="0" w:line="240" w:lineRule="auto"/>
              <w:jc w:val="left"/>
            </w:pPr>
            <w:r>
              <w:rPr>
                <w:rFonts w:ascii="Arial" w:hAnsi="Arial"/>
                <w:sz w:val="15"/>
              </w:rPr>
              <w:t xml:space="preserve">Management guides</w:t>
            </w:r>
            <w:r>
              <w:rPr>
                <w:rFonts w:ascii="Arial" w:hAnsi="Arial"/>
                <w:sz w:val="15"/>
              </w:rPr>
              <w:t xml:space="preserve"> </w:t>
            </w:r>
            <w:r>
              <w:rPr>
                <w:rFonts w:ascii="Arial" w:hAnsi="Arial"/>
                <w:sz w:val="15"/>
              </w:rPr>
              <w:t xml:space="preserve">“</w:t>
            </w:r>
            <w:r>
              <w:rPr>
                <w:rFonts w:ascii="Arial" w:hAnsi="Arial"/>
                <w:sz w:val="15"/>
              </w:rPr>
              <w:t xml:space="preserve">ex-one-off</w:t>
            </w:r>
            <w:r>
              <w:rPr>
                <w:rFonts w:ascii="Arial" w:hAnsi="Arial"/>
                <w:sz w:val="15"/>
              </w:rPr>
              <w:t xml:space="preserve">”</w:t>
            </w:r>
            <w:r>
              <w:rPr>
                <w:rFonts w:ascii="Arial" w:hAnsi="Arial"/>
                <w:sz w:val="15"/>
              </w:rPr>
              <w:t xml:space="preserve"> </w:t>
            </w:r>
            <w:r>
              <w:rPr>
                <w:rFonts w:ascii="Arial" w:hAnsi="Arial"/>
                <w:sz w:val="15"/>
              </w:rPr>
              <w:t xml:space="preserve">every year: wage ruling (FY24), ERP (FY25), and in 2Q26 one-off</w:t>
            </w:r>
            <w:r>
              <w:rPr>
                <w:rFonts w:ascii="Arial" w:hAnsi="Arial"/>
                <w:sz w:val="15"/>
              </w:rPr>
              <w:t xml:space="preserve"> </w:t>
            </w:r>
            <w:r>
              <w:rPr>
                <w:iCs/>
                <w:rFonts w:ascii="Arial" w:hAnsi="Arial"/>
                <w:i/>
                <w:sz w:val="15"/>
              </w:rPr>
              <w:t xml:space="preserve">gains</w:t>
            </w:r>
            <w:r>
              <w:rPr>
                <w:rFonts w:ascii="Arial" w:hAnsi="Arial"/>
                <w:sz w:val="15"/>
              </w:rPr>
              <w:t xml:space="preserve"> </w:t>
            </w:r>
            <w:r>
              <w:rPr>
                <w:rFonts w:ascii="Arial" w:hAnsi="Arial"/>
                <w:sz w:val="15"/>
              </w:rPr>
              <w:t xml:space="preserve">included in reported OP. Effective tax rate swings (20.9% → 30.9%)</w:t>
            </w:r>
          </w:p>
        </w:tc>
        <w:tc>
          <w:tcPr>
            <w:tcW w:type="dxa" w:w="2237"/>
            <w:shd w:val="clear" w:color="auto" w:fill="F1F2F5"/>
          </w:tcPr>
          <w:p>
            <w:pPr>
              <w:pStyle w:val="Compact"/>
              <w:spacing w:after="0" w:before="0" w:line="240" w:lineRule="auto"/>
              <w:jc w:val="left"/>
            </w:pPr>
            <w:r>
              <w:rPr>
                <w:rFonts w:ascii="Arial" w:hAnsi="Arial"/>
                <w:sz w:val="15"/>
              </w:rPr>
              <w:t xml:space="preserve">Income statement</w:t>
            </w:r>
          </w:p>
        </w:tc>
        <w:tc>
          <w:tcPr>
            <w:tcW w:type="dxa" w:w="1680"/>
            <w:shd w:val="clear" w:color="auto" w:fill="F1F2F5"/>
          </w:tcPr>
          <w:p>
            <w:pPr>
              <w:pStyle w:val="Compact"/>
              <w:spacing w:after="0" w:before="0" w:line="240" w:lineRule="auto"/>
              <w:jc w:val="center"/>
            </w:pPr>
            <w:r>
              <w:rPr>
                <w:rFonts w:ascii="Arial" w:hAnsi="Arial"/>
                <w:sz w:val="15"/>
              </w:rPr>
              <w:t xml:space="preserve">Medium</w:t>
            </w:r>
          </w:p>
        </w:tc>
      </w:tr>
      <w:tr>
        <w:trPr>
          <w:cantSplit/>
        </w:trPr>
        <w:tc>
          <w:tcPr>
            <w:tcW w:type="dxa" w:w="1759"/>
          </w:tcPr>
          <w:p>
            <w:pPr>
              <w:pStyle w:val="Compact"/>
              <w:spacing w:after="0" w:before="0" w:line="240" w:lineRule="auto"/>
              <w:jc w:val="left"/>
            </w:pPr>
            <w:r>
              <w:rPr>
                <w:rFonts w:ascii="Arial" w:hAnsi="Arial"/>
                <w:sz w:val="15"/>
              </w:rPr>
              <w:t xml:space="preserve">Capex definitions</w:t>
            </w:r>
          </w:p>
        </w:tc>
        <w:tc>
          <w:tcPr>
            <w:tcW w:type="dxa" w:w="4302"/>
          </w:tcPr>
          <w:p>
            <w:pPr>
              <w:pStyle w:val="Compact"/>
              <w:spacing w:after="0" w:before="0" w:line="240" w:lineRule="auto"/>
              <w:jc w:val="left"/>
            </w:pPr>
            <w:r>
              <w:rPr>
                <w:rFonts w:ascii="Arial" w:hAnsi="Arial"/>
                <w:sz w:val="15"/>
              </w:rPr>
              <w:t xml:space="preserve">Company</w:t>
            </w:r>
            <w:r>
              <w:rPr>
                <w:rFonts w:ascii="Arial" w:hAnsi="Arial"/>
                <w:sz w:val="15"/>
              </w:rPr>
              <w:t xml:space="preserve"> </w:t>
            </w:r>
            <w:r>
              <w:rPr>
                <w:rFonts w:ascii="Arial" w:hAnsi="Arial"/>
                <w:sz w:val="15"/>
              </w:rPr>
              <w:t xml:space="preserve">“</w:t>
            </w:r>
            <w:r>
              <w:rPr>
                <w:rFonts w:ascii="Arial" w:hAnsi="Arial"/>
                <w:sz w:val="15"/>
              </w:rPr>
              <w:t xml:space="preserve">capex</w:t>
            </w:r>
            <w:r>
              <w:rPr>
                <w:rFonts w:ascii="Arial" w:hAnsi="Arial"/>
                <w:sz w:val="15"/>
              </w:rPr>
              <w:t xml:space="preserve">”</w:t>
            </w:r>
            <w:r>
              <w:rPr>
                <w:rFonts w:ascii="Arial" w:hAnsi="Arial"/>
                <w:sz w:val="15"/>
              </w:rPr>
              <w:t xml:space="preserve"> </w:t>
            </w:r>
            <w:r>
              <w:rPr>
                <w:rFonts w:ascii="Arial" w:hAnsi="Arial"/>
                <w:sz w:val="15"/>
              </w:rPr>
              <w:t xml:space="preserve">(KRW1.75tn FY25) vs cash PP&amp;E + intangibles (KRW1.98tn); AIDC commitments KRW869bn off balance sheet</w:t>
            </w:r>
          </w:p>
        </w:tc>
        <w:tc>
          <w:tcPr>
            <w:tcW w:type="dxa" w:w="2237"/>
          </w:tcPr>
          <w:p>
            <w:pPr>
              <w:pStyle w:val="Compact"/>
              <w:spacing w:after="0" w:before="0" w:line="240" w:lineRule="auto"/>
              <w:jc w:val="left"/>
            </w:pPr>
            <w:r>
              <w:rPr>
                <w:rFonts w:ascii="Arial" w:hAnsi="Arial"/>
                <w:sz w:val="15"/>
              </w:rPr>
              <w:t xml:space="preserve">Cash flow / notes</w:t>
            </w:r>
          </w:p>
        </w:tc>
        <w:tc>
          <w:tcPr>
            <w:tcW w:type="dxa" w:w="1680"/>
          </w:tcPr>
          <w:p>
            <w:pPr>
              <w:pStyle w:val="Compact"/>
              <w:spacing w:after="0" w:before="0" w:line="240" w:lineRule="auto"/>
              <w:jc w:val="center"/>
            </w:pPr>
            <w:r>
              <w:rPr>
                <w:rFonts w:ascii="Arial" w:hAnsi="Arial"/>
                <w:sz w:val="15"/>
              </w:rPr>
              <w:t xml:space="preserve">Low–Medium</w:t>
            </w:r>
          </w:p>
        </w:tc>
      </w:tr>
    </w:tbl>
    <w:bookmarkEnd w:id="129"/>
    <w:bookmarkEnd w:id="130"/>
    <w:bookmarkStart w:id="133" w:name="X504b81d5fb94c61f27644976a2d55666a18e6c6"/>
    <w:p>
      <w:pPr>
        <w:pStyle w:val="Heading1"/>
      </w:pPr>
      <w:r>
        <w:t xml:space="preserve">Timeline of key events and catalyst calendar</w:t>
      </w:r>
    </w:p>
    <w:bookmarkStart w:id="131" w:name="key-past-events"/>
    <w:p>
      <w:pPr>
        <w:pStyle w:val="Heading2"/>
      </w:pPr>
      <w:r>
        <w:t xml:space="preserve">Key past events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2341"/>
        <w:gridCol w:w="7636"/>
      </w:tblGrid>
      <w:tr>
        <w:trPr>
          <w:tblHeader w:val="true"/>
          <w:tblHeader w:val="true"/>
          <w:cantSplit/>
        </w:trPr>
        <w:tc>
          <w:tcPr>
            <w:tcW w:type="dxa" w:w="2341"/>
            <w:shd w:val="clear" w:color="auto" w:fill="13213F"/>
          </w:tcPr>
          <w:p>
            <w:pPr>
              <w:pStyle w:val="Compact"/>
              <w:spacing w:after="0" w:before="0" w:line="240" w:lineRule="auto"/>
              <w:jc w:val="left"/>
            </w:pPr>
            <w:r>
              <w:rPr>
                <w:rFonts w:ascii="Arial" w:hAnsi="Arial"/>
                <w:b/>
                <w:color w:val="FFFFFF"/>
                <w:sz w:val="15"/>
              </w:rPr>
              <w:t xml:space="preserve">Date</w:t>
            </w:r>
          </w:p>
        </w:tc>
        <w:tc>
          <w:tcPr>
            <w:tcW w:type="dxa" w:w="7637"/>
            <w:shd w:val="clear" w:color="auto" w:fill="13213F"/>
          </w:tcPr>
          <w:p>
            <w:pPr>
              <w:pStyle w:val="Compact"/>
              <w:spacing w:after="0" w:before="0" w:line="240" w:lineRule="auto"/>
              <w:jc w:val="left"/>
            </w:pPr>
            <w:r>
              <w:rPr>
                <w:rFonts w:ascii="Arial" w:hAnsi="Arial"/>
                <w:b/>
                <w:color w:val="FFFFFF"/>
                <w:sz w:val="15"/>
              </w:rPr>
              <w:t xml:space="preserve">Event</w:t>
            </w:r>
          </w:p>
        </w:tc>
      </w:tr>
      <w:tr>
        <w:trPr>
          <w:cantSplit/>
        </w:trPr>
        <w:tc>
          <w:tcPr>
            <w:tcW w:type="dxa" w:w="2341"/>
          </w:tcPr>
          <w:p>
            <w:pPr>
              <w:pStyle w:val="Compact"/>
              <w:spacing w:after="0" w:before="0" w:line="240" w:lineRule="auto"/>
              <w:jc w:val="left"/>
            </w:pPr>
            <w:r>
              <w:rPr>
                <w:rFonts w:ascii="Arial" w:hAnsi="Arial"/>
                <w:sz w:val="15"/>
              </w:rPr>
              <w:t xml:space="preserve">Dec-2015 to Jul-2018</w:t>
            </w:r>
          </w:p>
        </w:tc>
        <w:tc>
          <w:tcPr>
            <w:tcW w:type="dxa" w:w="7637"/>
          </w:tcPr>
          <w:p>
            <w:pPr>
              <w:pStyle w:val="Compact"/>
              <w:spacing w:after="0" w:before="0" w:line="240" w:lineRule="auto"/>
              <w:jc w:val="left"/>
            </w:pPr>
            <w:r>
              <w:rPr>
                <w:rFonts w:ascii="Arial" w:hAnsi="Arial"/>
                <w:sz w:val="15"/>
              </w:rPr>
              <w:t xml:space="preserve">Kwon Young-soo CEO; LTE leadership; Huawei LTE equipment</w:t>
            </w:r>
          </w:p>
        </w:tc>
      </w:tr>
      <w:tr>
        <w:trPr>
          <w:cantSplit/>
        </w:trPr>
        <w:tc>
          <w:tcPr>
            <w:tcW w:type="dxa" w:w="2341"/>
            <w:shd w:val="clear" w:color="auto" w:fill="F1F2F5"/>
          </w:tcPr>
          <w:p>
            <w:pPr>
              <w:pStyle w:val="Compact"/>
              <w:spacing w:after="0" w:before="0" w:line="240" w:lineRule="auto"/>
              <w:jc w:val="left"/>
            </w:pPr>
            <w:r>
              <w:rPr>
                <w:rFonts w:ascii="Arial" w:hAnsi="Arial"/>
                <w:sz w:val="15"/>
              </w:rPr>
              <w:t xml:space="preserve">Aug-2017</w:t>
            </w:r>
          </w:p>
        </w:tc>
        <w:tc>
          <w:tcPr>
            <w:tcW w:type="dxa" w:w="7637"/>
            <w:shd w:val="clear" w:color="auto" w:fill="F1F2F5"/>
          </w:tcPr>
          <w:p>
            <w:pPr>
              <w:pStyle w:val="Compact"/>
              <w:spacing w:after="0" w:before="0" w:line="240" w:lineRule="auto"/>
              <w:jc w:val="left"/>
            </w:pPr>
            <w:r>
              <w:rPr>
                <w:rFonts w:ascii="Arial" w:hAnsi="Arial"/>
                <w:sz w:val="15"/>
              </w:rPr>
              <w:t xml:space="preserve">Deleted from MSCI (foreign-ownership cap); 25% selective tariff discount (Sep-2017)</w:t>
            </w:r>
          </w:p>
        </w:tc>
      </w:tr>
      <w:tr>
        <w:trPr>
          <w:cantSplit/>
        </w:trPr>
        <w:tc>
          <w:tcPr>
            <w:tcW w:type="dxa" w:w="2341"/>
          </w:tcPr>
          <w:p>
            <w:pPr>
              <w:pStyle w:val="Compact"/>
              <w:spacing w:after="0" w:before="0" w:line="240" w:lineRule="auto"/>
              <w:jc w:val="left"/>
            </w:pPr>
            <w:r>
              <w:rPr>
                <w:rFonts w:ascii="Arial" w:hAnsi="Arial"/>
                <w:sz w:val="15"/>
              </w:rPr>
              <w:t xml:space="preserve">Jun–Aug 2018</w:t>
            </w:r>
          </w:p>
        </w:tc>
        <w:tc>
          <w:tcPr>
            <w:tcW w:type="dxa" w:w="7637"/>
          </w:tcPr>
          <w:p>
            <w:pPr>
              <w:pStyle w:val="Compact"/>
              <w:spacing w:after="0" w:before="0" w:line="240" w:lineRule="auto"/>
              <w:jc w:val="left"/>
            </w:pPr>
            <w:r>
              <w:rPr>
                <w:rFonts w:ascii="Arial" w:hAnsi="Arial"/>
                <w:sz w:val="15"/>
              </w:rPr>
              <w:t xml:space="preserve">5G spectrum (80MHz at 3.5GHz); Ha Hyun-hwoi CEO; MSCI re-inclusion; 10-year high of KRW18,300</w:t>
            </w:r>
          </w:p>
        </w:tc>
      </w:tr>
      <w:tr>
        <w:trPr>
          <w:cantSplit/>
        </w:trPr>
        <w:tc>
          <w:tcPr>
            <w:tcW w:type="dxa" w:w="2341"/>
            <w:shd w:val="clear" w:color="auto" w:fill="F1F2F5"/>
          </w:tcPr>
          <w:p>
            <w:pPr>
              <w:pStyle w:val="Compact"/>
              <w:spacing w:after="0" w:before="0" w:line="240" w:lineRule="auto"/>
              <w:jc w:val="left"/>
            </w:pPr>
            <w:r>
              <w:rPr>
                <w:rFonts w:ascii="Arial" w:hAnsi="Arial"/>
                <w:sz w:val="15"/>
              </w:rPr>
              <w:t xml:space="preserve">Feb–Dec 2019</w:t>
            </w:r>
          </w:p>
        </w:tc>
        <w:tc>
          <w:tcPr>
            <w:tcW w:type="dxa" w:w="7637"/>
            <w:shd w:val="clear" w:color="auto" w:fill="F1F2F5"/>
          </w:tcPr>
          <w:p>
            <w:pPr>
              <w:pStyle w:val="Compact"/>
              <w:spacing w:after="0" w:before="0" w:line="240" w:lineRule="auto"/>
              <w:jc w:val="left"/>
            </w:pPr>
            <w:r>
              <w:rPr>
                <w:rFonts w:ascii="Arial" w:hAnsi="Arial"/>
                <w:sz w:val="15"/>
              </w:rPr>
              <w:t xml:space="preserve">CJ Hello 50%+1 for KRW800bn (closed 24-Dec-2019); world-first 5G launch (Apr-2019); payments business sold to Toss</w:t>
            </w:r>
          </w:p>
        </w:tc>
      </w:tr>
      <w:tr>
        <w:trPr>
          <w:cantSplit/>
        </w:trPr>
        <w:tc>
          <w:tcPr>
            <w:tcW w:type="dxa" w:w="2341"/>
          </w:tcPr>
          <w:p>
            <w:pPr>
              <w:pStyle w:val="Compact"/>
              <w:spacing w:after="0" w:before="0" w:line="240" w:lineRule="auto"/>
              <w:jc w:val="left"/>
            </w:pPr>
            <w:r>
              <w:rPr>
                <w:rFonts w:ascii="Arial" w:hAnsi="Arial"/>
                <w:sz w:val="15"/>
              </w:rPr>
              <w:t xml:space="preserve">Jun–Dec 2021</w:t>
            </w:r>
          </w:p>
        </w:tc>
        <w:tc>
          <w:tcPr>
            <w:tcW w:type="dxa" w:w="7637"/>
          </w:tcPr>
          <w:p>
            <w:pPr>
              <w:pStyle w:val="Compact"/>
              <w:spacing w:after="0" w:before="0" w:line="240" w:lineRule="auto"/>
              <w:jc w:val="left"/>
            </w:pPr>
            <w:r>
              <w:rPr>
                <w:rFonts w:ascii="Arial" w:hAnsi="Arial"/>
                <w:sz w:val="15"/>
              </w:rPr>
              <w:t xml:space="preserve">First buyback (KRW100bn); Hwang Hyun-sik CEO (Mar-2021)</w:t>
            </w:r>
          </w:p>
        </w:tc>
      </w:tr>
      <w:tr>
        <w:trPr>
          <w:cantSplit/>
        </w:trPr>
        <w:tc>
          <w:tcPr>
            <w:tcW w:type="dxa" w:w="2341"/>
            <w:shd w:val="clear" w:color="auto" w:fill="F1F2F5"/>
          </w:tcPr>
          <w:p>
            <w:pPr>
              <w:pStyle w:val="Compact"/>
              <w:spacing w:after="0" w:before="0" w:line="240" w:lineRule="auto"/>
              <w:jc w:val="left"/>
            </w:pPr>
            <w:r>
              <w:rPr>
                <w:rFonts w:ascii="Arial" w:hAnsi="Arial"/>
                <w:sz w:val="15"/>
              </w:rPr>
              <w:t xml:space="preserve">Jul-2022</w:t>
            </w:r>
          </w:p>
        </w:tc>
        <w:tc>
          <w:tcPr>
            <w:tcW w:type="dxa" w:w="7637"/>
            <w:shd w:val="clear" w:color="auto" w:fill="F1F2F5"/>
          </w:tcPr>
          <w:p>
            <w:pPr>
              <w:pStyle w:val="Compact"/>
              <w:spacing w:after="0" w:before="0" w:line="240" w:lineRule="auto"/>
              <w:jc w:val="left"/>
            </w:pPr>
            <w:r>
              <w:rPr>
                <w:rFonts w:ascii="Arial" w:hAnsi="Arial"/>
                <w:sz w:val="15"/>
              </w:rPr>
              <w:t xml:space="preserve">Extra 20MHz at 3.40–3.42GHz (~KRW152bn [u])</w:t>
            </w:r>
          </w:p>
        </w:tc>
      </w:tr>
      <w:tr>
        <w:trPr>
          <w:cantSplit/>
        </w:trPr>
        <w:tc>
          <w:tcPr>
            <w:tcW w:type="dxa" w:w="2341"/>
          </w:tcPr>
          <w:p>
            <w:pPr>
              <w:pStyle w:val="Compact"/>
              <w:spacing w:after="0" w:before="0" w:line="240" w:lineRule="auto"/>
              <w:jc w:val="left"/>
            </w:pPr>
            <w:r>
              <w:rPr>
                <w:rFonts w:ascii="Arial" w:hAnsi="Arial"/>
                <w:sz w:val="15"/>
              </w:rPr>
              <w:t xml:space="preserve">Sep-2022</w:t>
            </w:r>
          </w:p>
        </w:tc>
        <w:tc>
          <w:tcPr>
            <w:tcW w:type="dxa" w:w="7637"/>
          </w:tcPr>
          <w:p>
            <w:pPr>
              <w:pStyle w:val="Compact"/>
              <w:spacing w:after="0" w:before="0" w:line="240" w:lineRule="auto"/>
              <w:jc w:val="left"/>
            </w:pPr>
            <w:r>
              <w:rPr>
                <w:rFonts w:ascii="Arial" w:hAnsi="Arial"/>
                <w:sz w:val="15"/>
              </w:rPr>
              <w:t xml:space="preserve">“</w:t>
            </w:r>
            <w:r>
              <w:rPr>
                <w:rFonts w:ascii="Arial" w:hAnsi="Arial"/>
                <w:sz w:val="15"/>
              </w:rPr>
              <w:t xml:space="preserve">U+3.0</w:t>
            </w:r>
            <w:r>
              <w:rPr>
                <w:rFonts w:ascii="Arial" w:hAnsi="Arial"/>
                <w:sz w:val="15"/>
              </w:rPr>
              <w:t xml:space="preserve">”</w:t>
            </w:r>
            <w:r>
              <w:rPr>
                <w:rFonts w:ascii="Arial" w:hAnsi="Arial"/>
                <w:sz w:val="15"/>
              </w:rPr>
              <w:t xml:space="preserve"> </w:t>
            </w:r>
            <w:r>
              <w:rPr>
                <w:rFonts w:ascii="Arial" w:hAnsi="Arial"/>
                <w:sz w:val="15"/>
              </w:rPr>
              <w:t xml:space="preserve">platform strategy</w:t>
            </w:r>
          </w:p>
        </w:tc>
      </w:tr>
      <w:tr>
        <w:trPr>
          <w:cantSplit/>
        </w:trPr>
        <w:tc>
          <w:tcPr>
            <w:tcW w:type="dxa" w:w="2341"/>
            <w:shd w:val="clear" w:color="auto" w:fill="F1F2F5"/>
          </w:tcPr>
          <w:p>
            <w:pPr>
              <w:pStyle w:val="Compact"/>
              <w:spacing w:after="0" w:before="0" w:line="240" w:lineRule="auto"/>
              <w:jc w:val="left"/>
            </w:pPr>
            <w:r>
              <w:rPr>
                <w:rFonts w:ascii="Arial" w:hAnsi="Arial"/>
                <w:sz w:val="15"/>
              </w:rPr>
              <w:t xml:space="preserve">Jan–Feb 2023</w:t>
            </w:r>
          </w:p>
        </w:tc>
        <w:tc>
          <w:tcPr>
            <w:tcW w:type="dxa" w:w="7637"/>
            <w:shd w:val="clear" w:color="auto" w:fill="F1F2F5"/>
          </w:tcPr>
          <w:p>
            <w:pPr>
              <w:pStyle w:val="Compact"/>
              <w:spacing w:after="0" w:before="0" w:line="240" w:lineRule="auto"/>
              <w:jc w:val="left"/>
            </w:pPr>
            <w:r>
              <w:rPr>
                <w:rFonts w:ascii="Arial" w:hAnsi="Arial"/>
                <w:sz w:val="15"/>
              </w:rPr>
              <w:t xml:space="preserve">Customer-data leak (~297k) and DDoS outages; KRW6.8bn PIPC fine (Jul-2023)</w:t>
            </w:r>
          </w:p>
        </w:tc>
      </w:tr>
      <w:tr>
        <w:trPr>
          <w:cantSplit/>
        </w:trPr>
        <w:tc>
          <w:tcPr>
            <w:tcW w:type="dxa" w:w="2341"/>
          </w:tcPr>
          <w:p>
            <w:pPr>
              <w:pStyle w:val="Compact"/>
              <w:spacing w:after="0" w:before="0" w:line="240" w:lineRule="auto"/>
              <w:jc w:val="left"/>
            </w:pPr>
            <w:r>
              <w:rPr>
                <w:rFonts w:ascii="Arial" w:hAnsi="Arial"/>
                <w:sz w:val="15"/>
              </w:rPr>
              <w:t xml:space="preserve">Apr-2024</w:t>
            </w:r>
          </w:p>
        </w:tc>
        <w:tc>
          <w:tcPr>
            <w:tcW w:type="dxa" w:w="7637"/>
          </w:tcPr>
          <w:p>
            <w:pPr>
              <w:pStyle w:val="Compact"/>
              <w:spacing w:after="0" w:before="0" w:line="240" w:lineRule="auto"/>
              <w:jc w:val="left"/>
            </w:pPr>
            <w:r>
              <w:rPr>
                <w:rFonts w:ascii="Arial" w:hAnsi="Arial"/>
                <w:sz w:val="15"/>
              </w:rPr>
              <w:t xml:space="preserve">5-year low of KRW9,510; Paju land bought from LG Display</w:t>
            </w:r>
          </w:p>
        </w:tc>
      </w:tr>
      <w:tr>
        <w:trPr>
          <w:cantSplit/>
        </w:trPr>
        <w:tc>
          <w:tcPr>
            <w:tcW w:type="dxa" w:w="2341"/>
            <w:shd w:val="clear" w:color="auto" w:fill="F1F2F5"/>
          </w:tcPr>
          <w:p>
            <w:pPr>
              <w:pStyle w:val="Compact"/>
              <w:spacing w:after="0" w:before="0" w:line="240" w:lineRule="auto"/>
              <w:jc w:val="left"/>
            </w:pPr>
            <w:r>
              <w:rPr>
                <w:rFonts w:ascii="Arial" w:hAnsi="Arial"/>
                <w:sz w:val="15"/>
              </w:rPr>
              <w:t xml:space="preserve">21–22 Nov 2024</w:t>
            </w:r>
          </w:p>
        </w:tc>
        <w:tc>
          <w:tcPr>
            <w:tcW w:type="dxa" w:w="7637"/>
            <w:shd w:val="clear" w:color="auto" w:fill="F1F2F5"/>
          </w:tcPr>
          <w:p>
            <w:pPr>
              <w:pStyle w:val="Compact"/>
              <w:spacing w:after="0" w:before="0" w:line="240" w:lineRule="auto"/>
              <w:jc w:val="left"/>
            </w:pPr>
            <w:r>
              <w:rPr>
                <w:rFonts w:ascii="Arial" w:hAnsi="Arial"/>
                <w:sz w:val="15"/>
              </w:rPr>
              <w:t xml:space="preserve">Hong Bum-shik named CEO; value-up plan</w:t>
            </w:r>
          </w:p>
        </w:tc>
      </w:tr>
      <w:tr>
        <w:trPr>
          <w:cantSplit/>
        </w:trPr>
        <w:tc>
          <w:tcPr>
            <w:tcW w:type="dxa" w:w="2341"/>
          </w:tcPr>
          <w:p>
            <w:pPr>
              <w:pStyle w:val="Compact"/>
              <w:spacing w:after="0" w:before="0" w:line="240" w:lineRule="auto"/>
              <w:jc w:val="left"/>
            </w:pPr>
            <w:r>
              <w:rPr>
                <w:rFonts w:ascii="Arial" w:hAnsi="Arial"/>
                <w:sz w:val="15"/>
              </w:rPr>
              <w:t xml:space="preserve">22-Apr-2025</w:t>
            </w:r>
          </w:p>
        </w:tc>
        <w:tc>
          <w:tcPr>
            <w:tcW w:type="dxa" w:w="7637"/>
          </w:tcPr>
          <w:p>
            <w:pPr>
              <w:pStyle w:val="Compact"/>
              <w:spacing w:after="0" w:before="0" w:line="240" w:lineRule="auto"/>
              <w:jc w:val="left"/>
            </w:pPr>
            <w:r>
              <w:rPr>
                <w:rFonts w:ascii="Arial" w:hAnsi="Arial"/>
                <w:sz w:val="15"/>
              </w:rPr>
              <w:t xml:space="preserve">SK Telecom USIM hack; subscriber inflows to LG Uplus</w:t>
            </w:r>
          </w:p>
        </w:tc>
      </w:tr>
      <w:tr>
        <w:trPr>
          <w:cantSplit/>
        </w:trPr>
        <w:tc>
          <w:tcPr>
            <w:tcW w:type="dxa" w:w="2341"/>
            <w:shd w:val="clear" w:color="auto" w:fill="F1F2F5"/>
          </w:tcPr>
          <w:p>
            <w:pPr>
              <w:pStyle w:val="Compact"/>
              <w:spacing w:after="0" w:before="0" w:line="240" w:lineRule="auto"/>
              <w:jc w:val="left"/>
            </w:pPr>
            <w:r>
              <w:rPr>
                <w:rFonts w:ascii="Arial" w:hAnsi="Arial"/>
                <w:sz w:val="15"/>
              </w:rPr>
              <w:t xml:space="preserve">Jul-2025</w:t>
            </w:r>
          </w:p>
        </w:tc>
        <w:tc>
          <w:tcPr>
            <w:tcW w:type="dxa" w:w="7637"/>
            <w:shd w:val="clear" w:color="auto" w:fill="F1F2F5"/>
          </w:tcPr>
          <w:p>
            <w:pPr>
              <w:pStyle w:val="Compact"/>
              <w:spacing w:after="0" w:before="0" w:line="240" w:lineRule="auto"/>
              <w:jc w:val="left"/>
            </w:pPr>
            <w:r>
              <w:rPr>
                <w:rFonts w:ascii="Arial" w:hAnsi="Arial"/>
                <w:sz w:val="15"/>
              </w:rPr>
              <w:t xml:space="preserve">Dansuobeop (subsidy cap) abolished; KRW80bn buyback; Commercial Act amendments</w:t>
            </w:r>
          </w:p>
        </w:tc>
      </w:tr>
      <w:tr>
        <w:trPr>
          <w:cantSplit/>
        </w:trPr>
        <w:tc>
          <w:tcPr>
            <w:tcW w:type="dxa" w:w="2341"/>
          </w:tcPr>
          <w:p>
            <w:pPr>
              <w:pStyle w:val="Compact"/>
              <w:spacing w:after="0" w:before="0" w:line="240" w:lineRule="auto"/>
              <w:jc w:val="left"/>
            </w:pPr>
            <w:r>
              <w:rPr>
                <w:rFonts w:ascii="Arial" w:hAnsi="Arial"/>
                <w:sz w:val="15"/>
              </w:rPr>
              <w:t xml:space="preserve">5-Aug-2025</w:t>
            </w:r>
          </w:p>
        </w:tc>
        <w:tc>
          <w:tcPr>
            <w:tcW w:type="dxa" w:w="7637"/>
          </w:tcPr>
          <w:p>
            <w:pPr>
              <w:pStyle w:val="Compact"/>
              <w:spacing w:after="0" w:before="0" w:line="240" w:lineRule="auto"/>
              <w:jc w:val="left"/>
            </w:pPr>
            <w:r>
              <w:rPr>
                <w:rFonts w:ascii="Arial" w:hAnsi="Arial"/>
                <w:sz w:val="15"/>
              </w:rPr>
              <w:t xml:space="preserve">6.78m treasury shares cancelled</w:t>
            </w:r>
          </w:p>
        </w:tc>
      </w:tr>
      <w:tr>
        <w:trPr>
          <w:cantSplit/>
        </w:trPr>
        <w:tc>
          <w:tcPr>
            <w:tcW w:type="dxa" w:w="2341"/>
            <w:shd w:val="clear" w:color="auto" w:fill="F1F2F5"/>
          </w:tcPr>
          <w:p>
            <w:pPr>
              <w:pStyle w:val="Compact"/>
              <w:spacing w:after="0" w:before="0" w:line="240" w:lineRule="auto"/>
              <w:jc w:val="left"/>
            </w:pPr>
            <w:r>
              <w:rPr>
                <w:rFonts w:ascii="Arial" w:hAnsi="Arial"/>
                <w:sz w:val="15"/>
              </w:rPr>
              <w:t xml:space="preserve">Aug–Sep 2025</w:t>
            </w:r>
          </w:p>
        </w:tc>
        <w:tc>
          <w:tcPr>
            <w:tcW w:type="dxa" w:w="7637"/>
            <w:shd w:val="clear" w:color="auto" w:fill="F1F2F5"/>
          </w:tcPr>
          <w:p>
            <w:pPr>
              <w:pStyle w:val="Compact"/>
              <w:spacing w:after="0" w:before="0" w:line="240" w:lineRule="auto"/>
              <w:jc w:val="left"/>
            </w:pPr>
            <w:r>
              <w:rPr>
                <w:rFonts w:ascii="Arial" w:hAnsi="Arial"/>
                <w:sz w:val="15"/>
              </w:rPr>
              <w:t xml:space="preserve">Phrack report on the LG Uplus APPM server; PIPC probe</w:t>
            </w:r>
          </w:p>
        </w:tc>
      </w:tr>
      <w:tr>
        <w:trPr>
          <w:cantSplit/>
        </w:trPr>
        <w:tc>
          <w:tcPr>
            <w:tcW w:type="dxa" w:w="2341"/>
          </w:tcPr>
          <w:p>
            <w:pPr>
              <w:pStyle w:val="Compact"/>
              <w:spacing w:after="0" w:before="0" w:line="240" w:lineRule="auto"/>
              <w:jc w:val="left"/>
            </w:pPr>
            <w:r>
              <w:rPr>
                <w:rFonts w:ascii="Arial" w:hAnsi="Arial"/>
                <w:sz w:val="15"/>
              </w:rPr>
              <w:t xml:space="preserve">5-Nov-2025</w:t>
            </w:r>
          </w:p>
        </w:tc>
        <w:tc>
          <w:tcPr>
            <w:tcW w:type="dxa" w:w="7637"/>
          </w:tcPr>
          <w:p>
            <w:pPr>
              <w:pStyle w:val="Compact"/>
              <w:spacing w:after="0" w:before="0" w:line="240" w:lineRule="auto"/>
              <w:jc w:val="left"/>
            </w:pPr>
            <w:r>
              <w:rPr>
                <w:rFonts w:ascii="Arial" w:hAnsi="Arial"/>
                <w:sz w:val="15"/>
              </w:rPr>
              <w:t xml:space="preserve">3Q25: KRW150bn early-retirement charge</w:t>
            </w:r>
          </w:p>
        </w:tc>
      </w:tr>
      <w:tr>
        <w:trPr>
          <w:cantSplit/>
        </w:trPr>
        <w:tc>
          <w:tcPr>
            <w:tcW w:type="dxa" w:w="2341"/>
            <w:shd w:val="clear" w:color="auto" w:fill="F1F2F5"/>
          </w:tcPr>
          <w:p>
            <w:pPr>
              <w:pStyle w:val="Compact"/>
              <w:spacing w:after="0" w:before="0" w:line="240" w:lineRule="auto"/>
              <w:jc w:val="left"/>
            </w:pPr>
            <w:r>
              <w:rPr>
                <w:rFonts w:ascii="Arial" w:hAnsi="Arial"/>
                <w:sz w:val="15"/>
              </w:rPr>
              <w:t xml:space="preserve">Dec-2025</w:t>
            </w:r>
          </w:p>
        </w:tc>
        <w:tc>
          <w:tcPr>
            <w:tcW w:type="dxa" w:w="7637"/>
            <w:shd w:val="clear" w:color="auto" w:fill="F1F2F5"/>
          </w:tcPr>
          <w:p>
            <w:pPr>
              <w:pStyle w:val="Compact"/>
              <w:spacing w:after="0" w:before="0" w:line="240" w:lineRule="auto"/>
              <w:jc w:val="left"/>
            </w:pPr>
            <w:r>
              <w:rPr>
                <w:rFonts w:ascii="Arial" w:hAnsi="Arial"/>
                <w:sz w:val="15"/>
              </w:rPr>
              <w:t xml:space="preserve">MSIT/PIPC joint investigation concludes APPM hacked; police referral for server disposal; KT fee waiver (31-Dec to 13-Jan)</w:t>
            </w:r>
          </w:p>
        </w:tc>
      </w:tr>
      <w:tr>
        <w:trPr>
          <w:cantSplit/>
        </w:trPr>
        <w:tc>
          <w:tcPr>
            <w:tcW w:type="dxa" w:w="2341"/>
          </w:tcPr>
          <w:p>
            <w:pPr>
              <w:pStyle w:val="Compact"/>
              <w:spacing w:after="0" w:before="0" w:line="240" w:lineRule="auto"/>
              <w:jc w:val="left"/>
            </w:pPr>
            <w:r>
              <w:rPr>
                <w:rFonts w:ascii="Arial" w:hAnsi="Arial"/>
                <w:sz w:val="15"/>
              </w:rPr>
              <w:t xml:space="preserve">Feb–Mar 2026</w:t>
            </w:r>
          </w:p>
        </w:tc>
        <w:tc>
          <w:tcPr>
            <w:tcW w:type="dxa" w:w="7637"/>
          </w:tcPr>
          <w:p>
            <w:pPr>
              <w:pStyle w:val="Compact"/>
              <w:spacing w:after="0" w:before="0" w:line="240" w:lineRule="auto"/>
              <w:jc w:val="left"/>
            </w:pPr>
            <w:r>
              <w:rPr>
                <w:rFonts w:ascii="Arial" w:hAnsi="Arial"/>
                <w:sz w:val="15"/>
              </w:rPr>
              <w:t xml:space="preserve">AA+ upgrades (NICE, KIS, KR); FY25 DPS KRW660; 5-year high of KRW17,810 (26-Feb)</w:t>
            </w:r>
          </w:p>
        </w:tc>
      </w:tr>
      <w:tr>
        <w:trPr>
          <w:cantSplit/>
        </w:trPr>
        <w:tc>
          <w:tcPr>
            <w:tcW w:type="dxa" w:w="2341"/>
            <w:shd w:val="clear" w:color="auto" w:fill="F1F2F5"/>
          </w:tcPr>
          <w:p>
            <w:pPr>
              <w:pStyle w:val="Compact"/>
              <w:spacing w:after="0" w:before="0" w:line="240" w:lineRule="auto"/>
              <w:jc w:val="left"/>
            </w:pPr>
            <w:r>
              <w:rPr>
                <w:rFonts w:ascii="Arial" w:hAnsi="Arial"/>
                <w:sz w:val="15"/>
              </w:rPr>
              <w:t xml:space="preserve">24-Mar-2026</w:t>
            </w:r>
          </w:p>
        </w:tc>
        <w:tc>
          <w:tcPr>
            <w:tcW w:type="dxa" w:w="7637"/>
            <w:shd w:val="clear" w:color="auto" w:fill="F1F2F5"/>
          </w:tcPr>
          <w:p>
            <w:pPr>
              <w:pStyle w:val="Compact"/>
              <w:spacing w:after="0" w:before="0" w:line="240" w:lineRule="auto"/>
              <w:jc w:val="left"/>
            </w:pPr>
            <w:r>
              <w:rPr>
                <w:rFonts w:ascii="Arial" w:hAnsi="Arial"/>
                <w:sz w:val="15"/>
              </w:rPr>
              <w:t xml:space="preserve">AGM: first independent chair (Nam Hyung-doo)</w:t>
            </w:r>
          </w:p>
        </w:tc>
      </w:tr>
      <w:tr>
        <w:trPr>
          <w:cantSplit/>
        </w:trPr>
        <w:tc>
          <w:tcPr>
            <w:tcW w:type="dxa" w:w="2341"/>
          </w:tcPr>
          <w:p>
            <w:pPr>
              <w:pStyle w:val="Compact"/>
              <w:spacing w:after="0" w:before="0" w:line="240" w:lineRule="auto"/>
              <w:jc w:val="left"/>
            </w:pPr>
            <w:r>
              <w:rPr>
                <w:rFonts w:ascii="Arial" w:hAnsi="Arial"/>
                <w:sz w:val="15"/>
              </w:rPr>
              <w:t xml:space="preserve">15-May-2026</w:t>
            </w:r>
          </w:p>
        </w:tc>
        <w:tc>
          <w:tcPr>
            <w:tcW w:type="dxa" w:w="7637"/>
          </w:tcPr>
          <w:p>
            <w:pPr>
              <w:pStyle w:val="Compact"/>
              <w:spacing w:after="0" w:before="0" w:line="240" w:lineRule="auto"/>
              <w:jc w:val="left"/>
            </w:pPr>
            <w:r>
              <w:rPr>
                <w:rFonts w:ascii="Arial" w:hAnsi="Arial"/>
                <w:sz w:val="15"/>
              </w:rPr>
              <w:t xml:space="preserve">5.4m treasury shares cancelled</w:t>
            </w:r>
          </w:p>
        </w:tc>
      </w:tr>
      <w:tr>
        <w:trPr>
          <w:cantSplit/>
        </w:trPr>
        <w:tc>
          <w:tcPr>
            <w:tcW w:type="dxa" w:w="2341"/>
            <w:shd w:val="clear" w:color="auto" w:fill="F1F2F5"/>
          </w:tcPr>
          <w:p>
            <w:pPr>
              <w:pStyle w:val="Compact"/>
              <w:spacing w:after="0" w:before="0" w:line="240" w:lineRule="auto"/>
              <w:jc w:val="left"/>
            </w:pPr>
            <w:r>
              <w:rPr>
                <w:rFonts w:ascii="Arial" w:hAnsi="Arial"/>
                <w:sz w:val="15"/>
              </w:rPr>
              <w:t xml:space="preserve">29–30 Jul 2026</w:t>
            </w:r>
          </w:p>
        </w:tc>
        <w:tc>
          <w:tcPr>
            <w:tcW w:type="dxa" w:w="7637"/>
            <w:shd w:val="clear" w:color="auto" w:fill="F1F2F5"/>
          </w:tcPr>
          <w:p>
            <w:pPr>
              <w:pStyle w:val="Compact"/>
              <w:spacing w:after="0" w:before="0" w:line="240" w:lineRule="auto"/>
              <w:jc w:val="left"/>
            </w:pPr>
            <w:r>
              <w:rPr>
                <w:rFonts w:ascii="Arial" w:hAnsi="Arial"/>
                <w:sz w:val="15"/>
              </w:rPr>
              <w:t xml:space="preserve">KRW90bn buyback; interim DPS +8%; Paju phase 2 (up to KRW1.35tn); PIPC police referral</w:t>
            </w:r>
          </w:p>
        </w:tc>
      </w:tr>
      <w:tr>
        <w:trPr>
          <w:cantSplit/>
        </w:trPr>
        <w:tc>
          <w:tcPr>
            <w:tcW w:type="dxa" w:w="2341"/>
          </w:tcPr>
          <w:p>
            <w:pPr>
              <w:pStyle w:val="Compact"/>
              <w:spacing w:after="0" w:before="0" w:line="240" w:lineRule="auto"/>
              <w:jc w:val="left"/>
            </w:pPr>
            <w:r>
              <w:rPr>
                <w:rFonts w:ascii="Arial" w:hAnsi="Arial"/>
                <w:sz w:val="15"/>
              </w:rPr>
              <w:t xml:space="preserve">6-Aug-2026</w:t>
            </w:r>
          </w:p>
        </w:tc>
        <w:tc>
          <w:tcPr>
            <w:tcW w:type="dxa" w:w="7637"/>
          </w:tcPr>
          <w:p>
            <w:pPr>
              <w:pStyle w:val="Compact"/>
              <w:spacing w:after="0" w:before="0" w:line="240" w:lineRule="auto"/>
              <w:jc w:val="left"/>
            </w:pPr>
            <w:r>
              <w:rPr>
                <w:rFonts w:ascii="Arial" w:hAnsi="Arial"/>
                <w:sz w:val="15"/>
              </w:rPr>
              <w:t xml:space="preserve">Record 2Q26 OP of KRW344.5bn</w:t>
            </w:r>
          </w:p>
        </w:tc>
      </w:tr>
      <w:tr>
        <w:trPr>
          <w:cantSplit/>
        </w:trPr>
        <w:tc>
          <w:tcPr>
            <w:tcW w:type="dxa" w:w="2341"/>
            <w:shd w:val="clear" w:color="auto" w:fill="F1F2F5"/>
          </w:tcPr>
          <w:p>
            <w:pPr>
              <w:pStyle w:val="Compact"/>
              <w:spacing w:after="0" w:before="0" w:line="240" w:lineRule="auto"/>
              <w:jc w:val="left"/>
            </w:pPr>
            <w:r>
              <w:rPr>
                <w:rFonts w:ascii="Arial" w:hAnsi="Arial"/>
                <w:sz w:val="15"/>
              </w:rPr>
              <w:t xml:space="preserve">27-Aug-2026</w:t>
            </w:r>
          </w:p>
        </w:tc>
        <w:tc>
          <w:tcPr>
            <w:tcW w:type="dxa" w:w="7637"/>
            <w:shd w:val="clear" w:color="auto" w:fill="F1F2F5"/>
          </w:tcPr>
          <w:p>
            <w:pPr>
              <w:pStyle w:val="Compact"/>
              <w:spacing w:after="0" w:before="0" w:line="240" w:lineRule="auto"/>
              <w:jc w:val="left"/>
            </w:pPr>
            <w:r>
              <w:rPr>
                <w:rFonts w:ascii="Arial" w:hAnsi="Arial"/>
                <w:sz w:val="15"/>
              </w:rPr>
              <w:t xml:space="preserve">SK Horizon: KKR/IMM buy 49% of SK Telecom’s data-centre unit (KRW3.08tn)</w:t>
            </w:r>
          </w:p>
        </w:tc>
      </w:tr>
      <w:tr>
        <w:trPr>
          <w:cantSplit/>
        </w:trPr>
        <w:tc>
          <w:tcPr>
            <w:tcW w:type="dxa" w:w="2341"/>
          </w:tcPr>
          <w:p>
            <w:pPr>
              <w:pStyle w:val="Compact"/>
              <w:spacing w:after="0" w:before="0" w:line="240" w:lineRule="auto"/>
              <w:jc w:val="left"/>
            </w:pPr>
            <w:r>
              <w:rPr>
                <w:rFonts w:ascii="Arial" w:hAnsi="Arial"/>
                <w:sz w:val="15"/>
              </w:rPr>
              <w:t xml:space="preserve">21-Sep-2026</w:t>
            </w:r>
          </w:p>
        </w:tc>
        <w:tc>
          <w:tcPr>
            <w:tcW w:type="dxa" w:w="7637"/>
          </w:tcPr>
          <w:p>
            <w:pPr>
              <w:pStyle w:val="Compact"/>
              <w:spacing w:after="0" w:before="0" w:line="240" w:lineRule="auto"/>
              <w:jc w:val="left"/>
            </w:pPr>
            <w:r>
              <w:rPr>
                <w:rFonts w:ascii="Arial" w:hAnsi="Arial"/>
                <w:sz w:val="15"/>
              </w:rPr>
              <w:t xml:space="preserve">Removed from the S&amp;P Global BMI</w:t>
            </w:r>
          </w:p>
        </w:tc>
      </w:tr>
      <w:tr>
        <w:trPr>
          <w:cantSplit/>
        </w:trPr>
        <w:tc>
          <w:tcPr>
            <w:tcW w:type="dxa" w:w="2341"/>
            <w:shd w:val="clear" w:color="auto" w:fill="F1F2F5"/>
          </w:tcPr>
          <w:p>
            <w:pPr>
              <w:pStyle w:val="Compact"/>
              <w:spacing w:after="0" w:before="0" w:line="240" w:lineRule="auto"/>
              <w:jc w:val="left"/>
            </w:pPr>
            <w:r>
              <w:rPr>
                <w:rFonts w:ascii="Arial" w:hAnsi="Arial"/>
                <w:sz w:val="15"/>
              </w:rPr>
              <w:t xml:space="preserve">Oct-2026</w:t>
            </w:r>
          </w:p>
        </w:tc>
        <w:tc>
          <w:tcPr>
            <w:tcW w:type="dxa" w:w="7637"/>
            <w:shd w:val="clear" w:color="auto" w:fill="F1F2F5"/>
          </w:tcPr>
          <w:p>
            <w:pPr>
              <w:pStyle w:val="Compact"/>
              <w:spacing w:after="0" w:before="0" w:line="240" w:lineRule="auto"/>
              <w:jc w:val="left"/>
            </w:pPr>
            <w:r>
              <w:rPr>
                <w:rFonts w:ascii="Arial" w:hAnsi="Arial"/>
                <w:sz w:val="15"/>
              </w:rPr>
              <w:t xml:space="preserve">National Assembly audit questions an alleged hacking cover-up; KOSPI crash; LG Uplus +10%</w:t>
            </w:r>
          </w:p>
        </w:tc>
      </w:tr>
    </w:tbl>
    <w:bookmarkEnd w:id="131"/>
    <w:bookmarkStart w:id="132" w:name="upcoming-catalysts"/>
    <w:p>
      <w:pPr>
        <w:pStyle w:val="Heading2"/>
      </w:pPr>
      <w:r>
        <w:t xml:space="preserve">Upcoming catalysts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1726"/>
        <w:gridCol w:w="3739"/>
        <w:gridCol w:w="3246"/>
        <w:gridCol w:w="1264"/>
      </w:tblGrid>
      <w:tr>
        <w:trPr>
          <w:tblHeader w:val="true"/>
          <w:tblHeader w:val="true"/>
          <w:cantSplit/>
        </w:trPr>
        <w:tc>
          <w:tcPr>
            <w:tcW w:type="dxa" w:w="1727"/>
            <w:shd w:val="clear" w:color="auto" w:fill="13213F"/>
          </w:tcPr>
          <w:p>
            <w:pPr>
              <w:pStyle w:val="Compact"/>
              <w:spacing w:after="0" w:before="0" w:line="240" w:lineRule="auto"/>
              <w:jc w:val="left"/>
            </w:pPr>
            <w:r>
              <w:rPr>
                <w:rFonts w:ascii="Arial" w:hAnsi="Arial"/>
                <w:b/>
                <w:color w:val="FFFFFF"/>
                <w:sz w:val="15"/>
              </w:rPr>
              <w:t xml:space="preserve">Date (expected)</w:t>
            </w:r>
          </w:p>
        </w:tc>
        <w:tc>
          <w:tcPr>
            <w:tcW w:type="dxa" w:w="3739"/>
            <w:shd w:val="clear" w:color="auto" w:fill="13213F"/>
          </w:tcPr>
          <w:p>
            <w:pPr>
              <w:pStyle w:val="Compact"/>
              <w:spacing w:after="0" w:before="0" w:line="240" w:lineRule="auto"/>
              <w:jc w:val="left"/>
            </w:pPr>
            <w:r>
              <w:rPr>
                <w:rFonts w:ascii="Arial" w:hAnsi="Arial"/>
                <w:b/>
                <w:color w:val="FFFFFF"/>
                <w:sz w:val="15"/>
              </w:rPr>
              <w:t xml:space="preserve">Catalyst</w:t>
            </w:r>
          </w:p>
        </w:tc>
        <w:tc>
          <w:tcPr>
            <w:tcW w:type="dxa" w:w="3247"/>
            <w:shd w:val="clear" w:color="auto" w:fill="13213F"/>
          </w:tcPr>
          <w:p>
            <w:pPr>
              <w:pStyle w:val="Compact"/>
              <w:spacing w:after="0" w:before="0" w:line="240" w:lineRule="auto"/>
              <w:jc w:val="left"/>
            </w:pPr>
            <w:r>
              <w:rPr>
                <w:rFonts w:ascii="Arial" w:hAnsi="Arial"/>
                <w:b/>
                <w:color w:val="FFFFFF"/>
                <w:sz w:val="15"/>
              </w:rPr>
              <w:t xml:space="preserve">Why it matters</w:t>
            </w:r>
          </w:p>
        </w:tc>
        <w:tc>
          <w:tcPr>
            <w:tcW w:type="dxa" w:w="1265"/>
            <w:shd w:val="clear" w:color="auto" w:fill="13213F"/>
          </w:tcPr>
          <w:p>
            <w:pPr>
              <w:pStyle w:val="Compact"/>
              <w:spacing w:after="0" w:before="0" w:line="240" w:lineRule="auto"/>
              <w:jc w:val="center"/>
            </w:pPr>
            <w:r>
              <w:rPr>
                <w:rFonts w:ascii="Arial" w:hAnsi="Arial"/>
                <w:b/>
                <w:color w:val="FFFFFF"/>
                <w:sz w:val="15"/>
              </w:rPr>
              <w:t xml:space="preserve">Importance</w:t>
            </w:r>
          </w:p>
        </w:tc>
      </w:tr>
      <w:tr>
        <w:trPr>
          <w:cantSplit/>
        </w:trPr>
        <w:tc>
          <w:tcPr>
            <w:tcW w:type="dxa" w:w="1727"/>
          </w:tcPr>
          <w:p>
            <w:pPr>
              <w:pStyle w:val="Compact"/>
              <w:spacing w:after="0" w:before="0" w:line="240" w:lineRule="auto"/>
              <w:jc w:val="left"/>
            </w:pPr>
            <w:r>
              <w:rPr>
                <w:rFonts w:ascii="Arial" w:hAnsi="Arial"/>
                <w:sz w:val="15"/>
              </w:rPr>
              <w:t xml:space="preserve">22-Oct-2026</w:t>
            </w:r>
          </w:p>
        </w:tc>
        <w:tc>
          <w:tcPr>
            <w:tcW w:type="dxa" w:w="3739"/>
          </w:tcPr>
          <w:p>
            <w:pPr>
              <w:pStyle w:val="Compact"/>
              <w:spacing w:after="0" w:before="0" w:line="240" w:lineRule="auto"/>
              <w:jc w:val="left"/>
            </w:pPr>
            <w:r>
              <w:rPr>
                <w:rFonts w:ascii="Arial" w:hAnsi="Arial"/>
                <w:sz w:val="15"/>
              </w:rPr>
              <w:t xml:space="preserve">Bank of Korea rate decision</w:t>
            </w:r>
          </w:p>
        </w:tc>
        <w:tc>
          <w:tcPr>
            <w:tcW w:type="dxa" w:w="3247"/>
          </w:tcPr>
          <w:p>
            <w:pPr>
              <w:pStyle w:val="Compact"/>
              <w:spacing w:after="0" w:before="0" w:line="240" w:lineRule="auto"/>
              <w:jc w:val="left"/>
            </w:pPr>
            <w:r>
              <w:rPr>
                <w:rFonts w:ascii="Arial" w:hAnsi="Arial"/>
                <w:sz w:val="15"/>
              </w:rPr>
              <w:t xml:space="preserve">Rates and refinancing; defensive-yield appeal</w:t>
            </w:r>
          </w:p>
        </w:tc>
        <w:tc>
          <w:tcPr>
            <w:tcW w:type="dxa" w:w="1265"/>
          </w:tcPr>
          <w:p>
            <w:pPr>
              <w:pStyle w:val="Compact"/>
              <w:spacing w:after="0" w:before="0" w:line="240" w:lineRule="auto"/>
              <w:jc w:val="center"/>
            </w:pPr>
            <w:r>
              <w:rPr>
                <w:rFonts w:ascii="Arial" w:hAnsi="Arial"/>
                <w:sz w:val="15"/>
              </w:rPr>
              <w:t xml:space="preserve">Medium</w:t>
            </w:r>
          </w:p>
        </w:tc>
      </w:tr>
      <w:tr>
        <w:trPr>
          <w:cantSplit/>
        </w:trPr>
        <w:tc>
          <w:tcPr>
            <w:tcW w:type="dxa" w:w="1727"/>
            <w:shd w:val="clear" w:color="auto" w:fill="F1F2F5"/>
          </w:tcPr>
          <w:p>
            <w:pPr>
              <w:pStyle w:val="Compact"/>
              <w:spacing w:after="0" w:before="0" w:line="240" w:lineRule="auto"/>
              <w:jc w:val="left"/>
            </w:pPr>
            <w:r>
              <w:rPr>
                <w:rFonts w:ascii="Arial" w:hAnsi="Arial"/>
                <w:sz w:val="15"/>
              </w:rPr>
              <w:t xml:space="preserve">~19–30 Oct 2026</w:t>
            </w:r>
          </w:p>
        </w:tc>
        <w:tc>
          <w:tcPr>
            <w:tcW w:type="dxa" w:w="3739"/>
            <w:shd w:val="clear" w:color="auto" w:fill="F1F2F5"/>
          </w:tcPr>
          <w:p>
            <w:pPr>
              <w:pStyle w:val="Compact"/>
              <w:spacing w:after="0" w:before="0" w:line="240" w:lineRule="auto"/>
              <w:jc w:val="left"/>
            </w:pPr>
            <w:r>
              <w:rPr>
                <w:rFonts w:ascii="Arial" w:hAnsi="Arial"/>
                <w:sz w:val="15"/>
              </w:rPr>
              <w:t xml:space="preserve">MSCI November-review price window</w:t>
            </w:r>
          </w:p>
        </w:tc>
        <w:tc>
          <w:tcPr>
            <w:tcW w:type="dxa" w:w="3247"/>
            <w:shd w:val="clear" w:color="auto" w:fill="F1F2F5"/>
          </w:tcPr>
          <w:p>
            <w:pPr>
              <w:pStyle w:val="Compact"/>
              <w:spacing w:after="0" w:before="0" w:line="240" w:lineRule="auto"/>
              <w:jc w:val="left"/>
            </w:pPr>
            <w:r>
              <w:rPr>
                <w:rFonts w:ascii="Arial" w:hAnsi="Arial"/>
                <w:sz w:val="15"/>
              </w:rPr>
              <w:t xml:space="preserve">Deletion risk if the free-float market cap is below the threshold [u]</w:t>
            </w:r>
          </w:p>
        </w:tc>
        <w:tc>
          <w:tcPr>
            <w:tcW w:type="dxa" w:w="1265"/>
            <w:shd w:val="clear" w:color="auto" w:fill="F1F2F5"/>
          </w:tcPr>
          <w:p>
            <w:pPr>
              <w:pStyle w:val="Compact"/>
              <w:spacing w:after="0" w:before="0" w:line="240" w:lineRule="auto"/>
              <w:jc w:val="center"/>
            </w:pPr>
            <w:r>
              <w:rPr>
                <w:rFonts w:ascii="Arial" w:hAnsi="Arial"/>
                <w:sz w:val="15"/>
              </w:rPr>
              <w:t xml:space="preserve">High</w:t>
            </w:r>
          </w:p>
        </w:tc>
      </w:tr>
      <w:tr>
        <w:trPr>
          <w:cantSplit/>
        </w:trPr>
        <w:tc>
          <w:tcPr>
            <w:tcW w:type="dxa" w:w="1727"/>
          </w:tcPr>
          <w:p>
            <w:pPr>
              <w:pStyle w:val="Compact"/>
              <w:spacing w:after="0" w:before="0" w:line="240" w:lineRule="auto"/>
              <w:jc w:val="left"/>
            </w:pPr>
            <w:r>
              <w:rPr>
                <w:rFonts w:ascii="Arial" w:hAnsi="Arial"/>
                <w:sz w:val="15"/>
              </w:rPr>
              <w:t xml:space="preserve">~5–7 Nov 2026 [e]</w:t>
            </w:r>
          </w:p>
        </w:tc>
        <w:tc>
          <w:tcPr>
            <w:tcW w:type="dxa" w:w="3739"/>
          </w:tcPr>
          <w:p>
            <w:pPr>
              <w:pStyle w:val="Compact"/>
              <w:spacing w:after="0" w:before="0" w:line="240" w:lineRule="auto"/>
              <w:jc w:val="left"/>
            </w:pPr>
            <w:r>
              <w:rPr>
                <w:bCs/>
                <w:rFonts w:ascii="Arial" w:hAnsi="Arial"/>
                <w:b/>
                <w:sz w:val="15"/>
              </w:rPr>
              <w:t xml:space="preserve">3Q26 results</w:t>
            </w:r>
            <w:r>
              <w:rPr>
                <w:rFonts w:ascii="Arial" w:hAnsi="Arial"/>
                <w:sz w:val="15"/>
              </w:rPr>
              <w:t xml:space="preserve"> </w:t>
            </w:r>
            <w:r>
              <w:rPr>
                <w:rFonts w:ascii="Arial" w:hAnsi="Arial"/>
                <w:sz w:val="15"/>
              </w:rPr>
              <w:t xml:space="preserve">(consensus OP KRW314bn)</w:t>
            </w:r>
          </w:p>
        </w:tc>
        <w:tc>
          <w:tcPr>
            <w:tcW w:type="dxa" w:w="3247"/>
          </w:tcPr>
          <w:p>
            <w:pPr>
              <w:pStyle w:val="Compact"/>
              <w:spacing w:after="0" w:before="0" w:line="240" w:lineRule="auto"/>
              <w:jc w:val="left"/>
            </w:pPr>
            <w:r>
              <w:rPr>
                <w:rFonts w:ascii="Arial" w:hAnsi="Arial"/>
                <w:sz w:val="15"/>
              </w:rPr>
              <w:t xml:space="preserve">Clean comparison (3Q25 had the ERP); wireless slowdown; AIDC; tax rate</w:t>
            </w:r>
          </w:p>
        </w:tc>
        <w:tc>
          <w:tcPr>
            <w:tcW w:type="dxa" w:w="1265"/>
          </w:tcPr>
          <w:p>
            <w:pPr>
              <w:pStyle w:val="Compact"/>
              <w:spacing w:after="0" w:before="0" w:line="240" w:lineRule="auto"/>
              <w:jc w:val="center"/>
            </w:pPr>
            <w:r>
              <w:rPr>
                <w:bCs/>
                <w:rFonts w:ascii="Arial" w:hAnsi="Arial"/>
                <w:b/>
                <w:sz w:val="15"/>
              </w:rPr>
              <w:t xml:space="preserve">High</w:t>
            </w:r>
          </w:p>
        </w:tc>
      </w:tr>
      <w:tr>
        <w:trPr>
          <w:cantSplit/>
        </w:trPr>
        <w:tc>
          <w:tcPr>
            <w:tcW w:type="dxa" w:w="1727"/>
            <w:shd w:val="clear" w:color="auto" w:fill="F1F2F5"/>
          </w:tcPr>
          <w:p>
            <w:pPr>
              <w:pStyle w:val="Compact"/>
              <w:spacing w:after="0" w:before="0" w:line="240" w:lineRule="auto"/>
              <w:jc w:val="left"/>
            </w:pPr>
            <w:r>
              <w:rPr>
                <w:rFonts w:ascii="Arial" w:hAnsi="Arial"/>
                <w:sz w:val="15"/>
              </w:rPr>
              <w:t xml:space="preserve">~10–12 Nov 2026 (effective 30-Nov)</w:t>
            </w:r>
          </w:p>
        </w:tc>
        <w:tc>
          <w:tcPr>
            <w:tcW w:type="dxa" w:w="3739"/>
            <w:shd w:val="clear" w:color="auto" w:fill="F1F2F5"/>
          </w:tcPr>
          <w:p>
            <w:pPr>
              <w:pStyle w:val="Compact"/>
              <w:spacing w:after="0" w:before="0" w:line="240" w:lineRule="auto"/>
              <w:jc w:val="left"/>
            </w:pPr>
            <w:r>
              <w:rPr>
                <w:bCs/>
                <w:rFonts w:ascii="Arial" w:hAnsi="Arial"/>
                <w:b/>
                <w:sz w:val="15"/>
              </w:rPr>
              <w:t xml:space="preserve">MSCI Korea review</w:t>
            </w:r>
            <w:r>
              <w:rPr>
                <w:rFonts w:ascii="Arial" w:hAnsi="Arial"/>
                <w:sz w:val="15"/>
              </w:rPr>
              <w:t xml:space="preserve">: possible deletion or foreign-inclusion-factor cut</w:t>
            </w:r>
          </w:p>
        </w:tc>
        <w:tc>
          <w:tcPr>
            <w:tcW w:type="dxa" w:w="3247"/>
            <w:shd w:val="clear" w:color="auto" w:fill="F1F2F5"/>
          </w:tcPr>
          <w:p>
            <w:pPr>
              <w:pStyle w:val="Compact"/>
              <w:spacing w:after="0" w:before="0" w:line="240" w:lineRule="auto"/>
              <w:jc w:val="left"/>
            </w:pPr>
            <w:r>
              <w:rPr>
                <w:rFonts w:ascii="Arial" w:hAnsi="Arial"/>
                <w:sz w:val="15"/>
              </w:rPr>
              <w:t xml:space="preserve">Forced passive selling; entry point</w:t>
            </w:r>
          </w:p>
        </w:tc>
        <w:tc>
          <w:tcPr>
            <w:tcW w:type="dxa" w:w="1265"/>
            <w:shd w:val="clear" w:color="auto" w:fill="F1F2F5"/>
          </w:tcPr>
          <w:p>
            <w:pPr>
              <w:pStyle w:val="Compact"/>
              <w:spacing w:after="0" w:before="0" w:line="240" w:lineRule="auto"/>
              <w:jc w:val="center"/>
            </w:pPr>
            <w:r>
              <w:rPr>
                <w:bCs/>
                <w:rFonts w:ascii="Arial" w:hAnsi="Arial"/>
                <w:b/>
                <w:sz w:val="15"/>
              </w:rPr>
              <w:t xml:space="preserve">High</w:t>
            </w:r>
          </w:p>
        </w:tc>
      </w:tr>
      <w:tr>
        <w:trPr>
          <w:cantSplit/>
        </w:trPr>
        <w:tc>
          <w:tcPr>
            <w:tcW w:type="dxa" w:w="1727"/>
          </w:tcPr>
          <w:p>
            <w:pPr>
              <w:pStyle w:val="Compact"/>
              <w:spacing w:after="0" w:before="0" w:line="240" w:lineRule="auto"/>
              <w:jc w:val="left"/>
            </w:pPr>
            <w:r>
              <w:rPr>
                <w:rFonts w:ascii="Arial" w:hAnsi="Arial"/>
                <w:sz w:val="15"/>
              </w:rPr>
              <w:t xml:space="preserve">Late Nov 2026</w:t>
            </w:r>
          </w:p>
        </w:tc>
        <w:tc>
          <w:tcPr>
            <w:tcW w:type="dxa" w:w="3739"/>
          </w:tcPr>
          <w:p>
            <w:pPr>
              <w:pStyle w:val="Compact"/>
              <w:spacing w:after="0" w:before="0" w:line="240" w:lineRule="auto"/>
              <w:jc w:val="left"/>
            </w:pPr>
            <w:r>
              <w:rPr>
                <w:rFonts w:ascii="Arial" w:hAnsi="Arial"/>
                <w:sz w:val="15"/>
              </w:rPr>
              <w:t xml:space="preserve">LG Group executive reshuffle; value-up plan update</w:t>
            </w:r>
          </w:p>
        </w:tc>
        <w:tc>
          <w:tcPr>
            <w:tcW w:type="dxa" w:w="3247"/>
          </w:tcPr>
          <w:p>
            <w:pPr>
              <w:pStyle w:val="Compact"/>
              <w:spacing w:after="0" w:before="0" w:line="240" w:lineRule="auto"/>
              <w:jc w:val="left"/>
            </w:pPr>
            <w:r>
              <w:rPr>
                <w:rFonts w:ascii="Arial" w:hAnsi="Arial"/>
                <w:sz w:val="15"/>
              </w:rPr>
              <w:t xml:space="preserve">CEO continuity; payout/ROE targets</w:t>
            </w:r>
          </w:p>
        </w:tc>
        <w:tc>
          <w:tcPr>
            <w:tcW w:type="dxa" w:w="1265"/>
          </w:tcPr>
          <w:p>
            <w:pPr>
              <w:pStyle w:val="Compact"/>
              <w:spacing w:after="0" w:before="0" w:line="240" w:lineRule="auto"/>
              <w:jc w:val="center"/>
            </w:pPr>
            <w:r>
              <w:rPr>
                <w:rFonts w:ascii="Arial" w:hAnsi="Arial"/>
                <w:sz w:val="15"/>
              </w:rPr>
              <w:t xml:space="preserve">Medium</w:t>
            </w:r>
          </w:p>
        </w:tc>
      </w:tr>
      <w:tr>
        <w:trPr>
          <w:cantSplit/>
        </w:trPr>
        <w:tc>
          <w:tcPr>
            <w:tcW w:type="dxa" w:w="1727"/>
            <w:shd w:val="clear" w:color="auto" w:fill="F1F2F5"/>
          </w:tcPr>
          <w:p>
            <w:pPr>
              <w:pStyle w:val="Compact"/>
              <w:spacing w:after="0" w:before="0" w:line="240" w:lineRule="auto"/>
              <w:jc w:val="left"/>
            </w:pPr>
            <w:r>
              <w:rPr>
                <w:rFonts w:ascii="Arial" w:hAnsi="Arial"/>
                <w:sz w:val="15"/>
              </w:rPr>
              <w:t xml:space="preserve">Q4-2026 to 1H-2027</w:t>
            </w:r>
          </w:p>
        </w:tc>
        <w:tc>
          <w:tcPr>
            <w:tcW w:type="dxa" w:w="3739"/>
            <w:shd w:val="clear" w:color="auto" w:fill="F1F2F5"/>
          </w:tcPr>
          <w:p>
            <w:pPr>
              <w:pStyle w:val="Compact"/>
              <w:spacing w:after="0" w:before="0" w:line="240" w:lineRule="auto"/>
              <w:jc w:val="left"/>
            </w:pPr>
            <w:r>
              <w:rPr>
                <w:bCs/>
                <w:rFonts w:ascii="Arial" w:hAnsi="Arial"/>
                <w:b/>
                <w:sz w:val="15"/>
              </w:rPr>
              <w:t xml:space="preserve">PIPC sanction decision and police investigation outcome</w:t>
            </w:r>
          </w:p>
        </w:tc>
        <w:tc>
          <w:tcPr>
            <w:tcW w:type="dxa" w:w="3247"/>
            <w:shd w:val="clear" w:color="auto" w:fill="F1F2F5"/>
          </w:tcPr>
          <w:p>
            <w:pPr>
              <w:pStyle w:val="Compact"/>
              <w:spacing w:after="0" w:before="0" w:line="240" w:lineRule="auto"/>
              <w:jc w:val="left"/>
            </w:pPr>
            <w:r>
              <w:rPr>
                <w:rFonts w:ascii="Arial" w:hAnsi="Arial"/>
                <w:sz w:val="15"/>
              </w:rPr>
              <w:t xml:space="preserve">Fine size (KRW50–300bn range [e]); licence conditions</w:t>
            </w:r>
          </w:p>
        </w:tc>
        <w:tc>
          <w:tcPr>
            <w:tcW w:type="dxa" w:w="1265"/>
            <w:shd w:val="clear" w:color="auto" w:fill="F1F2F5"/>
          </w:tcPr>
          <w:p>
            <w:pPr>
              <w:pStyle w:val="Compact"/>
              <w:spacing w:after="0" w:before="0" w:line="240" w:lineRule="auto"/>
              <w:jc w:val="center"/>
            </w:pPr>
            <w:r>
              <w:rPr>
                <w:bCs/>
                <w:rFonts w:ascii="Arial" w:hAnsi="Arial"/>
                <w:b/>
                <w:sz w:val="15"/>
              </w:rPr>
              <w:t xml:space="preserve">High</w:t>
            </w:r>
          </w:p>
        </w:tc>
      </w:tr>
      <w:tr>
        <w:trPr>
          <w:cantSplit/>
        </w:trPr>
        <w:tc>
          <w:tcPr>
            <w:tcW w:type="dxa" w:w="1727"/>
          </w:tcPr>
          <w:p>
            <w:pPr>
              <w:pStyle w:val="Compact"/>
              <w:spacing w:after="0" w:before="0" w:line="240" w:lineRule="auto"/>
              <w:jc w:val="left"/>
            </w:pPr>
            <w:r>
              <w:rPr>
                <w:rFonts w:ascii="Arial" w:hAnsi="Arial"/>
                <w:sz w:val="15"/>
              </w:rPr>
              <w:t xml:space="preserve">Dec-2026</w:t>
            </w:r>
          </w:p>
        </w:tc>
        <w:tc>
          <w:tcPr>
            <w:tcW w:type="dxa" w:w="3739"/>
          </w:tcPr>
          <w:p>
            <w:pPr>
              <w:pStyle w:val="Compact"/>
              <w:spacing w:after="0" w:before="0" w:line="240" w:lineRule="auto"/>
              <w:jc w:val="left"/>
            </w:pPr>
            <w:r>
              <w:rPr>
                <w:rFonts w:ascii="Arial" w:hAnsi="Arial"/>
                <w:sz w:val="15"/>
              </w:rPr>
              <w:t xml:space="preserve">3G/LTE licence expiry and re-allocation; 5G SA deadline</w:t>
            </w:r>
          </w:p>
        </w:tc>
        <w:tc>
          <w:tcPr>
            <w:tcW w:type="dxa" w:w="3247"/>
          </w:tcPr>
          <w:p>
            <w:pPr>
              <w:pStyle w:val="Compact"/>
              <w:spacing w:after="0" w:before="0" w:line="240" w:lineRule="auto"/>
              <w:jc w:val="left"/>
            </w:pPr>
            <w:r>
              <w:rPr>
                <w:rFonts w:ascii="Arial" w:hAnsi="Arial"/>
                <w:sz w:val="15"/>
              </w:rPr>
              <w:t xml:space="preserve">Fee terms and capex/FCF</w:t>
            </w:r>
          </w:p>
        </w:tc>
        <w:tc>
          <w:tcPr>
            <w:tcW w:type="dxa" w:w="1265"/>
          </w:tcPr>
          <w:p>
            <w:pPr>
              <w:pStyle w:val="Compact"/>
              <w:spacing w:after="0" w:before="0" w:line="240" w:lineRule="auto"/>
              <w:jc w:val="center"/>
            </w:pPr>
            <w:r>
              <w:rPr>
                <w:rFonts w:ascii="Arial" w:hAnsi="Arial"/>
                <w:sz w:val="15"/>
              </w:rPr>
              <w:t xml:space="preserve">Medium</w:t>
            </w:r>
          </w:p>
        </w:tc>
      </w:tr>
      <w:tr>
        <w:trPr>
          <w:cantSplit/>
        </w:trPr>
        <w:tc>
          <w:tcPr>
            <w:tcW w:type="dxa" w:w="1727"/>
            <w:shd w:val="clear" w:color="auto" w:fill="F1F2F5"/>
          </w:tcPr>
          <w:p>
            <w:pPr>
              <w:pStyle w:val="Compact"/>
              <w:spacing w:after="0" w:before="0" w:line="240" w:lineRule="auto"/>
              <w:jc w:val="left"/>
            </w:pPr>
            <w:r>
              <w:rPr>
                <w:rFonts w:ascii="Arial" w:hAnsi="Arial"/>
                <w:sz w:val="15"/>
              </w:rPr>
              <w:t xml:space="preserve">Late Jan 2027</w:t>
            </w:r>
          </w:p>
        </w:tc>
        <w:tc>
          <w:tcPr>
            <w:tcW w:type="dxa" w:w="3739"/>
            <w:shd w:val="clear" w:color="auto" w:fill="F1F2F5"/>
          </w:tcPr>
          <w:p>
            <w:pPr>
              <w:pStyle w:val="Compact"/>
              <w:spacing w:after="0" w:before="0" w:line="240" w:lineRule="auto"/>
              <w:jc w:val="left"/>
            </w:pPr>
            <w:r>
              <w:rPr>
                <w:rFonts w:ascii="Arial" w:hAnsi="Arial"/>
                <w:sz w:val="15"/>
              </w:rPr>
              <w:t xml:space="preserve">FY26 final DPS decision (consensus ~KRW425 final)</w:t>
            </w:r>
          </w:p>
        </w:tc>
        <w:tc>
          <w:tcPr>
            <w:tcW w:type="dxa" w:w="3247"/>
            <w:shd w:val="clear" w:color="auto" w:fill="F1F2F5"/>
          </w:tcPr>
          <w:p>
            <w:pPr>
              <w:pStyle w:val="Compact"/>
              <w:spacing w:after="0" w:before="0" w:line="240" w:lineRule="auto"/>
              <w:jc w:val="left"/>
            </w:pPr>
            <w:r>
              <w:rPr>
                <w:rFonts w:ascii="Arial" w:hAnsi="Arial"/>
                <w:sz w:val="15"/>
              </w:rPr>
              <w:t xml:space="preserve">Payout drift towards 60%</w:t>
            </w:r>
          </w:p>
        </w:tc>
        <w:tc>
          <w:tcPr>
            <w:tcW w:type="dxa" w:w="1265"/>
            <w:shd w:val="clear" w:color="auto" w:fill="F1F2F5"/>
          </w:tcPr>
          <w:p>
            <w:pPr>
              <w:pStyle w:val="Compact"/>
              <w:spacing w:after="0" w:before="0" w:line="240" w:lineRule="auto"/>
              <w:jc w:val="center"/>
            </w:pPr>
            <w:r>
              <w:rPr>
                <w:bCs/>
                <w:rFonts w:ascii="Arial" w:hAnsi="Arial"/>
                <w:b/>
                <w:sz w:val="15"/>
              </w:rPr>
              <w:t xml:space="preserve">High</w:t>
            </w:r>
          </w:p>
        </w:tc>
      </w:tr>
      <w:tr>
        <w:trPr>
          <w:cantSplit/>
        </w:trPr>
        <w:tc>
          <w:tcPr>
            <w:tcW w:type="dxa" w:w="1727"/>
          </w:tcPr>
          <w:p>
            <w:pPr>
              <w:pStyle w:val="Compact"/>
              <w:spacing w:after="0" w:before="0" w:line="240" w:lineRule="auto"/>
              <w:jc w:val="left"/>
            </w:pPr>
            <w:r>
              <w:rPr>
                <w:rFonts w:ascii="Arial" w:hAnsi="Arial"/>
                <w:sz w:val="15"/>
              </w:rPr>
              <w:t xml:space="preserve">~4–6 Feb 2027</w:t>
            </w:r>
          </w:p>
        </w:tc>
        <w:tc>
          <w:tcPr>
            <w:tcW w:type="dxa" w:w="3739"/>
          </w:tcPr>
          <w:p>
            <w:pPr>
              <w:pStyle w:val="Compact"/>
              <w:spacing w:after="0" w:before="0" w:line="240" w:lineRule="auto"/>
              <w:jc w:val="left"/>
            </w:pPr>
            <w:r>
              <w:rPr>
                <w:rFonts w:ascii="Arial" w:hAnsi="Arial"/>
                <w:sz w:val="15"/>
              </w:rPr>
              <w:t xml:space="preserve">4Q26/FY26 results; FY27 guidance</w:t>
            </w:r>
          </w:p>
        </w:tc>
        <w:tc>
          <w:tcPr>
            <w:tcW w:type="dxa" w:w="3247"/>
          </w:tcPr>
          <w:p>
            <w:pPr>
              <w:pStyle w:val="Compact"/>
              <w:spacing w:after="0" w:before="0" w:line="240" w:lineRule="auto"/>
              <w:jc w:val="left"/>
            </w:pPr>
            <w:r>
              <w:rPr>
                <w:rFonts w:ascii="Arial" w:hAnsi="Arial"/>
                <w:sz w:val="15"/>
              </w:rPr>
              <w:t xml:space="preserve">Service-revenue, capex and AIDC guidance</w:t>
            </w:r>
          </w:p>
        </w:tc>
        <w:tc>
          <w:tcPr>
            <w:tcW w:type="dxa" w:w="1265"/>
          </w:tcPr>
          <w:p>
            <w:pPr>
              <w:pStyle w:val="Compact"/>
              <w:spacing w:after="0" w:before="0" w:line="240" w:lineRule="auto"/>
              <w:jc w:val="center"/>
            </w:pPr>
            <w:r>
              <w:rPr>
                <w:bCs/>
                <w:rFonts w:ascii="Arial" w:hAnsi="Arial"/>
                <w:b/>
                <w:sz w:val="15"/>
              </w:rPr>
              <w:t xml:space="preserve">High</w:t>
            </w:r>
          </w:p>
        </w:tc>
      </w:tr>
      <w:tr>
        <w:trPr>
          <w:cantSplit/>
        </w:trPr>
        <w:tc>
          <w:tcPr>
            <w:tcW w:type="dxa" w:w="1727"/>
            <w:shd w:val="clear" w:color="auto" w:fill="F1F2F5"/>
          </w:tcPr>
          <w:p>
            <w:pPr>
              <w:pStyle w:val="Compact"/>
              <w:spacing w:after="0" w:before="0" w:line="240" w:lineRule="auto"/>
              <w:jc w:val="left"/>
            </w:pPr>
            <w:r>
              <w:rPr>
                <w:rFonts w:ascii="Arial" w:hAnsi="Arial"/>
                <w:sz w:val="15"/>
              </w:rPr>
              <w:t xml:space="preserve">13-Feb-2027</w:t>
            </w:r>
          </w:p>
        </w:tc>
        <w:tc>
          <w:tcPr>
            <w:tcW w:type="dxa" w:w="3739"/>
            <w:shd w:val="clear" w:color="auto" w:fill="F1F2F5"/>
          </w:tcPr>
          <w:p>
            <w:pPr>
              <w:pStyle w:val="Compact"/>
              <w:spacing w:after="0" w:before="0" w:line="240" w:lineRule="auto"/>
              <w:jc w:val="left"/>
            </w:pPr>
            <w:r>
              <w:rPr>
                <w:rFonts w:ascii="Arial" w:hAnsi="Arial"/>
                <w:sz w:val="15"/>
              </w:rPr>
              <w:t xml:space="preserve">KRW90bn buyback ends; cancellation follows</w:t>
            </w:r>
          </w:p>
        </w:tc>
        <w:tc>
          <w:tcPr>
            <w:tcW w:type="dxa" w:w="3247"/>
            <w:shd w:val="clear" w:color="auto" w:fill="F1F2F5"/>
          </w:tcPr>
          <w:p>
            <w:pPr>
              <w:pStyle w:val="Compact"/>
              <w:spacing w:after="0" w:before="0" w:line="240" w:lineRule="auto"/>
              <w:jc w:val="left"/>
            </w:pPr>
            <w:r>
              <w:rPr>
                <w:rFonts w:ascii="Arial" w:hAnsi="Arial"/>
                <w:sz w:val="15"/>
              </w:rPr>
              <w:t xml:space="preserve">~1.4% EPS accretion</w:t>
            </w:r>
          </w:p>
        </w:tc>
        <w:tc>
          <w:tcPr>
            <w:tcW w:type="dxa" w:w="1265"/>
            <w:shd w:val="clear" w:color="auto" w:fill="F1F2F5"/>
          </w:tcPr>
          <w:p>
            <w:pPr>
              <w:pStyle w:val="Compact"/>
              <w:spacing w:after="0" w:before="0" w:line="240" w:lineRule="auto"/>
              <w:jc w:val="center"/>
            </w:pPr>
            <w:r>
              <w:rPr>
                <w:rFonts w:ascii="Arial" w:hAnsi="Arial"/>
                <w:sz w:val="15"/>
              </w:rPr>
              <w:t xml:space="preserve">Medium</w:t>
            </w:r>
          </w:p>
        </w:tc>
      </w:tr>
      <w:tr>
        <w:trPr>
          <w:cantSplit/>
        </w:trPr>
        <w:tc>
          <w:tcPr>
            <w:tcW w:type="dxa" w:w="1727"/>
          </w:tcPr>
          <w:p>
            <w:pPr>
              <w:pStyle w:val="Compact"/>
              <w:spacing w:after="0" w:before="0" w:line="240" w:lineRule="auto"/>
              <w:jc w:val="left"/>
            </w:pPr>
            <w:r>
              <w:rPr>
                <w:rFonts w:ascii="Arial" w:hAnsi="Arial"/>
                <w:sz w:val="15"/>
              </w:rPr>
              <w:t xml:space="preserve">Mar-2027</w:t>
            </w:r>
          </w:p>
        </w:tc>
        <w:tc>
          <w:tcPr>
            <w:tcW w:type="dxa" w:w="3739"/>
          </w:tcPr>
          <w:p>
            <w:pPr>
              <w:pStyle w:val="Compact"/>
              <w:spacing w:after="0" w:before="0" w:line="240" w:lineRule="auto"/>
              <w:jc w:val="left"/>
            </w:pPr>
            <w:r>
              <w:rPr>
                <w:rFonts w:ascii="Arial" w:hAnsi="Arial"/>
                <w:sz w:val="15"/>
              </w:rPr>
              <w:t xml:space="preserve">AGM: first AGM under the cumulative-voting regime [u]; director elections (Kim Jong-woo at the 6-year cap)</w:t>
            </w:r>
          </w:p>
        </w:tc>
        <w:tc>
          <w:tcPr>
            <w:tcW w:type="dxa" w:w="3247"/>
          </w:tcPr>
          <w:p>
            <w:pPr>
              <w:pStyle w:val="Compact"/>
              <w:spacing w:after="0" w:before="0" w:line="240" w:lineRule="auto"/>
              <w:jc w:val="left"/>
            </w:pPr>
            <w:r>
              <w:rPr>
                <w:rFonts w:ascii="Arial" w:hAnsi="Arial"/>
                <w:sz w:val="15"/>
              </w:rPr>
              <w:t xml:space="preserve">Minority-shareholder window</w:t>
            </w:r>
          </w:p>
        </w:tc>
        <w:tc>
          <w:tcPr>
            <w:tcW w:type="dxa" w:w="1265"/>
          </w:tcPr>
          <w:p>
            <w:pPr>
              <w:pStyle w:val="Compact"/>
              <w:spacing w:after="0" w:before="0" w:line="240" w:lineRule="auto"/>
              <w:jc w:val="center"/>
            </w:pPr>
            <w:r>
              <w:rPr>
                <w:rFonts w:ascii="Arial" w:hAnsi="Arial"/>
                <w:sz w:val="15"/>
              </w:rPr>
              <w:t xml:space="preserve">Medium</w:t>
            </w:r>
          </w:p>
        </w:tc>
      </w:tr>
      <w:tr>
        <w:trPr>
          <w:cantSplit/>
        </w:trPr>
        <w:tc>
          <w:tcPr>
            <w:tcW w:type="dxa" w:w="1727"/>
            <w:shd w:val="clear" w:color="auto" w:fill="F1F2F5"/>
          </w:tcPr>
          <w:p>
            <w:pPr>
              <w:pStyle w:val="Compact"/>
              <w:spacing w:after="0" w:before="0" w:line="240" w:lineRule="auto"/>
              <w:jc w:val="left"/>
            </w:pPr>
            <w:r>
              <w:rPr>
                <w:rFonts w:ascii="Arial" w:hAnsi="Arial"/>
                <w:sz w:val="15"/>
              </w:rPr>
              <w:t xml:space="preserve">Jun-2027</w:t>
            </w:r>
          </w:p>
        </w:tc>
        <w:tc>
          <w:tcPr>
            <w:tcW w:type="dxa" w:w="3739"/>
            <w:shd w:val="clear" w:color="auto" w:fill="F1F2F5"/>
          </w:tcPr>
          <w:p>
            <w:pPr>
              <w:pStyle w:val="Compact"/>
              <w:spacing w:after="0" w:before="0" w:line="240" w:lineRule="auto"/>
              <w:jc w:val="left"/>
            </w:pPr>
            <w:r>
              <w:rPr>
                <w:rFonts w:ascii="Arial" w:hAnsi="Arial"/>
                <w:sz w:val="15"/>
              </w:rPr>
              <w:t xml:space="preserve">Paju AIDC DC1 (50MW) opens; MSCI market-classification review</w:t>
            </w:r>
          </w:p>
        </w:tc>
        <w:tc>
          <w:tcPr>
            <w:tcW w:type="dxa" w:w="3247"/>
            <w:shd w:val="clear" w:color="auto" w:fill="F1F2F5"/>
          </w:tcPr>
          <w:p>
            <w:pPr>
              <w:pStyle w:val="Compact"/>
              <w:spacing w:after="0" w:before="0" w:line="240" w:lineRule="auto"/>
              <w:jc w:val="left"/>
            </w:pPr>
            <w:r>
              <w:rPr>
                <w:rFonts w:ascii="Arial" w:hAnsi="Arial"/>
                <w:sz w:val="15"/>
              </w:rPr>
              <w:t xml:space="preserve">First AIDC revenue step-up</w:t>
            </w:r>
          </w:p>
        </w:tc>
        <w:tc>
          <w:tcPr>
            <w:tcW w:type="dxa" w:w="1265"/>
            <w:shd w:val="clear" w:color="auto" w:fill="F1F2F5"/>
          </w:tcPr>
          <w:p>
            <w:pPr>
              <w:pStyle w:val="Compact"/>
              <w:spacing w:after="0" w:before="0" w:line="240" w:lineRule="auto"/>
              <w:jc w:val="center"/>
            </w:pPr>
            <w:r>
              <w:rPr>
                <w:bCs/>
                <w:rFonts w:ascii="Arial" w:hAnsi="Arial"/>
                <w:b/>
                <w:sz w:val="15"/>
              </w:rPr>
              <w:t xml:space="preserve">High</w:t>
            </w:r>
          </w:p>
        </w:tc>
      </w:tr>
      <w:tr>
        <w:trPr>
          <w:cantSplit/>
        </w:trPr>
        <w:tc>
          <w:tcPr>
            <w:tcW w:type="dxa" w:w="1727"/>
          </w:tcPr>
          <w:p>
            <w:pPr>
              <w:pStyle w:val="Compact"/>
              <w:spacing w:after="0" w:before="0" w:line="240" w:lineRule="auto"/>
              <w:jc w:val="left"/>
            </w:pPr>
            <w:r>
              <w:rPr>
                <w:rFonts w:ascii="Arial" w:hAnsi="Arial"/>
                <w:sz w:val="15"/>
              </w:rPr>
              <w:t xml:space="preserve">Late Jul 2027</w:t>
            </w:r>
          </w:p>
        </w:tc>
        <w:tc>
          <w:tcPr>
            <w:tcW w:type="dxa" w:w="3739"/>
          </w:tcPr>
          <w:p>
            <w:pPr>
              <w:pStyle w:val="Compact"/>
              <w:spacing w:after="0" w:before="0" w:line="240" w:lineRule="auto"/>
              <w:jc w:val="left"/>
            </w:pPr>
            <w:r>
              <w:rPr>
                <w:rFonts w:ascii="Arial" w:hAnsi="Arial"/>
                <w:sz w:val="15"/>
              </w:rPr>
              <w:t xml:space="preserve">Interim DPS and new buyback decision</w:t>
            </w:r>
          </w:p>
        </w:tc>
        <w:tc>
          <w:tcPr>
            <w:tcW w:type="dxa" w:w="3247"/>
          </w:tcPr>
          <w:p>
            <w:pPr>
              <w:pStyle w:val="Compact"/>
              <w:spacing w:after="0" w:before="0" w:line="240" w:lineRule="auto"/>
              <w:jc w:val="left"/>
            </w:pPr>
            <w:r>
              <w:rPr>
                <w:rFonts w:ascii="Arial" w:hAnsi="Arial"/>
                <w:sz w:val="15"/>
              </w:rPr>
              <w:t xml:space="preserve">Recurring capital-return catalyst</w:t>
            </w:r>
          </w:p>
        </w:tc>
        <w:tc>
          <w:tcPr>
            <w:tcW w:type="dxa" w:w="1265"/>
          </w:tcPr>
          <w:p>
            <w:pPr>
              <w:pStyle w:val="Compact"/>
              <w:spacing w:after="0" w:before="0" w:line="240" w:lineRule="auto"/>
              <w:jc w:val="center"/>
            </w:pPr>
            <w:r>
              <w:rPr>
                <w:rFonts w:ascii="Arial" w:hAnsi="Arial"/>
                <w:sz w:val="15"/>
              </w:rPr>
              <w:t xml:space="preserve">High</w:t>
            </w:r>
          </w:p>
        </w:tc>
      </w:tr>
      <w:tr>
        <w:trPr>
          <w:cantSplit/>
        </w:trPr>
        <w:tc>
          <w:tcPr>
            <w:tcW w:type="dxa" w:w="1727"/>
            <w:shd w:val="clear" w:color="auto" w:fill="F1F2F5"/>
          </w:tcPr>
          <w:p>
            <w:pPr>
              <w:pStyle w:val="Compact"/>
              <w:spacing w:after="0" w:before="0" w:line="240" w:lineRule="auto"/>
              <w:jc w:val="left"/>
            </w:pPr>
            <w:r>
              <w:rPr>
                <w:rFonts w:ascii="Arial" w:hAnsi="Arial"/>
                <w:sz w:val="15"/>
              </w:rPr>
              <w:t xml:space="preserve">2027–28</w:t>
            </w:r>
          </w:p>
        </w:tc>
        <w:tc>
          <w:tcPr>
            <w:tcW w:type="dxa" w:w="3739"/>
            <w:shd w:val="clear" w:color="auto" w:fill="F1F2F5"/>
          </w:tcPr>
          <w:p>
            <w:pPr>
              <w:pStyle w:val="Compact"/>
              <w:spacing w:after="0" w:before="0" w:line="240" w:lineRule="auto"/>
              <w:jc w:val="left"/>
            </w:pPr>
            <w:r>
              <w:rPr>
                <w:rFonts w:ascii="Arial" w:hAnsi="Arial"/>
                <w:sz w:val="15"/>
              </w:rPr>
              <w:t xml:space="preserve">5G spectrum re-allocation framework (2028 expiries); Paju DC2/3 (Nov-2028)</w:t>
            </w:r>
          </w:p>
        </w:tc>
        <w:tc>
          <w:tcPr>
            <w:tcW w:type="dxa" w:w="3247"/>
            <w:shd w:val="clear" w:color="auto" w:fill="F1F2F5"/>
          </w:tcPr>
          <w:p>
            <w:pPr>
              <w:pStyle w:val="Compact"/>
              <w:spacing w:after="0" w:before="0" w:line="240" w:lineRule="auto"/>
              <w:jc w:val="left"/>
            </w:pPr>
            <w:r>
              <w:rPr>
                <w:rFonts w:ascii="Arial" w:hAnsi="Arial"/>
                <w:sz w:val="15"/>
              </w:rPr>
              <w:t xml:space="preserve">Fee overhang; AIDC lease-up</w:t>
            </w:r>
          </w:p>
        </w:tc>
        <w:tc>
          <w:tcPr>
            <w:tcW w:type="dxa" w:w="1265"/>
            <w:shd w:val="clear" w:color="auto" w:fill="F1F2F5"/>
          </w:tcPr>
          <w:p>
            <w:pPr>
              <w:pStyle w:val="Compact"/>
              <w:spacing w:after="0" w:before="0" w:line="240" w:lineRule="auto"/>
              <w:jc w:val="center"/>
            </w:pPr>
            <w:r>
              <w:rPr>
                <w:rFonts w:ascii="Arial" w:hAnsi="Arial"/>
                <w:sz w:val="15"/>
              </w:rPr>
              <w:t xml:space="preserve">Medium</w:t>
            </w:r>
          </w:p>
        </w:tc>
      </w:tr>
      <w:tr>
        <w:trPr>
          <w:cantSplit/>
        </w:trPr>
        <w:tc>
          <w:tcPr>
            <w:tcW w:type="dxa" w:w="1727"/>
          </w:tcPr>
          <w:p>
            <w:pPr>
              <w:pStyle w:val="Compact"/>
              <w:spacing w:after="0" w:before="0" w:line="240" w:lineRule="auto"/>
              <w:jc w:val="left"/>
            </w:pPr>
            <w:r>
              <w:rPr>
                <w:rFonts w:ascii="Arial" w:hAnsi="Arial"/>
                <w:sz w:val="15"/>
              </w:rPr>
              <w:t xml:space="preserve">Any time</w:t>
            </w:r>
          </w:p>
        </w:tc>
        <w:tc>
          <w:tcPr>
            <w:tcW w:type="dxa" w:w="3739"/>
          </w:tcPr>
          <w:p>
            <w:pPr>
              <w:pStyle w:val="Compact"/>
              <w:spacing w:after="0" w:before="0" w:line="240" w:lineRule="auto"/>
              <w:jc w:val="left"/>
            </w:pPr>
            <w:r>
              <w:rPr>
                <w:rFonts w:ascii="Arial" w:hAnsi="Arial"/>
                <w:sz w:val="15"/>
              </w:rPr>
              <w:t xml:space="preserve">AIDC partnership or stake sale; LGHV restructuring</w:t>
            </w:r>
          </w:p>
        </w:tc>
        <w:tc>
          <w:tcPr>
            <w:tcW w:type="dxa" w:w="3247"/>
          </w:tcPr>
          <w:p>
            <w:pPr>
              <w:pStyle w:val="Compact"/>
              <w:spacing w:after="0" w:before="0" w:line="240" w:lineRule="auto"/>
              <w:jc w:val="left"/>
            </w:pPr>
            <w:r>
              <w:rPr>
                <w:rFonts w:ascii="Arial" w:hAnsi="Arial"/>
                <w:sz w:val="15"/>
              </w:rPr>
              <w:t xml:space="preserve">Value crystallisation</w:t>
            </w:r>
          </w:p>
        </w:tc>
        <w:tc>
          <w:tcPr>
            <w:tcW w:type="dxa" w:w="1265"/>
          </w:tcPr>
          <w:p>
            <w:pPr>
              <w:pStyle w:val="Compact"/>
              <w:spacing w:after="0" w:before="0" w:line="240" w:lineRule="auto"/>
              <w:jc w:val="center"/>
            </w:pPr>
            <w:r>
              <w:rPr>
                <w:bCs/>
                <w:rFonts w:ascii="Arial" w:hAnsi="Arial"/>
                <w:b/>
                <w:sz w:val="15"/>
              </w:rPr>
              <w:t xml:space="preserve">Critical</w:t>
            </w:r>
          </w:p>
        </w:tc>
      </w:tr>
    </w:tbl>
    <w:bookmarkEnd w:id="132"/>
    <w:bookmarkEnd w:id="133"/>
    <w:bookmarkStart w:id="134" w:name="appendix-sources-methodology-and-caveats"/>
    <w:p>
      <w:pPr>
        <w:pStyle w:val="Heading1"/>
      </w:pPr>
      <w:r>
        <w:t xml:space="preserve">Appendix: sources, methodology and caveats</w:t>
      </w:r>
    </w:p>
    <w:p>
      <w:pPr>
        <w:numPr>
          <w:ilvl w:val="0"/>
          <w:numId w:val="1071"/>
        </w:numPr>
        <w:pStyle w:val="Compact"/>
      </w:pPr>
      <w:r>
        <w:rPr>
          <w:bCs/>
          <w:b/>
        </w:rPr>
        <w:t xml:space="preserve">Sources.</w:t>
      </w:r>
    </w:p>
    <w:p>
      <w:pPr>
        <w:numPr>
          <w:ilvl w:val="1"/>
          <w:numId w:val="1072"/>
        </w:numPr>
        <w:pStyle w:val="Compact"/>
      </w:pPr>
      <w:r>
        <w:t xml:space="preserve">Financial data: S&amp;P Capital IQ (via S&amp;P Global Adaptive and Deterministic Retrieval).</w:t>
      </w:r>
    </w:p>
    <w:p>
      <w:pPr>
        <w:numPr>
          <w:ilvl w:val="1"/>
          <w:numId w:val="1072"/>
        </w:numPr>
        <w:pStyle w:val="Compact"/>
      </w:pPr>
      <w:r>
        <w:t xml:space="preserve">Earnings-call tone and topics: ProntoNLP (transcripts and analytics for eight calls, 3Q24–2Q26).</w:t>
      </w:r>
    </w:p>
    <w:p>
      <w:pPr>
        <w:numPr>
          <w:ilvl w:val="1"/>
          <w:numId w:val="1072"/>
        </w:numPr>
        <w:pStyle w:val="Compact"/>
      </w:pPr>
      <w:r>
        <w:t xml:space="preserve">Company filings: DART half-year report 1H26, FY2024 annual report and quarterly earnings releases (via ProntoNLP-indexed copies).</w:t>
      </w:r>
    </w:p>
    <w:p>
      <w:pPr>
        <w:numPr>
          <w:ilvl w:val="1"/>
          <w:numId w:val="1072"/>
        </w:numPr>
        <w:pStyle w:val="Compact"/>
      </w:pPr>
      <w:r>
        <w:t xml:space="preserve">Press: Korea Herald, Korea JoongAng Daily, Korea Times, Yonhap, Edaily, Asiae, Hankyung, MT and others, via web search summaries.</w:t>
      </w:r>
    </w:p>
    <w:p>
      <w:pPr>
        <w:numPr>
          <w:ilvl w:val="0"/>
          <w:numId w:val="1071"/>
        </w:numPr>
        <w:pStyle w:val="Compact"/>
      </w:pPr>
      <w:r>
        <w:rPr>
          <w:bCs/>
          <w:b/>
        </w:rPr>
        <w:t xml:space="preserve">Limitations.</w:t>
      </w:r>
      <w:r>
        <w:t xml:space="preserve"> </w:t>
      </w:r>
      <w:r>
        <w:t xml:space="preserve">Direct access to DART, KRX and most Korean news sites was blocked in our research environment. Some items rest on a single secondary source and are marked</w:t>
      </w:r>
      <w:r>
        <w:t xml:space="preserve"> </w:t>
      </w:r>
      <w:r>
        <w:rPr>
          <w:bCs/>
          <w:b/>
        </w:rPr>
        <w:t xml:space="preserve">[u]</w:t>
      </w:r>
      <w:r>
        <w:t xml:space="preserve">. Our estimates are marked</w:t>
      </w:r>
      <w:r>
        <w:t xml:space="preserve"> </w:t>
      </w:r>
      <w:r>
        <w:rPr>
          <w:bCs/>
          <w:b/>
        </w:rPr>
        <w:t xml:space="preserve">[e]</w:t>
      </w:r>
      <w:r>
        <w:t xml:space="preserve">. Key items to verify against primary filings:</w:t>
      </w:r>
    </w:p>
    <w:p>
      <w:pPr>
        <w:numPr>
          <w:ilvl w:val="1"/>
          <w:numId w:val="1073"/>
        </w:numPr>
        <w:pStyle w:val="Compact"/>
      </w:pPr>
      <w:r>
        <w:t xml:space="preserve">the size of the 2Q26 one-offs;</w:t>
      </w:r>
    </w:p>
    <w:p>
      <w:pPr>
        <w:numPr>
          <w:ilvl w:val="1"/>
          <w:numId w:val="1073"/>
        </w:numPr>
        <w:pStyle w:val="Compact"/>
      </w:pPr>
      <w:r>
        <w:t xml:space="preserve">the AIDC revenue series;</w:t>
      </w:r>
    </w:p>
    <w:p>
      <w:pPr>
        <w:numPr>
          <w:ilvl w:val="1"/>
          <w:numId w:val="1073"/>
        </w:numPr>
        <w:pStyle w:val="Compact"/>
      </w:pPr>
      <w:r>
        <w:t xml:space="preserve">LG Uplus’s share of the 2026 spectrum fee;</w:t>
      </w:r>
    </w:p>
    <w:p>
      <w:pPr>
        <w:numPr>
          <w:ilvl w:val="1"/>
          <w:numId w:val="1073"/>
        </w:numPr>
        <w:pStyle w:val="Compact"/>
      </w:pPr>
      <w:r>
        <w:t xml:space="preserve">the KRX short balance;</w:t>
      </w:r>
    </w:p>
    <w:p>
      <w:pPr>
        <w:numPr>
          <w:ilvl w:val="1"/>
          <w:numId w:val="1073"/>
        </w:numPr>
        <w:pStyle w:val="Compact"/>
      </w:pPr>
      <w:r>
        <w:t xml:space="preserve">the full shareholder register;</w:t>
      </w:r>
    </w:p>
    <w:p>
      <w:pPr>
        <w:numPr>
          <w:ilvl w:val="1"/>
          <w:numId w:val="1073"/>
        </w:numPr>
        <w:pStyle w:val="Compact"/>
      </w:pPr>
      <w:r>
        <w:t xml:space="preserve">board departures at the 2026 AGM;</w:t>
      </w:r>
    </w:p>
    <w:p>
      <w:pPr>
        <w:numPr>
          <w:ilvl w:val="1"/>
          <w:numId w:val="1073"/>
        </w:numPr>
        <w:pStyle w:val="Compact"/>
      </w:pPr>
      <w:r>
        <w:t xml:space="preserve">the MSCI deletion analysis.</w:t>
      </w:r>
    </w:p>
    <w:p>
      <w:pPr>
        <w:numPr>
          <w:ilvl w:val="0"/>
          <w:numId w:val="1071"/>
        </w:numPr>
        <w:pStyle w:val="Compact"/>
      </w:pPr>
      <w:r>
        <w:rPr>
          <w:bCs/>
          <w:b/>
        </w:rPr>
        <w:t xml:space="preserve">Valuation basis.</w:t>
      </w:r>
      <w:r>
        <w:t xml:space="preserve"> </w:t>
      </w:r>
      <w:r>
        <w:t xml:space="preserve">TEV on S&amp;P Capital IQ basis (net debt excluding IFRS 16 leases; EBITDA post-IFRS 16). Lease-adjusted multiples are ~0.3x higher. Prices are as of 16-Oct-2026. FX: KRW1,335/US$.</w:t>
      </w:r>
    </w:p>
    <w:p>
      <w:pPr>
        <w:numPr>
          <w:ilvl w:val="0"/>
          <w:numId w:val="1071"/>
        </w:numPr>
        <w:pStyle w:val="Compact"/>
      </w:pPr>
      <w:r>
        <w:rPr>
          <w:bCs/>
          <w:b/>
        </w:rPr>
        <w:t xml:space="preserve">Disclaimer.</w:t>
      </w:r>
      <w:r>
        <w:t xml:space="preserve"> </w:t>
      </w:r>
      <w:r>
        <w:t xml:space="preserve">This report is for institutional investors and internal investment-committee use only. It is not investment advice or an offer to buy or sell securities. Estimates and opinions are as of the date shown and may change without notice.</w:t>
      </w:r>
    </w:p>
    <w:bookmarkEnd w:id="134"/>
    <w:sectPr>
      <w:headerReference w:type="default" r:id="rId9"/>
      <w:footerReference w:type="default" r:id="rId10"/>
      <w:pgSz w:h="16838" w:w="11906"/>
      <w:pgMar w:bottom="850" w:left="964" w:right="964" w:top="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w:hAnsi="Arial"/>
        <w:sz w:val="15"/>
      </w:rPr>
      <w:t xml:space="preserve">Page </w:t>
    </w:r>
    <w:r>
      <w:rPr>
        <w:sz w:val="15"/>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rial" w:hAnsi="Arial"/>
        <w:color w:val="52514E"/>
        <w:sz w:val="15"/>
      </w:rPr>
      <w:t>LG Uplus Corp. (032640 KS) | Equity Research | 17 October 2026</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hAnsi="Arial"/>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269" w:lineRule="auto"/>
    </w:pPr>
    <w:rPr>
      <w:rFonts w:ascii="Arial" w:cs="Arial" w:hAnsi="Arial"/>
      <w:sz w:val="19"/>
    </w:rPr>
  </w:style>
  <w:style w:styleId="BodyText" w:type="paragraph">
    <w:name w:val="Body Text"/>
    <w:basedOn w:val="Normal"/>
    <w:link w:val="BodyTextChar"/>
    <w:pPr>
      <w:spacing w:after="80" w:before="0" w:line="269" w:lineRule="auto"/>
    </w:pPr>
    <w:qFormat/>
    <w:rPr>
      <w:rFonts w:ascii="Arial" w:cs="Arial" w:hAnsi="Arial"/>
      <w:sz w:val="19"/>
    </w:rPr>
  </w:style>
  <w:style w:customStyle="1" w:styleId="FirstParagraph" w:type="paragraph">
    <w:name w:val="First Paragraph"/>
    <w:basedOn w:val="BodyText"/>
    <w:next w:val="BodyText"/>
    <w:qFormat/>
    <w:pPr>
      <w:spacing w:after="80" w:before="0" w:line="269" w:lineRule="auto"/>
    </w:pPr>
    <w:rPr>
      <w:rFonts w:ascii="Arial" w:cs="Arial" w:hAnsi="Arial"/>
      <w:sz w:val="19"/>
    </w:rPr>
  </w:style>
  <w:style w:customStyle="1" w:styleId="Compact" w:type="paragraph">
    <w:name w:val="Compact"/>
    <w:basedOn w:val="BodyText"/>
    <w:qFormat/>
    <w:pPr>
      <w:spacing w:after="80" w:before="0" w:line="269" w:lineRule="auto"/>
    </w:pPr>
    <w:rPr>
      <w:rFonts w:ascii="Arial" w:cs="Arial" w:hAnsi="Arial"/>
      <w:sz w:val="19"/>
    </w:rPr>
  </w:style>
  <w:style w:styleId="Title" w:type="paragraph">
    <w:name w:val="Title"/>
    <w:basedOn w:val="Normal"/>
    <w:next w:val="BodyText"/>
    <w:qFormat/>
    <w:pPr>
      <w:keepNext/>
      <w:keepLines/>
      <w:spacing w:after="80" w:before="160"/>
      <w:jc w:val="center"/>
    </w:pPr>
    <w:rPr>
      <w:rFonts w:ascii="Arial" w:cs="Arial" w:hAnsi="Arial"/>
      <w:b/>
      <w:bCs/>
      <w:i w:val="0"/>
      <w:color w:val="13213F"/>
      <w:sz w:val="44"/>
      <w:szCs w:val="36"/>
    </w:rPr>
  </w:style>
  <w:style w:styleId="Subtitle" w:type="paragraph">
    <w:name w:val="Subtitle"/>
    <w:basedOn w:val="Title"/>
    <w:next w:val="BodyText"/>
    <w:qFormat/>
    <w:pPr>
      <w:keepNext/>
      <w:keepLines/>
      <w:spacing w:after="80" w:before="160"/>
      <w:jc w:val="center"/>
    </w:pPr>
    <w:rPr>
      <w:rFonts w:ascii="Arial" w:cs="Arial" w:hAnsi="Arial"/>
      <w:b/>
      <w:i w:val="0"/>
      <w:color w:val="2A5CAA"/>
      <w:sz w:val="24"/>
      <w:szCs w:val="30"/>
    </w:rPr>
  </w:style>
  <w:style w:customStyle="1" w:styleId="Author" w:type="paragraph">
    <w:name w:val="Author"/>
    <w:next w:val="BodyText"/>
    <w:qFormat/>
    <w:pPr>
      <w:keepNext/>
      <w:keepLines/>
      <w:jc w:val="center"/>
    </w:pPr>
    <w:rPr>
      <w:rFonts w:ascii="Arial" w:cs="Arial" w:hAnsi="Arial"/>
      <w:sz w:val="18"/>
    </w:rPr>
  </w:style>
  <w:style w:styleId="Date" w:type="paragraph">
    <w:name w:val="Date"/>
    <w:next w:val="BodyText"/>
    <w:qFormat/>
    <w:pPr>
      <w:keepNext/>
      <w:keepLines/>
      <w:jc w:val="center"/>
    </w:pPr>
    <w:rPr>
      <w:rFonts w:ascii="Arial" w:cs="Arial" w:hAnsi="Arial"/>
      <w:sz w:val="18"/>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40"/>
      <w:outlineLvl w:val="0"/>
    </w:pPr>
    <w:rPr>
      <w:rFonts w:ascii="Arial" w:cs="Arial" w:hAnsi="Arial"/>
      <w:b/>
      <w:bCs/>
      <w:i w:val="0"/>
      <w:color w:val="13213F"/>
      <w:sz w:val="30"/>
      <w:szCs w:val="32"/>
    </w:rPr>
  </w:style>
  <w:style w:styleId="Heading2" w:type="paragraph">
    <w:name w:val="Heading 2"/>
    <w:basedOn w:val="Normal"/>
    <w:next w:val="BodyText"/>
    <w:uiPriority w:val="9"/>
    <w:unhideWhenUsed/>
    <w:qFormat/>
    <w:pPr>
      <w:keepNext/>
      <w:keepLines/>
      <w:spacing w:after="80" w:before="160"/>
      <w:outlineLvl w:val="1"/>
    </w:pPr>
    <w:rPr>
      <w:rFonts w:ascii="Arial" w:cs="Arial" w:hAnsi="Arial"/>
      <w:b/>
      <w:bCs/>
      <w:i w:val="0"/>
      <w:color w:val="2A5CAA"/>
      <w:sz w:val="24"/>
      <w:szCs w:val="28"/>
    </w:rPr>
  </w:style>
  <w:style w:styleId="Heading3" w:type="paragraph">
    <w:name w:val="Heading 3"/>
    <w:basedOn w:val="Normal"/>
    <w:next w:val="BodyText"/>
    <w:uiPriority w:val="9"/>
    <w:unhideWhenUsed/>
    <w:qFormat/>
    <w:pPr>
      <w:keepNext/>
      <w:keepLines/>
      <w:spacing w:after="80" w:before="160"/>
      <w:outlineLvl w:val="2"/>
    </w:pPr>
    <w:rPr>
      <w:rFonts w:ascii="Arial" w:cs="Arial" w:hAnsi="Arial"/>
      <w:b/>
      <w:bCs/>
      <w:i w:val="0"/>
      <w:color w:val="13213F"/>
      <w:sz w:val="21"/>
      <w:szCs w:val="24"/>
    </w:rPr>
  </w:style>
  <w:style w:styleId="Heading4" w:type="paragraph">
    <w:name w:val="Heading 4"/>
    <w:basedOn w:val="Normal"/>
    <w:next w:val="BodyText"/>
    <w:uiPriority w:val="9"/>
    <w:unhideWhenUsed/>
    <w:qFormat/>
    <w:pPr>
      <w:keepNext/>
      <w:keepLines/>
      <w:spacing w:after="80" w:before="160"/>
      <w:outlineLvl w:val="3"/>
    </w:pPr>
    <w:rPr>
      <w:rFonts w:ascii="Arial" w:cs="Arial" w:hAnsi="Arial"/>
      <w:i w:val="0"/>
      <w:b/>
      <w:bCs/>
      <w:color w:val="13213F"/>
      <w:sz w:val="20"/>
      <w:szCs w:val="24"/>
    </w:rPr>
  </w:style>
  <w:style w:styleId="Heading5" w:type="paragraph">
    <w:name w:val="Heading 5"/>
    <w:basedOn w:val="Normal"/>
    <w:next w:val="BodyText"/>
    <w:uiPriority w:val="9"/>
    <w:unhideWhenUsed/>
    <w:qFormat/>
    <w:pPr>
      <w:keepNext/>
      <w:keepLines/>
      <w:spacing w:after="0" w:before="200"/>
      <w:outlineLvl w:val="4"/>
    </w:pPr>
    <w:rPr>
      <w:rFonts w:ascii="Arial" w:cs="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Arial" w:cs="Arial" w:hAnsi="Arial"/>
      <w:i/>
      <w:color w:val="52514E"/>
      <w:sz w:val="16"/>
    </w:rPr>
  </w:style>
  <w:style w:customStyle="1" w:styleId="TableCaption" w:type="paragraph">
    <w:name w:val="Table Caption"/>
    <w:basedOn w:val="Caption"/>
    <w:pPr>
      <w:keepNext/>
    </w:pPr>
    <w:rPr>
      <w:rFonts w:ascii="Arial" w:cs="Arial" w:hAnsi="Arial"/>
      <w:i/>
      <w:color w:val="52514E"/>
      <w:sz w:val="16"/>
    </w:rPr>
  </w:style>
  <w:style w:customStyle="1" w:styleId="ImageCaption" w:type="paragraph">
    <w:name w:val="Image Caption"/>
    <w:basedOn w:val="Caption"/>
    <w:rPr>
      <w:rFonts w:ascii="Arial" w:cs="Arial" w:hAnsi="Arial"/>
      <w:i/>
      <w:color w:val="52514E"/>
      <w:sz w:val="16"/>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5" Type="http://schemas.openxmlformats.org/officeDocument/2006/relationships/image" Target="media/rId55.png"/><Relationship Id="rId39" Type="http://schemas.openxmlformats.org/officeDocument/2006/relationships/image" Target="media/rId39.png"/><Relationship Id="rId48" Type="http://schemas.openxmlformats.org/officeDocument/2006/relationships/image" Target="media/rId48.png"/><Relationship Id="rId86" Type="http://schemas.openxmlformats.org/officeDocument/2006/relationships/image" Target="media/rId86.png"/><Relationship Id="rId52" Type="http://schemas.openxmlformats.org/officeDocument/2006/relationships/image" Target="media/rId52.png"/><Relationship Id="rId60" Type="http://schemas.openxmlformats.org/officeDocument/2006/relationships/image" Target="media/rId60.png"/><Relationship Id="rId63" Type="http://schemas.openxmlformats.org/officeDocument/2006/relationships/image" Target="media/rId63.png"/><Relationship Id="rId90" Type="http://schemas.openxmlformats.org/officeDocument/2006/relationships/image" Target="media/rId90.png"/><Relationship Id="rId111" Type="http://schemas.openxmlformats.org/officeDocument/2006/relationships/image" Target="media/rId111.png"/><Relationship Id="rId121" Type="http://schemas.openxmlformats.org/officeDocument/2006/relationships/image" Target="media/rId121.png"/><Relationship Id="rId44" Type="http://schemas.openxmlformats.org/officeDocument/2006/relationships/image" Target="media/rId44.png"/><Relationship Id="rId68" Type="http://schemas.openxmlformats.org/officeDocument/2006/relationships/image" Target="media/rId68.png"/><Relationship Id="rId124" Type="http://schemas.openxmlformats.org/officeDocument/2006/relationships/image" Target="media/rId124.png"/><Relationship Id="rId31" Type="http://schemas.openxmlformats.org/officeDocument/2006/relationships/image" Target="media/rId31.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LG Uplus Corp. (032640 KS)</dc:title>
  <dc:creator>Event-Driven &amp; Special Situations | Equity Research</dc:creator>
  <cp:keywords/>
  <dcterms:created xsi:type="dcterms:W3CDTF">2026-10-17T17:31:08Z</dcterms:created>
  <dcterms:modified xsi:type="dcterms:W3CDTF">2026-10-17T17:31:08Z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17 October 2026 | Reference price KRW15,510 (close 16-Oct-2026)</vt:lpwstr>
  </property>
  <property fmtid="{D5CDD505-2E9C-101B-9397-08002B2CF9AE}" pid="3" name="subtitle">
    <vt:lpwstr>Institutional equity research: a ~2x-EBITDA telecom core with an AI data-centre platform attached</vt:lpwstr>
  </property>
</Properties>
</file>