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Genting Malaysia Berhad (GENM MK / Bursa 4715): Equity Research Deep-Dive</w:t>
      </w:r>
    </w:p>
    <w:p>
      <w:pPr>
        <w:spacing w:after="120" w:line="276"/>
      </w:pPr>
      <w:r>
        <w:rPr>
          <w:rFonts w:ascii="Arial" w:cs="Arial" w:eastAsia="Arial" w:hAnsi="Arial"/>
          <w:b/>
          <w:bCs/>
          <w:sz w:val="19"/>
          <w:szCs w:val="19"/>
        </w:rPr>
        <w:t xml:space="preserve">Event-driven / special situation | Leisure &amp; Gaming | Malaysia, United States, United Kingdom | 18 October 2026</w:t>
      </w:r>
    </w:p>
    <w:p>
      <w:pPr>
        <w:pBdr>
          <w:left w:val="single" w:color="14213D" w:sz="24" w:space="8"/>
        </w:pBdr>
        <w:shd w:fill="EEF1F6" w:color="auto" w:val="clear"/>
        <w:spacing w:after="160" w:before="120" w:line="276"/>
        <w:ind w:left="180" w:right="120"/>
      </w:pPr>
      <w:r>
        <w:rPr>
          <w:rFonts w:ascii="Arial" w:cs="Arial" w:eastAsia="Arial" w:hAnsi="Arial"/>
          <w:b/>
          <w:bCs/>
          <w:sz w:val="19"/>
          <w:szCs w:val="19"/>
        </w:rPr>
        <w:t xml:space="preserve">Recommendation: SPECULATIVE BUY (event-driven, half position). 12-month target RM1.85 (+46%); probability-weighted value RM1.94 (+53%); bear case RM0.76 (−40%).</w:t>
      </w:r>
      <w:r>
        <w:rPr>
          <w:rFonts w:ascii="Arial" w:cs="Arial" w:eastAsia="Arial" w:hAnsi="Arial"/>
          <w:sz w:val="19"/>
          <w:szCs w:val="19"/>
        </w:rPr>
        <w:t xml:space="preserve"> Malaysia's only casino and New York City's only full casino, owned through a levered equity stub that the market has priced for its parent's problems. At RM1.27, 46% below the lapsed RM2.35 offer, the market pays ~US$0.7bn for the whole US business (≈ the licence fee) if RWG is valued at 7x. Minorities' &gt;10% veto over any delisting makes this a blocking-stake event rather than a pure value bet.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5"/>
        <w:gridCol w:w="2272"/>
        <w:gridCol w:w="2100"/>
        <w:gridCol w:w="3009"/>
      </w:tblGrid>
      <w:tr>
        <w:trPr>
          <w:tblHeader/>
        </w:trPr>
        <w:tc>
          <w:tcPr>
            <w:tcW w:type="dxa" w:w="252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Key data (16-Oct-2026 close)</w:t>
            </w:r>
          </w:p>
        </w:tc>
        <w:tc>
          <w:tcPr>
            <w:tcW w:type="dxa" w:w="227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p>
        </w:tc>
        <w:tc>
          <w:tcPr>
            <w:tcW w:type="dxa" w:w="210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Key data</w:t>
            </w:r>
          </w:p>
        </w:tc>
        <w:tc>
          <w:tcPr>
            <w:tcW w:type="dxa" w:w="300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p>
        </w:tc>
      </w:tr>
      <w:tr>
        <w:trPr>
          <w:cantSplit/>
        </w:trPr>
        <w:tc>
          <w:tcPr>
            <w:tcW w:type="dxa" w:w="25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Share price</w:t>
            </w:r>
          </w:p>
        </w:tc>
        <w:tc>
          <w:tcPr>
            <w:tcW w:type="dxa" w:w="22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RM1.27 (10-year low)</w:t>
            </w:r>
          </w:p>
        </w:tc>
        <w:tc>
          <w:tcPr>
            <w:tcW w:type="dxa" w:w="210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Largest shareholder</w:t>
            </w:r>
          </w:p>
        </w:tc>
        <w:tc>
          <w:tcPr>
            <w:tcW w:type="dxa" w:w="30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Genting Bhd 73.84% (Lim family via Kien Huat)</w:t>
            </w:r>
          </w:p>
        </w:tc>
      </w:tr>
      <w:tr>
        <w:trPr>
          <w:cantSplit/>
        </w:trPr>
        <w:tc>
          <w:tcPr>
            <w:tcW w:type="dxa" w:w="252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52-week closing range</w:t>
            </w:r>
          </w:p>
        </w:tc>
        <w:tc>
          <w:tcPr>
            <w:tcW w:type="dxa" w:w="227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RM1.23-2.37</w:t>
            </w:r>
          </w:p>
        </w:tc>
        <w:tc>
          <w:tcPr>
            <w:tcW w:type="dxa" w:w="210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Free float</w:t>
            </w:r>
          </w:p>
        </w:tc>
        <w:tc>
          <w:tcPr>
            <w:tcW w:type="dxa" w:w="30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~26.2%</w:t>
            </w:r>
          </w:p>
        </w:tc>
      </w:tr>
      <w:tr>
        <w:trPr>
          <w:cantSplit/>
        </w:trPr>
        <w:tc>
          <w:tcPr>
            <w:tcW w:type="dxa" w:w="25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Market cap</w:t>
            </w:r>
          </w:p>
        </w:tc>
        <w:tc>
          <w:tcPr>
            <w:tcW w:type="dxa" w:w="22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RM7.2bn / US$1.76bn</w:t>
            </w:r>
          </w:p>
        </w:tc>
        <w:tc>
          <w:tcPr>
            <w:tcW w:type="dxa" w:w="210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Lapsed parent offer</w:t>
            </w:r>
          </w:p>
        </w:tc>
        <w:tc>
          <w:tcPr>
            <w:tcW w:type="dxa" w:w="30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RM2.35 (Oct-Dec 2025; closed at 73.13%)</w:t>
            </w:r>
          </w:p>
        </w:tc>
      </w:tr>
      <w:tr>
        <w:trPr>
          <w:cantSplit/>
        </w:trPr>
        <w:tc>
          <w:tcPr>
            <w:tcW w:type="dxa" w:w="252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EV (incl. leases)</w:t>
            </w:r>
          </w:p>
        </w:tc>
        <w:tc>
          <w:tcPr>
            <w:tcW w:type="dxa" w:w="227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RM21.4bn (CIQ TEV RM20.4bn)</w:t>
            </w:r>
          </w:p>
        </w:tc>
        <w:tc>
          <w:tcPr>
            <w:tcW w:type="dxa" w:w="210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Independent adviser SOTP (Nov-25)</w:t>
            </w:r>
          </w:p>
        </w:tc>
        <w:tc>
          <w:tcPr>
            <w:tcW w:type="dxa" w:w="30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RM3.48-3.77</w:t>
            </w:r>
          </w:p>
        </w:tc>
      </w:tr>
      <w:tr>
        <w:trPr>
          <w:cantSplit/>
        </w:trPr>
        <w:tc>
          <w:tcPr>
            <w:tcW w:type="dxa" w:w="25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Net debt incl. leases (Jun-26)</w:t>
            </w:r>
          </w:p>
        </w:tc>
        <w:tc>
          <w:tcPr>
            <w:tcW w:type="dxa" w:w="22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RM14.2bn (4.9x LTM adj. EBITDA ex-FX)</w:t>
            </w:r>
          </w:p>
        </w:tc>
        <w:tc>
          <w:tcPr>
            <w:tcW w:type="dxa" w:w="210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Consensus target (pre-12-Oct)</w:t>
            </w:r>
          </w:p>
        </w:tc>
        <w:tc>
          <w:tcPr>
            <w:tcW w:type="dxa" w:w="30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RM2.19 mean / RM1.89 median (4 Buy, 8 Hold)</w:t>
            </w:r>
          </w:p>
        </w:tc>
      </w:tr>
      <w:tr>
        <w:trPr>
          <w:cantSplit/>
        </w:trPr>
        <w:tc>
          <w:tcPr>
            <w:tcW w:type="dxa" w:w="252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EV / FY26E-FY27E EBITDA (ours)</w:t>
            </w:r>
          </w:p>
        </w:tc>
        <w:tc>
          <w:tcPr>
            <w:tcW w:type="dxa" w:w="227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6.8x / 6.3x</w:t>
            </w:r>
          </w:p>
        </w:tc>
        <w:tc>
          <w:tcPr>
            <w:tcW w:type="dxa" w:w="210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Credit ratings</w:t>
            </w:r>
          </w:p>
        </w:tc>
        <w:tc>
          <w:tcPr>
            <w:tcW w:type="dxa" w:w="30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Fitch BBB- (Sep-26); RAM AA1</w:t>
            </w:r>
          </w:p>
        </w:tc>
      </w:tr>
      <w:tr>
        <w:trPr>
          <w:cantSplit/>
        </w:trPr>
        <w:tc>
          <w:tcPr>
            <w:tcW w:type="dxa" w:w="25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P/E FY26E-FY27E (our EPS 4.3 / 8.6 sen)</w:t>
            </w:r>
          </w:p>
        </w:tc>
        <w:tc>
          <w:tcPr>
            <w:tcW w:type="dxa" w:w="22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29.6x / 14.8x</w:t>
            </w:r>
          </w:p>
        </w:tc>
        <w:tc>
          <w:tcPr>
            <w:tcW w:type="dxa" w:w="210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Dividend</w:t>
            </w:r>
          </w:p>
        </w:tc>
        <w:tc>
          <w:tcPr>
            <w:tcW w:type="dxa" w:w="30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FY25 7 sen (5.5%); FY26E 5 sen (ours)</w:t>
            </w:r>
          </w:p>
        </w:tc>
      </w:tr>
      <w:tr>
        <w:trPr>
          <w:cantSplit/>
        </w:trPr>
        <w:tc>
          <w:tcPr>
            <w:tcW w:type="dxa" w:w="252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P/B</w:t>
            </w:r>
          </w:p>
        </w:tc>
        <w:tc>
          <w:tcPr>
            <w:tcW w:type="dxa" w:w="227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0.64x (record low)</w:t>
            </w:r>
          </w:p>
        </w:tc>
        <w:tc>
          <w:tcPr>
            <w:tcW w:type="dxa" w:w="210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Next catalyst</w:t>
            </w:r>
          </w:p>
        </w:tc>
        <w:tc>
          <w:tcPr>
            <w:tcW w:type="dxa" w:w="30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3Q26 results (~26-Nov-2026)</w:t>
            </w:r>
          </w:p>
        </w:tc>
      </w:tr>
    </w:tbl>
    <w:p>
      <w:pPr>
        <w:spacing w:after="60"/>
      </w:pPr>
    </w:p>
    <w:p>
      <w:r>
        <w:br w:type="page"/>
      </w:r>
    </w:p>
    <w:p>
      <w:pPr>
        <w:spacing w:after="120" w:before="120"/>
      </w:pPr>
      <w:r>
        <w:rPr>
          <w:rFonts w:ascii="Arial" w:cs="Arial" w:eastAsia="Arial" w:hAnsi="Arial"/>
          <w:b/>
          <w:bCs/>
          <w:color w:val="14213D"/>
          <w:sz w:val="26"/>
          <w:szCs w:val="26"/>
        </w:rPr>
        <w:t xml:space="preserve">Contents</w:t>
      </w:r>
    </w:p>
    <w:p>
      <w:pPr>
        <w:spacing w:after="30"/>
      </w:pPr>
      <w:r>
        <w:rPr>
          <w:rFonts w:ascii="Arial" w:cs="Arial" w:eastAsia="Arial" w:hAnsi="Arial"/>
          <w:color w:val="1A1F2B"/>
          <w:sz w:val="18"/>
          <w:szCs w:val="18"/>
        </w:rPr>
        <w:t xml:space="preserve">1. Executive Summary and Investment Conclusion</w:t>
      </w:r>
    </w:p>
    <w:p>
      <w:pPr>
        <w:spacing w:after="30"/>
      </w:pPr>
      <w:r>
        <w:rPr>
          <w:rFonts w:ascii="Arial" w:cs="Arial" w:eastAsia="Arial" w:hAnsi="Arial"/>
          <w:color w:val="1A1F2B"/>
          <w:sz w:val="18"/>
          <w:szCs w:val="18"/>
        </w:rPr>
        <w:t xml:space="preserve">2. Layman's Guide: What Genting Malaysia Does and How It Makes Money</w:t>
      </w:r>
    </w:p>
    <w:p>
      <w:pPr>
        <w:spacing w:after="30"/>
      </w:pPr>
      <w:r>
        <w:rPr>
          <w:rFonts w:ascii="Arial" w:cs="Arial" w:eastAsia="Arial" w:hAnsi="Arial"/>
          <w:color w:val="1A1F2B"/>
          <w:sz w:val="18"/>
          <w:szCs w:val="18"/>
        </w:rPr>
        <w:t xml:space="preserve">3. Business Model, Products, Customers, Suppliers and Competitors</w:t>
      </w:r>
    </w:p>
    <w:p>
      <w:pPr>
        <w:spacing w:after="30"/>
      </w:pPr>
      <w:r>
        <w:rPr>
          <w:rFonts w:ascii="Arial" w:cs="Arial" w:eastAsia="Arial" w:hAnsi="Arial"/>
          <w:color w:val="1A1F2B"/>
          <w:sz w:val="18"/>
          <w:szCs w:val="18"/>
        </w:rPr>
        <w:t xml:space="preserve">4. Key Business Drivers</w:t>
      </w:r>
    </w:p>
    <w:p>
      <w:pPr>
        <w:spacing w:after="30"/>
      </w:pPr>
      <w:r>
        <w:rPr>
          <w:rFonts w:ascii="Arial" w:cs="Arial" w:eastAsia="Arial" w:hAnsi="Arial"/>
          <w:color w:val="1A1F2B"/>
          <w:sz w:val="18"/>
          <w:szCs w:val="18"/>
        </w:rPr>
        <w:t xml:space="preserve">5. Macro and Micro Factors; Tailwinds and Headwinds</w:t>
      </w:r>
    </w:p>
    <w:p>
      <w:pPr>
        <w:spacing w:after="30"/>
      </w:pPr>
      <w:r>
        <w:rPr>
          <w:rFonts w:ascii="Arial" w:cs="Arial" w:eastAsia="Arial" w:hAnsi="Arial"/>
          <w:color w:val="1A1F2B"/>
          <w:sz w:val="18"/>
          <w:szCs w:val="18"/>
        </w:rPr>
        <w:t xml:space="preserve">6. Competitive Position and Economic Moats</w:t>
      </w:r>
    </w:p>
    <w:p>
      <w:pPr>
        <w:spacing w:after="30"/>
      </w:pPr>
      <w:r>
        <w:rPr>
          <w:rFonts w:ascii="Arial" w:cs="Arial" w:eastAsia="Arial" w:hAnsi="Arial"/>
          <w:color w:val="1A1F2B"/>
          <w:sz w:val="18"/>
          <w:szCs w:val="18"/>
        </w:rPr>
        <w:t xml:space="preserve">7. Supply Chain Map: From Upstream Inputs to the End Customer</w:t>
      </w:r>
    </w:p>
    <w:p>
      <w:pPr>
        <w:spacing w:after="30"/>
      </w:pPr>
      <w:r>
        <w:rPr>
          <w:rFonts w:ascii="Arial" w:cs="Arial" w:eastAsia="Arial" w:hAnsi="Arial"/>
          <w:color w:val="1A1F2B"/>
          <w:sz w:val="18"/>
          <w:szCs w:val="18"/>
        </w:rPr>
        <w:t xml:space="preserve">8. Five-Year Financial Analysis by Division and Geography</w:t>
      </w:r>
    </w:p>
    <w:p>
      <w:pPr>
        <w:spacing w:after="30"/>
      </w:pPr>
      <w:r>
        <w:rPr>
          <w:rFonts w:ascii="Arial" w:cs="Arial" w:eastAsia="Arial" w:hAnsi="Arial"/>
          <w:color w:val="1A1F2B"/>
          <w:sz w:val="18"/>
          <w:szCs w:val="18"/>
        </w:rPr>
        <w:t xml:space="preserve">9. Historical Share Price Catalysts (Moves of More Than 10%)</w:t>
      </w:r>
    </w:p>
    <w:p>
      <w:pPr>
        <w:spacing w:after="30"/>
      </w:pPr>
      <w:r>
        <w:rPr>
          <w:rFonts w:ascii="Arial" w:cs="Arial" w:eastAsia="Arial" w:hAnsi="Arial"/>
          <w:color w:val="1A1F2B"/>
          <w:sz w:val="18"/>
          <w:szCs w:val="18"/>
        </w:rPr>
        <w:t xml:space="preserve">10. Earnings Calls, Management Focus and Sentiment</w:t>
      </w:r>
    </w:p>
    <w:p>
      <w:pPr>
        <w:spacing w:after="30"/>
      </w:pPr>
      <w:r>
        <w:rPr>
          <w:rFonts w:ascii="Arial" w:cs="Arial" w:eastAsia="Arial" w:hAnsi="Arial"/>
          <w:color w:val="1A1F2B"/>
          <w:sz w:val="18"/>
          <w:szCs w:val="18"/>
        </w:rPr>
        <w:t xml:space="preserve">11. Latest Result: 2Q26 / 1H26 (released 20-Aug-2026)</w:t>
      </w:r>
    </w:p>
    <w:p>
      <w:pPr>
        <w:spacing w:after="30"/>
      </w:pPr>
      <w:r>
        <w:rPr>
          <w:rFonts w:ascii="Arial" w:cs="Arial" w:eastAsia="Arial" w:hAnsi="Arial"/>
          <w:color w:val="1A1F2B"/>
          <w:sz w:val="18"/>
          <w:szCs w:val="18"/>
        </w:rPr>
        <w:t xml:space="preserve">12. Earnings Estimates, FY2026E-FY2028E</w:t>
      </w:r>
    </w:p>
    <w:p>
      <w:pPr>
        <w:spacing w:after="30"/>
      </w:pPr>
      <w:r>
        <w:rPr>
          <w:rFonts w:ascii="Arial" w:cs="Arial" w:eastAsia="Arial" w:hAnsi="Arial"/>
          <w:color w:val="1A1F2B"/>
          <w:sz w:val="18"/>
          <w:szCs w:val="18"/>
        </w:rPr>
        <w:t xml:space="preserve">13. Capital Structure, Debt, Covenants and Liquidity</w:t>
      </w:r>
    </w:p>
    <w:p>
      <w:pPr>
        <w:spacing w:after="30"/>
      </w:pPr>
      <w:r>
        <w:rPr>
          <w:rFonts w:ascii="Arial" w:cs="Arial" w:eastAsia="Arial" w:hAnsi="Arial"/>
          <w:color w:val="1A1F2B"/>
          <w:sz w:val="18"/>
          <w:szCs w:val="18"/>
        </w:rPr>
        <w:t xml:space="preserve">14. Valuation vs Peers and vs History</w:t>
      </w:r>
    </w:p>
    <w:p>
      <w:pPr>
        <w:spacing w:after="30"/>
      </w:pPr>
      <w:r>
        <w:rPr>
          <w:rFonts w:ascii="Arial" w:cs="Arial" w:eastAsia="Arial" w:hAnsi="Arial"/>
          <w:color w:val="1A1F2B"/>
          <w:sz w:val="18"/>
          <w:szCs w:val="18"/>
        </w:rPr>
        <w:t xml:space="preserve">15. M&amp;A: Industry Transactions, Takeover Potential and Takeout Multiples</w:t>
      </w:r>
    </w:p>
    <w:p>
      <w:pPr>
        <w:spacing w:after="30"/>
      </w:pPr>
      <w:r>
        <w:rPr>
          <w:rFonts w:ascii="Arial" w:cs="Arial" w:eastAsia="Arial" w:hAnsi="Arial"/>
          <w:color w:val="1A1F2B"/>
          <w:sz w:val="18"/>
          <w:szCs w:val="18"/>
        </w:rPr>
        <w:t xml:space="preserve">16. Management Assessment</w:t>
      </w:r>
    </w:p>
    <w:p>
      <w:pPr>
        <w:spacing w:after="30"/>
      </w:pPr>
      <w:r>
        <w:rPr>
          <w:rFonts w:ascii="Arial" w:cs="Arial" w:eastAsia="Arial" w:hAnsi="Arial"/>
          <w:color w:val="1A1F2B"/>
          <w:sz w:val="18"/>
          <w:szCs w:val="18"/>
        </w:rPr>
        <w:t xml:space="preserve">17. Board of Directors</w:t>
      </w:r>
    </w:p>
    <w:p>
      <w:pPr>
        <w:spacing w:after="30"/>
      </w:pPr>
      <w:r>
        <w:rPr>
          <w:rFonts w:ascii="Arial" w:cs="Arial" w:eastAsia="Arial" w:hAnsi="Arial"/>
          <w:color w:val="1A1F2B"/>
          <w:sz w:val="18"/>
          <w:szCs w:val="18"/>
        </w:rPr>
        <w:t xml:space="preserve">18. Shareholders, Activism and Short Interest</w:t>
      </w:r>
    </w:p>
    <w:p>
      <w:pPr>
        <w:spacing w:after="30"/>
      </w:pPr>
      <w:r>
        <w:rPr>
          <w:rFonts w:ascii="Arial" w:cs="Arial" w:eastAsia="Arial" w:hAnsi="Arial"/>
          <w:color w:val="1A1F2B"/>
          <w:sz w:val="18"/>
          <w:szCs w:val="18"/>
        </w:rPr>
        <w:t xml:space="preserve">19. Strategic Initiatives (2016-2026)</w:t>
      </w:r>
    </w:p>
    <w:p>
      <w:pPr>
        <w:spacing w:after="30"/>
      </w:pPr>
      <w:r>
        <w:rPr>
          <w:rFonts w:ascii="Arial" w:cs="Arial" w:eastAsia="Arial" w:hAnsi="Arial"/>
          <w:color w:val="1A1F2B"/>
          <w:sz w:val="18"/>
          <w:szCs w:val="18"/>
        </w:rPr>
        <w:t xml:space="preserve">20. Stakes in Other Companies</w:t>
      </w:r>
    </w:p>
    <w:p>
      <w:pPr>
        <w:spacing w:after="30"/>
      </w:pPr>
      <w:r>
        <w:rPr>
          <w:rFonts w:ascii="Arial" w:cs="Arial" w:eastAsia="Arial" w:hAnsi="Arial"/>
          <w:color w:val="1A1F2B"/>
          <w:sz w:val="18"/>
          <w:szCs w:val="18"/>
        </w:rPr>
        <w:t xml:space="preserve">21. Dividends, Buybacks and Treasury Shares (Five-Year Timeline)</w:t>
      </w:r>
    </w:p>
    <w:p>
      <w:pPr>
        <w:spacing w:after="30"/>
      </w:pPr>
      <w:r>
        <w:rPr>
          <w:rFonts w:ascii="Arial" w:cs="Arial" w:eastAsia="Arial" w:hAnsi="Arial"/>
          <w:color w:val="1A1F2B"/>
          <w:sz w:val="18"/>
          <w:szCs w:val="18"/>
        </w:rPr>
        <w:t xml:space="preserve">22. Adversarial Analysis I: The Bull Case</w:t>
      </w:r>
    </w:p>
    <w:p>
      <w:pPr>
        <w:spacing w:after="30"/>
      </w:pPr>
      <w:r>
        <w:rPr>
          <w:rFonts w:ascii="Arial" w:cs="Arial" w:eastAsia="Arial" w:hAnsi="Arial"/>
          <w:color w:val="1A1F2B"/>
          <w:sz w:val="18"/>
          <w:szCs w:val="18"/>
        </w:rPr>
        <w:t xml:space="preserve">23. Adversarial Analysis II: The Bear Case, Pre-Mortem and Contrarian View</w:t>
      </w:r>
    </w:p>
    <w:p>
      <w:pPr>
        <w:spacing w:after="30"/>
      </w:pPr>
      <w:r>
        <w:rPr>
          <w:rFonts w:ascii="Arial" w:cs="Arial" w:eastAsia="Arial" w:hAnsi="Arial"/>
          <w:color w:val="1A1F2B"/>
          <w:sz w:val="18"/>
          <w:szCs w:val="18"/>
        </w:rPr>
        <w:t xml:space="preserve">24. Scenario Analysis (12-Month View)</w:t>
      </w:r>
    </w:p>
    <w:p>
      <w:pPr>
        <w:spacing w:after="30"/>
      </w:pPr>
      <w:r>
        <w:rPr>
          <w:rFonts w:ascii="Arial" w:cs="Arial" w:eastAsia="Arial" w:hAnsi="Arial"/>
          <w:color w:val="1A1F2B"/>
          <w:sz w:val="18"/>
          <w:szCs w:val="18"/>
        </w:rPr>
        <w:t xml:space="preserve">25. The Short-Seller's Case and Forensic Accounting Review</w:t>
      </w:r>
    </w:p>
    <w:p>
      <w:pPr>
        <w:spacing w:after="30"/>
      </w:pPr>
      <w:r>
        <w:rPr>
          <w:rFonts w:ascii="Arial" w:cs="Arial" w:eastAsia="Arial" w:hAnsi="Arial"/>
          <w:color w:val="1A1F2B"/>
          <w:sz w:val="18"/>
          <w:szCs w:val="18"/>
        </w:rPr>
        <w:t xml:space="preserve">26. Is There an Activist Angle? What an Activist Would Push For</w:t>
      </w:r>
    </w:p>
    <w:p>
      <w:pPr>
        <w:spacing w:after="30"/>
      </w:pPr>
      <w:r>
        <w:rPr>
          <w:rFonts w:ascii="Arial" w:cs="Arial" w:eastAsia="Arial" w:hAnsi="Arial"/>
          <w:color w:val="1A1F2B"/>
          <w:sz w:val="18"/>
          <w:szCs w:val="18"/>
        </w:rPr>
        <w:t xml:space="preserve">27. Fifteen Questions for the CEO and Chairman (Ordered by Information Value)</w:t>
      </w:r>
    </w:p>
    <w:p>
      <w:pPr>
        <w:spacing w:after="30"/>
      </w:pPr>
      <w:r>
        <w:rPr>
          <w:rFonts w:ascii="Arial" w:cs="Arial" w:eastAsia="Arial" w:hAnsi="Arial"/>
          <w:color w:val="1A1F2B"/>
          <w:sz w:val="18"/>
          <w:szCs w:val="18"/>
        </w:rPr>
        <w:t xml:space="preserve">28. Timeline of Key Past Events and Upcoming Catalyst Calendar</w:t>
      </w:r>
    </w:p>
    <w:p>
      <w:pPr>
        <w:spacing w:after="30"/>
      </w:pPr>
      <w:r>
        <w:rPr>
          <w:rFonts w:ascii="Arial" w:cs="Arial" w:eastAsia="Arial" w:hAnsi="Arial"/>
          <w:color w:val="1A1F2B"/>
          <w:sz w:val="18"/>
          <w:szCs w:val="18"/>
        </w:rPr>
        <w:t xml:space="preserve">Appendix A: Sources, Methodology and Data Notes</w:t>
      </w:r>
    </w:p>
    <w:p>
      <w:r>
        <w:br w:type="page"/>
      </w:r>
    </w:p>
    <w:p>
      <w:pPr>
        <w:pStyle w:val="Heading1"/>
      </w:pPr>
      <w:r>
        <w:t xml:space="preserve">1. Executive Summary and Investment Conclusion</w:t>
      </w:r>
    </w:p>
    <w:p>
      <w:pPr>
        <w:pStyle w:val="Heading2"/>
      </w:pPr>
      <w:r>
        <w:t xml:space="preserve">1.1 The set-up in one paragraph</w:t>
      </w:r>
    </w:p>
    <w:p>
      <w:pPr>
        <w:spacing w:after="120" w:line="276"/>
      </w:pPr>
      <w:r>
        <w:rPr>
          <w:rFonts w:ascii="Arial" w:cs="Arial" w:eastAsia="Arial" w:hAnsi="Arial"/>
          <w:sz w:val="19"/>
          <w:szCs w:val="19"/>
        </w:rPr>
        <w:t xml:space="preserve">Genting Malaysia owns </w:t>
      </w:r>
      <w:r>
        <w:rPr>
          <w:rFonts w:ascii="Arial" w:cs="Arial" w:eastAsia="Arial" w:hAnsi="Arial"/>
          <w:b/>
          <w:bCs/>
          <w:sz w:val="19"/>
          <w:szCs w:val="19"/>
        </w:rPr>
        <w:t xml:space="preserve">Resorts World Genting</w:t>
      </w:r>
      <w:r>
        <w:rPr>
          <w:rFonts w:ascii="Arial" w:cs="Arial" w:eastAsia="Arial" w:hAnsi="Arial"/>
          <w:sz w:val="19"/>
          <w:szCs w:val="19"/>
        </w:rPr>
        <w:t xml:space="preserve">, Malaysia's sole licensed casino (since 1969; ~RM2.1bn EBITDA, 30% margin, 28.6m visitors), and </w:t>
      </w:r>
      <w:r>
        <w:rPr>
          <w:rFonts w:ascii="Arial" w:cs="Arial" w:eastAsia="Arial" w:hAnsi="Arial"/>
          <w:b/>
          <w:bCs/>
          <w:sz w:val="19"/>
          <w:szCs w:val="19"/>
        </w:rPr>
        <w:t xml:space="preserve">Resorts World New York City</w:t>
      </w:r>
      <w:r>
        <w:rPr>
          <w:rFonts w:ascii="Arial" w:cs="Arial" w:eastAsia="Arial" w:hAnsi="Arial"/>
          <w:sz w:val="19"/>
          <w:szCs w:val="19"/>
        </w:rPr>
        <w:t xml:space="preserve">, which on 28-Apr-2026 became the first and, until ~2030, only full casino in New York City. It also owns ~32 UK casinos, loss-making upstate NY and Bahamas assets, and 30 acres of Miami waterfront. Its parent, Genting Bhd, bid RM2.35 a share for the minority in Oct-2025. The independent adviser called that "not fair and not reasonable" (SOTP RM3.48-3.77), and the offer lapsed at 73.13%. Since then GENM has paid a US$500m NY licence fee, lifted debt by RM3.8bn, skipped its interim dividend, been cut to BBB- by Fitch, and missed on net profit (2Q26 −89%). On 9-Oct-2026 the parent launched a RM1.25bn rights issue to repay its own debt. </w:t>
      </w:r>
      <w:r>
        <w:rPr>
          <w:rFonts w:ascii="Arial" w:cs="Arial" w:eastAsia="Arial" w:hAnsi="Arial"/>
          <w:b/>
          <w:bCs/>
          <w:sz w:val="19"/>
          <w:szCs w:val="19"/>
        </w:rPr>
        <w:t xml:space="preserve">GENM fell 17% on parent news alone, to a 10-year low of RM1.23.</w:t>
      </w:r>
    </w:p>
    <w:p>
      <w:pPr>
        <w:pStyle w:val="Heading2"/>
      </w:pPr>
      <w:r>
        <w:t xml:space="preserve">1.2 Investment thesis: four forces converging</w:t>
      </w:r>
    </w:p>
    <w:p>
      <w:pPr>
        <w:pStyle w:val="ListParagraph"/>
        <w:numPr>
          <w:ilvl w:val="0"/>
          <w:numId w:val="2"/>
        </w:numPr>
        <w:spacing w:after="60" w:line="264"/>
      </w:pPr>
      <w:r>
        <w:rPr>
          <w:rFonts w:ascii="Arial" w:cs="Arial" w:eastAsia="Arial" w:hAnsi="Arial"/>
          <w:b/>
          <w:bCs/>
          <w:sz w:val="19"/>
          <w:szCs w:val="19"/>
        </w:rPr>
        <w:t xml:space="preserve">A monopoly at a trough multiple.</w:t>
      </w:r>
      <w:r>
        <w:rPr>
          <w:rFonts w:ascii="Arial" w:cs="Arial" w:eastAsia="Arial" w:hAnsi="Arial"/>
          <w:sz w:val="19"/>
          <w:szCs w:val="19"/>
        </w:rPr>
        <w:t xml:space="preserve"> 6.6x NTM EV/EBITDA (11th percentile of 10 years; peers 7.5x; deals 9.2x); 0.64x book (record low); premium to its parent at a 2nd-percentile 0.6x. If RWG is worth 7x, the market values the US business at ~2.6x EBITDA (~US$0.7bn).</w:t>
      </w:r>
    </w:p>
    <w:p>
      <w:pPr>
        <w:pStyle w:val="ListParagraph"/>
        <w:numPr>
          <w:ilvl w:val="0"/>
          <w:numId w:val="2"/>
        </w:numPr>
        <w:spacing w:after="60" w:line="264"/>
      </w:pPr>
      <w:r>
        <w:rPr>
          <w:rFonts w:ascii="Arial" w:cs="Arial" w:eastAsia="Arial" w:hAnsi="Arial"/>
          <w:b/>
          <w:bCs/>
          <w:sz w:val="19"/>
          <w:szCs w:val="19"/>
        </w:rPr>
        <w:t xml:space="preserve">New York is ramping fast.</w:t>
      </w:r>
      <w:r>
        <w:rPr>
          <w:rFonts w:ascii="Arial" w:cs="Arial" w:eastAsia="Arial" w:hAnsi="Arial"/>
          <w:sz w:val="19"/>
          <w:szCs w:val="19"/>
        </w:rPr>
        <w:t xml:space="preserve"> US revenue +166% in 2Q26; weekly GGR ~US$30.8m (~US$1.6bn annualised); slot tax down from ~68% to 56%; 1,400 more slots from July. 3Q26 (late Nov) is the first full quarter with tables.</w:t>
      </w:r>
    </w:p>
    <w:p>
      <w:pPr>
        <w:pStyle w:val="ListParagraph"/>
        <w:numPr>
          <w:ilvl w:val="0"/>
          <w:numId w:val="2"/>
        </w:numPr>
        <w:spacing w:after="60" w:line="264"/>
      </w:pPr>
      <w:r>
        <w:rPr>
          <w:rFonts w:ascii="Arial" w:cs="Arial" w:eastAsia="Arial" w:hAnsi="Arial"/>
          <w:b/>
          <w:bCs/>
          <w:sz w:val="19"/>
          <w:szCs w:val="19"/>
        </w:rPr>
        <w:t xml:space="preserve">Event optionality with a minority veto.</w:t>
      </w:r>
      <w:r>
        <w:rPr>
          <w:rFonts w:ascii="Arial" w:cs="Arial" w:eastAsia="Arial" w:hAnsi="Arial"/>
          <w:sz w:val="19"/>
          <w:szCs w:val="19"/>
        </w:rPr>
        <w:t xml:space="preserve"> The parent is 1.16pp from 75% and does not intend to keep GENM listed, but cannot fund a fair cash offer today. Minorities with &gt;10% can block a low-ball delisting [u: rule]. RM2.35 is the anchor; our fair takeout range is RM1.96-2.75 (8.5-10x FY26E EBITDA).</w:t>
      </w:r>
    </w:p>
    <w:p>
      <w:pPr>
        <w:pStyle w:val="ListParagraph"/>
        <w:numPr>
          <w:ilvl w:val="0"/>
          <w:numId w:val="2"/>
        </w:numPr>
        <w:spacing w:after="60" w:line="264"/>
      </w:pPr>
      <w:r>
        <w:rPr>
          <w:rFonts w:ascii="Arial" w:cs="Arial" w:eastAsia="Arial" w:hAnsi="Arial"/>
          <w:b/>
          <w:bCs/>
          <w:sz w:val="19"/>
          <w:szCs w:val="19"/>
        </w:rPr>
        <w:t xml:space="preserve">Self-help levers exist:</w:t>
      </w:r>
      <w:r>
        <w:rPr>
          <w:rFonts w:ascii="Arial" w:cs="Arial" w:eastAsia="Arial" w:hAnsi="Arial"/>
          <w:sz w:val="19"/>
          <w:szCs w:val="19"/>
        </w:rPr>
        <w:t xml:space="preserve"> Miami land (US$1.225bn bid in 2023), NY real-estate sale-leaseback (REIT precedents at US$0.7-1.2bn), related-party fee benchmarking (~RM848m a year), and the end of debt-funded dividends.</w:t>
      </w:r>
    </w:p>
    <w:p>
      <w:pPr>
        <w:pStyle w:val="Heading2"/>
      </w:pPr>
      <w:r>
        <w:t xml:space="preserve">1.3 Why it is cheap: what the bears are right about</w:t>
      </w:r>
    </w:p>
    <w:p>
      <w:pPr>
        <w:pStyle w:val="ListParagraph"/>
        <w:numPr>
          <w:ilvl w:val="0"/>
          <w:numId w:val="3"/>
        </w:numPr>
        <w:spacing w:after="60" w:line="264"/>
      </w:pPr>
      <w:r>
        <w:rPr>
          <w:rFonts w:ascii="Arial" w:cs="Arial" w:eastAsia="Arial" w:hAnsi="Arial"/>
          <w:b/>
          <w:bCs/>
          <w:sz w:val="19"/>
          <w:szCs w:val="19"/>
        </w:rPr>
        <w:t xml:space="preserve">Earnings are weak and consensus is too high below EBITDA.</w:t>
      </w:r>
      <w:r>
        <w:rPr>
          <w:rFonts w:ascii="Arial" w:cs="Arial" w:eastAsia="Arial" w:hAnsi="Arial"/>
          <w:sz w:val="19"/>
          <w:szCs w:val="19"/>
        </w:rPr>
        <w:t xml:space="preserve"> Our EPS is 4.3 / 8.6 / 9.6 sen for FY26-28E, 27-42% below consensus, because of interest, D&amp;A and a high tax rate.</w:t>
      </w:r>
    </w:p>
    <w:p>
      <w:pPr>
        <w:pStyle w:val="ListParagraph"/>
        <w:numPr>
          <w:ilvl w:val="0"/>
          <w:numId w:val="3"/>
        </w:numPr>
        <w:spacing w:after="60" w:line="264"/>
      </w:pPr>
      <w:r>
        <w:rPr>
          <w:rFonts w:ascii="Arial" w:cs="Arial" w:eastAsia="Arial" w:hAnsi="Arial"/>
          <w:b/>
          <w:bCs/>
          <w:sz w:val="19"/>
          <w:szCs w:val="19"/>
        </w:rPr>
        <w:t xml:space="preserve">Leverage is 5x and rising</w:t>
      </w:r>
      <w:r>
        <w:rPr>
          <w:rFonts w:ascii="Arial" w:cs="Arial" w:eastAsia="Arial" w:hAnsi="Arial"/>
          <w:sz w:val="19"/>
          <w:szCs w:val="19"/>
        </w:rPr>
        <w:t xml:space="preserve"> through 2027. Every 1x change in the EV multiple moves the equity by ~RM0.60 a share.</w:t>
      </w:r>
    </w:p>
    <w:p>
      <w:pPr>
        <w:pStyle w:val="ListParagraph"/>
        <w:numPr>
          <w:ilvl w:val="0"/>
          <w:numId w:val="3"/>
        </w:numPr>
        <w:spacing w:after="60" w:line="264"/>
      </w:pPr>
      <w:r>
        <w:rPr>
          <w:rFonts w:ascii="Arial" w:cs="Arial" w:eastAsia="Arial" w:hAnsi="Arial"/>
          <w:b/>
          <w:bCs/>
          <w:sz w:val="19"/>
          <w:szCs w:val="19"/>
        </w:rPr>
        <w:t xml:space="preserve">Governance is poor:</w:t>
      </w:r>
      <w:r>
        <w:rPr>
          <w:rFonts w:ascii="Arial" w:cs="Arial" w:eastAsia="Arial" w:hAnsi="Arial"/>
          <w:sz w:val="19"/>
          <w:szCs w:val="19"/>
        </w:rPr>
        <w:t xml:space="preserve"> ~RM848m a year of related-party fees to the parent (26% of EBITDA), serial Kien Huat RPTs on Empire Resorts, RM54.7m CEO pay, 3 of 8 directors independent.</w:t>
      </w:r>
    </w:p>
    <w:p>
      <w:pPr>
        <w:pStyle w:val="ListParagraph"/>
        <w:numPr>
          <w:ilvl w:val="0"/>
          <w:numId w:val="3"/>
        </w:numPr>
        <w:spacing w:after="60" w:line="264"/>
      </w:pPr>
      <w:r>
        <w:rPr>
          <w:rFonts w:ascii="Arial" w:cs="Arial" w:eastAsia="Arial" w:hAnsi="Arial"/>
          <w:b/>
          <w:bCs/>
          <w:sz w:val="19"/>
          <w:szCs w:val="19"/>
        </w:rPr>
        <w:t xml:space="preserve">NY tax risk:</w:t>
      </w:r>
      <w:r>
        <w:rPr>
          <w:rFonts w:ascii="Arial" w:cs="Arial" w:eastAsia="Arial" w:hAnsi="Arial"/>
          <w:sz w:val="19"/>
          <w:szCs w:val="19"/>
        </w:rPr>
        <w:t xml:space="preserve"> the State says ~US$150m a year of racing support is owed on top of the 56% tax, and two rivals open ~2030 at half RW's tax rate.</w:t>
      </w:r>
    </w:p>
    <w:p>
      <w:pPr>
        <w:pStyle w:val="Heading2"/>
      </w:pPr>
      <w:r>
        <w:t xml:space="preserve">1.4 Valuation and scenarios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
        <w:gridCol w:w="2935"/>
        <w:gridCol w:w="2980"/>
        <w:gridCol w:w="2998"/>
      </w:tblGrid>
      <w:tr>
        <w:trPr>
          <w:tblHeader/>
        </w:trPr>
        <w:tc>
          <w:tcPr>
            <w:tcW w:type="dxa" w:w="99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p>
        </w:tc>
        <w:tc>
          <w:tcPr>
            <w:tcW w:type="dxa" w:w="293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Bear (25%)</w:t>
            </w:r>
          </w:p>
        </w:tc>
        <w:tc>
          <w:tcPr>
            <w:tcW w:type="dxa" w:w="298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Base (50%)</w:t>
            </w:r>
          </w:p>
        </w:tc>
        <w:tc>
          <w:tcPr>
            <w:tcW w:type="dxa" w:w="299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Bull (25%)</w:t>
            </w:r>
          </w:p>
        </w:tc>
      </w:tr>
      <w:tr>
        <w:trPr>
          <w:cantSplit/>
        </w:trPr>
        <w:tc>
          <w:tcPr>
            <w:tcW w:type="dxa" w:w="99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Key assumption</w:t>
            </w:r>
          </w:p>
        </w:tc>
        <w:tc>
          <w:tcPr>
            <w:tcW w:type="dxa" w:w="29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Racing support charged; RWG 6x; phase-2 value destruction</w:t>
            </w:r>
          </w:p>
        </w:tc>
        <w:tc>
          <w:tcPr>
            <w:tcW w:type="dxa" w:w="29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Partial racing support; RWG 7x; US 7.5x; 15% governance discount</w:t>
            </w:r>
          </w:p>
        </w:tc>
        <w:tc>
          <w:tcPr>
            <w:tcW w:type="dxa" w:w="29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Tax equalisation path; RWG 8x; US 9x; or privatisation at ~9.5x</w:t>
            </w:r>
          </w:p>
        </w:tc>
      </w:tr>
      <w:tr>
        <w:trPr>
          <w:cantSplit/>
        </w:trPr>
        <w:tc>
          <w:tcPr>
            <w:tcW w:type="dxa" w:w="99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Value per share</w:t>
            </w:r>
          </w:p>
        </w:tc>
        <w:tc>
          <w:tcPr>
            <w:tcW w:type="dxa" w:w="29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RM0.76 (−40%)</w:t>
            </w:r>
          </w:p>
        </w:tc>
        <w:tc>
          <w:tcPr>
            <w:tcW w:type="dxa" w:w="298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RM1.86 (+47%)</w:t>
            </w:r>
          </w:p>
        </w:tc>
        <w:tc>
          <w:tcPr>
            <w:tcW w:type="dxa" w:w="299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RM3.28 (+158%)</w:t>
            </w:r>
          </w:p>
        </w:tc>
      </w:tr>
    </w:tbl>
    <w:p>
      <w:pPr>
        <w:spacing w:after="60"/>
      </w:pPr>
    </w:p>
    <w:p>
      <w:pPr>
        <w:spacing w:after="120" w:line="276"/>
      </w:pPr>
      <w:r>
        <w:rPr>
          <w:rFonts w:ascii="Arial" w:cs="Arial" w:eastAsia="Arial" w:hAnsi="Arial"/>
          <w:b/>
          <w:bCs/>
          <w:sz w:val="19"/>
          <w:szCs w:val="19"/>
        </w:rPr>
        <w:t xml:space="preserve">Probability-weighted value: RM1.94 (+53%)</w:t>
      </w:r>
      <w:r>
        <w:rPr>
          <w:rFonts w:ascii="Arial" w:cs="Arial" w:eastAsia="Arial" w:hAnsi="Arial"/>
          <w:sz w:val="19"/>
          <w:szCs w:val="19"/>
        </w:rPr>
        <w:t xml:space="preserve">, plus a ~4% dividend yield. </w:t>
      </w:r>
      <w:r>
        <w:rPr>
          <w:rFonts w:ascii="Arial" w:cs="Arial" w:eastAsia="Arial" w:hAnsi="Arial"/>
          <w:b/>
          <w:bCs/>
          <w:sz w:val="19"/>
          <w:szCs w:val="19"/>
        </w:rPr>
        <w:t xml:space="preserve">12-month target: RM1.85.</w:t>
      </w:r>
    </w:p>
    <w:p>
      <w:pPr>
        <w:pStyle w:val="Heading2"/>
      </w:pPr>
      <w:r>
        <w:t xml:space="preserve">1.5 What has to go right</w:t>
      </w:r>
    </w:p>
    <w:p>
      <w:pPr>
        <w:pStyle w:val="ListParagraph"/>
        <w:numPr>
          <w:ilvl w:val="0"/>
          <w:numId w:val="3"/>
        </w:numPr>
        <w:spacing w:after="60" w:line="264"/>
      </w:pPr>
      <w:r>
        <w:rPr>
          <w:rFonts w:ascii="Arial" w:cs="Arial" w:eastAsia="Arial" w:hAnsi="Arial"/>
          <w:sz w:val="19"/>
          <w:szCs w:val="19"/>
        </w:rPr>
        <w:t xml:space="preserve">RWNYC sustains ≥US$60m of quarterly EBITDA from 3Q26 (US&amp;B segment).</w:t>
      </w:r>
    </w:p>
    <w:p>
      <w:pPr>
        <w:pStyle w:val="ListParagraph"/>
        <w:numPr>
          <w:ilvl w:val="0"/>
          <w:numId w:val="3"/>
        </w:numPr>
        <w:spacing w:after="60" w:line="264"/>
      </w:pPr>
      <w:r>
        <w:rPr>
          <w:rFonts w:ascii="Arial" w:cs="Arial" w:eastAsia="Arial" w:hAnsi="Arial"/>
          <w:sz w:val="19"/>
          <w:szCs w:val="19"/>
        </w:rPr>
        <w:t xml:space="preserve">The racing-support dispute is resolved at ≤US$50m a year, or offset by tax equalisation.</w:t>
      </w:r>
    </w:p>
    <w:p>
      <w:pPr>
        <w:pStyle w:val="ListParagraph"/>
        <w:numPr>
          <w:ilvl w:val="0"/>
          <w:numId w:val="3"/>
        </w:numPr>
        <w:spacing w:after="60" w:line="264"/>
      </w:pPr>
      <w:r>
        <w:rPr>
          <w:rFonts w:ascii="Arial" w:cs="Arial" w:eastAsia="Arial" w:hAnsi="Arial"/>
          <w:sz w:val="19"/>
          <w:szCs w:val="19"/>
        </w:rPr>
        <w:t xml:space="preserve">Malaysia EBITDA holds ≥RM2.1bn through the Jun-2027 minimum-wage step-up.</w:t>
      </w:r>
    </w:p>
    <w:p>
      <w:pPr>
        <w:pStyle w:val="ListParagraph"/>
        <w:numPr>
          <w:ilvl w:val="0"/>
          <w:numId w:val="3"/>
        </w:numPr>
        <w:spacing w:after="60" w:line="264"/>
      </w:pPr>
      <w:r>
        <w:rPr>
          <w:rFonts w:ascii="Arial" w:cs="Arial" w:eastAsia="Arial" w:hAnsi="Arial"/>
          <w:sz w:val="19"/>
          <w:szCs w:val="19"/>
        </w:rPr>
        <w:t xml:space="preserve">No GENM equity issuance; non-core asset sales fund part of phase 2.</w:t>
      </w:r>
    </w:p>
    <w:p>
      <w:pPr>
        <w:pStyle w:val="ListParagraph"/>
        <w:numPr>
          <w:ilvl w:val="0"/>
          <w:numId w:val="3"/>
        </w:numPr>
        <w:spacing w:after="60" w:line="264"/>
      </w:pPr>
      <w:r>
        <w:rPr>
          <w:rFonts w:ascii="Arial" w:cs="Arial" w:eastAsia="Arial" w:hAnsi="Arial"/>
          <w:sz w:val="19"/>
          <w:szCs w:val="19"/>
        </w:rPr>
        <w:t xml:space="preserve">Any future privatisation is priced at ≥RM2.35.</w:t>
      </w:r>
    </w:p>
    <w:p>
      <w:pPr>
        <w:pStyle w:val="Heading2"/>
      </w:pPr>
      <w:r>
        <w:t xml:space="preserve">1.6 Positioning</w:t>
      </w:r>
    </w:p>
    <w:p>
      <w:pPr>
        <w:spacing w:after="120" w:line="276"/>
      </w:pPr>
      <w:r>
        <w:rPr>
          <w:rFonts w:ascii="Arial" w:cs="Arial" w:eastAsia="Arial" w:hAnsi="Arial"/>
          <w:b/>
          <w:bCs/>
          <w:sz w:val="19"/>
          <w:szCs w:val="19"/>
        </w:rPr>
        <w:t xml:space="preserve">Event-driven, low-to-medium conviction. Build a half position now</w:t>
      </w:r>
      <w:r>
        <w:rPr>
          <w:rFonts w:ascii="Arial" w:cs="Arial" w:eastAsia="Arial" w:hAnsi="Arial"/>
          <w:sz w:val="19"/>
          <w:szCs w:val="19"/>
        </w:rPr>
        <w:t xml:space="preserve"> (liquidity is ~2-4m shares a day). Add on:</w:t>
      </w:r>
    </w:p>
    <w:p>
      <w:pPr>
        <w:pStyle w:val="ListParagraph"/>
        <w:numPr>
          <w:ilvl w:val="0"/>
          <w:numId w:val="3"/>
        </w:numPr>
        <w:spacing w:after="60" w:line="264"/>
      </w:pPr>
      <w:r>
        <w:rPr>
          <w:rFonts w:ascii="Arial" w:cs="Arial" w:eastAsia="Arial" w:hAnsi="Arial"/>
          <w:sz w:val="19"/>
          <w:szCs w:val="19"/>
        </w:rPr>
        <w:t xml:space="preserve">3Q26 confirmation of the NY run-rate;</w:t>
      </w:r>
    </w:p>
    <w:p>
      <w:pPr>
        <w:pStyle w:val="ListParagraph"/>
        <w:numPr>
          <w:ilvl w:val="0"/>
          <w:numId w:val="3"/>
        </w:numPr>
        <w:spacing w:after="60" w:line="264"/>
      </w:pPr>
      <w:r>
        <w:rPr>
          <w:rFonts w:ascii="Arial" w:cs="Arial" w:eastAsia="Arial" w:hAnsi="Arial"/>
          <w:sz w:val="19"/>
          <w:szCs w:val="19"/>
        </w:rPr>
        <w:t xml:space="preserve">completion of Genting Bhd's rights issue (1Q27);</w:t>
      </w:r>
    </w:p>
    <w:p>
      <w:pPr>
        <w:pStyle w:val="ListParagraph"/>
        <w:numPr>
          <w:ilvl w:val="0"/>
          <w:numId w:val="3"/>
        </w:numPr>
        <w:spacing w:after="60" w:line="264"/>
      </w:pPr>
      <w:r>
        <w:rPr>
          <w:rFonts w:ascii="Arial" w:cs="Arial" w:eastAsia="Arial" w:hAnsi="Arial"/>
          <w:sz w:val="19"/>
          <w:szCs w:val="19"/>
        </w:rPr>
        <w:t xml:space="preserve">any asset-monetisation announcement.</w:t>
      </w:r>
    </w:p>
    <w:p>
      <w:pPr>
        <w:spacing w:after="120" w:line="276"/>
      </w:pPr>
      <w:r>
        <w:rPr>
          <w:rFonts w:ascii="Arial" w:cs="Arial" w:eastAsia="Arial" w:hAnsi="Arial"/>
          <w:sz w:val="19"/>
          <w:szCs w:val="19"/>
        </w:rPr>
        <w:t xml:space="preserve">An optional pair, long GENM / short Genting Bhd (subject to borrow; intraday short selling was suspended in Oct-2026), isolates GENM's minority value from parent and Malaysian-policy beta.</w:t>
      </w:r>
    </w:p>
    <w:p>
      <w:pPr>
        <w:spacing w:after="120" w:line="276"/>
      </w:pPr>
      <w:r>
        <w:rPr>
          <w:rFonts w:ascii="Arial" w:cs="Arial" w:eastAsia="Arial" w:hAnsi="Arial"/>
          <w:b/>
          <w:bCs/>
          <w:sz w:val="19"/>
          <w:szCs w:val="19"/>
        </w:rPr>
        <w:t xml:space="preserve">Hard review triggers:</w:t>
      </w:r>
    </w:p>
    <w:p>
      <w:pPr>
        <w:pStyle w:val="ListParagraph"/>
        <w:numPr>
          <w:ilvl w:val="0"/>
          <w:numId w:val="3"/>
        </w:numPr>
        <w:spacing w:after="60" w:line="264"/>
      </w:pPr>
      <w:r>
        <w:rPr>
          <w:rFonts w:ascii="Arial" w:cs="Arial" w:eastAsia="Arial" w:hAnsi="Arial"/>
          <w:sz w:val="19"/>
          <w:szCs w:val="19"/>
        </w:rPr>
        <w:t xml:space="preserve">racing support enforced in full with no tax offset;</w:t>
      </w:r>
    </w:p>
    <w:p>
      <w:pPr>
        <w:pStyle w:val="ListParagraph"/>
        <w:numPr>
          <w:ilvl w:val="0"/>
          <w:numId w:val="3"/>
        </w:numPr>
        <w:spacing w:after="60" w:line="264"/>
      </w:pPr>
      <w:r>
        <w:rPr>
          <w:rFonts w:ascii="Arial" w:cs="Arial" w:eastAsia="Arial" w:hAnsi="Arial"/>
          <w:sz w:val="19"/>
          <w:szCs w:val="19"/>
        </w:rPr>
        <w:t xml:space="preserve">a GENM rights issue or perpetuals at a punitive coupon;</w:t>
      </w:r>
    </w:p>
    <w:p>
      <w:pPr>
        <w:pStyle w:val="ListParagraph"/>
        <w:numPr>
          <w:ilvl w:val="0"/>
          <w:numId w:val="3"/>
        </w:numPr>
        <w:spacing w:after="60" w:line="264"/>
      </w:pPr>
      <w:r>
        <w:rPr>
          <w:rFonts w:ascii="Arial" w:cs="Arial" w:eastAsia="Arial" w:hAnsi="Arial"/>
          <w:sz w:val="19"/>
          <w:szCs w:val="19"/>
        </w:rPr>
        <w:t xml:space="preserve">Fitch below BBB-;</w:t>
      </w:r>
    </w:p>
    <w:p>
      <w:pPr>
        <w:pStyle w:val="ListParagraph"/>
        <w:numPr>
          <w:ilvl w:val="0"/>
          <w:numId w:val="3"/>
        </w:numPr>
        <w:spacing w:after="60" w:line="264"/>
      </w:pPr>
      <w:r>
        <w:rPr>
          <w:rFonts w:ascii="Arial" w:cs="Arial" w:eastAsia="Arial" w:hAnsi="Arial"/>
          <w:sz w:val="19"/>
          <w:szCs w:val="19"/>
        </w:rPr>
        <w:t xml:space="preserve">Genting Bhd pledging or selling GENM shares;</w:t>
      </w:r>
    </w:p>
    <w:p>
      <w:pPr>
        <w:pStyle w:val="ListParagraph"/>
        <w:numPr>
          <w:ilvl w:val="0"/>
          <w:numId w:val="3"/>
        </w:numPr>
        <w:spacing w:after="60" w:line="264"/>
      </w:pPr>
      <w:r>
        <w:rPr>
          <w:rFonts w:ascii="Arial" w:cs="Arial" w:eastAsia="Arial" w:hAnsi="Arial"/>
          <w:sz w:val="19"/>
          <w:szCs w:val="19"/>
        </w:rPr>
        <w:t xml:space="preserve">a privatisation proposal below RM1.80.</w:t>
      </w:r>
    </w:p>
    <w:p>
      <w:r>
        <w:br w:type="page"/>
      </w:r>
    </w:p>
    <w:p>
      <w:pPr>
        <w:pStyle w:val="Heading1"/>
      </w:pPr>
      <w:r>
        <w:t xml:space="preserve">2. Layman's Guide: What Genting Malaysia Does and How It Makes Money</w:t>
      </w:r>
    </w:p>
    <w:p>
      <w:pPr>
        <w:spacing w:after="120" w:line="276"/>
      </w:pPr>
      <w:r>
        <w:rPr>
          <w:rFonts w:ascii="Arial" w:cs="Arial" w:eastAsia="Arial" w:hAnsi="Arial"/>
          <w:b/>
          <w:bCs/>
          <w:sz w:val="19"/>
          <w:szCs w:val="19"/>
        </w:rPr>
        <w:t xml:space="preserve">In one sentence:</w:t>
      </w:r>
      <w:r>
        <w:rPr>
          <w:rFonts w:ascii="Arial" w:cs="Arial" w:eastAsia="Arial" w:hAnsi="Arial"/>
          <w:sz w:val="19"/>
          <w:szCs w:val="19"/>
        </w:rPr>
        <w:t xml:space="preserve"> Genting Malaysia runs large "cities of entertainment" built around a casino: Malaysia's only legal casino resort on a mountaintop outside Kuala Lumpur, New York City's only full casino, about 30 casinos in the UK, and smaller resorts in upstate New York, the Bahamas and Egypt.</w:t>
      </w:r>
    </w:p>
    <w:p>
      <w:pPr>
        <w:spacing w:after="120" w:line="276"/>
      </w:pPr>
      <w:r>
        <w:rPr>
          <w:rFonts w:ascii="Arial" w:cs="Arial" w:eastAsia="Arial" w:hAnsi="Arial"/>
          <w:b/>
          <w:bCs/>
          <w:sz w:val="19"/>
          <w:szCs w:val="19"/>
        </w:rPr>
        <w:t xml:space="preserve">How the money is made.</w:t>
      </w:r>
      <w:r>
        <w:rPr>
          <w:rFonts w:ascii="Arial" w:cs="Arial" w:eastAsia="Arial" w:hAnsi="Arial"/>
          <w:sz w:val="19"/>
          <w:szCs w:val="19"/>
        </w:rPr>
        <w:t xml:space="preserve"> GENM does not "sell" gambling. It keeps the net amount customers lose over time (gross gaming revenue, GGR, or "win"). The house edge on each bet is small, but across millions of bets the result is predictable, apart from week-to-week luck in the high-roller (VIP) segment. Hotels, theme parks, restaurants, a shopping mall and a cable car are the bait: they bring families and day-trippers up the mountain, keep them there longer, and give the casino more time to earn. Governments are silent partners. Malaysia takes 35% of mass-market casino win before GENM pays any wages, plus an RM150m annual licence fee and 8% service tax. New York takes 56% of slot win and 30% of table win. The UK takes 15-50%. That is why tax changes move GENM's profit more than almost anything else.</w:t>
      </w:r>
    </w:p>
    <w:p>
      <w:pPr>
        <w:spacing w:after="120" w:line="276"/>
      </w:pPr>
      <w:r>
        <w:rPr>
          <w:rFonts w:ascii="Arial" w:cs="Arial" w:eastAsia="Arial" w:hAnsi="Arial"/>
          <w:b/>
          <w:bCs/>
          <w:sz w:val="19"/>
          <w:szCs w:val="19"/>
        </w:rPr>
        <w:t xml:space="preserve">How each division contributes (FY2025):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5"/>
        <w:gridCol w:w="3459"/>
        <w:gridCol w:w="780"/>
        <w:gridCol w:w="687"/>
        <w:gridCol w:w="927"/>
        <w:gridCol w:w="966"/>
        <w:gridCol w:w="692"/>
      </w:tblGrid>
      <w:tr>
        <w:trPr>
          <w:tblHeader/>
        </w:trPr>
        <w:tc>
          <w:tcPr>
            <w:tcW w:type="dxa" w:w="239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Division</w:t>
            </w:r>
          </w:p>
        </w:tc>
        <w:tc>
          <w:tcPr>
            <w:tcW w:type="dxa" w:w="345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What it is</w:t>
            </w:r>
          </w:p>
        </w:tc>
        <w:tc>
          <w:tcPr>
            <w:tcW w:type="dxa" w:w="78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Revenue RM m</w:t>
            </w:r>
          </w:p>
        </w:tc>
        <w:tc>
          <w:tcPr>
            <w:tcW w:type="dxa" w:w="68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 of group</w:t>
            </w:r>
          </w:p>
        </w:tc>
        <w:tc>
          <w:tcPr>
            <w:tcW w:type="dxa" w:w="92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Adj. EBITDA RM m</w:t>
            </w:r>
          </w:p>
        </w:tc>
        <w:tc>
          <w:tcPr>
            <w:tcW w:type="dxa" w:w="96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 of segment EBITDA</w:t>
            </w:r>
          </w:p>
        </w:tc>
        <w:tc>
          <w:tcPr>
            <w:tcW w:type="dxa" w:w="69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Margin</w:t>
            </w:r>
          </w:p>
        </w:tc>
      </w:tr>
      <w:tr>
        <w:trPr>
          <w:cantSplit/>
        </w:trPr>
        <w:tc>
          <w:tcPr>
            <w:tcW w:type="dxa" w:w="23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Malaysia (Resorts World Genting, Kijal, Langkawi)</w:t>
            </w:r>
          </w:p>
        </w:tc>
        <w:tc>
          <w:tcPr>
            <w:tcW w:type="dxa" w:w="34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Casino monopoly plus ~10,500 hotel rooms, SkyWorlds theme park, SkyAvenue mall, Awana SkyWay cable car</w:t>
            </w:r>
          </w:p>
        </w:tc>
        <w:tc>
          <w:tcPr>
            <w:tcW w:type="dxa" w:w="7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7,133.5</w:t>
            </w:r>
          </w:p>
        </w:tc>
        <w:tc>
          <w:tcPr>
            <w:tcW w:type="dxa" w:w="6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60.0%</w:t>
            </w:r>
          </w:p>
        </w:tc>
        <w:tc>
          <w:tcPr>
            <w:tcW w:type="dxa" w:w="9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2,138.7</w:t>
            </w:r>
          </w:p>
        </w:tc>
        <w:tc>
          <w:tcPr>
            <w:tcW w:type="dxa" w:w="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72.9%</w:t>
            </w:r>
          </w:p>
        </w:tc>
        <w:tc>
          <w:tcPr>
            <w:tcW w:type="dxa" w:w="6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30.0%</w:t>
            </w:r>
          </w:p>
        </w:tc>
      </w:tr>
      <w:tr>
        <w:trPr>
          <w:cantSplit/>
        </w:trPr>
        <w:tc>
          <w:tcPr>
            <w:tcW w:type="dxa" w:w="23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UK &amp; Egypt</w:t>
            </w:r>
          </w:p>
        </w:tc>
        <w:tc>
          <w:tcPr>
            <w:tcW w:type="dxa" w:w="345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~32 UK casinos incl. Resorts World Birmingham and Genting Casino Stratford; Crockfords Cairo</w:t>
            </w:r>
          </w:p>
        </w:tc>
        <w:tc>
          <w:tcPr>
            <w:tcW w:type="dxa" w:w="78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1,994.2</w:t>
            </w:r>
          </w:p>
        </w:tc>
        <w:tc>
          <w:tcPr>
            <w:tcW w:type="dxa" w:w="68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16.8%</w:t>
            </w:r>
          </w:p>
        </w:tc>
        <w:tc>
          <w:tcPr>
            <w:tcW w:type="dxa" w:w="9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322.1</w:t>
            </w:r>
          </w:p>
        </w:tc>
        <w:tc>
          <w:tcPr>
            <w:tcW w:type="dxa" w:w="96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11.0%</w:t>
            </w:r>
          </w:p>
        </w:tc>
        <w:tc>
          <w:tcPr>
            <w:tcW w:type="dxa" w:w="69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16.2%</w:t>
            </w:r>
          </w:p>
        </w:tc>
      </w:tr>
      <w:tr>
        <w:trPr>
          <w:cantSplit/>
        </w:trPr>
        <w:tc>
          <w:tcPr>
            <w:tcW w:type="dxa" w:w="23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US &amp; Bahamas</w:t>
            </w:r>
          </w:p>
        </w:tc>
        <w:tc>
          <w:tcPr>
            <w:tcW w:type="dxa" w:w="34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Resorts World NYC (Queens), RW Catskills, RW Hudson Valley (Empire Resorts, 100% since May-25), RW Bimini, Hilton Miami Downtown</w:t>
            </w:r>
          </w:p>
        </w:tc>
        <w:tc>
          <w:tcPr>
            <w:tcW w:type="dxa" w:w="7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2,566.0</w:t>
            </w:r>
          </w:p>
        </w:tc>
        <w:tc>
          <w:tcPr>
            <w:tcW w:type="dxa" w:w="6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21.6%</w:t>
            </w:r>
          </w:p>
        </w:tc>
        <w:tc>
          <w:tcPr>
            <w:tcW w:type="dxa" w:w="9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472.4</w:t>
            </w:r>
          </w:p>
        </w:tc>
        <w:tc>
          <w:tcPr>
            <w:tcW w:type="dxa" w:w="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16.1%</w:t>
            </w:r>
          </w:p>
        </w:tc>
        <w:tc>
          <w:tcPr>
            <w:tcW w:type="dxa" w:w="6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18.4%</w:t>
            </w:r>
          </w:p>
        </w:tc>
      </w:tr>
      <w:tr>
        <w:trPr>
          <w:cantSplit/>
        </w:trPr>
        <w:tc>
          <w:tcPr>
            <w:tcW w:type="dxa" w:w="23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Property</w:t>
            </w:r>
          </w:p>
        </w:tc>
        <w:tc>
          <w:tcPr>
            <w:tcW w:type="dxa" w:w="345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Miami land and other property rentals</w:t>
            </w:r>
          </w:p>
        </w:tc>
        <w:tc>
          <w:tcPr>
            <w:tcW w:type="dxa" w:w="78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94.1</w:t>
            </w:r>
          </w:p>
        </w:tc>
        <w:tc>
          <w:tcPr>
            <w:tcW w:type="dxa" w:w="68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0.8%</w:t>
            </w:r>
          </w:p>
        </w:tc>
        <w:tc>
          <w:tcPr>
            <w:tcW w:type="dxa" w:w="9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15.7</w:t>
            </w:r>
          </w:p>
        </w:tc>
        <w:tc>
          <w:tcPr>
            <w:tcW w:type="dxa" w:w="96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0.5%</w:t>
            </w:r>
          </w:p>
        </w:tc>
        <w:tc>
          <w:tcPr>
            <w:tcW w:type="dxa" w:w="69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n.m.</w:t>
            </w:r>
          </w:p>
        </w:tc>
      </w:tr>
      <w:tr>
        <w:trPr>
          <w:cantSplit/>
        </w:trPr>
        <w:tc>
          <w:tcPr>
            <w:tcW w:type="dxa" w:w="23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Investments &amp; Others</w:t>
            </w:r>
          </w:p>
        </w:tc>
        <w:tc>
          <w:tcPr>
            <w:tcW w:type="dxa" w:w="34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Treasury, corporate; includes unrealised FX on USD debt</w:t>
            </w:r>
          </w:p>
        </w:tc>
        <w:tc>
          <w:tcPr>
            <w:tcW w:type="dxa" w:w="7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96.5</w:t>
            </w:r>
          </w:p>
        </w:tc>
        <w:tc>
          <w:tcPr>
            <w:tcW w:type="dxa" w:w="6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0.8%</w:t>
            </w:r>
          </w:p>
        </w:tc>
        <w:tc>
          <w:tcPr>
            <w:tcW w:type="dxa" w:w="9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348.7</w:t>
            </w:r>
          </w:p>
        </w:tc>
        <w:tc>
          <w:tcPr>
            <w:tcW w:type="dxa" w:w="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n.m.</w:t>
            </w:r>
          </w:p>
        </w:tc>
        <w:tc>
          <w:tcPr>
            <w:tcW w:type="dxa" w:w="6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n.m.</w:t>
            </w:r>
          </w:p>
        </w:tc>
      </w:tr>
      <w:tr>
        <w:trPr>
          <w:cantSplit/>
        </w:trPr>
        <w:tc>
          <w:tcPr>
            <w:tcW w:type="dxa" w:w="2395"/>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Group</w:t>
            </w:r>
          </w:p>
        </w:tc>
        <w:tc>
          <w:tcPr>
            <w:tcW w:type="dxa" w:w="3459"/>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p>
        </w:tc>
        <w:tc>
          <w:tcPr>
            <w:tcW w:type="dxa" w:w="780"/>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11,884.3</w:t>
            </w:r>
          </w:p>
        </w:tc>
        <w:tc>
          <w:tcPr>
            <w:tcW w:type="dxa" w:w="687"/>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100%</w:t>
            </w:r>
          </w:p>
        </w:tc>
        <w:tc>
          <w:tcPr>
            <w:tcW w:type="dxa" w:w="927"/>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3,297.6</w:t>
            </w:r>
          </w:p>
        </w:tc>
        <w:tc>
          <w:tcPr>
            <w:tcW w:type="dxa" w:w="966"/>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p>
        </w:tc>
        <w:tc>
          <w:tcPr>
            <w:tcW w:type="dxa" w:w="692"/>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27.7%</w:t>
            </w:r>
          </w:p>
        </w:tc>
      </w:tr>
    </w:tbl>
    <w:p>
      <w:pPr>
        <w:spacing w:after="60"/>
      </w:pPr>
    </w:p>
    <w:p>
      <w:pPr>
        <w:spacing w:after="160"/>
      </w:pPr>
      <w:r>
        <w:rPr>
          <w:rFonts w:ascii="Arial" w:cs="Arial" w:eastAsia="Arial" w:hAnsi="Arial"/>
          <w:i/>
          <w:iCs/>
          <w:color w:val="5A6270"/>
          <w:sz w:val="14"/>
          <w:szCs w:val="14"/>
        </w:rPr>
        <w:t xml:space="preserve">Source: GENM Annual Report 2025 (segment note), S&amp;P Capital IQ. Segment EBITDA share excludes Investments &amp; Others (which held RM351.6m of unrealised FX gains).</w:t>
      </w:r>
    </w:p>
    <w:p>
      <w:pPr>
        <w:spacing w:after="120" w:line="276"/>
      </w:pPr>
      <w:r>
        <w:rPr>
          <w:rFonts w:ascii="Arial" w:cs="Arial" w:eastAsia="Arial" w:hAnsi="Arial"/>
          <w:b/>
          <w:bCs/>
          <w:sz w:val="19"/>
          <w:szCs w:val="19"/>
        </w:rPr>
        <w:t xml:space="preserve">What has changed in 2026:</w:t>
      </w:r>
      <w:r>
        <w:rPr>
          <w:rFonts w:ascii="Arial" w:cs="Arial" w:eastAsia="Arial" w:hAnsi="Arial"/>
          <w:sz w:val="19"/>
          <w:szCs w:val="19"/>
        </w:rPr>
        <w:t xml:space="preserve"> On 28-Apr-2026 Resorts World New York City converted from a video-lottery "racino" (where the State kept roughly two-thirds of net win) into a full commercial casino with live table games. US &amp; Bahamas jumped to </w:t>
      </w:r>
      <w:r>
        <w:rPr>
          <w:rFonts w:ascii="Arial" w:cs="Arial" w:eastAsia="Arial" w:hAnsi="Arial"/>
          <w:b/>
          <w:bCs/>
          <w:sz w:val="19"/>
          <w:szCs w:val="19"/>
        </w:rPr>
        <w:t xml:space="preserve">40% of group revenue in 2Q26</w:t>
      </w:r>
      <w:r>
        <w:rPr>
          <w:rFonts w:ascii="Arial" w:cs="Arial" w:eastAsia="Arial" w:hAnsi="Arial"/>
          <w:sz w:val="19"/>
          <w:szCs w:val="19"/>
        </w:rPr>
        <w:t xml:space="preserve"> (RM1,534m of RM3,853m). Malaysia is still the profit engine, but New York is now the growth engine and the main use of capital.</w:t>
      </w:r>
    </w:p>
    <w:p>
      <w:pPr>
        <w:spacing w:after="120" w:line="276"/>
      </w:pPr>
      <w:r>
        <w:rPr>
          <w:rFonts w:ascii="Arial" w:cs="Arial" w:eastAsia="Arial" w:hAnsi="Arial"/>
          <w:b/>
          <w:bCs/>
          <w:sz w:val="19"/>
          <w:szCs w:val="19"/>
        </w:rPr>
        <w:t xml:space="preserve">Revenue by type (FY2025):</w:t>
      </w:r>
      <w:r>
        <w:rPr>
          <w:rFonts w:ascii="Arial" w:cs="Arial" w:eastAsia="Arial" w:hAnsi="Arial"/>
          <w:sz w:val="19"/>
          <w:szCs w:val="19"/>
        </w:rPr>
        <w:t xml:space="preserve"> gaming RM8,693m (73%), hotel rooms RM1,374m (12%), F&amp;B RM634m (5%), attractions RM293m (2.5%), mall rents RM220m (2%), transport (cable cars, coaches) RM185m (1.6%), other RM391m.</w:t>
      </w:r>
    </w:p>
    <w:p>
      <w:r>
        <w:br w:type="page"/>
      </w:r>
    </w:p>
    <w:p>
      <w:pPr>
        <w:pStyle w:val="Heading1"/>
      </w:pPr>
      <w:r>
        <w:t xml:space="preserve">3. Business Model, Products, Customers, Suppliers and Competitors</w:t>
      </w:r>
    </w:p>
    <w:p>
      <w:pPr>
        <w:pStyle w:val="Heading2"/>
      </w:pPr>
      <w:r>
        <w:t xml:space="preserve">3.1 Business model in simple terms</w:t>
      </w:r>
    </w:p>
    <w:p>
      <w:pPr>
        <w:spacing w:after="120" w:line="276"/>
      </w:pPr>
      <w:r>
        <w:rPr>
          <w:rFonts w:ascii="Arial" w:cs="Arial" w:eastAsia="Arial" w:hAnsi="Arial"/>
          <w:sz w:val="19"/>
          <w:szCs w:val="19"/>
        </w:rPr>
        <w:t xml:space="preserve">GENM is a capital-intensive, regulated, mass-market gaming operator. It owns or leases the real estate, holds the gaming licences, builds the non-gaming "reasons to visit", and monetises footfall through gaming. Its economics rest on four things:</w:t>
      </w:r>
    </w:p>
    <w:p>
      <w:pPr>
        <w:pStyle w:val="ListParagraph"/>
        <w:numPr>
          <w:ilvl w:val="0"/>
          <w:numId w:val="3"/>
        </w:numPr>
        <w:spacing w:after="60" w:line="264"/>
      </w:pPr>
      <w:r>
        <w:rPr>
          <w:rFonts w:ascii="Arial" w:cs="Arial" w:eastAsia="Arial" w:hAnsi="Arial"/>
          <w:b/>
          <w:bCs/>
          <w:sz w:val="19"/>
          <w:szCs w:val="19"/>
        </w:rPr>
        <w:t xml:space="preserve">Scarcity of licences.</w:t>
      </w:r>
      <w:r>
        <w:rPr>
          <w:rFonts w:ascii="Arial" w:cs="Arial" w:eastAsia="Arial" w:hAnsi="Arial"/>
          <w:sz w:val="19"/>
          <w:szCs w:val="19"/>
        </w:rPr>
        <w:t xml:space="preserve"> Malaysia has one casino licence (granted 1969 to founder Lim Goh Tong; renewable every three months). New York City has three downstate licences, and RWNYC's two rivals are not expected to open until about 2030.</w:t>
      </w:r>
    </w:p>
    <w:p>
      <w:pPr>
        <w:pStyle w:val="ListParagraph"/>
        <w:numPr>
          <w:ilvl w:val="0"/>
          <w:numId w:val="3"/>
        </w:numPr>
        <w:spacing w:after="60" w:line="264"/>
      </w:pPr>
      <w:r>
        <w:rPr>
          <w:rFonts w:ascii="Arial" w:cs="Arial" w:eastAsia="Arial" w:hAnsi="Arial"/>
          <w:b/>
          <w:bCs/>
          <w:sz w:val="19"/>
          <w:szCs w:val="19"/>
        </w:rPr>
        <w:t xml:space="preserve">Volume x spend x hold.</w:t>
      </w:r>
      <w:r>
        <w:rPr>
          <w:rFonts w:ascii="Arial" w:cs="Arial" w:eastAsia="Arial" w:hAnsi="Arial"/>
          <w:sz w:val="19"/>
          <w:szCs w:val="19"/>
        </w:rPr>
        <w:t xml:space="preserve"> Visitation (28.6m at RWG in 2025), spend per visitor (~RM249 at RWG [e]) and win rate (hold) drive gaming revenue. Mass play is the profit core; VIP is volatile and lower-margin.</w:t>
      </w:r>
    </w:p>
    <w:p>
      <w:pPr>
        <w:pStyle w:val="ListParagraph"/>
        <w:numPr>
          <w:ilvl w:val="0"/>
          <w:numId w:val="3"/>
        </w:numPr>
        <w:spacing w:after="60" w:line="264"/>
      </w:pPr>
      <w:r>
        <w:rPr>
          <w:rFonts w:ascii="Arial" w:cs="Arial" w:eastAsia="Arial" w:hAnsi="Arial"/>
          <w:b/>
          <w:bCs/>
          <w:sz w:val="19"/>
          <w:szCs w:val="19"/>
        </w:rPr>
        <w:t xml:space="preserve">Fixed-cost operating leverage.</w:t>
      </w:r>
      <w:r>
        <w:rPr>
          <w:rFonts w:ascii="Arial" w:cs="Arial" w:eastAsia="Arial" w:hAnsi="Arial"/>
          <w:sz w:val="19"/>
          <w:szCs w:val="19"/>
        </w:rPr>
        <w:t xml:space="preserve"> Payroll, energy and maintenance on a 24/7 mountaintop resort are largely fixed, so margins swing hard with volume (FY21, with RWG closed ~5 months, made a Malaysian EBITDA of RM15.5m against RM2.1bn in FY25).</w:t>
      </w:r>
    </w:p>
    <w:p>
      <w:pPr>
        <w:pStyle w:val="ListParagraph"/>
        <w:numPr>
          <w:ilvl w:val="0"/>
          <w:numId w:val="3"/>
        </w:numPr>
        <w:spacing w:after="60" w:line="264"/>
      </w:pPr>
      <w:r>
        <w:rPr>
          <w:rFonts w:ascii="Arial" w:cs="Arial" w:eastAsia="Arial" w:hAnsi="Arial"/>
          <w:b/>
          <w:bCs/>
          <w:sz w:val="19"/>
          <w:szCs w:val="19"/>
        </w:rPr>
        <w:t xml:space="preserve">The tax and fee "stack".</w:t>
      </w:r>
      <w:r>
        <w:rPr>
          <w:rFonts w:ascii="Arial" w:cs="Arial" w:eastAsia="Arial" w:hAnsi="Arial"/>
          <w:sz w:val="19"/>
          <w:szCs w:val="19"/>
        </w:rPr>
        <w:t xml:space="preserve"> Governments take 35-72% of gaming win, and the parent Genting Bhd takes about RM848m a year (7% of revenue, 26% of adjusted EBITDA) in management, technical know-how, brand and IP fees [e from QR 4Q25 RRPT table].</w:t>
      </w:r>
    </w:p>
    <w:p>
      <w:pPr>
        <w:pStyle w:val="Heading2"/>
      </w:pPr>
      <w:r>
        <w:t xml:space="preserve">3.2 Key products and services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6"/>
        <w:gridCol w:w="3748"/>
        <w:gridCol w:w="3482"/>
      </w:tblGrid>
      <w:tr>
        <w:trPr>
          <w:tblHeader/>
        </w:trPr>
        <w:tc>
          <w:tcPr>
            <w:tcW w:type="dxa" w:w="267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Asset</w:t>
            </w:r>
          </w:p>
        </w:tc>
        <w:tc>
          <w:tcPr>
            <w:tcW w:type="dxa" w:w="374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Products / capacity</w:t>
            </w:r>
          </w:p>
        </w:tc>
        <w:tc>
          <w:tcPr>
            <w:tcW w:type="dxa" w:w="348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Notes</w:t>
            </w:r>
          </w:p>
        </w:tc>
      </w:tr>
      <w:tr>
        <w:trPr>
          <w:cantSplit/>
        </w:trPr>
        <w:tc>
          <w:tcPr>
            <w:tcW w:type="dxa" w:w="26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Resorts World Genting (Pahang)</w:t>
            </w:r>
          </w:p>
        </w:tc>
        <w:tc>
          <w:tcPr>
            <w:tcW w:type="dxa" w:w="374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SkyCasino and the new "Genting Casino" mass floor (opened Dec-2024); 7 hotels / ~10,500 rooms incl. First World Hotel (7,351 rooms, the world's largest); Genting SkyWorlds outdoor theme park (opened Feb-2022); Skytropolis indoor park; SkyAvenue mall; Awana SkyWay cable car (3,600 passengers/hr)</w:t>
            </w:r>
          </w:p>
        </w:tc>
        <w:tc>
          <w:tcPr>
            <w:tcW w:type="dxa" w:w="348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Two of three legacy casino floors closed for renovation in Feb-2024; reopening timetable not disclosed [u]</w:t>
            </w:r>
          </w:p>
        </w:tc>
      </w:tr>
      <w:tr>
        <w:trPr>
          <w:cantSplit/>
        </w:trPr>
        <w:tc>
          <w:tcPr>
            <w:tcW w:type="dxa" w:w="267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RW Kijal, RW Langkawi</w:t>
            </w:r>
          </w:p>
        </w:tc>
        <w:tc>
          <w:tcPr>
            <w:tcW w:type="dxa" w:w="374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Beach resorts</w:t>
            </w:r>
          </w:p>
        </w:tc>
        <w:tc>
          <w:tcPr>
            <w:tcW w:type="dxa" w:w="348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Occupancy 42% / 56% (FY25)</w:t>
            </w:r>
          </w:p>
        </w:tc>
      </w:tr>
      <w:tr>
        <w:trPr>
          <w:cantSplit/>
        </w:trPr>
        <w:tc>
          <w:tcPr>
            <w:tcW w:type="dxa" w:w="26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Resorts World New York City (Queens, Aqueduct)</w:t>
            </w:r>
          </w:p>
        </w:tc>
        <w:tc>
          <w:tcPr>
            <w:tcW w:type="dxa" w:w="374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~3,900 slots (2,500 at conversion + 1,400 added Jul-26), 242 live tables, Hyatt Regency JFK hotel; US$5.5bn masterplan for ~6,000 slots, 800 tables, ~2,000 rooms and a 7,000-seat arena</w:t>
            </w:r>
          </w:p>
        </w:tc>
        <w:tc>
          <w:tcPr>
            <w:tcW w:type="dxa" w:w="348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Only full casino in NYC until ~2030; weekly GGR ~US$30.8m in Jul-26 (~US$1.6bn annualised) [e]</w:t>
            </w:r>
          </w:p>
        </w:tc>
      </w:tr>
      <w:tr>
        <w:trPr>
          <w:cantSplit/>
        </w:trPr>
        <w:tc>
          <w:tcPr>
            <w:tcW w:type="dxa" w:w="267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Empire Resorts: RW Catskills, RW Hudson Valley</w:t>
            </w:r>
          </w:p>
        </w:tc>
        <w:tc>
          <w:tcPr>
            <w:tcW w:type="dxa" w:w="374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Commercial casino and resort (Catskills); 1,200-VGM facility (Newburgh)</w:t>
            </w:r>
          </w:p>
        </w:tc>
        <w:tc>
          <w:tcPr>
            <w:tcW w:type="dxa" w:w="348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Loss-making; 100% owned since May-2025</w:t>
            </w:r>
          </w:p>
        </w:tc>
      </w:tr>
      <w:tr>
        <w:trPr>
          <w:cantSplit/>
        </w:trPr>
        <w:tc>
          <w:tcPr>
            <w:tcW w:type="dxa" w:w="26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Genting UK</w:t>
            </w:r>
          </w:p>
        </w:tc>
        <w:tc>
          <w:tcPr>
            <w:tcW w:type="dxa" w:w="374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~32 casinos incl. RW Birmingham, Genting Casino Stratford (bought Apr-25 for £27.8m)</w:t>
            </w:r>
          </w:p>
        </w:tc>
        <w:tc>
          <w:tcPr>
            <w:tcW w:type="dxa" w:w="348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Coventry closing Oct-26; 13 casinos at risk if machine games duty doubles</w:t>
            </w:r>
          </w:p>
        </w:tc>
      </w:tr>
      <w:tr>
        <w:trPr>
          <w:cantSplit/>
        </w:trPr>
        <w:tc>
          <w:tcPr>
            <w:tcW w:type="dxa" w:w="267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Crockfords Cairo</w:t>
            </w:r>
          </w:p>
        </w:tc>
        <w:tc>
          <w:tcPr>
            <w:tcW w:type="dxa" w:w="374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Hotel casino in the Nile Ritz-Carlton</w:t>
            </w:r>
          </w:p>
        </w:tc>
        <w:tc>
          <w:tcPr>
            <w:tcW w:type="dxa" w:w="348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Immaterial</w:t>
            </w:r>
          </w:p>
        </w:tc>
      </w:tr>
      <w:tr>
        <w:trPr>
          <w:cantSplit/>
        </w:trPr>
        <w:tc>
          <w:tcPr>
            <w:tcW w:type="dxa" w:w="26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RW Bimini (Bahamas)</w:t>
            </w:r>
          </w:p>
        </w:tc>
        <w:tc>
          <w:tcPr>
            <w:tcW w:type="dxa" w:w="374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Casino, Hilton hotel, marina, cruise pier</w:t>
            </w:r>
          </w:p>
        </w:tc>
        <w:tc>
          <w:tcPr>
            <w:tcW w:type="dxa" w:w="348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Loss-making; RM631.8m carrying value is an audit key matter</w:t>
            </w:r>
          </w:p>
        </w:tc>
      </w:tr>
      <w:tr>
        <w:trPr>
          <w:cantSplit/>
        </w:trPr>
        <w:tc>
          <w:tcPr>
            <w:tcW w:type="dxa" w:w="267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Miami</w:t>
            </w:r>
          </w:p>
        </w:tc>
        <w:tc>
          <w:tcPr>
            <w:tcW w:type="dxa" w:w="374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Hilton Miami Downtown (527 rooms) and ~30 acres of freehold Omni waterfront land</w:t>
            </w:r>
          </w:p>
        </w:tc>
        <w:tc>
          <w:tcPr>
            <w:tcW w:type="dxa" w:w="348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US$1.225bn land sale collapsed Jun-2023</w:t>
            </w:r>
          </w:p>
        </w:tc>
      </w:tr>
    </w:tbl>
    <w:p>
      <w:pPr>
        <w:spacing w:after="60"/>
      </w:pPr>
    </w:p>
    <w:p>
      <w:pPr>
        <w:pStyle w:val="Heading2"/>
      </w:pPr>
      <w:r>
        <w:t xml:space="preserve">3.3 Main customers</w:t>
      </w:r>
    </w:p>
    <w:p>
      <w:pPr>
        <w:spacing w:after="120" w:line="276"/>
      </w:pPr>
      <w:r>
        <w:rPr>
          <w:rFonts w:ascii="Arial" w:cs="Arial" w:eastAsia="Arial" w:hAnsi="Arial"/>
          <w:sz w:val="19"/>
          <w:szCs w:val="19"/>
        </w:rPr>
        <w:t xml:space="preserve">No customer exceeds 10% of revenue (AR2025, Note 5). The customer base is:</w:t>
      </w:r>
    </w:p>
    <w:p>
      <w:pPr>
        <w:pStyle w:val="ListParagraph"/>
        <w:numPr>
          <w:ilvl w:val="0"/>
          <w:numId w:val="3"/>
        </w:numPr>
        <w:spacing w:after="60" w:line="264"/>
      </w:pPr>
      <w:r>
        <w:rPr>
          <w:rFonts w:ascii="Arial" w:cs="Arial" w:eastAsia="Arial" w:hAnsi="Arial"/>
          <w:b/>
          <w:bCs/>
          <w:sz w:val="19"/>
          <w:szCs w:val="19"/>
        </w:rPr>
        <w:t xml:space="preserve">Malaysian non-Muslim locals</w:t>
      </w:r>
      <w:r>
        <w:rPr>
          <w:rFonts w:ascii="Arial" w:cs="Arial" w:eastAsia="Arial" w:hAnsi="Arial"/>
          <w:sz w:val="19"/>
          <w:szCs w:val="19"/>
        </w:rPr>
        <w:t xml:space="preserve"> (the core mass market; ~1 hour from the Klang Valley by road plus cable car). Muslims are barred from the casino.</w:t>
      </w:r>
    </w:p>
    <w:p>
      <w:pPr>
        <w:pStyle w:val="ListParagraph"/>
        <w:numPr>
          <w:ilvl w:val="0"/>
          <w:numId w:val="3"/>
        </w:numPr>
        <w:spacing w:after="60" w:line="264"/>
      </w:pPr>
      <w:r>
        <w:rPr>
          <w:rFonts w:ascii="Arial" w:cs="Arial" w:eastAsia="Arial" w:hAnsi="Arial"/>
          <w:b/>
          <w:bCs/>
          <w:sz w:val="19"/>
          <w:szCs w:val="19"/>
        </w:rPr>
        <w:t xml:space="preserve">Singaporeans</w:t>
      </w:r>
      <w:r>
        <w:rPr>
          <w:rFonts w:ascii="Arial" w:cs="Arial" w:eastAsia="Arial" w:hAnsi="Arial"/>
          <w:sz w:val="19"/>
          <w:szCs w:val="19"/>
        </w:rPr>
        <w:t xml:space="preserve"> (largest foreign source market; 21.1m arrivals to Malaysia in 2025) and </w:t>
      </w:r>
      <w:r>
        <w:rPr>
          <w:rFonts w:ascii="Arial" w:cs="Arial" w:eastAsia="Arial" w:hAnsi="Arial"/>
          <w:b/>
          <w:bCs/>
          <w:sz w:val="19"/>
          <w:szCs w:val="19"/>
        </w:rPr>
        <w:t xml:space="preserve">Chinese tourists</w:t>
      </w:r>
      <w:r>
        <w:rPr>
          <w:rFonts w:ascii="Arial" w:cs="Arial" w:eastAsia="Arial" w:hAnsi="Arial"/>
          <w:sz w:val="19"/>
          <w:szCs w:val="19"/>
        </w:rPr>
        <w:t xml:space="preserve"> (4.7m arrivals, +25%; mutual 30-day visa exemption since 17-Jul-2025), plus other ASEAN, India and the Middle East.</w:t>
      </w:r>
    </w:p>
    <w:p>
      <w:pPr>
        <w:pStyle w:val="ListParagraph"/>
        <w:numPr>
          <w:ilvl w:val="0"/>
          <w:numId w:val="3"/>
        </w:numPr>
        <w:spacing w:after="60" w:line="264"/>
      </w:pPr>
      <w:r>
        <w:rPr>
          <w:rFonts w:ascii="Arial" w:cs="Arial" w:eastAsia="Arial" w:hAnsi="Arial"/>
          <w:b/>
          <w:bCs/>
          <w:sz w:val="19"/>
          <w:szCs w:val="19"/>
        </w:rPr>
        <w:t xml:space="preserve">Premium/VIP players</w:t>
      </w:r>
      <w:r>
        <w:rPr>
          <w:rFonts w:ascii="Arial" w:cs="Arial" w:eastAsia="Arial" w:hAnsi="Arial"/>
          <w:sz w:val="19"/>
          <w:szCs w:val="19"/>
        </w:rPr>
        <w:t xml:space="preserve"> marketed directly (not junket-driven like Macau). The VIP/mass split is not disclosed.</w:t>
      </w:r>
    </w:p>
    <w:p>
      <w:pPr>
        <w:pStyle w:val="ListParagraph"/>
        <w:numPr>
          <w:ilvl w:val="0"/>
          <w:numId w:val="3"/>
        </w:numPr>
        <w:spacing w:after="60" w:line="264"/>
      </w:pPr>
      <w:r>
        <w:rPr>
          <w:rFonts w:ascii="Arial" w:cs="Arial" w:eastAsia="Arial" w:hAnsi="Arial"/>
          <w:b/>
          <w:bCs/>
          <w:sz w:val="19"/>
          <w:szCs w:val="19"/>
        </w:rPr>
        <w:t xml:space="preserve">New York metro day-trippers</w:t>
      </w:r>
      <w:r>
        <w:rPr>
          <w:rFonts w:ascii="Arial" w:cs="Arial" w:eastAsia="Arial" w:hAnsi="Arial"/>
          <w:sz w:val="19"/>
          <w:szCs w:val="19"/>
        </w:rPr>
        <w:t xml:space="preserve"> (subway A-train to Aqueduct; large Asian-American base in Queens), </w:t>
      </w:r>
      <w:r>
        <w:rPr>
          <w:rFonts w:ascii="Arial" w:cs="Arial" w:eastAsia="Arial" w:hAnsi="Arial"/>
          <w:b/>
          <w:bCs/>
          <w:sz w:val="19"/>
          <w:szCs w:val="19"/>
        </w:rPr>
        <w:t xml:space="preserve">Catskills/Hudson Valley</w:t>
      </w:r>
      <w:r>
        <w:rPr>
          <w:rFonts w:ascii="Arial" w:cs="Arial" w:eastAsia="Arial" w:hAnsi="Arial"/>
          <w:sz w:val="19"/>
          <w:szCs w:val="19"/>
        </w:rPr>
        <w:t xml:space="preserve"> drive-in visitors, </w:t>
      </w:r>
      <w:r>
        <w:rPr>
          <w:rFonts w:ascii="Arial" w:cs="Arial" w:eastAsia="Arial" w:hAnsi="Arial"/>
          <w:b/>
          <w:bCs/>
          <w:sz w:val="19"/>
          <w:szCs w:val="19"/>
        </w:rPr>
        <w:t xml:space="preserve">UK members</w:t>
      </w:r>
      <w:r>
        <w:rPr>
          <w:rFonts w:ascii="Arial" w:cs="Arial" w:eastAsia="Arial" w:hAnsi="Arial"/>
          <w:sz w:val="19"/>
          <w:szCs w:val="19"/>
        </w:rPr>
        <w:t xml:space="preserve"> and international premium players in London, and </w:t>
      </w:r>
      <w:r>
        <w:rPr>
          <w:rFonts w:ascii="Arial" w:cs="Arial" w:eastAsia="Arial" w:hAnsi="Arial"/>
          <w:b/>
          <w:bCs/>
          <w:sz w:val="19"/>
          <w:szCs w:val="19"/>
        </w:rPr>
        <w:t xml:space="preserve">cruise passengers</w:t>
      </w:r>
      <w:r>
        <w:rPr>
          <w:rFonts w:ascii="Arial" w:cs="Arial" w:eastAsia="Arial" w:hAnsi="Arial"/>
          <w:sz w:val="19"/>
          <w:szCs w:val="19"/>
        </w:rPr>
        <w:t xml:space="preserve"> at Bimini.</w:t>
      </w:r>
    </w:p>
    <w:p>
      <w:pPr>
        <w:pStyle w:val="Heading2"/>
      </w:pPr>
      <w:r>
        <w:t xml:space="preserve">3.4 Main suppliers and counterparties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9"/>
        <w:gridCol w:w="7287"/>
      </w:tblGrid>
      <w:tr>
        <w:trPr>
          <w:tblHeader/>
        </w:trPr>
        <w:tc>
          <w:tcPr>
            <w:tcW w:type="dxa" w:w="261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Category</w:t>
            </w:r>
          </w:p>
        </w:tc>
        <w:tc>
          <w:tcPr>
            <w:tcW w:type="dxa" w:w="728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Named counterparties</w:t>
            </w:r>
          </w:p>
        </w:tc>
      </w:tr>
      <w:tr>
        <w:trPr>
          <w:cantSplit/>
        </w:trPr>
        <w:tc>
          <w:tcPr>
            <w:tcW w:type="dxa" w:w="26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Parent / related party</w:t>
            </w:r>
          </w:p>
        </w:tc>
        <w:tc>
          <w:tcPr>
            <w:tcW w:type="dxa" w:w="72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Genting Bhd (management &amp; know-how fee RM497.8m; brand licence RM233.0m in FY25); Resorts World Inc Pte Ltd (RWI, Genting Bhd JV: US/Bahamas IP RM90.2m, gaming software RM16.1m); LKH-linked Zouk IP companies</w:t>
            </w:r>
          </w:p>
        </w:tc>
      </w:tr>
      <w:tr>
        <w:trPr>
          <w:cantSplit/>
        </w:trPr>
        <w:tc>
          <w:tcPr>
            <w:tcW w:type="dxa" w:w="261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Gaming equipment</w:t>
            </w:r>
          </w:p>
        </w:tc>
        <w:tc>
          <w:tcPr>
            <w:tcW w:type="dxa" w:w="728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Aristocrat (incl. a 114-unit "Dragon Den" at RWNYC), Light &amp; Wonder, IGT (now Apollo-owned with Everi), Konami; TCS John Huxley (300+ tables at RWNYC); Interblock (electronic table games at RWG and RWNYC)</w:t>
            </w:r>
          </w:p>
        </w:tc>
      </w:tr>
      <w:tr>
        <w:trPr>
          <w:cantSplit/>
        </w:trPr>
        <w:tc>
          <w:tcPr>
            <w:tcW w:type="dxa" w:w="26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Construction / design</w:t>
            </w:r>
          </w:p>
        </w:tc>
        <w:tc>
          <w:tcPr>
            <w:tcW w:type="dxa" w:w="72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Plaza Construction (RWNYC phase I), Perkins Eastman (architect), Cosentini (engineering), JCJ Architecture (Catskills), Leitner Ropeways (Awana SkyWay), Cyclect (SkyWorlds E&amp;I)</w:t>
            </w:r>
          </w:p>
        </w:tc>
      </w:tr>
      <w:tr>
        <w:trPr>
          <w:cantSplit/>
        </w:trPr>
        <w:tc>
          <w:tcPr>
            <w:tcW w:type="dxa" w:w="261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Hotel / IP brands</w:t>
            </w:r>
          </w:p>
        </w:tc>
        <w:tc>
          <w:tcPr>
            <w:tcW w:type="dxa" w:w="728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Hyatt (RWNYC), Hilton (Miami, Bimini), Disney/20th Century Studios (limited Fox IP at SkyWorlds)</w:t>
            </w:r>
          </w:p>
        </w:tc>
      </w:tr>
      <w:tr>
        <w:trPr>
          <w:cantSplit/>
        </w:trPr>
        <w:tc>
          <w:tcPr>
            <w:tcW w:type="dxa" w:w="26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Utilities</w:t>
            </w:r>
          </w:p>
        </w:tc>
        <w:tc>
          <w:tcPr>
            <w:tcW w:type="dxa" w:w="72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Tenaga Nasional (via GENM's own Genting Utilities &amp; Services), Con Edison (Queens) [u]</w:t>
            </w:r>
          </w:p>
        </w:tc>
      </w:tr>
      <w:tr>
        <w:trPr>
          <w:cantSplit/>
        </w:trPr>
        <w:tc>
          <w:tcPr>
            <w:tcW w:type="dxa" w:w="261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Lenders</w:t>
            </w:r>
          </w:p>
        </w:tc>
        <w:tc>
          <w:tcPr>
            <w:tcW w:type="dxa" w:w="728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Bondholders of US$1bn 3.882% 2031 notes and US$625m 7.25% 2029 notes; RM4.75bn MTN holders; KeyBanc-arranged US$925m facility (refinanced); US$2.0bn Genting Americas secured facility (Jun-26)</w:t>
            </w:r>
          </w:p>
        </w:tc>
      </w:tr>
      <w:tr>
        <w:trPr>
          <w:cantSplit/>
        </w:trPr>
        <w:tc>
          <w:tcPr>
            <w:tcW w:type="dxa" w:w="26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Landlords / grantors</w:t>
            </w:r>
          </w:p>
        </w:tc>
        <w:tc>
          <w:tcPr>
            <w:tcW w:type="dxa" w:w="72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New York State via the Franchise Oversight Board (Aqueduct ground lease, runs to 60 years after licence expiry); NYRA; Malaysian Ministry of Finance (casino licence)</w:t>
            </w:r>
          </w:p>
        </w:tc>
      </w:tr>
    </w:tbl>
    <w:p>
      <w:pPr>
        <w:spacing w:after="60"/>
      </w:pPr>
    </w:p>
    <w:p>
      <w:pPr>
        <w:pStyle w:val="Heading2"/>
      </w:pPr>
      <w:r>
        <w:t xml:space="preserve">3.5 Competitors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5"/>
        <w:gridCol w:w="6463"/>
        <w:gridCol w:w="2078"/>
      </w:tblGrid>
      <w:tr>
        <w:trPr>
          <w:tblHeader/>
        </w:trPr>
        <w:tc>
          <w:tcPr>
            <w:tcW w:type="dxa" w:w="136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Market</w:t>
            </w:r>
          </w:p>
        </w:tc>
        <w:tc>
          <w:tcPr>
            <w:tcW w:type="dxa" w:w="646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Competitors</w:t>
            </w:r>
          </w:p>
        </w:tc>
        <w:tc>
          <w:tcPr>
            <w:tcW w:type="dxa" w:w="207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Listed?</w:t>
            </w:r>
          </w:p>
        </w:tc>
      </w:tr>
      <w:tr>
        <w:trPr>
          <w:cantSplit/>
        </w:trPr>
        <w:tc>
          <w:tcPr>
            <w:tcW w:type="dxa" w:w="13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Malaysia</w:t>
            </w:r>
          </w:p>
        </w:tc>
        <w:tc>
          <w:tcPr>
            <w:tcW w:type="dxa" w:w="646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 domestic licensed casino. Regional: Marina Bay Sands (Las Vegas Sands), Resorts World Sentosa (Genting Singapore, a sister company), NagaCorp (Cambodia), Philippine IRs (Bloomberry/Solaire, Okada, City of Dreams Manila), Vietnam, Macau; illegal/online gambling (~RM18bn a year [u]); Thailand's proposed casino complexes (bill withdrawn Jul-25, revival framework May-26 [u])</w:t>
            </w:r>
          </w:p>
        </w:tc>
        <w:tc>
          <w:tcPr>
            <w:tcW w:type="dxa" w:w="20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Mostly listed</w:t>
            </w:r>
          </w:p>
        </w:tc>
      </w:tr>
      <w:tr>
        <w:trPr>
          <w:cantSplit/>
        </w:trPr>
        <w:tc>
          <w:tcPr>
            <w:tcW w:type="dxa" w:w="13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New York City</w:t>
            </w:r>
          </w:p>
        </w:tc>
        <w:tc>
          <w:tcPr>
            <w:tcW w:type="dxa" w:w="646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Metropolitan Park/Hard Rock (Steve Cohen; Queens; ~2030), Bally's Bronx (~2030), Empire City (MGM, Yonkers VGM racino), Jake's 58 (Delaware North), Atlantic City, Mohegan Sun and Foxwoods (CT), Pennsylvania casinos</w:t>
            </w:r>
          </w:p>
        </w:tc>
        <w:tc>
          <w:tcPr>
            <w:tcW w:type="dxa" w:w="20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Mixed</w:t>
            </w:r>
          </w:p>
        </w:tc>
      </w:tr>
      <w:tr>
        <w:trPr>
          <w:cantSplit/>
        </w:trPr>
        <w:tc>
          <w:tcPr>
            <w:tcW w:type="dxa" w:w="13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Upstate NY</w:t>
            </w:r>
          </w:p>
        </w:tc>
        <w:tc>
          <w:tcPr>
            <w:tcW w:type="dxa" w:w="646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Rivers Schenectady, Tioga Downs, del Lago, Seneca Nation, Turning Stone (Oneida)</w:t>
            </w:r>
          </w:p>
        </w:tc>
        <w:tc>
          <w:tcPr>
            <w:tcW w:type="dxa" w:w="20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Mostly private/tribal</w:t>
            </w:r>
          </w:p>
        </w:tc>
      </w:tr>
      <w:tr>
        <w:trPr>
          <w:cantSplit/>
        </w:trPr>
        <w:tc>
          <w:tcPr>
            <w:tcW w:type="dxa" w:w="13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UK</w:t>
            </w:r>
          </w:p>
        </w:tc>
        <w:tc>
          <w:tcPr>
            <w:tcW w:type="dxa" w:w="646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Rank Group (Grosvenor), Aspers, The Hippodrome, Les Ambassadeurs, online operators</w:t>
            </w:r>
          </w:p>
        </w:tc>
        <w:tc>
          <w:tcPr>
            <w:tcW w:type="dxa" w:w="20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Rank listed</w:t>
            </w:r>
          </w:p>
        </w:tc>
      </w:tr>
      <w:tr>
        <w:trPr>
          <w:cantSplit/>
        </w:trPr>
        <w:tc>
          <w:tcPr>
            <w:tcW w:type="dxa" w:w="13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Bahamas</w:t>
            </w:r>
          </w:p>
        </w:tc>
        <w:tc>
          <w:tcPr>
            <w:tcW w:type="dxa" w:w="646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Baha Mar, Atlantis, Seminole Hard Rock (Florida)</w:t>
            </w:r>
          </w:p>
        </w:tc>
        <w:tc>
          <w:tcPr>
            <w:tcW w:type="dxa" w:w="20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Private</w:t>
            </w:r>
          </w:p>
        </w:tc>
      </w:tr>
    </w:tbl>
    <w:p>
      <w:pPr>
        <w:spacing w:after="60"/>
      </w:pPr>
    </w:p>
    <w:p>
      <w:pPr>
        <w:pStyle w:val="Heading2"/>
      </w:pPr>
      <w:r>
        <w:t xml:space="preserve">3.6 Key markets and geographies</w:t>
      </w:r>
    </w:p>
    <w:p>
      <w:pPr>
        <w:spacing w:after="120" w:line="276"/>
      </w:pPr>
      <w:r>
        <w:rPr>
          <w:rFonts w:ascii="Arial" w:cs="Arial" w:eastAsia="Arial" w:hAnsi="Arial"/>
          <w:sz w:val="19"/>
          <w:szCs w:val="19"/>
        </w:rPr>
        <w:t xml:space="preserve">Revenue by customer location FY2025: </w:t>
      </w:r>
      <w:r>
        <w:rPr>
          <w:rFonts w:ascii="Arial" w:cs="Arial" w:eastAsia="Arial" w:hAnsi="Arial"/>
          <w:b/>
          <w:bCs/>
          <w:sz w:val="19"/>
          <w:szCs w:val="19"/>
        </w:rPr>
        <w:t xml:space="preserve">Malaysia 61%, US &amp; Bahamas 22%, UK &amp; Egypt 17%</w:t>
      </w:r>
      <w:r>
        <w:rPr>
          <w:rFonts w:ascii="Arial" w:cs="Arial" w:eastAsia="Arial" w:hAnsi="Arial"/>
          <w:sz w:val="19"/>
          <w:szCs w:val="19"/>
        </w:rPr>
        <w:t xml:space="preserve">. In 1H26 the US &amp; Bahamas share rose to 33% (40% in 2Q26). Non-current assets FY2025: Malaysia RM10.9bn, US &amp; Bahamas RM9.6bn (RM12.4bn of segment assets by Jun-26), UK &amp; Egypt RM4.0bn.</w:t>
      </w:r>
    </w:p>
    <w:p>
      <w:pPr>
        <w:pStyle w:val="Heading2"/>
      </w:pPr>
      <w:r>
        <w:t xml:space="preserve">3.7 Contracts and key payment terms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24"/>
        <w:gridCol w:w="5382"/>
      </w:tblGrid>
      <w:tr>
        <w:trPr>
          <w:tblHeader/>
        </w:trPr>
        <w:tc>
          <w:tcPr>
            <w:tcW w:type="dxa" w:w="452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Contract</w:t>
            </w:r>
          </w:p>
        </w:tc>
        <w:tc>
          <w:tcPr>
            <w:tcW w:type="dxa" w:w="538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Key terms</w:t>
            </w:r>
          </w:p>
        </w:tc>
      </w:tr>
      <w:tr>
        <w:trPr>
          <w:cantSplit/>
        </w:trPr>
        <w:tc>
          <w:tcPr>
            <w:tcW w:type="dxa" w:w="45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Malaysian casino licence (Common Gaming Houses Act 1953, Minister of Finance)</w:t>
            </w:r>
          </w:p>
        </w:tc>
        <w:tc>
          <w:tcPr>
            <w:tcW w:type="dxa" w:w="538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Sole licence since 1969; </w:t>
            </w:r>
            <w:r>
              <w:rPr>
                <w:rFonts w:ascii="Arial" w:cs="Arial" w:eastAsia="Arial" w:hAnsi="Arial"/>
                <w:b/>
                <w:bCs/>
                <w:color w:val="1A1F2B"/>
                <w:sz w:val="15"/>
                <w:szCs w:val="15"/>
              </w:rPr>
              <w:t xml:space="preserve">renewable every three months</w:t>
            </w:r>
            <w:r>
              <w:rPr>
                <w:rFonts w:ascii="Arial" w:cs="Arial" w:eastAsia="Arial" w:hAnsi="Arial"/>
                <w:b w:val="false"/>
                <w:bCs w:val="false"/>
                <w:color w:val="1A1F2B"/>
                <w:sz w:val="15"/>
                <w:szCs w:val="15"/>
              </w:rPr>
              <w:t xml:space="preserve">; annual fee RM150m (since 2019); casino duty 35% on mass GGR (from 25% in 2019), ~20% on VIP [u]; gaming-machine duty 30%; 8% service tax absorbed by GENM</w:t>
            </w:r>
          </w:p>
        </w:tc>
      </w:tr>
      <w:tr>
        <w:trPr>
          <w:cantSplit/>
        </w:trPr>
        <w:tc>
          <w:tcPr>
            <w:tcW w:type="dxa" w:w="452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NY downstate commercial casino licence (NY State Gaming Commission, 15-Dec-2025)</w:t>
            </w:r>
          </w:p>
        </w:tc>
        <w:tc>
          <w:tcPr>
            <w:tcW w:type="dxa" w:w="538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US$500m fee paid Jan-2026; tax bid 56% slots / 30% tables; term reported as 15 years [u]; clause seeking tax equalisation once rivals open; </w:t>
            </w:r>
            <w:r>
              <w:rPr>
                <w:rFonts w:ascii="Arial" w:cs="Arial" w:eastAsia="Arial" w:hAnsi="Arial"/>
                <w:b/>
                <w:bCs/>
                <w:color w:val="1A1F2B"/>
                <w:sz w:val="15"/>
                <w:szCs w:val="15"/>
              </w:rPr>
              <w:t xml:space="preserve">disputed racing-support payments (~US$150m a year)</w:t>
            </w:r>
            <w:r>
              <w:rPr>
                <w:rFonts w:ascii="Arial" w:cs="Arial" w:eastAsia="Arial" w:hAnsi="Arial"/>
                <w:b w:val="false"/>
                <w:bCs w:val="false"/>
                <w:color w:val="1A1F2B"/>
                <w:sz w:val="15"/>
                <w:szCs w:val="15"/>
              </w:rPr>
              <w:t xml:space="preserve"> that the State says are owed on top (effective ~72%)</w:t>
            </w:r>
          </w:p>
        </w:tc>
      </w:tr>
      <w:tr>
        <w:trPr>
          <w:cantSplit/>
        </w:trPr>
        <w:tc>
          <w:tcPr>
            <w:tcW w:type="dxa" w:w="45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Aqueduct ground lease (NY State/FOB; NYRA sublease)</w:t>
            </w:r>
          </w:p>
        </w:tc>
        <w:tc>
          <w:tcPr>
            <w:tcW w:type="dxa" w:w="538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~72.6 acres; term extended to 60 years after the gaming licence ends (Amendment Two, Jun-2025); rent terms not disclosed [u]</w:t>
            </w:r>
          </w:p>
        </w:tc>
      </w:tr>
      <w:tr>
        <w:trPr>
          <w:cantSplit/>
        </w:trPr>
        <w:tc>
          <w:tcPr>
            <w:tcW w:type="dxa" w:w="452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Brand, management and IP agreements with Genting Bhd and RWI</w:t>
            </w:r>
          </w:p>
        </w:tc>
        <w:tc>
          <w:tcPr>
            <w:tcW w:type="dxa" w:w="538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FY25: technical know-how &amp; management fee RM497.8m; Genting/Resorts World/Awana licence RM233.0m; US/Bahamas IP RM90.2m; software and support RM16.1m; recurrent related-party transactions renewed annually at the AGM</w:t>
            </w:r>
          </w:p>
        </w:tc>
      </w:tr>
      <w:tr>
        <w:trPr>
          <w:cantSplit/>
        </w:trPr>
        <w:tc>
          <w:tcPr>
            <w:tcW w:type="dxa" w:w="45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Casino credit (Malaysia)</w:t>
            </w:r>
          </w:p>
        </w:tc>
        <w:tc>
          <w:tcPr>
            <w:tcW w:type="dxa" w:w="538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Mostly cash/chip play; credit extended to selected premium players; receivables under simplified ECL model. Receivables stable at ~RM0.7bn</w:t>
            </w:r>
          </w:p>
        </w:tc>
      </w:tr>
      <w:tr>
        <w:trPr>
          <w:cantSplit/>
        </w:trPr>
        <w:tc>
          <w:tcPr>
            <w:tcW w:type="dxa" w:w="452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Hotels</w:t>
            </w:r>
          </w:p>
        </w:tc>
        <w:tc>
          <w:tcPr>
            <w:tcW w:type="dxa" w:w="538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Prepayment via OTAs and cards; loyalty-point redemptions (Genting Rewards)</w:t>
            </w:r>
          </w:p>
        </w:tc>
      </w:tr>
    </w:tbl>
    <w:p>
      <w:pPr>
        <w:spacing w:after="60"/>
      </w:pPr>
    </w:p>
    <w:p>
      <w:pPr>
        <w:spacing w:after="160"/>
      </w:pPr>
      <w:r>
        <w:rPr>
          <w:rFonts w:ascii="Arial" w:cs="Arial" w:eastAsia="Arial" w:hAnsi="Arial"/>
          <w:i/>
          <w:iCs/>
          <w:color w:val="5A6270"/>
          <w:sz w:val="14"/>
          <w:szCs w:val="14"/>
        </w:rPr>
        <w:t xml:space="preserve">Source: GENM AR2025 (Notes 4-6, 18, 40, 44), QR 4Q25 RRPT table, NY Gaming Commission, NY Focus, nycasinos.ny.gov. [u] = unverified.</w:t>
      </w:r>
    </w:p>
    <w:p>
      <w:r>
        <w:br w:type="page"/>
      </w:r>
    </w:p>
    <w:p>
      <w:pPr>
        <w:pStyle w:val="Heading1"/>
      </w:pPr>
      <w:r>
        <w:t xml:space="preserve">4. Key Business Drivers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4"/>
        <w:gridCol w:w="2821"/>
        <w:gridCol w:w="3007"/>
        <w:gridCol w:w="2814"/>
      </w:tblGrid>
      <w:tr>
        <w:trPr>
          <w:tblHeader/>
        </w:trPr>
        <w:tc>
          <w:tcPr>
            <w:tcW w:type="dxa" w:w="126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Driver</w:t>
            </w:r>
          </w:p>
        </w:tc>
        <w:tc>
          <w:tcPr>
            <w:tcW w:type="dxa" w:w="282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Mechanism</w:t>
            </w:r>
          </w:p>
        </w:tc>
        <w:tc>
          <w:tcPr>
            <w:tcW w:type="dxa" w:w="300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Latest reading</w:t>
            </w:r>
          </w:p>
        </w:tc>
        <w:tc>
          <w:tcPr>
            <w:tcW w:type="dxa" w:w="281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Sensitivity / direction</w:t>
            </w:r>
          </w:p>
        </w:tc>
      </w:tr>
      <w:tr>
        <w:trPr>
          <w:cantSplit/>
        </w:trPr>
        <w:tc>
          <w:tcPr>
            <w:tcW w:type="dxa" w:w="12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Volume (visitation)</w:t>
            </w:r>
          </w:p>
        </w:tc>
        <w:tc>
          <w:tcPr>
            <w:tcW w:type="dxa" w:w="282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Base for every revenue line at RWG</w:t>
            </w:r>
          </w:p>
        </w:tc>
        <w:tc>
          <w:tcPr>
            <w:tcW w:type="dxa" w:w="3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28.6m visitors in 2025 (+2%); "softer visitation" in 2Q26 as the Middle East war lifted airfares</w:t>
            </w:r>
          </w:p>
        </w:tc>
        <w:tc>
          <w:tcPr>
            <w:tcW w:type="dxa" w:w="28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 visitation ≈ RM70m revenue [e]</w:t>
            </w:r>
          </w:p>
        </w:tc>
      </w:tr>
      <w:tr>
        <w:trPr>
          <w:cantSplit/>
        </w:trPr>
        <w:tc>
          <w:tcPr>
            <w:tcW w:type="dxa" w:w="12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Pricing / hold / mix</w:t>
            </w:r>
          </w:p>
        </w:tc>
        <w:tc>
          <w:tcPr>
            <w:tcW w:type="dxa" w:w="282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Mass is the profit core; VIP is volatile; hold swings quarters</w:t>
            </w:r>
          </w:p>
        </w:tc>
        <w:tc>
          <w:tcPr>
            <w:tcW w:type="dxa" w:w="3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1Q25 VIP GGR −18%; 3Q25 VIP +21% QoQ on high hold; 2Q26 helped by VIP win rate</w:t>
            </w:r>
          </w:p>
        </w:tc>
        <w:tc>
          <w:tcPr>
            <w:tcW w:type="dxa" w:w="281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Hold can move a quarter's Malaysia EBITDA ±10-20% [e]</w:t>
            </w:r>
          </w:p>
        </w:tc>
      </w:tr>
      <w:tr>
        <w:trPr>
          <w:cantSplit/>
        </w:trPr>
        <w:tc>
          <w:tcPr>
            <w:tcW w:type="dxa" w:w="12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Capacity</w:t>
            </w:r>
          </w:p>
        </w:tc>
        <w:tc>
          <w:tcPr>
            <w:tcW w:type="dxa" w:w="282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Hilltop rooms are the bottleneck; gaming floors under renovation</w:t>
            </w:r>
          </w:p>
        </w:tc>
        <w:tc>
          <w:tcPr>
            <w:tcW w:type="dxa" w:w="3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Hotel occupancy 98-99%; 2 of 3 legacy casino floors closed since Feb-2024</w:t>
            </w:r>
          </w:p>
        </w:tc>
        <w:tc>
          <w:tcPr>
            <w:tcW w:type="dxa" w:w="28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Floor reopenings are upside</w:t>
            </w:r>
          </w:p>
        </w:tc>
      </w:tr>
      <w:tr>
        <w:trPr>
          <w:cantSplit/>
        </w:trPr>
        <w:tc>
          <w:tcPr>
            <w:tcW w:type="dxa" w:w="12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Regulation &amp; tax</w:t>
            </w:r>
          </w:p>
        </w:tc>
        <w:tc>
          <w:tcPr>
            <w:tcW w:type="dxa" w:w="282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Duty on GGR, licence fees, service tax; NY tax rate; UK duty</w:t>
            </w:r>
          </w:p>
        </w:tc>
        <w:tc>
          <w:tcPr>
            <w:tcW w:type="dxa" w:w="3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NY slot tax fell from ~68% (VLT) to 56% on 28-Apr-26 (Maybank: up to +US$100m a year); racing-support dispute; UK MGD decision 28-Oct-26</w:t>
            </w:r>
          </w:p>
        </w:tc>
        <w:tc>
          <w:tcPr>
            <w:tcW w:type="dxa" w:w="281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TA Securities: +1ppt Malaysian gaming tax ≈ −4.6% net profit</w:t>
            </w:r>
          </w:p>
        </w:tc>
      </w:tr>
      <w:tr>
        <w:trPr>
          <w:cantSplit/>
        </w:trPr>
        <w:tc>
          <w:tcPr>
            <w:tcW w:type="dxa" w:w="12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Capex cycle</w:t>
            </w:r>
          </w:p>
        </w:tc>
        <w:tc>
          <w:tcPr>
            <w:tcW w:type="dxa" w:w="282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RWNYC US$5.5bn build; RWG refurbishment</w:t>
            </w:r>
          </w:p>
        </w:tc>
        <w:tc>
          <w:tcPr>
            <w:tcW w:type="dxa" w:w="3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Consensus capex RM3.9bn (FY26E), RM3.4bn (FY27E), RM3.1bn (FY28E) vs ~RM0.9bn historical</w:t>
            </w:r>
          </w:p>
        </w:tc>
        <w:tc>
          <w:tcPr>
            <w:tcW w:type="dxa" w:w="28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FCF negative in FY26E; leverage 4.7x</w:t>
            </w:r>
          </w:p>
        </w:tc>
      </w:tr>
      <w:tr>
        <w:trPr>
          <w:cantSplit/>
        </w:trPr>
        <w:tc>
          <w:tcPr>
            <w:tcW w:type="dxa" w:w="12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FX</w:t>
            </w:r>
          </w:p>
        </w:tc>
        <w:tc>
          <w:tcPr>
            <w:tcW w:type="dxa" w:w="282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USD and GBP earnings translated into RM; USD debt revaluation runs through adj. EBITDA</w:t>
            </w:r>
          </w:p>
        </w:tc>
        <w:tc>
          <w:tcPr>
            <w:tcW w:type="dxa" w:w="3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MYR ~9% stronger vs USD in 1H26</w:t>
            </w:r>
          </w:p>
        </w:tc>
        <w:tc>
          <w:tcPr>
            <w:tcW w:type="dxa" w:w="281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Strong MYR cuts translated US/UK EBITDA but shrinks USD debt</w:t>
            </w:r>
          </w:p>
        </w:tc>
      </w:tr>
      <w:tr>
        <w:trPr>
          <w:cantSplit/>
        </w:trPr>
        <w:tc>
          <w:tcPr>
            <w:tcW w:type="dxa" w:w="12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Labour</w:t>
            </w:r>
          </w:p>
        </w:tc>
        <w:tc>
          <w:tcPr>
            <w:tcW w:type="dxa" w:w="282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~18,000 staff; minimum wages; unions</w:t>
            </w:r>
          </w:p>
        </w:tc>
        <w:tc>
          <w:tcPr>
            <w:tcW w:type="dxa" w:w="3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Malaysia minimum wage RM1,700 → RM2,000 from Jun-2027; EPF 2% for foreign workers (Oct-25); UK NLW £12.71; NY union contracts</w:t>
            </w:r>
          </w:p>
        </w:tc>
        <w:tc>
          <w:tcPr>
            <w:tcW w:type="dxa" w:w="28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Payroll is the largest controllable cost</w:t>
            </w:r>
          </w:p>
        </w:tc>
      </w:tr>
      <w:tr>
        <w:trPr>
          <w:cantSplit/>
        </w:trPr>
        <w:tc>
          <w:tcPr>
            <w:tcW w:type="dxa" w:w="12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Interest rates</w:t>
            </w:r>
          </w:p>
        </w:tc>
        <w:tc>
          <w:tcPr>
            <w:tcW w:type="dxa" w:w="282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Floating-rate US facilities</w:t>
            </w:r>
          </w:p>
        </w:tc>
        <w:tc>
          <w:tcPr>
            <w:tcW w:type="dxa" w:w="3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Finance costs +39% YoY in 1H26 to RM528m</w:t>
            </w:r>
          </w:p>
        </w:tc>
        <w:tc>
          <w:tcPr>
            <w:tcW w:type="dxa" w:w="281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+100bp on ~US$2bn floating ≈ US$20m a year [e]</w:t>
            </w:r>
          </w:p>
        </w:tc>
      </w:tr>
      <w:tr>
        <w:trPr>
          <w:cantSplit/>
        </w:trPr>
        <w:tc>
          <w:tcPr>
            <w:tcW w:type="dxa" w:w="12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Related-party fees</w:t>
            </w:r>
          </w:p>
        </w:tc>
        <w:tc>
          <w:tcPr>
            <w:tcW w:type="dxa" w:w="282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~RM848m a year to Genting Bhd/RWI</w:t>
            </w:r>
          </w:p>
        </w:tc>
        <w:tc>
          <w:tcPr>
            <w:tcW w:type="dxa" w:w="3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Grows with revenue/EBITDA</w:t>
            </w:r>
          </w:p>
        </w:tc>
        <w:tc>
          <w:tcPr>
            <w:tcW w:type="dxa" w:w="28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 50% cut would add ~RM420m EBITDA [e]</w:t>
            </w:r>
          </w:p>
        </w:tc>
      </w:tr>
    </w:tbl>
    <w:p>
      <w:pPr>
        <w:spacing w:after="60"/>
      </w:pPr>
    </w:p>
    <w:p>
      <w:r>
        <w:br w:type="page"/>
      </w:r>
    </w:p>
    <w:p>
      <w:pPr>
        <w:pStyle w:val="Heading1"/>
      </w:pPr>
      <w:r>
        <w:t xml:space="preserve">5. Macro and Micro Factors; Tailwinds and Headwinds</w:t>
      </w:r>
    </w:p>
    <w:p>
      <w:pPr>
        <w:pStyle w:val="Heading2"/>
      </w:pPr>
      <w:r>
        <w:t xml:space="preserve">5.1 Macro</w:t>
      </w:r>
    </w:p>
    <w:p>
      <w:pPr>
        <w:pStyle w:val="ListParagraph"/>
        <w:numPr>
          <w:ilvl w:val="0"/>
          <w:numId w:val="3"/>
        </w:numPr>
        <w:spacing w:after="60" w:line="264"/>
      </w:pPr>
      <w:r>
        <w:rPr>
          <w:rFonts w:ascii="Arial" w:cs="Arial" w:eastAsia="Arial" w:hAnsi="Arial"/>
          <w:b/>
          <w:bCs/>
          <w:sz w:val="19"/>
          <w:szCs w:val="19"/>
        </w:rPr>
        <w:t xml:space="preserve">Malaysia:</w:t>
      </w:r>
      <w:r>
        <w:rPr>
          <w:rFonts w:ascii="Arial" w:cs="Arial" w:eastAsia="Arial" w:hAnsi="Arial"/>
          <w:sz w:val="19"/>
          <w:szCs w:val="19"/>
        </w:rPr>
        <w:t xml:space="preserve"> GDP +5.5% in 9M26 (2Q26 +6.0%, 3Q26 +5.3%); OPR 2.75% with a hold expected; MYR ~4.05/USD (Sep-26), forecast 3.95-4.02. Tourist arrivals 42.2m in 2025 (+11%), Visit Malaysia Year 2026 under way. Budget 2027 (9-Oct-2026): no gaming-tax change identified [u], but the minimum wage rises 17.6% from Jun-2027.</w:t>
      </w:r>
    </w:p>
    <w:p>
      <w:pPr>
        <w:pStyle w:val="ListParagraph"/>
        <w:numPr>
          <w:ilvl w:val="0"/>
          <w:numId w:val="3"/>
        </w:numPr>
        <w:spacing w:after="60" w:line="264"/>
      </w:pPr>
      <w:r>
        <w:rPr>
          <w:rFonts w:ascii="Arial" w:cs="Arial" w:eastAsia="Arial" w:hAnsi="Arial"/>
          <w:b/>
          <w:bCs/>
          <w:sz w:val="19"/>
          <w:szCs w:val="19"/>
        </w:rPr>
        <w:t xml:space="preserve">Energy and geopolitics:</w:t>
      </w:r>
      <w:r>
        <w:rPr>
          <w:rFonts w:ascii="Arial" w:cs="Arial" w:eastAsia="Arial" w:hAnsi="Arial"/>
          <w:sz w:val="19"/>
          <w:szCs w:val="19"/>
        </w:rPr>
        <w:t xml:space="preserve"> the Middle East (Iran) war took Brent to ~US$102 (Oct-26), raising airfares and diesel costs; GENM cited softer RWG visitation in 2Q26 and weaker premium play in London and Cairo.</w:t>
      </w:r>
    </w:p>
    <w:p>
      <w:pPr>
        <w:pStyle w:val="ListParagraph"/>
        <w:numPr>
          <w:ilvl w:val="0"/>
          <w:numId w:val="3"/>
        </w:numPr>
        <w:spacing w:after="60" w:line="264"/>
      </w:pPr>
      <w:r>
        <w:rPr>
          <w:rFonts w:ascii="Arial" w:cs="Arial" w:eastAsia="Arial" w:hAnsi="Arial"/>
          <w:b/>
          <w:bCs/>
          <w:sz w:val="19"/>
          <w:szCs w:val="19"/>
        </w:rPr>
        <w:t xml:space="preserve">United States:</w:t>
      </w:r>
      <w:r>
        <w:rPr>
          <w:rFonts w:ascii="Arial" w:cs="Arial" w:eastAsia="Arial" w:hAnsi="Arial"/>
          <w:sz w:val="19"/>
          <w:szCs w:val="19"/>
        </w:rPr>
        <w:t xml:space="preserve"> 2025 US commercial GGR a record US$78.7bn (+9.2%); land-based +2.3%. Regional gaming is soft, but NYC is a supply-starved metro market (CBRE: three NYC licensees could generate US$4.7-5.6bn of GGR a year). NY iGaming remains illegal (positive for land-based).</w:t>
      </w:r>
    </w:p>
    <w:p>
      <w:pPr>
        <w:pStyle w:val="ListParagraph"/>
        <w:numPr>
          <w:ilvl w:val="0"/>
          <w:numId w:val="3"/>
        </w:numPr>
        <w:spacing w:after="60" w:line="264"/>
      </w:pPr>
      <w:r>
        <w:rPr>
          <w:rFonts w:ascii="Arial" w:cs="Arial" w:eastAsia="Arial" w:hAnsi="Arial"/>
          <w:b/>
          <w:bCs/>
          <w:sz w:val="19"/>
          <w:szCs w:val="19"/>
        </w:rPr>
        <w:t xml:space="preserve">United Kingdom:</w:t>
      </w:r>
      <w:r>
        <w:rPr>
          <w:rFonts w:ascii="Arial" w:cs="Arial" w:eastAsia="Arial" w:hAnsi="Arial"/>
          <w:sz w:val="19"/>
          <w:szCs w:val="19"/>
        </w:rPr>
        <w:t xml:space="preserve"> land-based casino GGY flat at £934m; costs rising (NLW +4.1%, employer NIC); machine games duty doubling under consideration for the 28-Oct-2026 Budget.</w:t>
      </w:r>
    </w:p>
    <w:p>
      <w:pPr>
        <w:pStyle w:val="Heading2"/>
      </w:pPr>
      <w:r>
        <w:t xml:space="preserve">5.2 Micro</w:t>
      </w:r>
    </w:p>
    <w:p>
      <w:pPr>
        <w:pStyle w:val="ListParagraph"/>
        <w:numPr>
          <w:ilvl w:val="0"/>
          <w:numId w:val="3"/>
        </w:numPr>
        <w:spacing w:after="60" w:line="264"/>
      </w:pPr>
      <w:r>
        <w:rPr>
          <w:rFonts w:ascii="Arial" w:cs="Arial" w:eastAsia="Arial" w:hAnsi="Arial"/>
          <w:sz w:val="19"/>
          <w:szCs w:val="19"/>
        </w:rPr>
        <w:t xml:space="preserve">RWNYC ramp: slots ~US$20-22m a week, tables from US$4.9m (first week) to US$10.4-11.1m (July).</w:t>
      </w:r>
    </w:p>
    <w:p>
      <w:pPr>
        <w:pStyle w:val="ListParagraph"/>
        <w:numPr>
          <w:ilvl w:val="0"/>
          <w:numId w:val="3"/>
        </w:numPr>
        <w:spacing w:after="60" w:line="264"/>
      </w:pPr>
      <w:r>
        <w:rPr>
          <w:rFonts w:ascii="Arial" w:cs="Arial" w:eastAsia="Arial" w:hAnsi="Arial"/>
          <w:sz w:val="19"/>
          <w:szCs w:val="19"/>
        </w:rPr>
        <w:t xml:space="preserve">RWG: hotel occupancy 98%, two legacy floors still closed, new mass floor since Dec-2024, attractions revenue down YoY.</w:t>
      </w:r>
    </w:p>
    <w:p>
      <w:pPr>
        <w:pStyle w:val="ListParagraph"/>
        <w:numPr>
          <w:ilvl w:val="0"/>
          <w:numId w:val="3"/>
        </w:numPr>
        <w:spacing w:after="60" w:line="264"/>
      </w:pPr>
      <w:r>
        <w:rPr>
          <w:rFonts w:ascii="Arial" w:cs="Arial" w:eastAsia="Arial" w:hAnsi="Arial"/>
          <w:sz w:val="19"/>
          <w:szCs w:val="19"/>
        </w:rPr>
        <w:t xml:space="preserve">Parent: Genting Bhd's RM1.25bn rights issue (9-Oct-2026), group gross debt ~RM45-47bn; S&amp;P BBB-/negative "fallen angel" risk.</w:t>
      </w:r>
    </w:p>
    <w:p>
      <w:pPr>
        <w:pStyle w:val="Heading2"/>
      </w:pPr>
      <w:r>
        <w:t xml:space="preserve">5.3 Tailwinds and headwinds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44"/>
        <w:gridCol w:w="5262"/>
      </w:tblGrid>
      <w:tr>
        <w:trPr>
          <w:tblHeader/>
        </w:trPr>
        <w:tc>
          <w:tcPr>
            <w:tcW w:type="dxa" w:w="464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Tailwinds</w:t>
            </w:r>
          </w:p>
        </w:tc>
        <w:tc>
          <w:tcPr>
            <w:tcW w:type="dxa" w:w="526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Headwinds</w:t>
            </w:r>
          </w:p>
        </w:tc>
      </w:tr>
      <w:tr>
        <w:trPr>
          <w:cantSplit/>
        </w:trPr>
        <w:tc>
          <w:tcPr>
            <w:tcW w:type="dxa" w:w="46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RWNYC conversion: live tables plus a 12ppt lower slot tax; NYC exclusivity until ~2030; Fitch sees NY EBITDA ~US$450m by 2028</w:t>
            </w:r>
          </w:p>
        </w:tc>
        <w:tc>
          <w:tcPr>
            <w:tcW w:type="dxa" w:w="526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Racing-support dispute (State: ~US$150m a year on top; &gt;US$500m over four years); 2030 rivals pay 25-30% slot tax vs RW's 56%</w:t>
            </w:r>
          </w:p>
        </w:tc>
      </w:tr>
      <w:tr>
        <w:trPr>
          <w:cantSplit/>
        </w:trPr>
        <w:tc>
          <w:tcPr>
            <w:tcW w:type="dxa" w:w="464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Malaysia GDP &gt;5%; China visa-free regime; Singapore drive-in market; illegal-gambling crackdown</w:t>
            </w:r>
          </w:p>
        </w:tc>
        <w:tc>
          <w:tcPr>
            <w:tcW w:type="dxa" w:w="526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Middle East war: oil &gt;US$100, airfares, softer visitation</w:t>
            </w:r>
          </w:p>
        </w:tc>
      </w:tr>
      <w:tr>
        <w:trPr>
          <w:cantSplit/>
        </w:trPr>
        <w:tc>
          <w:tcPr>
            <w:tcW w:type="dxa" w:w="46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Strong MYR shrinks ringgit value of USD debt</w:t>
            </w:r>
          </w:p>
        </w:tc>
        <w:tc>
          <w:tcPr>
            <w:tcW w:type="dxa" w:w="526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Strong MYR shrinks translated US/UK profit</w:t>
            </w:r>
          </w:p>
        </w:tc>
      </w:tr>
      <w:tr>
        <w:trPr>
          <w:cantSplit/>
        </w:trPr>
        <w:tc>
          <w:tcPr>
            <w:tcW w:type="dxa" w:w="464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New attractions (Eufloria, golf, Genting Premium Outlets phase 2 by 4Q27), casino-floor reopenings, ECRL rail (Dec-26/Jan-27)</w:t>
            </w:r>
          </w:p>
        </w:tc>
        <w:tc>
          <w:tcPr>
            <w:tcW w:type="dxa" w:w="526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Labour inflation (RM2,000 minimum wage, EPF for foreign workers, UK NLW/NIC)</w:t>
            </w:r>
          </w:p>
        </w:tc>
      </w:tr>
      <w:tr>
        <w:trPr>
          <w:cantSplit/>
        </w:trPr>
        <w:tc>
          <w:tcPr>
            <w:tcW w:type="dxa" w:w="46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UK land-based reforms (more machines per casino)</w:t>
            </w:r>
          </w:p>
        </w:tc>
        <w:tc>
          <w:tcPr>
            <w:tcW w:type="dxa" w:w="526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UK MGD doubling risk; casino closures (Coventry)</w:t>
            </w:r>
          </w:p>
        </w:tc>
      </w:tr>
      <w:tr>
        <w:trPr>
          <w:cantSplit/>
        </w:trPr>
        <w:tc>
          <w:tcPr>
            <w:tcW w:type="dxa" w:w="464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Budget 2027 neutral for gaming [u]</w:t>
            </w:r>
          </w:p>
        </w:tc>
        <w:tc>
          <w:tcPr>
            <w:tcW w:type="dxa" w:w="526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Political tail risk (PAS vow to close RWG if it wins Pahang; GE16 due by early 2028); quarterly licence renewal</w:t>
            </w:r>
          </w:p>
        </w:tc>
      </w:tr>
      <w:tr>
        <w:trPr>
          <w:cantSplit/>
        </w:trPr>
        <w:tc>
          <w:tcPr>
            <w:tcW w:type="dxa" w:w="46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p>
        </w:tc>
        <w:tc>
          <w:tcPr>
            <w:tcW w:type="dxa" w:w="526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Heavy capex (US$3.7bn left), Fitch BBB-, parent cash needs and fee leakage</w:t>
            </w:r>
          </w:p>
        </w:tc>
      </w:tr>
    </w:tbl>
    <w:p>
      <w:pPr>
        <w:spacing w:after="60"/>
      </w:pPr>
    </w:p>
    <w:p>
      <w:r>
        <w:br w:type="page"/>
      </w:r>
    </w:p>
    <w:p>
      <w:pPr>
        <w:pStyle w:val="Heading1"/>
      </w:pPr>
      <w:r>
        <w:t xml:space="preserve">6. Competitive Position and Economic Moats</w:t>
      </w:r>
    </w:p>
    <w:p>
      <w:pPr>
        <w:pStyle w:val="Heading2"/>
      </w:pPr>
      <w:r>
        <w:t xml:space="preserve">6.1 Product strength vs competitors</w:t>
      </w:r>
    </w:p>
    <w:p>
      <w:pPr>
        <w:pStyle w:val="ListParagraph"/>
        <w:numPr>
          <w:ilvl w:val="0"/>
          <w:numId w:val="3"/>
        </w:numPr>
        <w:spacing w:after="60" w:line="264"/>
      </w:pPr>
      <w:r>
        <w:rPr>
          <w:rFonts w:ascii="Arial" w:cs="Arial" w:eastAsia="Arial" w:hAnsi="Arial"/>
          <w:b/>
          <w:bCs/>
          <w:sz w:val="19"/>
          <w:szCs w:val="19"/>
        </w:rPr>
        <w:t xml:space="preserve">Perceived value.</w:t>
      </w:r>
      <w:r>
        <w:rPr>
          <w:rFonts w:ascii="Arial" w:cs="Arial" w:eastAsia="Arial" w:hAnsi="Arial"/>
          <w:sz w:val="19"/>
          <w:szCs w:val="19"/>
        </w:rPr>
        <w:t xml:space="preserve"> RWG is the cheap, cool-climate, family-plus-casino day trip for 8m Klang Valley residents and a drive from Singapore; there is no legal alternative in Malaysia. RWNYC is the only casino reachable by NYC subway until ~2030 and, since April, the only one with live tables in the five boroughs.</w:t>
      </w:r>
    </w:p>
    <w:p>
      <w:pPr>
        <w:pStyle w:val="ListParagraph"/>
        <w:numPr>
          <w:ilvl w:val="0"/>
          <w:numId w:val="3"/>
        </w:numPr>
        <w:spacing w:after="60" w:line="264"/>
      </w:pPr>
      <w:r>
        <w:rPr>
          <w:rFonts w:ascii="Arial" w:cs="Arial" w:eastAsia="Arial" w:hAnsi="Arial"/>
          <w:b/>
          <w:bCs/>
          <w:sz w:val="19"/>
          <w:szCs w:val="19"/>
        </w:rPr>
        <w:t xml:space="preserve">Branding.</w:t>
      </w:r>
      <w:r>
        <w:rPr>
          <w:rFonts w:ascii="Arial" w:cs="Arial" w:eastAsia="Arial" w:hAnsi="Arial"/>
          <w:sz w:val="19"/>
          <w:szCs w:val="19"/>
        </w:rPr>
        <w:t xml:space="preserve"> "Resorts World" and "Genting" are the default casino brands in Malaysia and increasingly in NYC. But </w:t>
      </w:r>
      <w:r>
        <w:rPr>
          <w:rFonts w:ascii="Arial" w:cs="Arial" w:eastAsia="Arial" w:hAnsi="Arial"/>
          <w:b/>
          <w:bCs/>
          <w:sz w:val="19"/>
          <w:szCs w:val="19"/>
        </w:rPr>
        <w:t xml:space="preserve">GENM does not own them</w:t>
      </w:r>
      <w:r>
        <w:rPr>
          <w:rFonts w:ascii="Arial" w:cs="Arial" w:eastAsia="Arial" w:hAnsi="Arial"/>
          <w:sz w:val="19"/>
          <w:szCs w:val="19"/>
        </w:rPr>
        <w:t xml:space="preserve">: it licenses them from Genting Bhd and RWI for ~RM325m a year. The premium Crockfords brand lost its London flagship (closed 2023).</w:t>
      </w:r>
    </w:p>
    <w:p>
      <w:pPr>
        <w:pStyle w:val="ListParagraph"/>
        <w:numPr>
          <w:ilvl w:val="0"/>
          <w:numId w:val="3"/>
        </w:numPr>
        <w:spacing w:after="60" w:line="264"/>
      </w:pPr>
      <w:r>
        <w:rPr>
          <w:rFonts w:ascii="Arial" w:cs="Arial" w:eastAsia="Arial" w:hAnsi="Arial"/>
          <w:b/>
          <w:bCs/>
          <w:sz w:val="19"/>
          <w:szCs w:val="19"/>
        </w:rPr>
        <w:t xml:space="preserve">Marketing.</w:t>
      </w:r>
      <w:r>
        <w:rPr>
          <w:rFonts w:ascii="Arial" w:cs="Arial" w:eastAsia="Arial" w:hAnsi="Arial"/>
          <w:sz w:val="19"/>
          <w:szCs w:val="19"/>
        </w:rPr>
        <w:t xml:space="preserve"> Genting Rewards (four tiers, digital card, cross-property earn/burn) gives a large first-party database. Rebates and comps are constrained by high Malaysian taxes (35% duty makes it hard to match lower-tax jurisdictions on VIP rebates).</w:t>
      </w:r>
    </w:p>
    <w:p>
      <w:pPr>
        <w:pStyle w:val="ListParagraph"/>
        <w:numPr>
          <w:ilvl w:val="0"/>
          <w:numId w:val="3"/>
        </w:numPr>
        <w:spacing w:after="60" w:line="264"/>
      </w:pPr>
      <w:r>
        <w:rPr>
          <w:rFonts w:ascii="Arial" w:cs="Arial" w:eastAsia="Arial" w:hAnsi="Arial"/>
          <w:b/>
          <w:bCs/>
          <w:sz w:val="19"/>
          <w:szCs w:val="19"/>
        </w:rPr>
        <w:t xml:space="preserve">Versus regional IRs.</w:t>
      </w:r>
      <w:r>
        <w:rPr>
          <w:rFonts w:ascii="Arial" w:cs="Arial" w:eastAsia="Arial" w:hAnsi="Arial"/>
          <w:sz w:val="19"/>
          <w:szCs w:val="19"/>
        </w:rPr>
        <w:t xml:space="preserve"> Marina Bay Sands and RWS offer a superior premium product, with exclusivity to 2030 and ~S$9bn of reinvestment. RWG competes on access and price rather than luxury.</w:t>
      </w:r>
    </w:p>
    <w:p>
      <w:pPr>
        <w:pStyle w:val="Heading2"/>
      </w:pPr>
      <w:r>
        <w:t xml:space="preserve">6.2 Moat scorecard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1"/>
        <w:gridCol w:w="1651"/>
        <w:gridCol w:w="3067"/>
        <w:gridCol w:w="3097"/>
      </w:tblGrid>
      <w:tr>
        <w:trPr>
          <w:tblHeader/>
        </w:trPr>
        <w:tc>
          <w:tcPr>
            <w:tcW w:type="dxa" w:w="209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Moat category</w:t>
            </w:r>
          </w:p>
        </w:tc>
        <w:tc>
          <w:tcPr>
            <w:tcW w:type="dxa" w:w="165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Rating</w:t>
            </w:r>
          </w:p>
        </w:tc>
        <w:tc>
          <w:tcPr>
            <w:tcW w:type="dxa" w:w="306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Evidence for</w:t>
            </w:r>
          </w:p>
        </w:tc>
        <w:tc>
          <w:tcPr>
            <w:tcW w:type="dxa" w:w="309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Evidence against</w:t>
            </w:r>
          </w:p>
        </w:tc>
      </w:tr>
      <w:tr>
        <w:trPr>
          <w:cantSplit/>
        </w:trPr>
        <w:tc>
          <w:tcPr>
            <w:tcW w:type="dxa" w:w="20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Brand</w:t>
            </w:r>
          </w:p>
        </w:tc>
        <w:tc>
          <w:tcPr>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Moderate</w:t>
            </w:r>
          </w:p>
        </w:tc>
        <w:tc>
          <w:tcPr>
            <w:tcW w:type="dxa" w:w="30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Default casino brand in Malaysia/ASEAN for 55+ years; 28.6m RWG visitors; first NYC table casino; Genting Rewards database</w:t>
            </w:r>
          </w:p>
        </w:tc>
        <w:tc>
          <w:tcPr>
            <w:tcW w:type="dxa" w:w="309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Brand owned by parent (~RM325m a year licence); Crockfords London closed; gaming loyalty follows comps and price</w:t>
            </w:r>
          </w:p>
        </w:tc>
      </w:tr>
      <w:tr>
        <w:trPr>
          <w:cantSplit/>
        </w:trPr>
        <w:tc>
          <w:tcPr>
            <w:tcW w:type="dxa" w:w="20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Hard assets</w:t>
            </w:r>
          </w:p>
        </w:tc>
        <w:tc>
          <w:tcPr>
            <w:tcW w:type="dxa" w:w="16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Strong</w:t>
            </w:r>
          </w:p>
        </w:tc>
        <w:tc>
          <w:tcPr>
            <w:tcW w:type="dxa" w:w="30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Mountaintop resort with ~10,500 rooms, two cable cars, theme parks, own roads/utilities; RWNYC 72.6-acre site beside JFK and the subway with a lease running 60 years past licence expiry; 30 acres of freehold Miami waterfront</w:t>
            </w:r>
          </w:p>
        </w:tc>
        <w:tc>
          <w:tcPr>
            <w:tcW w:type="dxa" w:w="309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Ageing assets need constant refurbishment; Bimini and UK impairments</w:t>
            </w:r>
          </w:p>
        </w:tc>
      </w:tr>
      <w:tr>
        <w:trPr>
          <w:cantSplit/>
        </w:trPr>
        <w:tc>
          <w:tcPr>
            <w:tcW w:type="dxa" w:w="20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Long-term contracts</w:t>
            </w:r>
          </w:p>
        </w:tc>
        <w:tc>
          <w:tcPr>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Moderate</w:t>
            </w:r>
          </w:p>
        </w:tc>
        <w:tc>
          <w:tcPr>
            <w:tcW w:type="dxa" w:w="30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Malaysian licence held continuously since 1969; NY licence plus long ground lease</w:t>
            </w:r>
          </w:p>
        </w:tc>
        <w:tc>
          <w:tcPr>
            <w:tcW w:type="dxa" w:w="309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Malaysian licence renewable every 3 months</w:t>
            </w:r>
            <w:r>
              <w:rPr>
                <w:rFonts w:ascii="Arial" w:cs="Arial" w:eastAsia="Arial" w:hAnsi="Arial"/>
                <w:b w:val="false"/>
                <w:bCs w:val="false"/>
                <w:color w:val="1A1F2B"/>
                <w:sz w:val="15"/>
                <w:szCs w:val="15"/>
              </w:rPr>
              <w:t xml:space="preserve">; NY tax terms contested; UK licences routine</w:t>
            </w:r>
          </w:p>
        </w:tc>
      </w:tr>
      <w:tr>
        <w:trPr>
          <w:cantSplit/>
        </w:trPr>
        <w:tc>
          <w:tcPr>
            <w:tcW w:type="dxa" w:w="20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Network effect</w:t>
            </w:r>
          </w:p>
        </w:tc>
        <w:tc>
          <w:tcPr>
            <w:tcW w:type="dxa" w:w="16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Weak</w:t>
            </w:r>
          </w:p>
        </w:tc>
        <w:tc>
          <w:tcPr>
            <w:tcW w:type="dxa" w:w="30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Agglomeration (more attractions → more visitors → more tenants); loyalty scheme</w:t>
            </w:r>
          </w:p>
        </w:tc>
        <w:tc>
          <w:tcPr>
            <w:tcW w:type="dxa" w:w="309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 user-to-user network effect; customers multi-home</w:t>
            </w:r>
          </w:p>
        </w:tc>
      </w:tr>
      <w:tr>
        <w:trPr>
          <w:cantSplit/>
        </w:trPr>
        <w:tc>
          <w:tcPr>
            <w:tcW w:type="dxa" w:w="20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Regulatory and switching costs</w:t>
            </w:r>
          </w:p>
        </w:tc>
        <w:tc>
          <w:tcPr>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Strong (regulatory) / Weak (switching)</w:t>
            </w:r>
          </w:p>
        </w:tc>
        <w:tc>
          <w:tcPr>
            <w:tcW w:type="dxa" w:w="30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Statutory monopoly in Malaysia; PM and Johor government publicly denied a second (Forest City) licence in 2024; only 3 NYC licences and US$500m fee + US$5bn capex entry ticket (MGM withdrew)</w:t>
            </w:r>
          </w:p>
        </w:tc>
        <w:tc>
          <w:tcPr>
            <w:tcW w:type="dxa" w:w="309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Customers switch cheaply between venues, online and illegal channels; Thai legalisation could create a nearby rival</w:t>
            </w:r>
          </w:p>
        </w:tc>
      </w:tr>
      <w:tr>
        <w:trPr>
          <w:cantSplit/>
        </w:trPr>
        <w:tc>
          <w:tcPr>
            <w:tcW w:type="dxa" w:w="20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Oligopolistic / monopolistic industry</w:t>
            </w:r>
          </w:p>
        </w:tc>
        <w:tc>
          <w:tcPr>
            <w:tcW w:type="dxa" w:w="16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Strong (Malaysia), Moderate (NY), Weak (UK)</w:t>
            </w:r>
          </w:p>
        </w:tc>
        <w:tc>
          <w:tcPr>
            <w:tcW w:type="dxa" w:w="30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Sole casino in Malaysia; RW alone in NYC until ~2030</w:t>
            </w:r>
          </w:p>
        </w:tc>
        <w:tc>
          <w:tcPr>
            <w:tcW w:type="dxa" w:w="309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2030 NYC entrants pay roughly half RW's slot tax; UK fragmented and declining</w:t>
            </w:r>
          </w:p>
        </w:tc>
      </w:tr>
      <w:tr>
        <w:trPr>
          <w:cantSplit/>
        </w:trPr>
        <w:tc>
          <w:tcPr>
            <w:tcW w:type="dxa" w:w="20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Cash-flow predictability</w:t>
            </w:r>
          </w:p>
        </w:tc>
        <w:tc>
          <w:tcPr>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Moderate</w:t>
            </w:r>
          </w:p>
        </w:tc>
        <w:tc>
          <w:tcPr>
            <w:tcW w:type="dxa" w:w="30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Malaysian mass market steady (RM2.1bn EBITDA, 30% margin); NY slot base ~US$21m a week</w:t>
            </w:r>
          </w:p>
        </w:tc>
        <w:tc>
          <w:tcPr>
            <w:tcW w:type="dxa" w:w="309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VIP hold; tax shocks (2019, 2024); Covid closures; FX through adj. EBITDA; FCF negative during NY build</w:t>
            </w:r>
          </w:p>
        </w:tc>
      </w:tr>
      <w:tr>
        <w:trPr>
          <w:cantSplit/>
        </w:trPr>
        <w:tc>
          <w:tcPr>
            <w:tcW w:type="dxa" w:w="20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Scalability</w:t>
            </w:r>
          </w:p>
        </w:tc>
        <w:tc>
          <w:tcPr>
            <w:tcW w:type="dxa" w:w="16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Moderate</w:t>
            </w:r>
          </w:p>
        </w:tc>
        <w:tc>
          <w:tcPr>
            <w:tcW w:type="dxa" w:w="30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RWNYC can grow to 6,000 slots, 800 tables, 2,000 rooms</w:t>
            </w:r>
          </w:p>
        </w:tc>
        <w:tc>
          <w:tcPr>
            <w:tcW w:type="dxa" w:w="309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RWG mature and room-constrained; growth requires large capex at high tax rates</w:t>
            </w:r>
          </w:p>
        </w:tc>
      </w:tr>
      <w:tr>
        <w:trPr>
          <w:cantSplit/>
        </w:trPr>
        <w:tc>
          <w:tcPr>
            <w:tcW w:type="dxa" w:w="20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Risk / history of government interference</w:t>
            </w:r>
          </w:p>
        </w:tc>
        <w:tc>
          <w:tcPr>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Weak (high risk)</w:t>
            </w:r>
          </w:p>
        </w:tc>
        <w:tc>
          <w:tcPr>
            <w:tcW w:type="dxa" w:w="30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Government defended the monopoly (1969-2026) and cut VIP duty in 2003</w:t>
            </w:r>
          </w:p>
        </w:tc>
        <w:tc>
          <w:tcPr>
            <w:tcW w:type="dxa" w:w="309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Duty hikes (1998, 2019), service tax (2024), PAS closure vow (2024), quarterly licence, NY racing-support dispute, UK duty rises</w:t>
            </w:r>
          </w:p>
        </w:tc>
      </w:tr>
      <w:tr>
        <w:trPr>
          <w:cantSplit/>
        </w:trPr>
        <w:tc>
          <w:tcPr>
            <w:tcW w:type="dxa" w:w="20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Bargaining power over stakeholders</w:t>
            </w:r>
          </w:p>
        </w:tc>
        <w:tc>
          <w:tcPr>
            <w:tcW w:type="dxa" w:w="16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Moderate</w:t>
            </w:r>
          </w:p>
        </w:tc>
        <w:tc>
          <w:tcPr>
            <w:tcW w:type="dxa" w:w="30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Strong over Malaysian customers (only casino); large buyer of EGMs/tables</w:t>
            </w:r>
          </w:p>
        </w:tc>
        <w:tc>
          <w:tcPr>
            <w:tcW w:type="dxa" w:w="309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Weak vs governments (tax price-taker), weak vs parent (~RM848m a year of fees), moderate vs labour and a concentrated EGM supplier base</w:t>
            </w:r>
          </w:p>
        </w:tc>
      </w:tr>
    </w:tbl>
    <w:p>
      <w:pPr>
        <w:spacing w:after="60"/>
      </w:pPr>
    </w:p>
    <w:p>
      <w:pPr>
        <w:spacing w:after="120" w:line="276"/>
      </w:pPr>
      <w:r>
        <w:rPr>
          <w:rFonts w:ascii="Arial" w:cs="Arial" w:eastAsia="Arial" w:hAnsi="Arial"/>
          <w:b/>
          <w:bCs/>
          <w:sz w:val="19"/>
          <w:szCs w:val="19"/>
        </w:rPr>
        <w:t xml:space="preserve">Verdict: Moderate (narrow) moat.</w:t>
      </w:r>
      <w:r>
        <w:rPr>
          <w:rFonts w:ascii="Arial" w:cs="Arial" w:eastAsia="Arial" w:hAnsi="Arial"/>
          <w:sz w:val="19"/>
          <w:szCs w:val="19"/>
        </w:rPr>
        <w:t xml:space="preserve"> It is wide on supply (regulatory exclusivity plus irreplaceable assets) but thin on value capture: governments take 35-72% of GGR and the parent takes ~7% of revenue before minorities see anything. In New York the moat is temporary (exclusive until ~2030) and comes with a structural tax disadvantage unless the equalisation clause is honoured.</w:t>
      </w:r>
    </w:p>
    <w:p>
      <w:r>
        <w:br w:type="page"/>
      </w:r>
    </w:p>
    <w:p>
      <w:pPr>
        <w:pStyle w:val="Heading1"/>
      </w:pPr>
      <w:r>
        <w:t xml:space="preserve">7. Supply Chain Map: From Upstream Inputs to the End Customer</w:t>
      </w:r>
    </w:p>
    <w:p>
      <w:pPr>
        <w:spacing w:after="40" w:before="80"/>
        <w:jc w:val="center"/>
      </w:pPr>
      <w:r>
        <w:drawing>
          <wp:inline distT="0" distB="0" distL="0" distR="0">
            <wp:extent cx="61912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676650"/>
                    </a:xfrm>
                    <a:prstGeom prst="rect">
                      <a:avLst/>
                    </a:prstGeom>
                  </pic:spPr>
                </pic:pic>
              </a:graphicData>
            </a:graphic>
          </wp:inline>
        </w:drawing>
      </w:r>
    </w:p>
    <w:p>
      <w:pPr>
        <w:spacing w:after="160"/>
        <w:jc w:val="left"/>
      </w:pPr>
      <w:r>
        <w:rPr>
          <w:rFonts w:ascii="Arial" w:cs="Arial" w:eastAsia="Arial" w:hAnsi="Arial"/>
          <w:i/>
          <w:iCs/>
          <w:color w:val="5A6270"/>
          <w:sz w:val="15"/>
          <w:szCs w:val="15"/>
        </w:rPr>
        <w:t xml:space="preserve">Figure: GENM supply-chain map (upstream inputs to end customers). Source: GENM AR2025, QR 4Q25 RRPT table, S&amp;P Capital IQ business relationships, NY Gaming Commission filings, company and supplier press releases.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6"/>
        <w:gridCol w:w="2365"/>
        <w:gridCol w:w="5055"/>
      </w:tblGrid>
      <w:tr>
        <w:trPr>
          <w:tblHeader/>
        </w:trPr>
        <w:tc>
          <w:tcPr>
            <w:tcW w:type="dxa" w:w="248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Stage</w:t>
            </w:r>
          </w:p>
        </w:tc>
        <w:tc>
          <w:tcPr>
            <w:tcW w:type="dxa" w:w="236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Role</w:t>
            </w:r>
          </w:p>
        </w:tc>
        <w:tc>
          <w:tcPr>
            <w:tcW w:type="dxa" w:w="505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Named counterparties</w:t>
            </w:r>
          </w:p>
        </w:tc>
      </w:tr>
      <w:tr>
        <w:trPr>
          <w:cantSplit/>
        </w:trPr>
        <w:tc>
          <w:tcPr>
            <w:tcW w:type="dxa" w:w="24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 Owners and parent</w:t>
            </w:r>
          </w:p>
        </w:tc>
        <w:tc>
          <w:tcPr>
            <w:tcW w:type="dxa" w:w="23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Control, strategy, brand and IP</w:t>
            </w:r>
          </w:p>
        </w:tc>
        <w:tc>
          <w:tcPr>
            <w:tcW w:type="dxa" w:w="50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Kien Huat Realty / Lim family trust (Parkview Management → Kien Huat International → KHR, ~43.8% of Genting Bhd votes) → </w:t>
            </w:r>
            <w:r>
              <w:rPr>
                <w:rFonts w:ascii="Arial" w:cs="Arial" w:eastAsia="Arial" w:hAnsi="Arial"/>
                <w:b/>
                <w:bCs/>
                <w:color w:val="1A1F2B"/>
                <w:sz w:val="15"/>
                <w:szCs w:val="15"/>
              </w:rPr>
              <w:t xml:space="preserve">Genting Bhd (73.84% of GENM)</w:t>
            </w:r>
            <w:r>
              <w:rPr>
                <w:rFonts w:ascii="Arial" w:cs="Arial" w:eastAsia="Arial" w:hAnsi="Arial"/>
                <w:b w:val="false"/>
                <w:bCs w:val="false"/>
                <w:color w:val="1A1F2B"/>
                <w:sz w:val="15"/>
                <w:szCs w:val="15"/>
              </w:rPr>
              <w:t xml:space="preserve">; Resorts World Inc (RWI, Genting Bhd JV, US/Bahamas IP, gaming software); sister companies Genting Singapore (also a competitor), Genting Plantations (Genting Premium Outlets JV with Simon Property)</w:t>
            </w:r>
          </w:p>
        </w:tc>
      </w:tr>
      <w:tr>
        <w:trPr>
          <w:cantSplit/>
        </w:trPr>
        <w:tc>
          <w:tcPr>
            <w:tcW w:type="dxa" w:w="24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 Capital providers</w:t>
            </w:r>
          </w:p>
        </w:tc>
        <w:tc>
          <w:tcPr>
            <w:tcW w:type="dxa" w:w="23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Debt and equity</w:t>
            </w:r>
          </w:p>
        </w:tc>
        <w:tc>
          <w:tcPr>
            <w:tcW w:type="dxa" w:w="505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Holders of GENM Capital Labuan US$1bn 3.882% 2031 notes; Genting NY/GENNY Capital US$625m 7.25% 2029 notes; GENM Capital RM4.75bn MTNs; US$2.0bn Genting Americas secured facility (Jun-26; refinanced the KeyBanc-arranged US$925m facility and Empire's US$300m notes); minority shareholders (UBS, Vanguard, Dimensional, iShares, Norges, Prudential, Great Eastern)</w:t>
            </w:r>
          </w:p>
        </w:tc>
      </w:tr>
      <w:tr>
        <w:trPr>
          <w:cantSplit/>
        </w:trPr>
        <w:tc>
          <w:tcPr>
            <w:tcW w:type="dxa" w:w="24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3. Land and concessions</w:t>
            </w:r>
          </w:p>
        </w:tc>
        <w:tc>
          <w:tcPr>
            <w:tcW w:type="dxa" w:w="23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Sites, licences</w:t>
            </w:r>
          </w:p>
        </w:tc>
        <w:tc>
          <w:tcPr>
            <w:tcW w:type="dxa" w:w="50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Malaysian Ministry of Finance (casino licence); NY State Gaming Commission, NY Lottery, Franchise Oversight Board (Aqueduct lease), NYRA; UK Gambling Commission and local authorities; Bahamas Gaming Board; Egyptian authorities / Nile Ritz-Carlton</w:t>
            </w:r>
          </w:p>
        </w:tc>
      </w:tr>
      <w:tr>
        <w:trPr>
          <w:cantSplit/>
        </w:trPr>
        <w:tc>
          <w:tcPr>
            <w:tcW w:type="dxa" w:w="24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4. Construction and design</w:t>
            </w:r>
          </w:p>
        </w:tc>
        <w:tc>
          <w:tcPr>
            <w:tcW w:type="dxa" w:w="23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Capex delivery</w:t>
            </w:r>
          </w:p>
        </w:tc>
        <w:tc>
          <w:tcPr>
            <w:tcW w:type="dxa" w:w="505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Plaza Construction, Perkins Eastman, Cosentini (RWNYC); JCJ Architecture (Catskills); Leitner Ropeways (Awana SkyWay); Cyclect (SkyWorlds); RWNYC phase-2 contractor not disclosed [u]</w:t>
            </w:r>
          </w:p>
        </w:tc>
      </w:tr>
      <w:tr>
        <w:trPr>
          <w:cantSplit/>
        </w:trPr>
        <w:tc>
          <w:tcPr>
            <w:tcW w:type="dxa" w:w="24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5. Gaming equipment and systems</w:t>
            </w:r>
          </w:p>
        </w:tc>
        <w:tc>
          <w:tcPr>
            <w:tcW w:type="dxa" w:w="23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Slots, ETGs, tables, systems</w:t>
            </w:r>
          </w:p>
        </w:tc>
        <w:tc>
          <w:tcPr>
            <w:tcW w:type="dxa" w:w="50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Aristocrat, Light &amp; Wonder, IGT/Everi (Apollo), Konami; TCS John Huxley; Interblock; DEQ Systems (previous); RWI gaming software</w:t>
            </w:r>
          </w:p>
        </w:tc>
      </w:tr>
      <w:tr>
        <w:trPr>
          <w:cantSplit/>
        </w:trPr>
        <w:tc>
          <w:tcPr>
            <w:tcW w:type="dxa" w:w="24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6. Utilities and energy</w:t>
            </w:r>
          </w:p>
        </w:tc>
        <w:tc>
          <w:tcPr>
            <w:tcW w:type="dxa" w:w="23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Power, water, LPG</w:t>
            </w:r>
          </w:p>
        </w:tc>
        <w:tc>
          <w:tcPr>
            <w:tcW w:type="dxa" w:w="505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Tenaga Nasional → Genting Utilities &amp; Services (GENM); Con Edison (Queens) [u]; NYSEG/Central Hudson [u]</w:t>
            </w:r>
          </w:p>
        </w:tc>
      </w:tr>
      <w:tr>
        <w:trPr>
          <w:cantSplit/>
        </w:trPr>
        <w:tc>
          <w:tcPr>
            <w:tcW w:type="dxa" w:w="24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7. F&amp;B, retail, consumables</w:t>
            </w:r>
          </w:p>
        </w:tc>
        <w:tc>
          <w:tcPr>
            <w:tcW w:type="dxa" w:w="23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Food, beverage, franchises</w:t>
            </w:r>
          </w:p>
        </w:tc>
        <w:tc>
          <w:tcPr>
            <w:tcW w:type="dxa" w:w="50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Local suppliers (Nature Base, Possible Wealth, Netyield, NWE Resources); director-connected HanBurger and Sky Pie; Motorino Pizza (franchisor); Zouk (LKH-linked IP)</w:t>
            </w:r>
          </w:p>
        </w:tc>
      </w:tr>
      <w:tr>
        <w:trPr>
          <w:cantSplit/>
        </w:trPr>
        <w:tc>
          <w:tcPr>
            <w:tcW w:type="dxa" w:w="24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8. Hotel and IP brands</w:t>
            </w:r>
          </w:p>
        </w:tc>
        <w:tc>
          <w:tcPr>
            <w:tcW w:type="dxa" w:w="23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Flags, IP</w:t>
            </w:r>
          </w:p>
        </w:tc>
        <w:tc>
          <w:tcPr>
            <w:tcW w:type="dxa" w:w="505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Genting Bhd (Genting/Resorts World/Awana marks), RWI, Hyatt, Hilton, Disney/20th Century Studios, Crockfords (own)</w:t>
            </w:r>
          </w:p>
        </w:tc>
      </w:tr>
      <w:tr>
        <w:trPr>
          <w:cantSplit/>
        </w:trPr>
        <w:tc>
          <w:tcPr>
            <w:tcW w:type="dxa" w:w="24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9. Labour</w:t>
            </w:r>
          </w:p>
        </w:tc>
        <w:tc>
          <w:tcPr>
            <w:tcW w:type="dxa" w:w="23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~18,000 staff</w:t>
            </w:r>
          </w:p>
        </w:tc>
        <w:tc>
          <w:tcPr>
            <w:tcW w:type="dxa" w:w="50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Malaysian workers' union; NY Hotel &amp; Gaming Trades Council; UK staff (&gt;3,000)</w:t>
            </w:r>
          </w:p>
        </w:tc>
      </w:tr>
      <w:tr>
        <w:trPr>
          <w:cantSplit/>
        </w:trPr>
        <w:tc>
          <w:tcPr>
            <w:tcW w:type="dxa" w:w="24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10. Distribution and access</w:t>
            </w:r>
          </w:p>
        </w:tc>
        <w:tc>
          <w:tcPr>
            <w:tcW w:type="dxa" w:w="23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Getting visitors in</w:t>
            </w:r>
          </w:p>
        </w:tc>
        <w:tc>
          <w:tcPr>
            <w:tcW w:type="dxa" w:w="505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Own cable cars, coaches, Resorts World Tours, Orient Wonder (aviation); KL-Karak Expressway; ECRL; airlines into KUL (AirAsia, Malaysia Airlines, Batik Air, Scoot [u]); OTAs (Agoda, Trip.com, Booking.com [u]); Tourism Malaysia; MTA A-train (Aqueduct station); cruise lines (Bimini)</w:t>
            </w:r>
          </w:p>
        </w:tc>
      </w:tr>
      <w:tr>
        <w:trPr>
          <w:cantSplit/>
        </w:trPr>
        <w:tc>
          <w:tcPr>
            <w:tcW w:type="dxa" w:w="24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11. Tax collectors</w:t>
            </w:r>
          </w:p>
        </w:tc>
        <w:tc>
          <w:tcPr>
            <w:tcW w:type="dxa" w:w="23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Gaming duty, service tax</w:t>
            </w:r>
          </w:p>
        </w:tc>
        <w:tc>
          <w:tcPr>
            <w:tcW w:type="dxa" w:w="50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Royal Malaysian Customs; NY State; HMRC; Bahamas Treasury</w:t>
            </w:r>
          </w:p>
        </w:tc>
      </w:tr>
      <w:tr>
        <w:trPr>
          <w:cantSplit/>
        </w:trPr>
        <w:tc>
          <w:tcPr>
            <w:tcW w:type="dxa" w:w="24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12. End customers</w:t>
            </w:r>
          </w:p>
        </w:tc>
        <w:tc>
          <w:tcPr>
            <w:tcW w:type="dxa" w:w="23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Gaming and leisure spend</w:t>
            </w:r>
          </w:p>
        </w:tc>
        <w:tc>
          <w:tcPr>
            <w:tcW w:type="dxa" w:w="505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Malaysian locals, Singapore/China/ASEAN tourists, premium players, NYC metro day-trippers, Catskills/Hudson Valley drive-ins, UK members, cruise passengers</w:t>
            </w:r>
          </w:p>
        </w:tc>
      </w:tr>
    </w:tbl>
    <w:p>
      <w:pPr>
        <w:spacing w:after="60"/>
      </w:pPr>
    </w:p>
    <w:p>
      <w:pPr>
        <w:spacing w:after="120" w:line="276"/>
      </w:pPr>
      <w:r>
        <w:rPr>
          <w:rFonts w:ascii="Arial" w:cs="Arial" w:eastAsia="Arial" w:hAnsi="Arial"/>
          <w:b/>
          <w:bCs/>
          <w:sz w:val="19"/>
          <w:szCs w:val="19"/>
        </w:rPr>
        <w:t xml:space="preserve">Where GENM sits:</w:t>
      </w:r>
      <w:r>
        <w:rPr>
          <w:rFonts w:ascii="Arial" w:cs="Arial" w:eastAsia="Arial" w:hAnsi="Arial"/>
          <w:sz w:val="19"/>
          <w:szCs w:val="19"/>
        </w:rPr>
        <w:t xml:space="preserve"> GENM is the operator in the middle of the chain. It buys equipment, construction, energy and labour, pays the State its tax share and the parent its fee share, and keeps the residual. Its strongest bargaining position is with Malaysian customers; its weakest are with governments and with its own parent.</w:t>
      </w:r>
    </w:p>
    <w:p>
      <w:r>
        <w:br w:type="page"/>
      </w:r>
    </w:p>
    <w:p>
      <w:pPr>
        <w:pStyle w:val="Heading1"/>
      </w:pPr>
      <w:r>
        <w:t xml:space="preserve">8. Five-Year Financial Analysis by Division and Geography</w:t>
      </w:r>
    </w:p>
    <w:p>
      <w:pPr>
        <w:spacing w:after="120" w:line="276"/>
      </w:pPr>
      <w:r>
        <w:rPr>
          <w:rFonts w:ascii="Arial" w:cs="Arial" w:eastAsia="Arial" w:hAnsi="Arial"/>
          <w:sz w:val="19"/>
          <w:szCs w:val="19"/>
        </w:rPr>
        <w:t xml:space="preserve">All figures RM m, fiscal years to 31 December. "Adj. EBITDA" is the company definition. It excludes impairments, pre-opening costs, disposal gains/losses and write-offs, but </w:t>
      </w:r>
      <w:r>
        <w:rPr>
          <w:rFonts w:ascii="Arial" w:cs="Arial" w:eastAsia="Arial" w:hAnsi="Arial"/>
          <w:b/>
          <w:bCs/>
          <w:sz w:val="19"/>
          <w:szCs w:val="19"/>
        </w:rPr>
        <w:t xml:space="preserve">includes unrealised FX translation on USD borrowings</w:t>
      </w:r>
      <w:r>
        <w:rPr>
          <w:rFonts w:ascii="Arial" w:cs="Arial" w:eastAsia="Arial" w:hAnsi="Arial"/>
          <w:sz w:val="19"/>
          <w:szCs w:val="19"/>
        </w:rPr>
        <w:t xml:space="preserve"> (booked in Investments &amp; Others). We therefore also show it ex-FX.</w:t>
      </w:r>
    </w:p>
    <w:p>
      <w:pPr>
        <w:pStyle w:val="Heading2"/>
      </w:pPr>
      <w:r>
        <w:t xml:space="preserve">8.1 Group income statement, FY2021-FY2025 and LTM to Jun-2026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8"/>
        <w:gridCol w:w="1164"/>
        <w:gridCol w:w="1168"/>
        <w:gridCol w:w="1018"/>
        <w:gridCol w:w="1060"/>
        <w:gridCol w:w="1060"/>
        <w:gridCol w:w="1158"/>
      </w:tblGrid>
      <w:tr>
        <w:trPr>
          <w:tblHeader/>
        </w:trPr>
        <w:tc>
          <w:tcPr>
            <w:tcW w:type="dxa" w:w="327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RM m</w:t>
            </w:r>
          </w:p>
        </w:tc>
        <w:tc>
          <w:tcPr>
            <w:tcW w:type="dxa" w:w="116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FY2021</w:t>
            </w:r>
          </w:p>
        </w:tc>
        <w:tc>
          <w:tcPr>
            <w:tcW w:type="dxa" w:w="116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FY2022</w:t>
            </w:r>
          </w:p>
        </w:tc>
        <w:tc>
          <w:tcPr>
            <w:tcW w:type="dxa" w:w="101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FY2023</w:t>
            </w:r>
          </w:p>
        </w:tc>
        <w:tc>
          <w:tcPr>
            <w:tcW w:type="dxa" w:w="106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FY2024</w:t>
            </w:r>
          </w:p>
        </w:tc>
        <w:tc>
          <w:tcPr>
            <w:tcW w:type="dxa" w:w="106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FY2025</w:t>
            </w:r>
          </w:p>
        </w:tc>
        <w:tc>
          <w:tcPr>
            <w:tcW w:type="dxa" w:w="115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LTM Jun-26</w:t>
            </w:r>
          </w:p>
        </w:tc>
      </w:tr>
      <w:tr>
        <w:trPr>
          <w:cantSplit/>
        </w:trPr>
        <w:tc>
          <w:tcPr>
            <w:tcW w:type="dxa" w:w="32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Revenue</w:t>
            </w:r>
          </w:p>
        </w:tc>
        <w:tc>
          <w:tcPr>
            <w:tcW w:type="dxa" w:w="11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4,156.7</w:t>
            </w:r>
          </w:p>
        </w:tc>
        <w:tc>
          <w:tcPr>
            <w:tcW w:type="dxa" w:w="11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8,603.0</w:t>
            </w:r>
          </w:p>
        </w:tc>
        <w:tc>
          <w:tcPr>
            <w:tcW w:type="dxa" w:w="10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10,189.4</w:t>
            </w:r>
          </w:p>
        </w:tc>
        <w:tc>
          <w:tcPr>
            <w:tcW w:type="dxa" w:w="1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10,911.8</w:t>
            </w:r>
          </w:p>
        </w:tc>
        <w:tc>
          <w:tcPr>
            <w:tcW w:type="dxa" w:w="1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11,884.3</w:t>
            </w:r>
          </w:p>
        </w:tc>
        <w:tc>
          <w:tcPr>
            <w:tcW w:type="dxa" w:w="11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13,090.8</w:t>
            </w:r>
          </w:p>
        </w:tc>
      </w:tr>
      <w:tr>
        <w:trPr>
          <w:cantSplit/>
        </w:trPr>
        <w:tc>
          <w:tcPr>
            <w:tcW w:type="dxa" w:w="32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YoY growth</w:t>
            </w:r>
          </w:p>
        </w:tc>
        <w:tc>
          <w:tcPr>
            <w:tcW w:type="dxa" w:w="11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-8.2%</w:t>
            </w:r>
          </w:p>
        </w:tc>
        <w:tc>
          <w:tcPr>
            <w:tcW w:type="dxa" w:w="11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107.0%</w:t>
            </w:r>
          </w:p>
        </w:tc>
        <w:tc>
          <w:tcPr>
            <w:tcW w:type="dxa" w:w="10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18.4%</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7.1%</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8.9%</w:t>
            </w:r>
          </w:p>
        </w:tc>
        <w:tc>
          <w:tcPr>
            <w:tcW w:type="dxa" w:w="11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19.1% [e]</w:t>
            </w:r>
          </w:p>
        </w:tc>
      </w:tr>
      <w:tr>
        <w:trPr>
          <w:cantSplit/>
        </w:trPr>
        <w:tc>
          <w:tcPr>
            <w:tcW w:type="dxa" w:w="32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Adj. EBITDA (company)</w:t>
            </w:r>
          </w:p>
        </w:tc>
        <w:tc>
          <w:tcPr>
            <w:tcW w:type="dxa" w:w="11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727.0</w:t>
            </w:r>
          </w:p>
        </w:tc>
        <w:tc>
          <w:tcPr>
            <w:tcW w:type="dxa" w:w="11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2,116.6</w:t>
            </w:r>
          </w:p>
        </w:tc>
        <w:tc>
          <w:tcPr>
            <w:tcW w:type="dxa" w:w="10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2,632.2</w:t>
            </w:r>
          </w:p>
        </w:tc>
        <w:tc>
          <w:tcPr>
            <w:tcW w:type="dxa" w:w="1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2,910.4</w:t>
            </w:r>
          </w:p>
        </w:tc>
        <w:tc>
          <w:tcPr>
            <w:tcW w:type="dxa" w:w="1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3,297.6</w:t>
            </w:r>
          </w:p>
        </w:tc>
        <w:tc>
          <w:tcPr>
            <w:tcW w:type="dxa" w:w="11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3,019.5</w:t>
            </w:r>
          </w:p>
        </w:tc>
      </w:tr>
      <w:tr>
        <w:trPr>
          <w:cantSplit/>
        </w:trPr>
        <w:tc>
          <w:tcPr>
            <w:tcW w:type="dxa" w:w="32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Adj. EBITDA margin</w:t>
            </w:r>
          </w:p>
        </w:tc>
        <w:tc>
          <w:tcPr>
            <w:tcW w:type="dxa" w:w="11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17.5%</w:t>
            </w:r>
          </w:p>
        </w:tc>
        <w:tc>
          <w:tcPr>
            <w:tcW w:type="dxa" w:w="11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24.6%</w:t>
            </w:r>
          </w:p>
        </w:tc>
        <w:tc>
          <w:tcPr>
            <w:tcW w:type="dxa" w:w="10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25.8%</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26.7%</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27.7%</w:t>
            </w:r>
          </w:p>
        </w:tc>
        <w:tc>
          <w:tcPr>
            <w:tcW w:type="dxa" w:w="11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23.1%</w:t>
            </w:r>
          </w:p>
        </w:tc>
      </w:tr>
      <w:tr>
        <w:trPr>
          <w:cantSplit/>
        </w:trPr>
        <w:tc>
          <w:tcPr>
            <w:tcW w:type="dxa" w:w="32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of which unrealised FX gain</w:t>
            </w:r>
          </w:p>
        </w:tc>
        <w:tc>
          <w:tcPr>
            <w:tcW w:type="dxa" w:w="11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n/d</w:t>
            </w:r>
          </w:p>
        </w:tc>
        <w:tc>
          <w:tcPr>
            <w:tcW w:type="dxa" w:w="11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n/d</w:t>
            </w:r>
          </w:p>
        </w:tc>
        <w:tc>
          <w:tcPr>
            <w:tcW w:type="dxa" w:w="10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n/d</w:t>
            </w:r>
          </w:p>
        </w:tc>
        <w:tc>
          <w:tcPr>
            <w:tcW w:type="dxa" w:w="1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115.4</w:t>
            </w:r>
          </w:p>
        </w:tc>
        <w:tc>
          <w:tcPr>
            <w:tcW w:type="dxa" w:w="1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351.6</w:t>
            </w:r>
          </w:p>
        </w:tc>
        <w:tc>
          <w:tcPr>
            <w:tcW w:type="dxa" w:w="11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113.1</w:t>
            </w:r>
          </w:p>
        </w:tc>
      </w:tr>
      <w:tr>
        <w:trPr>
          <w:cantSplit/>
        </w:trPr>
        <w:tc>
          <w:tcPr>
            <w:tcW w:type="dxa" w:w="32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Adj. EBITDA ex-FX [e]</w:t>
            </w:r>
          </w:p>
        </w:tc>
        <w:tc>
          <w:tcPr>
            <w:tcW w:type="dxa" w:w="11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n/d</w:t>
            </w:r>
          </w:p>
        </w:tc>
        <w:tc>
          <w:tcPr>
            <w:tcW w:type="dxa" w:w="11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n/d</w:t>
            </w:r>
          </w:p>
        </w:tc>
        <w:tc>
          <w:tcPr>
            <w:tcW w:type="dxa" w:w="10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n/d</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2,795.0</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2,946.0</w:t>
            </w:r>
          </w:p>
        </w:tc>
        <w:tc>
          <w:tcPr>
            <w:tcW w:type="dxa" w:w="11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2,906.4</w:t>
            </w:r>
          </w:p>
        </w:tc>
      </w:tr>
      <w:tr>
        <w:trPr>
          <w:cantSplit/>
        </w:trPr>
        <w:tc>
          <w:tcPr>
            <w:tcW w:type="dxa" w:w="32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Adj. EBITDA ex-FX margin [e]</w:t>
            </w:r>
          </w:p>
        </w:tc>
        <w:tc>
          <w:tcPr>
            <w:tcW w:type="dxa" w:w="11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p>
        </w:tc>
        <w:tc>
          <w:tcPr>
            <w:tcW w:type="dxa" w:w="11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p>
        </w:tc>
        <w:tc>
          <w:tcPr>
            <w:tcW w:type="dxa" w:w="10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p>
        </w:tc>
        <w:tc>
          <w:tcPr>
            <w:tcW w:type="dxa" w:w="1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25.6%</w:t>
            </w:r>
          </w:p>
        </w:tc>
        <w:tc>
          <w:tcPr>
            <w:tcW w:type="dxa" w:w="1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24.8%</w:t>
            </w:r>
          </w:p>
        </w:tc>
        <w:tc>
          <w:tcPr>
            <w:tcW w:type="dxa" w:w="11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22.2%</w:t>
            </w:r>
          </w:p>
        </w:tc>
      </w:tr>
      <w:tr>
        <w:trPr>
          <w:cantSplit/>
        </w:trPr>
        <w:tc>
          <w:tcPr>
            <w:tcW w:type="dxa" w:w="32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D&amp;A</w:t>
            </w:r>
          </w:p>
        </w:tc>
        <w:tc>
          <w:tcPr>
            <w:tcW w:type="dxa" w:w="11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(1,104.2)</w:t>
            </w:r>
          </w:p>
        </w:tc>
        <w:tc>
          <w:tcPr>
            <w:tcW w:type="dxa" w:w="11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(1,238.8)</w:t>
            </w:r>
          </w:p>
        </w:tc>
        <w:tc>
          <w:tcPr>
            <w:tcW w:type="dxa" w:w="10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(1,241.1)</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(1,240.3)</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(1,314.5)</w:t>
            </w:r>
          </w:p>
        </w:tc>
        <w:tc>
          <w:tcPr>
            <w:tcW w:type="dxa" w:w="11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(1,393.1)</w:t>
            </w:r>
          </w:p>
        </w:tc>
      </w:tr>
      <w:tr>
        <w:trPr>
          <w:cantSplit/>
        </w:trPr>
        <w:tc>
          <w:tcPr>
            <w:tcW w:type="dxa" w:w="32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EBIT (adj. EBITDA less D&amp;A) [e]</w:t>
            </w:r>
          </w:p>
        </w:tc>
        <w:tc>
          <w:tcPr>
            <w:tcW w:type="dxa" w:w="11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(377.2)</w:t>
            </w:r>
          </w:p>
        </w:tc>
        <w:tc>
          <w:tcPr>
            <w:tcW w:type="dxa" w:w="11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877.8</w:t>
            </w:r>
          </w:p>
        </w:tc>
        <w:tc>
          <w:tcPr>
            <w:tcW w:type="dxa" w:w="10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1,391.1</w:t>
            </w:r>
          </w:p>
        </w:tc>
        <w:tc>
          <w:tcPr>
            <w:tcW w:type="dxa" w:w="1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1,670.1</w:t>
            </w:r>
          </w:p>
        </w:tc>
        <w:tc>
          <w:tcPr>
            <w:tcW w:type="dxa" w:w="1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1,983.1</w:t>
            </w:r>
          </w:p>
        </w:tc>
        <w:tc>
          <w:tcPr>
            <w:tcW w:type="dxa" w:w="11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1,626.4</w:t>
            </w:r>
          </w:p>
        </w:tc>
      </w:tr>
      <w:tr>
        <w:trPr>
          <w:cantSplit/>
        </w:trPr>
        <w:tc>
          <w:tcPr>
            <w:tcW w:type="dxa" w:w="32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EBIT margin [e]</w:t>
            </w:r>
          </w:p>
        </w:tc>
        <w:tc>
          <w:tcPr>
            <w:tcW w:type="dxa" w:w="11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-9.1%</w:t>
            </w:r>
          </w:p>
        </w:tc>
        <w:tc>
          <w:tcPr>
            <w:tcW w:type="dxa" w:w="11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10.2%</w:t>
            </w:r>
          </w:p>
        </w:tc>
        <w:tc>
          <w:tcPr>
            <w:tcW w:type="dxa" w:w="10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13.7%</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15.3%</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16.7%</w:t>
            </w:r>
          </w:p>
        </w:tc>
        <w:tc>
          <w:tcPr>
            <w:tcW w:type="dxa" w:w="11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12.4%</w:t>
            </w:r>
          </w:p>
        </w:tc>
      </w:tr>
      <w:tr>
        <w:trPr>
          <w:cantSplit/>
        </w:trPr>
        <w:tc>
          <w:tcPr>
            <w:tcW w:type="dxa" w:w="32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Operating income (S&amp;P CIQ basis)</w:t>
            </w:r>
          </w:p>
        </w:tc>
        <w:tc>
          <w:tcPr>
            <w:tcW w:type="dxa" w:w="11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(543.5)</w:t>
            </w:r>
          </w:p>
        </w:tc>
        <w:tc>
          <w:tcPr>
            <w:tcW w:type="dxa" w:w="11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1,041.7</w:t>
            </w:r>
          </w:p>
        </w:tc>
        <w:tc>
          <w:tcPr>
            <w:tcW w:type="dxa" w:w="10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1,536.6</w:t>
            </w:r>
          </w:p>
        </w:tc>
        <w:tc>
          <w:tcPr>
            <w:tcW w:type="dxa" w:w="1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1,329.5</w:t>
            </w:r>
          </w:p>
        </w:tc>
        <w:tc>
          <w:tcPr>
            <w:tcW w:type="dxa" w:w="1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1,588.0</w:t>
            </w:r>
          </w:p>
        </w:tc>
        <w:tc>
          <w:tcPr>
            <w:tcW w:type="dxa" w:w="11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1,132.8</w:t>
            </w:r>
          </w:p>
        </w:tc>
      </w:tr>
      <w:tr>
        <w:trPr>
          <w:cantSplit/>
        </w:trPr>
        <w:tc>
          <w:tcPr>
            <w:tcW w:type="dxa" w:w="32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Finance costs</w:t>
            </w:r>
          </w:p>
        </w:tc>
        <w:tc>
          <w:tcPr>
            <w:tcW w:type="dxa" w:w="11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(321.9)</w:t>
            </w:r>
          </w:p>
        </w:tc>
        <w:tc>
          <w:tcPr>
            <w:tcW w:type="dxa" w:w="11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(522.9)</w:t>
            </w:r>
          </w:p>
        </w:tc>
        <w:tc>
          <w:tcPr>
            <w:tcW w:type="dxa" w:w="10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(599.5)</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(691.0)</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(828.2)</w:t>
            </w:r>
          </w:p>
        </w:tc>
        <w:tc>
          <w:tcPr>
            <w:tcW w:type="dxa" w:w="11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(975.7)</w:t>
            </w:r>
          </w:p>
        </w:tc>
      </w:tr>
      <w:tr>
        <w:trPr>
          <w:cantSplit/>
        </w:trPr>
        <w:tc>
          <w:tcPr>
            <w:tcW w:type="dxa" w:w="32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PBT</w:t>
            </w:r>
          </w:p>
        </w:tc>
        <w:tc>
          <w:tcPr>
            <w:tcW w:type="dxa" w:w="11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(1,147.7)</w:t>
            </w:r>
          </w:p>
        </w:tc>
        <w:tc>
          <w:tcPr>
            <w:tcW w:type="dxa" w:w="11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(342.2)</w:t>
            </w:r>
          </w:p>
        </w:tc>
        <w:tc>
          <w:tcPr>
            <w:tcW w:type="dxa" w:w="10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674.2</w:t>
            </w:r>
          </w:p>
        </w:tc>
        <w:tc>
          <w:tcPr>
            <w:tcW w:type="dxa" w:w="1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486.7</w:t>
            </w:r>
          </w:p>
        </w:tc>
        <w:tc>
          <w:tcPr>
            <w:tcW w:type="dxa" w:w="1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985.0</w:t>
            </w:r>
          </w:p>
        </w:tc>
        <w:tc>
          <w:tcPr>
            <w:tcW w:type="dxa" w:w="11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484.6</w:t>
            </w:r>
          </w:p>
        </w:tc>
      </w:tr>
      <w:tr>
        <w:trPr>
          <w:cantSplit/>
        </w:trPr>
        <w:tc>
          <w:tcPr>
            <w:tcW w:type="dxa" w:w="32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Tax</w:t>
            </w:r>
          </w:p>
        </w:tc>
        <w:tc>
          <w:tcPr>
            <w:tcW w:type="dxa" w:w="11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96.7</w:t>
            </w:r>
          </w:p>
        </w:tc>
        <w:tc>
          <w:tcPr>
            <w:tcW w:type="dxa" w:w="11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(325.2)</w:t>
            </w:r>
          </w:p>
        </w:tc>
        <w:tc>
          <w:tcPr>
            <w:tcW w:type="dxa" w:w="10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(313.3)</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(324.6)</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(314.3)</w:t>
            </w:r>
          </w:p>
        </w:tc>
        <w:tc>
          <w:tcPr>
            <w:tcW w:type="dxa" w:w="11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(262.2)</w:t>
            </w:r>
          </w:p>
        </w:tc>
      </w:tr>
      <w:tr>
        <w:trPr>
          <w:cantSplit/>
        </w:trPr>
        <w:tc>
          <w:tcPr>
            <w:tcW w:type="dxa" w:w="3278"/>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Net income attributable</w:t>
            </w:r>
          </w:p>
        </w:tc>
        <w:tc>
          <w:tcPr>
            <w:tcW w:type="dxa" w:w="1164"/>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(946.8)</w:t>
            </w:r>
          </w:p>
        </w:tc>
        <w:tc>
          <w:tcPr>
            <w:tcW w:type="dxa" w:w="1168"/>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(520.0)</w:t>
            </w:r>
          </w:p>
        </w:tc>
        <w:tc>
          <w:tcPr>
            <w:tcW w:type="dxa" w:w="1018"/>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436.8</w:t>
            </w:r>
          </w:p>
        </w:tc>
        <w:tc>
          <w:tcPr>
            <w:tcW w:type="dxa" w:w="1060"/>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251.2</w:t>
            </w:r>
          </w:p>
        </w:tc>
        <w:tc>
          <w:tcPr>
            <w:tcW w:type="dxa" w:w="1060"/>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754.8</w:t>
            </w:r>
          </w:p>
        </w:tc>
        <w:tc>
          <w:tcPr>
            <w:tcW w:type="dxa" w:w="1158"/>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309.1</w:t>
            </w:r>
          </w:p>
        </w:tc>
      </w:tr>
      <w:tr>
        <w:trPr>
          <w:cantSplit/>
        </w:trPr>
        <w:tc>
          <w:tcPr>
            <w:tcW w:type="dxa" w:w="32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Net margin</w:t>
            </w:r>
          </w:p>
        </w:tc>
        <w:tc>
          <w:tcPr>
            <w:tcW w:type="dxa" w:w="11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-22.8%</w:t>
            </w:r>
          </w:p>
        </w:tc>
        <w:tc>
          <w:tcPr>
            <w:tcW w:type="dxa" w:w="11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-6.0%</w:t>
            </w:r>
          </w:p>
        </w:tc>
        <w:tc>
          <w:tcPr>
            <w:tcW w:type="dxa" w:w="10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4.3%</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2.3%</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6.4%</w:t>
            </w:r>
          </w:p>
        </w:tc>
        <w:tc>
          <w:tcPr>
            <w:tcW w:type="dxa" w:w="11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2.4%</w:t>
            </w:r>
          </w:p>
        </w:tc>
      </w:tr>
      <w:tr>
        <w:trPr>
          <w:cantSplit/>
        </w:trPr>
        <w:tc>
          <w:tcPr>
            <w:tcW w:type="dxa" w:w="32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EPS (sen)</w:t>
            </w:r>
          </w:p>
        </w:tc>
        <w:tc>
          <w:tcPr>
            <w:tcW w:type="dxa" w:w="11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(16.75)</w:t>
            </w:r>
          </w:p>
        </w:tc>
        <w:tc>
          <w:tcPr>
            <w:tcW w:type="dxa" w:w="11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(9.18)</w:t>
            </w:r>
          </w:p>
        </w:tc>
        <w:tc>
          <w:tcPr>
            <w:tcW w:type="dxa" w:w="10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7.71</w:t>
            </w:r>
          </w:p>
        </w:tc>
        <w:tc>
          <w:tcPr>
            <w:tcW w:type="dxa" w:w="1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4.43</w:t>
            </w:r>
          </w:p>
        </w:tc>
        <w:tc>
          <w:tcPr>
            <w:tcW w:type="dxa" w:w="1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13.32</w:t>
            </w:r>
          </w:p>
        </w:tc>
        <w:tc>
          <w:tcPr>
            <w:tcW w:type="dxa" w:w="11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5.45</w:t>
            </w:r>
          </w:p>
        </w:tc>
      </w:tr>
      <w:tr>
        <w:trPr>
          <w:cantSplit/>
        </w:trPr>
        <w:tc>
          <w:tcPr>
            <w:tcW w:type="dxa" w:w="32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DPS (sen)</w:t>
            </w:r>
          </w:p>
        </w:tc>
        <w:tc>
          <w:tcPr>
            <w:tcW w:type="dxa" w:w="11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9.0</w:t>
            </w:r>
          </w:p>
        </w:tc>
        <w:tc>
          <w:tcPr>
            <w:tcW w:type="dxa" w:w="11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15.0</w:t>
            </w:r>
          </w:p>
        </w:tc>
        <w:tc>
          <w:tcPr>
            <w:tcW w:type="dxa" w:w="10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15.0</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10.0</w:t>
            </w:r>
          </w:p>
        </w:tc>
        <w:tc>
          <w:tcPr>
            <w:tcW w:type="dxa" w:w="1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7.0</w:t>
            </w:r>
          </w:p>
        </w:tc>
        <w:tc>
          <w:tcPr>
            <w:tcW w:type="dxa" w:w="11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n/a</w:t>
            </w:r>
          </w:p>
        </w:tc>
      </w:tr>
    </w:tbl>
    <w:p>
      <w:pPr>
        <w:spacing w:after="60"/>
      </w:pPr>
    </w:p>
    <w:p>
      <w:pPr>
        <w:spacing w:after="160"/>
      </w:pPr>
      <w:r>
        <w:rPr>
          <w:rFonts w:ascii="Arial" w:cs="Arial" w:eastAsia="Arial" w:hAnsi="Arial"/>
          <w:i/>
          <w:iCs/>
          <w:color w:val="5A6270"/>
          <w:sz w:val="14"/>
          <w:szCs w:val="14"/>
        </w:rPr>
        <w:t xml:space="preserve">Source: GENM AR2025 five-year summary, quarterly reports, S&amp;P Capital IQ. [e] = derived. FY2025 net income includes a RM129.1m bargain-purchase gain (Empire) and RM351.6m of unrealised FX gains; FY2021 reflects ~5 months of RWG closure.</w:t>
      </w:r>
    </w:p>
    <w:p>
      <w:pPr>
        <w:pStyle w:val="Heading2"/>
      </w:pPr>
      <w:r>
        <w:t xml:space="preserve">8.2 Revenue and adj. EBITDA by division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8"/>
        <w:gridCol w:w="1129"/>
        <w:gridCol w:w="1120"/>
        <w:gridCol w:w="1196"/>
        <w:gridCol w:w="1133"/>
        <w:gridCol w:w="1125"/>
        <w:gridCol w:w="1095"/>
      </w:tblGrid>
      <w:tr>
        <w:trPr>
          <w:tblHeader/>
        </w:trPr>
        <w:tc>
          <w:tcPr>
            <w:tcW w:type="dxa" w:w="310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Revenue (RM m)</w:t>
            </w:r>
          </w:p>
        </w:tc>
        <w:tc>
          <w:tcPr>
            <w:tcW w:type="dxa" w:w="112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FY2021</w:t>
            </w:r>
          </w:p>
        </w:tc>
        <w:tc>
          <w:tcPr>
            <w:tcW w:type="dxa" w:w="112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FY2022</w:t>
            </w:r>
          </w:p>
        </w:tc>
        <w:tc>
          <w:tcPr>
            <w:tcW w:type="dxa" w:w="119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FY2023</w:t>
            </w:r>
          </w:p>
        </w:tc>
        <w:tc>
          <w:tcPr>
            <w:tcW w:type="dxa" w:w="113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FY2024</w:t>
            </w:r>
          </w:p>
        </w:tc>
        <w:tc>
          <w:tcPr>
            <w:tcW w:type="dxa" w:w="112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FY2025</w:t>
            </w:r>
          </w:p>
        </w:tc>
        <w:tc>
          <w:tcPr>
            <w:tcW w:type="dxa" w:w="109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CAGR FY22-25</w:t>
            </w:r>
          </w:p>
        </w:tc>
      </w:tr>
      <w:tr>
        <w:trPr>
          <w:cantSplit/>
        </w:trPr>
        <w:tc>
          <w:tcPr>
            <w:tcW w:type="dxa" w:w="31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L&amp;H Malaysia</w:t>
            </w:r>
          </w:p>
        </w:tc>
        <w:tc>
          <w:tcPr>
            <w:tcW w:type="dxa" w:w="11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1,590.3</w:t>
            </w:r>
          </w:p>
        </w:tc>
        <w:tc>
          <w:tcPr>
            <w:tcW w:type="dxa" w:w="11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5,258.8</w:t>
            </w:r>
          </w:p>
        </w:tc>
        <w:tc>
          <w:tcPr>
            <w:tcW w:type="dxa" w:w="11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6,450.2</w:t>
            </w:r>
          </w:p>
        </w:tc>
        <w:tc>
          <w:tcPr>
            <w:tcW w:type="dxa" w:w="11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6,823.0</w:t>
            </w:r>
          </w:p>
        </w:tc>
        <w:tc>
          <w:tcPr>
            <w:tcW w:type="dxa" w:w="11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7,133.5</w:t>
            </w:r>
          </w:p>
        </w:tc>
        <w:tc>
          <w:tcPr>
            <w:tcW w:type="dxa" w:w="10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10.7%</w:t>
            </w:r>
          </w:p>
        </w:tc>
      </w:tr>
      <w:tr>
        <w:trPr>
          <w:cantSplit/>
        </w:trPr>
        <w:tc>
          <w:tcPr>
            <w:tcW w:type="dxa" w:w="310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L&amp;H UK &amp; Egypt</w:t>
            </w:r>
          </w:p>
        </w:tc>
        <w:tc>
          <w:tcPr>
            <w:tcW w:type="dxa" w:w="11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1,064.7</w:t>
            </w:r>
          </w:p>
        </w:tc>
        <w:tc>
          <w:tcPr>
            <w:tcW w:type="dxa" w:w="112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1,505.5</w:t>
            </w:r>
          </w:p>
        </w:tc>
        <w:tc>
          <w:tcPr>
            <w:tcW w:type="dxa" w:w="11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1,667.4</w:t>
            </w:r>
          </w:p>
        </w:tc>
        <w:tc>
          <w:tcPr>
            <w:tcW w:type="dxa" w:w="11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1,895.6</w:t>
            </w:r>
          </w:p>
        </w:tc>
        <w:tc>
          <w:tcPr>
            <w:tcW w:type="dxa" w:w="112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1,994.2</w:t>
            </w:r>
          </w:p>
        </w:tc>
        <w:tc>
          <w:tcPr>
            <w:tcW w:type="dxa" w:w="10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9.8%</w:t>
            </w:r>
          </w:p>
        </w:tc>
      </w:tr>
      <w:tr>
        <w:trPr>
          <w:cantSplit/>
        </w:trPr>
        <w:tc>
          <w:tcPr>
            <w:tcW w:type="dxa" w:w="31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L&amp;H US &amp; Bahamas</w:t>
            </w:r>
          </w:p>
        </w:tc>
        <w:tc>
          <w:tcPr>
            <w:tcW w:type="dxa" w:w="11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1,324.1</w:t>
            </w:r>
          </w:p>
        </w:tc>
        <w:tc>
          <w:tcPr>
            <w:tcW w:type="dxa" w:w="11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1,659.7</w:t>
            </w:r>
          </w:p>
        </w:tc>
        <w:tc>
          <w:tcPr>
            <w:tcW w:type="dxa" w:w="11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1,875.6</w:t>
            </w:r>
          </w:p>
        </w:tc>
        <w:tc>
          <w:tcPr>
            <w:tcW w:type="dxa" w:w="11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1,980.1</w:t>
            </w:r>
          </w:p>
        </w:tc>
        <w:tc>
          <w:tcPr>
            <w:tcW w:type="dxa" w:w="11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2,566.0</w:t>
            </w:r>
          </w:p>
        </w:tc>
        <w:tc>
          <w:tcPr>
            <w:tcW w:type="dxa" w:w="10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15.6%</w:t>
            </w:r>
          </w:p>
        </w:tc>
      </w:tr>
      <w:tr>
        <w:trPr>
          <w:cantSplit/>
        </w:trPr>
        <w:tc>
          <w:tcPr>
            <w:tcW w:type="dxa" w:w="310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Property</w:t>
            </w:r>
          </w:p>
        </w:tc>
        <w:tc>
          <w:tcPr>
            <w:tcW w:type="dxa" w:w="11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187.3</w:t>
            </w:r>
          </w:p>
        </w:tc>
        <w:tc>
          <w:tcPr>
            <w:tcW w:type="dxa" w:w="112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95.6</w:t>
            </w:r>
          </w:p>
        </w:tc>
        <w:tc>
          <w:tcPr>
            <w:tcW w:type="dxa" w:w="11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106.3</w:t>
            </w:r>
          </w:p>
        </w:tc>
        <w:tc>
          <w:tcPr>
            <w:tcW w:type="dxa" w:w="11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93.6</w:t>
            </w:r>
          </w:p>
        </w:tc>
        <w:tc>
          <w:tcPr>
            <w:tcW w:type="dxa" w:w="112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94.1</w:t>
            </w:r>
          </w:p>
        </w:tc>
        <w:tc>
          <w:tcPr>
            <w:tcW w:type="dxa" w:w="10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-0.5%</w:t>
            </w:r>
          </w:p>
        </w:tc>
      </w:tr>
      <w:tr>
        <w:trPr>
          <w:cantSplit/>
        </w:trPr>
        <w:tc>
          <w:tcPr>
            <w:tcW w:type="dxa" w:w="31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Investments &amp; Others</w:t>
            </w:r>
          </w:p>
        </w:tc>
        <w:tc>
          <w:tcPr>
            <w:tcW w:type="dxa" w:w="11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158.0</w:t>
            </w:r>
          </w:p>
        </w:tc>
        <w:tc>
          <w:tcPr>
            <w:tcW w:type="dxa" w:w="11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282.7</w:t>
            </w:r>
          </w:p>
        </w:tc>
        <w:tc>
          <w:tcPr>
            <w:tcW w:type="dxa" w:w="11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289.1</w:t>
            </w:r>
          </w:p>
        </w:tc>
        <w:tc>
          <w:tcPr>
            <w:tcW w:type="dxa" w:w="11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119.5</w:t>
            </w:r>
          </w:p>
        </w:tc>
        <w:tc>
          <w:tcPr>
            <w:tcW w:type="dxa" w:w="11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96.5</w:t>
            </w:r>
          </w:p>
        </w:tc>
        <w:tc>
          <w:tcPr>
            <w:tcW w:type="dxa" w:w="10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n.m.</w:t>
            </w:r>
          </w:p>
        </w:tc>
      </w:tr>
      <w:tr>
        <w:trPr>
          <w:cantSplit/>
        </w:trPr>
        <w:tc>
          <w:tcPr>
            <w:tcW w:type="dxa" w:w="310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Eliminations (FY21-23 gross basis)</w:t>
            </w:r>
          </w:p>
        </w:tc>
        <w:tc>
          <w:tcPr>
            <w:tcW w:type="dxa" w:w="11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(167.7)</w:t>
            </w:r>
          </w:p>
        </w:tc>
        <w:tc>
          <w:tcPr>
            <w:tcW w:type="dxa" w:w="112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(199.3)</w:t>
            </w:r>
          </w:p>
        </w:tc>
        <w:tc>
          <w:tcPr>
            <w:tcW w:type="dxa" w:w="11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(199.2)</w:t>
            </w:r>
          </w:p>
        </w:tc>
        <w:tc>
          <w:tcPr>
            <w:tcW w:type="dxa" w:w="11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w:t>
            </w:r>
          </w:p>
        </w:tc>
        <w:tc>
          <w:tcPr>
            <w:tcW w:type="dxa" w:w="112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w:t>
            </w:r>
          </w:p>
        </w:tc>
        <w:tc>
          <w:tcPr>
            <w:tcW w:type="dxa" w:w="10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p>
        </w:tc>
      </w:tr>
      <w:tr>
        <w:trPr>
          <w:cantSplit/>
        </w:trPr>
        <w:tc>
          <w:tcPr>
            <w:tcW w:type="dxa" w:w="3108"/>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Group</w:t>
            </w:r>
          </w:p>
        </w:tc>
        <w:tc>
          <w:tcPr>
            <w:tcW w:type="dxa" w:w="1129"/>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4,156.7</w:t>
            </w:r>
          </w:p>
        </w:tc>
        <w:tc>
          <w:tcPr>
            <w:tcW w:type="dxa" w:w="1120"/>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8,603.0</w:t>
            </w:r>
          </w:p>
        </w:tc>
        <w:tc>
          <w:tcPr>
            <w:tcW w:type="dxa" w:w="1196"/>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10,189.4</w:t>
            </w:r>
          </w:p>
        </w:tc>
        <w:tc>
          <w:tcPr>
            <w:tcW w:type="dxa" w:w="1133"/>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10,911.8</w:t>
            </w:r>
          </w:p>
        </w:tc>
        <w:tc>
          <w:tcPr>
            <w:tcW w:type="dxa" w:w="1125"/>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11,884.3</w:t>
            </w:r>
          </w:p>
        </w:tc>
        <w:tc>
          <w:tcPr>
            <w:tcW w:type="dxa" w:w="1095"/>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11.4%</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9"/>
        <w:gridCol w:w="1129"/>
        <w:gridCol w:w="1327"/>
        <w:gridCol w:w="1318"/>
        <w:gridCol w:w="1309"/>
        <w:gridCol w:w="1314"/>
      </w:tblGrid>
      <w:tr>
        <w:trPr>
          <w:tblHeader/>
        </w:trPr>
        <w:tc>
          <w:tcPr>
            <w:tcW w:type="dxa" w:w="350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Adj. EBITDA (RM m) and margin</w:t>
            </w:r>
          </w:p>
        </w:tc>
        <w:tc>
          <w:tcPr>
            <w:tcW w:type="dxa" w:w="112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FY2021</w:t>
            </w:r>
          </w:p>
        </w:tc>
        <w:tc>
          <w:tcPr>
            <w:tcW w:type="dxa" w:w="132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FY2022</w:t>
            </w:r>
          </w:p>
        </w:tc>
        <w:tc>
          <w:tcPr>
            <w:tcW w:type="dxa" w:w="131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FY2023</w:t>
            </w:r>
          </w:p>
        </w:tc>
        <w:tc>
          <w:tcPr>
            <w:tcW w:type="dxa" w:w="130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FY2024</w:t>
            </w:r>
          </w:p>
        </w:tc>
        <w:tc>
          <w:tcPr>
            <w:tcW w:type="dxa" w:w="131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FY2025</w:t>
            </w:r>
          </w:p>
        </w:tc>
      </w:tr>
      <w:tr>
        <w:trPr>
          <w:cantSplit/>
        </w:trPr>
        <w:tc>
          <w:tcPr>
            <w:tcW w:type="dxa" w:w="35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L&amp;H Malaysia</w:t>
            </w:r>
          </w:p>
        </w:tc>
        <w:tc>
          <w:tcPr>
            <w:tcW w:type="dxa" w:w="11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15.5</w:t>
            </w:r>
          </w:p>
        </w:tc>
        <w:tc>
          <w:tcPr>
            <w:tcW w:type="dxa" w:w="13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1,634.3</w:t>
            </w:r>
          </w:p>
        </w:tc>
        <w:tc>
          <w:tcPr>
            <w:tcW w:type="dxa" w:w="13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2,062.2</w:t>
            </w:r>
          </w:p>
        </w:tc>
        <w:tc>
          <w:tcPr>
            <w:tcW w:type="dxa" w:w="13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2,092.2</w:t>
            </w:r>
          </w:p>
        </w:tc>
        <w:tc>
          <w:tcPr>
            <w:tcW w:type="dxa" w:w="13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2,138.7</w:t>
            </w:r>
          </w:p>
        </w:tc>
      </w:tr>
      <w:tr>
        <w:trPr>
          <w:cantSplit/>
        </w:trPr>
        <w:tc>
          <w:tcPr>
            <w:tcW w:type="dxa" w:w="35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i/>
                <w:iCs/>
                <w:color w:val="1A1F2B"/>
                <w:sz w:val="15"/>
                <w:szCs w:val="15"/>
              </w:rPr>
              <w:t xml:space="preserve">margin</w:t>
            </w:r>
          </w:p>
        </w:tc>
        <w:tc>
          <w:tcPr>
            <w:tcW w:type="dxa" w:w="11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1.0%</w:t>
            </w:r>
          </w:p>
        </w:tc>
        <w:tc>
          <w:tcPr>
            <w:tcW w:type="dxa" w:w="13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31.1%</w:t>
            </w:r>
          </w:p>
        </w:tc>
        <w:tc>
          <w:tcPr>
            <w:tcW w:type="dxa" w:w="13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32.0%</w:t>
            </w:r>
          </w:p>
        </w:tc>
        <w:tc>
          <w:tcPr>
            <w:tcW w:type="dxa" w:w="13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30.7%</w:t>
            </w:r>
          </w:p>
        </w:tc>
        <w:tc>
          <w:tcPr>
            <w:tcW w:type="dxa" w:w="131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30.0%</w:t>
            </w:r>
          </w:p>
        </w:tc>
      </w:tr>
      <w:tr>
        <w:trPr>
          <w:cantSplit/>
        </w:trPr>
        <w:tc>
          <w:tcPr>
            <w:tcW w:type="dxa" w:w="35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L&amp;H UK &amp; Egypt</w:t>
            </w:r>
          </w:p>
        </w:tc>
        <w:tc>
          <w:tcPr>
            <w:tcW w:type="dxa" w:w="11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243.5</w:t>
            </w:r>
          </w:p>
        </w:tc>
        <w:tc>
          <w:tcPr>
            <w:tcW w:type="dxa" w:w="13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300.2</w:t>
            </w:r>
          </w:p>
        </w:tc>
        <w:tc>
          <w:tcPr>
            <w:tcW w:type="dxa" w:w="13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291.2</w:t>
            </w:r>
          </w:p>
        </w:tc>
        <w:tc>
          <w:tcPr>
            <w:tcW w:type="dxa" w:w="13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297.9</w:t>
            </w:r>
          </w:p>
        </w:tc>
        <w:tc>
          <w:tcPr>
            <w:tcW w:type="dxa" w:w="13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322.1</w:t>
            </w:r>
          </w:p>
        </w:tc>
      </w:tr>
      <w:tr>
        <w:trPr>
          <w:cantSplit/>
        </w:trPr>
        <w:tc>
          <w:tcPr>
            <w:tcW w:type="dxa" w:w="35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i/>
                <w:iCs/>
                <w:color w:val="1A1F2B"/>
                <w:sz w:val="15"/>
                <w:szCs w:val="15"/>
              </w:rPr>
              <w:t xml:space="preserve">margin</w:t>
            </w:r>
          </w:p>
        </w:tc>
        <w:tc>
          <w:tcPr>
            <w:tcW w:type="dxa" w:w="11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22.9%</w:t>
            </w:r>
          </w:p>
        </w:tc>
        <w:tc>
          <w:tcPr>
            <w:tcW w:type="dxa" w:w="13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19.9%</w:t>
            </w:r>
          </w:p>
        </w:tc>
        <w:tc>
          <w:tcPr>
            <w:tcW w:type="dxa" w:w="13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17.5%</w:t>
            </w:r>
          </w:p>
        </w:tc>
        <w:tc>
          <w:tcPr>
            <w:tcW w:type="dxa" w:w="13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15.7%</w:t>
            </w:r>
          </w:p>
        </w:tc>
        <w:tc>
          <w:tcPr>
            <w:tcW w:type="dxa" w:w="131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16.2%</w:t>
            </w:r>
          </w:p>
        </w:tc>
      </w:tr>
      <w:tr>
        <w:trPr>
          <w:cantSplit/>
        </w:trPr>
        <w:tc>
          <w:tcPr>
            <w:tcW w:type="dxa" w:w="35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L&amp;H US &amp; Bahamas</w:t>
            </w:r>
          </w:p>
        </w:tc>
        <w:tc>
          <w:tcPr>
            <w:tcW w:type="dxa" w:w="11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415.0</w:t>
            </w:r>
          </w:p>
        </w:tc>
        <w:tc>
          <w:tcPr>
            <w:tcW w:type="dxa" w:w="13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477.6</w:t>
            </w:r>
          </w:p>
        </w:tc>
        <w:tc>
          <w:tcPr>
            <w:tcW w:type="dxa" w:w="13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550.4</w:t>
            </w:r>
          </w:p>
        </w:tc>
        <w:tc>
          <w:tcPr>
            <w:tcW w:type="dxa" w:w="13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530.2</w:t>
            </w:r>
          </w:p>
        </w:tc>
        <w:tc>
          <w:tcPr>
            <w:tcW w:type="dxa" w:w="13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472.4</w:t>
            </w:r>
          </w:p>
        </w:tc>
      </w:tr>
      <w:tr>
        <w:trPr>
          <w:cantSplit/>
        </w:trPr>
        <w:tc>
          <w:tcPr>
            <w:tcW w:type="dxa" w:w="35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i/>
                <w:iCs/>
                <w:color w:val="1A1F2B"/>
                <w:sz w:val="15"/>
                <w:szCs w:val="15"/>
              </w:rPr>
              <w:t xml:space="preserve">margin</w:t>
            </w:r>
          </w:p>
        </w:tc>
        <w:tc>
          <w:tcPr>
            <w:tcW w:type="dxa" w:w="11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31.3%</w:t>
            </w:r>
          </w:p>
        </w:tc>
        <w:tc>
          <w:tcPr>
            <w:tcW w:type="dxa" w:w="13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28.8%</w:t>
            </w:r>
          </w:p>
        </w:tc>
        <w:tc>
          <w:tcPr>
            <w:tcW w:type="dxa" w:w="13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29.3%</w:t>
            </w:r>
          </w:p>
        </w:tc>
        <w:tc>
          <w:tcPr>
            <w:tcW w:type="dxa" w:w="13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26.8%</w:t>
            </w:r>
          </w:p>
        </w:tc>
        <w:tc>
          <w:tcPr>
            <w:tcW w:type="dxa" w:w="131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18.4%</w:t>
            </w:r>
          </w:p>
        </w:tc>
      </w:tr>
      <w:tr>
        <w:trPr>
          <w:cantSplit/>
        </w:trPr>
        <w:tc>
          <w:tcPr>
            <w:tcW w:type="dxa" w:w="35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Property</w:t>
            </w:r>
          </w:p>
        </w:tc>
        <w:tc>
          <w:tcPr>
            <w:tcW w:type="dxa" w:w="11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113.0</w:t>
            </w:r>
          </w:p>
        </w:tc>
        <w:tc>
          <w:tcPr>
            <w:tcW w:type="dxa" w:w="13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14.9</w:t>
            </w:r>
          </w:p>
        </w:tc>
        <w:tc>
          <w:tcPr>
            <w:tcW w:type="dxa" w:w="13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5.7</w:t>
            </w:r>
          </w:p>
        </w:tc>
        <w:tc>
          <w:tcPr>
            <w:tcW w:type="dxa" w:w="13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8.2</w:t>
            </w:r>
          </w:p>
        </w:tc>
        <w:tc>
          <w:tcPr>
            <w:tcW w:type="dxa" w:w="13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15.7</w:t>
            </w:r>
          </w:p>
        </w:tc>
      </w:tr>
      <w:tr>
        <w:trPr>
          <w:cantSplit/>
        </w:trPr>
        <w:tc>
          <w:tcPr>
            <w:tcW w:type="dxa" w:w="35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Investments &amp; Others (incl. FX)</w:t>
            </w:r>
          </w:p>
        </w:tc>
        <w:tc>
          <w:tcPr>
            <w:tcW w:type="dxa" w:w="11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(60.0)</w:t>
            </w:r>
          </w:p>
        </w:tc>
        <w:tc>
          <w:tcPr>
            <w:tcW w:type="dxa" w:w="13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(310.4)</w:t>
            </w:r>
          </w:p>
        </w:tc>
        <w:tc>
          <w:tcPr>
            <w:tcW w:type="dxa" w:w="13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(277.3)</w:t>
            </w:r>
          </w:p>
        </w:tc>
        <w:tc>
          <w:tcPr>
            <w:tcW w:type="dxa" w:w="13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(18.1)</w:t>
            </w:r>
          </w:p>
        </w:tc>
        <w:tc>
          <w:tcPr>
            <w:tcW w:type="dxa" w:w="131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348.7</w:t>
            </w:r>
          </w:p>
        </w:tc>
      </w:tr>
      <w:tr>
        <w:trPr>
          <w:cantSplit/>
        </w:trPr>
        <w:tc>
          <w:tcPr>
            <w:tcW w:type="dxa" w:w="3509"/>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Group</w:t>
            </w:r>
          </w:p>
        </w:tc>
        <w:tc>
          <w:tcPr>
            <w:tcW w:type="dxa" w:w="1129"/>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727.0</w:t>
            </w:r>
          </w:p>
        </w:tc>
        <w:tc>
          <w:tcPr>
            <w:tcW w:type="dxa" w:w="1327"/>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2,116.6</w:t>
            </w:r>
          </w:p>
        </w:tc>
        <w:tc>
          <w:tcPr>
            <w:tcW w:type="dxa" w:w="1318"/>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2,632.2</w:t>
            </w:r>
          </w:p>
        </w:tc>
        <w:tc>
          <w:tcPr>
            <w:tcW w:type="dxa" w:w="1309"/>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2,910.4</w:t>
            </w:r>
          </w:p>
        </w:tc>
        <w:tc>
          <w:tcPr>
            <w:tcW w:type="dxa" w:w="1314"/>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3,297.6</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25"/>
        <w:gridCol w:w="932"/>
        <w:gridCol w:w="890"/>
        <w:gridCol w:w="990"/>
        <w:gridCol w:w="990"/>
        <w:gridCol w:w="1179"/>
      </w:tblGrid>
      <w:tr>
        <w:trPr>
          <w:tblHeader/>
        </w:trPr>
        <w:tc>
          <w:tcPr>
            <w:tcW w:type="dxa" w:w="492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Segment EBIT [e] (adj. EBITDA less segment D&amp;A)</w:t>
            </w:r>
          </w:p>
        </w:tc>
        <w:tc>
          <w:tcPr>
            <w:tcW w:type="dxa" w:w="93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FY2021</w:t>
            </w:r>
          </w:p>
        </w:tc>
        <w:tc>
          <w:tcPr>
            <w:tcW w:type="dxa" w:w="89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FY2022</w:t>
            </w:r>
          </w:p>
        </w:tc>
        <w:tc>
          <w:tcPr>
            <w:tcW w:type="dxa" w:w="99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FY2023</w:t>
            </w:r>
          </w:p>
        </w:tc>
        <w:tc>
          <w:tcPr>
            <w:tcW w:type="dxa" w:w="99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FY2024</w:t>
            </w:r>
          </w:p>
        </w:tc>
        <w:tc>
          <w:tcPr>
            <w:tcW w:type="dxa" w:w="117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FY2025 [e]</w:t>
            </w:r>
          </w:p>
        </w:tc>
      </w:tr>
      <w:tr>
        <w:trPr>
          <w:cantSplit/>
        </w:trPr>
        <w:tc>
          <w:tcPr>
            <w:tcW w:type="dxa" w:w="49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L&amp;H Malaysia</w:t>
            </w:r>
          </w:p>
        </w:tc>
        <w:tc>
          <w:tcPr>
            <w:tcW w:type="dxa" w:w="9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(545.8)</w:t>
            </w:r>
          </w:p>
        </w:tc>
        <w:tc>
          <w:tcPr>
            <w:tcW w:type="dxa" w:w="8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971.6</w:t>
            </w:r>
          </w:p>
        </w:tc>
        <w:tc>
          <w:tcPr>
            <w:tcW w:type="dxa" w:w="9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1,377.5</w:t>
            </w:r>
          </w:p>
        </w:tc>
        <w:tc>
          <w:tcPr>
            <w:tcW w:type="dxa" w:w="9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1,408.9</w:t>
            </w:r>
          </w:p>
        </w:tc>
        <w:tc>
          <w:tcPr>
            <w:tcW w:type="dxa" w:w="11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~1,440</w:t>
            </w:r>
          </w:p>
        </w:tc>
      </w:tr>
      <w:tr>
        <w:trPr>
          <w:cantSplit/>
        </w:trPr>
        <w:tc>
          <w:tcPr>
            <w:tcW w:type="dxa" w:w="492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L&amp;H UK &amp; Egypt</w:t>
            </w:r>
          </w:p>
        </w:tc>
        <w:tc>
          <w:tcPr>
            <w:tcW w:type="dxa" w:w="93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45.9</w:t>
            </w:r>
          </w:p>
        </w:tc>
        <w:tc>
          <w:tcPr>
            <w:tcW w:type="dxa" w:w="89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126.4</w:t>
            </w:r>
          </w:p>
        </w:tc>
        <w:tc>
          <w:tcPr>
            <w:tcW w:type="dxa" w:w="99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111.6</w:t>
            </w:r>
          </w:p>
        </w:tc>
        <w:tc>
          <w:tcPr>
            <w:tcW w:type="dxa" w:w="99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120.3</w:t>
            </w:r>
          </w:p>
        </w:tc>
        <w:tc>
          <w:tcPr>
            <w:tcW w:type="dxa" w:w="117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~135</w:t>
            </w:r>
          </w:p>
        </w:tc>
      </w:tr>
      <w:tr>
        <w:trPr>
          <w:cantSplit/>
        </w:trPr>
        <w:tc>
          <w:tcPr>
            <w:tcW w:type="dxa" w:w="49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L&amp;H US &amp; Bahamas</w:t>
            </w:r>
          </w:p>
        </w:tc>
        <w:tc>
          <w:tcPr>
            <w:tcW w:type="dxa" w:w="9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138.7</w:t>
            </w:r>
          </w:p>
        </w:tc>
        <w:tc>
          <w:tcPr>
            <w:tcW w:type="dxa" w:w="8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152.1</w:t>
            </w:r>
          </w:p>
        </w:tc>
        <w:tc>
          <w:tcPr>
            <w:tcW w:type="dxa" w:w="9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217.7</w:t>
            </w:r>
          </w:p>
        </w:tc>
        <w:tc>
          <w:tcPr>
            <w:tcW w:type="dxa" w:w="9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184.9</w:t>
            </w:r>
          </w:p>
        </w:tc>
        <w:tc>
          <w:tcPr>
            <w:tcW w:type="dxa" w:w="11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~70</w:t>
            </w:r>
          </w:p>
        </w:tc>
      </w:tr>
      <w:tr>
        <w:trPr>
          <w:cantSplit/>
        </w:trPr>
        <w:tc>
          <w:tcPr>
            <w:tcW w:type="dxa" w:w="492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Property</w:t>
            </w:r>
          </w:p>
        </w:tc>
        <w:tc>
          <w:tcPr>
            <w:tcW w:type="dxa" w:w="93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91.1</w:t>
            </w:r>
          </w:p>
        </w:tc>
        <w:tc>
          <w:tcPr>
            <w:tcW w:type="dxa" w:w="89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(10.3)</w:t>
            </w:r>
          </w:p>
        </w:tc>
        <w:tc>
          <w:tcPr>
            <w:tcW w:type="dxa" w:w="99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(18.6)</w:t>
            </w:r>
          </w:p>
        </w:tc>
        <w:tc>
          <w:tcPr>
            <w:tcW w:type="dxa" w:w="99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(20.7)</w:t>
            </w:r>
          </w:p>
        </w:tc>
        <w:tc>
          <w:tcPr>
            <w:tcW w:type="dxa" w:w="117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~(15)</w:t>
            </w:r>
          </w:p>
        </w:tc>
      </w:tr>
      <w:tr>
        <w:trPr>
          <w:cantSplit/>
        </w:trPr>
        <w:tc>
          <w:tcPr>
            <w:tcW w:type="dxa" w:w="49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i/>
                <w:iCs/>
                <w:color w:val="1A1F2B"/>
                <w:sz w:val="15"/>
                <w:szCs w:val="15"/>
              </w:rPr>
              <w:t xml:space="preserve">Malaysia EBIT margin</w:t>
            </w:r>
          </w:p>
        </w:tc>
        <w:tc>
          <w:tcPr>
            <w:tcW w:type="dxa" w:w="9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n.m.</w:t>
            </w:r>
          </w:p>
        </w:tc>
        <w:tc>
          <w:tcPr>
            <w:tcW w:type="dxa" w:w="8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18.5%</w:t>
            </w:r>
          </w:p>
        </w:tc>
        <w:tc>
          <w:tcPr>
            <w:tcW w:type="dxa" w:w="9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21.4%</w:t>
            </w:r>
          </w:p>
        </w:tc>
        <w:tc>
          <w:tcPr>
            <w:tcW w:type="dxa" w:w="9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20.6%</w:t>
            </w:r>
          </w:p>
        </w:tc>
        <w:tc>
          <w:tcPr>
            <w:tcW w:type="dxa" w:w="11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~20%</w:t>
            </w:r>
          </w:p>
        </w:tc>
      </w:tr>
    </w:tbl>
    <w:p>
      <w:pPr>
        <w:spacing w:after="60"/>
      </w:pPr>
    </w:p>
    <w:p>
      <w:pPr>
        <w:spacing w:after="160"/>
      </w:pPr>
      <w:r>
        <w:rPr>
          <w:rFonts w:ascii="Arial" w:cs="Arial" w:eastAsia="Arial" w:hAnsi="Arial"/>
          <w:i/>
          <w:iCs/>
          <w:color w:val="5A6270"/>
          <w:sz w:val="14"/>
          <w:szCs w:val="14"/>
        </w:rPr>
        <w:t xml:space="preserve">Source: S&amp;P Capital IQ segments, GENM AR2025. GENM does not disclose segment D&amp;A for FY2025 or </w:t>
      </w:r>
      <w:r>
        <w:rPr>
          <w:rFonts w:ascii="Arial" w:cs="Arial" w:eastAsia="Arial" w:hAnsi="Arial"/>
          <w:b/>
          <w:bCs/>
          <w:i/>
          <w:iCs/>
          <w:color w:val="5A6270"/>
          <w:sz w:val="14"/>
          <w:szCs w:val="14"/>
        </w:rPr>
        <w:t xml:space="preserve">segment PBT/net income</w:t>
      </w:r>
      <w:r>
        <w:rPr>
          <w:rFonts w:ascii="Arial" w:cs="Arial" w:eastAsia="Arial" w:hAnsi="Arial"/>
          <w:i/>
          <w:iCs/>
          <w:color w:val="5A6270"/>
          <w:sz w:val="14"/>
          <w:szCs w:val="14"/>
        </w:rPr>
        <w:t xml:space="preserve">; FY2025 segment EBIT is our estimate using FY2024 D&amp;A shares. Net income is reported only at group level (see 8.1). On an indicative basis, Malaysia generates more than 100% of group net income [e]: the overseas segments' EBIT is roughly absorbed by group finance costs, which largely fund the US.</w:t>
      </w:r>
    </w:p>
    <w:p>
      <w:pPr>
        <w:spacing w:after="40" w:before="80"/>
        <w:jc w:val="center"/>
      </w:pPr>
      <w:r>
        <w:drawing>
          <wp:inline distT="0" distB="0" distL="0" distR="0">
            <wp:extent cx="61912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400300"/>
                    </a:xfrm>
                    <a:prstGeom prst="rect">
                      <a:avLst/>
                    </a:prstGeom>
                  </pic:spPr>
                </pic:pic>
              </a:graphicData>
            </a:graphic>
          </wp:inline>
        </w:drawing>
      </w:r>
    </w:p>
    <w:p>
      <w:pPr>
        <w:spacing w:after="160"/>
        <w:jc w:val="left"/>
      </w:pPr>
      <w:r>
        <w:rPr>
          <w:rFonts w:ascii="Arial" w:cs="Arial" w:eastAsia="Arial" w:hAnsi="Arial"/>
          <w:i/>
          <w:iCs/>
          <w:color w:val="5A6270"/>
          <w:sz w:val="15"/>
          <w:szCs w:val="15"/>
        </w:rPr>
        <w:t xml:space="preserve">Figure: L&amp;H revenue and adj. EBITDA by region, FY2021-FY2025.</w:t>
      </w:r>
    </w:p>
    <w:p>
      <w:pPr>
        <w:pStyle w:val="Heading2"/>
      </w:pPr>
      <w:r>
        <w:t xml:space="preserve">8.3 Geography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84"/>
        <w:gridCol w:w="1413"/>
        <w:gridCol w:w="1413"/>
        <w:gridCol w:w="1124"/>
        <w:gridCol w:w="1347"/>
        <w:gridCol w:w="1125"/>
      </w:tblGrid>
      <w:tr>
        <w:trPr>
          <w:tblHeader/>
        </w:trPr>
        <w:tc>
          <w:tcPr>
            <w:tcW w:type="dxa" w:w="348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Revenue by customer location (RM m)</w:t>
            </w:r>
          </w:p>
        </w:tc>
        <w:tc>
          <w:tcPr>
            <w:tcW w:type="dxa" w:w="141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FY2024</w:t>
            </w:r>
          </w:p>
        </w:tc>
        <w:tc>
          <w:tcPr>
            <w:tcW w:type="dxa" w:w="141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FY2025</w:t>
            </w:r>
          </w:p>
        </w:tc>
        <w:tc>
          <w:tcPr>
            <w:tcW w:type="dxa" w:w="112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FY2025 share</w:t>
            </w:r>
          </w:p>
        </w:tc>
        <w:tc>
          <w:tcPr>
            <w:tcW w:type="dxa" w:w="134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1H2026</w:t>
            </w:r>
          </w:p>
        </w:tc>
        <w:tc>
          <w:tcPr>
            <w:tcW w:type="dxa" w:w="112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1H2026 share</w:t>
            </w:r>
          </w:p>
        </w:tc>
      </w:tr>
      <w:tr>
        <w:trPr>
          <w:cantSplit/>
        </w:trPr>
        <w:tc>
          <w:tcPr>
            <w:tcW w:type="dxa" w:w="34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Malaysia</w:t>
            </w:r>
          </w:p>
        </w:tc>
        <w:tc>
          <w:tcPr>
            <w:tcW w:type="dxa" w:w="14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6,950.1</w:t>
            </w:r>
          </w:p>
        </w:tc>
        <w:tc>
          <w:tcPr>
            <w:tcW w:type="dxa" w:w="14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7,245.1</w:t>
            </w:r>
          </w:p>
        </w:tc>
        <w:tc>
          <w:tcPr>
            <w:tcW w:type="dxa" w:w="11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61%</w:t>
            </w:r>
          </w:p>
        </w:tc>
        <w:tc>
          <w:tcPr>
            <w:tcW w:type="dxa" w:w="134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~3,525 [e]</w:t>
            </w:r>
          </w:p>
        </w:tc>
        <w:tc>
          <w:tcPr>
            <w:tcW w:type="dxa" w:w="11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52%</w:t>
            </w:r>
          </w:p>
        </w:tc>
      </w:tr>
      <w:tr>
        <w:trPr>
          <w:cantSplit/>
        </w:trPr>
        <w:tc>
          <w:tcPr>
            <w:tcW w:type="dxa" w:w="348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UK &amp; Egypt</w:t>
            </w:r>
          </w:p>
        </w:tc>
        <w:tc>
          <w:tcPr>
            <w:tcW w:type="dxa" w:w="141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1,895.6</w:t>
            </w:r>
          </w:p>
        </w:tc>
        <w:tc>
          <w:tcPr>
            <w:tcW w:type="dxa" w:w="141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1,994.2</w:t>
            </w:r>
          </w:p>
        </w:tc>
        <w:tc>
          <w:tcPr>
            <w:tcW w:type="dxa" w:w="112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17%</w:t>
            </w:r>
          </w:p>
        </w:tc>
        <w:tc>
          <w:tcPr>
            <w:tcW w:type="dxa" w:w="134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966.9</w:t>
            </w:r>
          </w:p>
        </w:tc>
        <w:tc>
          <w:tcPr>
            <w:tcW w:type="dxa" w:w="112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14%</w:t>
            </w:r>
          </w:p>
        </w:tc>
      </w:tr>
      <w:tr>
        <w:trPr>
          <w:cantSplit/>
        </w:trPr>
        <w:tc>
          <w:tcPr>
            <w:tcW w:type="dxa" w:w="34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US &amp; Bahamas</w:t>
            </w:r>
          </w:p>
        </w:tc>
        <w:tc>
          <w:tcPr>
            <w:tcW w:type="dxa" w:w="14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2,066.1</w:t>
            </w:r>
          </w:p>
        </w:tc>
        <w:tc>
          <w:tcPr>
            <w:tcW w:type="dxa" w:w="14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2,645.0</w:t>
            </w:r>
          </w:p>
        </w:tc>
        <w:tc>
          <w:tcPr>
            <w:tcW w:type="dxa" w:w="11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22%</w:t>
            </w:r>
          </w:p>
        </w:tc>
        <w:tc>
          <w:tcPr>
            <w:tcW w:type="dxa" w:w="134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2,228.0</w:t>
            </w:r>
          </w:p>
        </w:tc>
        <w:tc>
          <w:tcPr>
            <w:tcW w:type="dxa" w:w="11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33%</w:t>
            </w:r>
          </w:p>
        </w:tc>
      </w:tr>
      <w:tr>
        <w:trPr>
          <w:cantSplit/>
        </w:trPr>
        <w:tc>
          <w:tcPr>
            <w:tcW w:type="dxa" w:w="3484"/>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Total</w:t>
            </w:r>
          </w:p>
        </w:tc>
        <w:tc>
          <w:tcPr>
            <w:tcW w:type="dxa" w:w="1413"/>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10,911.8</w:t>
            </w:r>
          </w:p>
        </w:tc>
        <w:tc>
          <w:tcPr>
            <w:tcW w:type="dxa" w:w="1413"/>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11,884.3</w:t>
            </w:r>
          </w:p>
        </w:tc>
        <w:tc>
          <w:tcPr>
            <w:tcW w:type="dxa" w:w="1124"/>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p>
        </w:tc>
        <w:tc>
          <w:tcPr>
            <w:tcW w:type="dxa" w:w="1347"/>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6,720.2</w:t>
            </w:r>
          </w:p>
        </w:tc>
        <w:tc>
          <w:tcPr>
            <w:tcW w:type="dxa" w:w="1125"/>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p>
        </w:tc>
      </w:tr>
    </w:tbl>
    <w:p>
      <w:pPr>
        <w:spacing w:after="60"/>
      </w:pPr>
    </w:p>
    <w:p>
      <w:pPr>
        <w:pStyle w:val="Heading2"/>
      </w:pPr>
      <w:r>
        <w:t xml:space="preserve">8.4 Trends in growth and margins: what changed and why</w:t>
      </w:r>
    </w:p>
    <w:p>
      <w:pPr>
        <w:pStyle w:val="ListParagraph"/>
        <w:numPr>
          <w:ilvl w:val="0"/>
          <w:numId w:val="3"/>
        </w:numPr>
        <w:spacing w:after="60" w:line="264"/>
      </w:pPr>
      <w:r>
        <w:rPr>
          <w:rFonts w:ascii="Arial" w:cs="Arial" w:eastAsia="Arial" w:hAnsi="Arial"/>
          <w:b/>
          <w:bCs/>
          <w:sz w:val="19"/>
          <w:szCs w:val="19"/>
        </w:rPr>
        <w:t xml:space="preserve">FY2021-22: Covid and reopening.</w:t>
      </w:r>
      <w:r>
        <w:rPr>
          <w:rFonts w:ascii="Arial" w:cs="Arial" w:eastAsia="Arial" w:hAnsi="Arial"/>
          <w:sz w:val="19"/>
          <w:szCs w:val="19"/>
        </w:rPr>
        <w:t xml:space="preserve"> RWG was shut for ~5 months in 2021 (Malaysia EBITDA RM15.5m). Revenue doubled in FY2022 as Malaysia reopened (1-Apr-2022) and Genting SkyWorlds opened (Feb-2022). Group net losses persisted on D&amp;A, interest and Empire associate losses.</w:t>
      </w:r>
    </w:p>
    <w:p>
      <w:pPr>
        <w:pStyle w:val="ListParagraph"/>
        <w:numPr>
          <w:ilvl w:val="0"/>
          <w:numId w:val="3"/>
        </w:numPr>
        <w:spacing w:after="60" w:line="264"/>
      </w:pPr>
      <w:r>
        <w:rPr>
          <w:rFonts w:ascii="Arial" w:cs="Arial" w:eastAsia="Arial" w:hAnsi="Arial"/>
          <w:b/>
          <w:bCs/>
          <w:sz w:val="19"/>
          <w:szCs w:val="19"/>
        </w:rPr>
        <w:t xml:space="preserve">FY2023-24: recovery stalls at the margin line.</w:t>
      </w:r>
      <w:r>
        <w:rPr>
          <w:rFonts w:ascii="Arial" w:cs="Arial" w:eastAsia="Arial" w:hAnsi="Arial"/>
          <w:sz w:val="19"/>
          <w:szCs w:val="19"/>
        </w:rPr>
        <w:t xml:space="preserve"> Malaysia revenue grew 23% then 6%, with visitation recovering to 98% of 2019 (28.1m in 2024), but the Malaysia margin peaked at 32% in FY2023. Payroll inflation, the service-tax rise to 8% (Mar-2024) and the closure of two of RWG's three legacy casino floors (Feb-2024) all weighed. US margins slipped as RWNYC payroll rose. FY2024 net income fell 42%, and the dividend (payout 226%) was cut.</w:t>
      </w:r>
    </w:p>
    <w:p>
      <w:pPr>
        <w:pStyle w:val="ListParagraph"/>
        <w:numPr>
          <w:ilvl w:val="0"/>
          <w:numId w:val="3"/>
        </w:numPr>
        <w:spacing w:after="60" w:line="264"/>
      </w:pPr>
      <w:r>
        <w:rPr>
          <w:rFonts w:ascii="Arial" w:cs="Arial" w:eastAsia="Arial" w:hAnsi="Arial"/>
          <w:b/>
          <w:bCs/>
          <w:sz w:val="19"/>
          <w:szCs w:val="19"/>
        </w:rPr>
        <w:t xml:space="preserve">FY2025: record revenue, thinner underlying margin.</w:t>
      </w:r>
      <w:r>
        <w:rPr>
          <w:rFonts w:ascii="Arial" w:cs="Arial" w:eastAsia="Arial" w:hAnsi="Arial"/>
          <w:sz w:val="19"/>
          <w:szCs w:val="19"/>
        </w:rPr>
        <w:t xml:space="preserve"> Revenue +9% to RM11.9bn. Adj. EBITDA +13%, but ex-FX it was +5% and the ex-FX margin fell to 24.8%. Malaysia EBITDA was +2% (mass-led; 4Q25 −21% on lower volumes and win rate). UK &amp; Egypt +8%. US &amp; Bahamas −11% as Empire's losses were consolidated from June 2025 and RWNYC prepared for conversion. Net income +200% to RM754.8m, but ~RM480m of it came from FX gains and the Empire bargain-purchase gain.</w:t>
      </w:r>
    </w:p>
    <w:p>
      <w:pPr>
        <w:pStyle w:val="ListParagraph"/>
        <w:numPr>
          <w:ilvl w:val="0"/>
          <w:numId w:val="3"/>
        </w:numPr>
        <w:spacing w:after="60" w:line="264"/>
      </w:pPr>
      <w:r>
        <w:rPr>
          <w:rFonts w:ascii="Arial" w:cs="Arial" w:eastAsia="Arial" w:hAnsi="Arial"/>
          <w:b/>
          <w:bCs/>
          <w:sz w:val="19"/>
          <w:szCs w:val="19"/>
        </w:rPr>
        <w:t xml:space="preserve">1H2026: New York changes the mix.</w:t>
      </w:r>
      <w:r>
        <w:rPr>
          <w:rFonts w:ascii="Arial" w:cs="Arial" w:eastAsia="Arial" w:hAnsi="Arial"/>
          <w:sz w:val="19"/>
          <w:szCs w:val="19"/>
        </w:rPr>
        <w:t xml:space="preserve"> Revenue +22%, with US &amp; Bahamas revenue doubling (+107%). But adj. EBITDA fell 16% (−3% ex-FX). Pre-opening costs rose to RM93.8m and finance costs +39%, so PBT fell 73% and net income 91% to RM43.6m. The US mix dilutes margins: NY gaming tax is 56% on slots against 35% in Malaysia, and the ramp-up carried 2,200+ new hires.</w:t>
      </w:r>
    </w:p>
    <w:p>
      <w:pPr>
        <w:pStyle w:val="ListParagraph"/>
        <w:numPr>
          <w:ilvl w:val="0"/>
          <w:numId w:val="3"/>
        </w:numPr>
        <w:spacing w:after="60" w:line="264"/>
      </w:pPr>
      <w:r>
        <w:rPr>
          <w:rFonts w:ascii="Arial" w:cs="Arial" w:eastAsia="Arial" w:hAnsi="Arial"/>
          <w:b/>
          <w:bCs/>
          <w:sz w:val="19"/>
          <w:szCs w:val="19"/>
        </w:rPr>
        <w:t xml:space="preserve">Structural conclusion:</w:t>
      </w:r>
      <w:r>
        <w:rPr>
          <w:rFonts w:ascii="Arial" w:cs="Arial" w:eastAsia="Arial" w:hAnsi="Arial"/>
          <w:sz w:val="19"/>
          <w:szCs w:val="19"/>
        </w:rPr>
        <w:t xml:space="preserve"> GENM is moving from a ~30%-margin Malaysian monopoly with modest leverage to a ~22-25%-margin, two-engine group with 4.7x net debt/EBITDA and peak capex. Earnings quality is noisy (FX, one-offs, hold), so we anchor on ex-FX EBITDA and cash flow.</w:t>
      </w:r>
    </w:p>
    <w:p>
      <w:pPr>
        <w:pStyle w:val="Heading2"/>
      </w:pPr>
      <w:r>
        <w:t xml:space="preserve">8.5 Quarterly trend (1Q25-2Q26)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5"/>
        <w:gridCol w:w="1089"/>
        <w:gridCol w:w="1112"/>
        <w:gridCol w:w="1089"/>
        <w:gridCol w:w="1096"/>
        <w:gridCol w:w="1081"/>
        <w:gridCol w:w="1104"/>
      </w:tblGrid>
      <w:tr>
        <w:trPr>
          <w:tblHeader/>
        </w:trPr>
        <w:tc>
          <w:tcPr>
            <w:tcW w:type="dxa" w:w="333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RM m</w:t>
            </w:r>
          </w:p>
        </w:tc>
        <w:tc>
          <w:tcPr>
            <w:tcW w:type="dxa" w:w="108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1Q25</w:t>
            </w:r>
          </w:p>
        </w:tc>
        <w:tc>
          <w:tcPr>
            <w:tcW w:type="dxa" w:w="111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2Q25</w:t>
            </w:r>
          </w:p>
        </w:tc>
        <w:tc>
          <w:tcPr>
            <w:tcW w:type="dxa" w:w="108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3Q25</w:t>
            </w:r>
          </w:p>
        </w:tc>
        <w:tc>
          <w:tcPr>
            <w:tcW w:type="dxa" w:w="109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4Q25</w:t>
            </w:r>
          </w:p>
        </w:tc>
        <w:tc>
          <w:tcPr>
            <w:tcW w:type="dxa" w:w="108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1Q26</w:t>
            </w:r>
          </w:p>
        </w:tc>
        <w:tc>
          <w:tcPr>
            <w:tcW w:type="dxa" w:w="110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2Q26</w:t>
            </w:r>
          </w:p>
        </w:tc>
      </w:tr>
      <w:tr>
        <w:trPr>
          <w:cantSplit/>
        </w:trPr>
        <w:tc>
          <w:tcPr>
            <w:tcW w:type="dxa" w:w="33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Revenue</w:t>
            </w:r>
          </w:p>
        </w:tc>
        <w:tc>
          <w:tcPr>
            <w:tcW w:type="dxa" w:w="10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2,595.2</w:t>
            </w:r>
          </w:p>
        </w:tc>
        <w:tc>
          <w:tcPr>
            <w:tcW w:type="dxa" w:w="111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2,918.5</w:t>
            </w:r>
          </w:p>
        </w:tc>
        <w:tc>
          <w:tcPr>
            <w:tcW w:type="dxa" w:w="10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3,357.8</w:t>
            </w:r>
          </w:p>
        </w:tc>
        <w:tc>
          <w:tcPr>
            <w:tcW w:type="dxa" w:w="10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3,012.8</w:t>
            </w:r>
          </w:p>
        </w:tc>
        <w:tc>
          <w:tcPr>
            <w:tcW w:type="dxa" w:w="10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2,866.9</w:t>
            </w:r>
          </w:p>
        </w:tc>
        <w:tc>
          <w:tcPr>
            <w:tcW w:type="dxa" w:w="11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3,853.3</w:t>
            </w:r>
          </w:p>
        </w:tc>
      </w:tr>
      <w:tr>
        <w:trPr>
          <w:cantSplit/>
        </w:trPr>
        <w:tc>
          <w:tcPr>
            <w:tcW w:type="dxa" w:w="33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YoY</w:t>
            </w:r>
          </w:p>
        </w:tc>
        <w:tc>
          <w:tcPr>
            <w:tcW w:type="dxa" w:w="10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-6.1%</w:t>
            </w:r>
          </w:p>
        </w:tc>
        <w:tc>
          <w:tcPr>
            <w:tcW w:type="dxa" w:w="111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9.3%</w:t>
            </w:r>
          </w:p>
        </w:tc>
        <w:tc>
          <w:tcPr>
            <w:tcW w:type="dxa" w:w="10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22.1%</w:t>
            </w:r>
          </w:p>
        </w:tc>
        <w:tc>
          <w:tcPr>
            <w:tcW w:type="dxa" w:w="10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10.4%</w:t>
            </w:r>
          </w:p>
        </w:tc>
        <w:tc>
          <w:tcPr>
            <w:tcW w:type="dxa" w:w="10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10.5%</w:t>
            </w:r>
          </w:p>
        </w:tc>
        <w:tc>
          <w:tcPr>
            <w:tcW w:type="dxa" w:w="110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32.0%</w:t>
            </w:r>
          </w:p>
        </w:tc>
      </w:tr>
      <w:tr>
        <w:trPr>
          <w:cantSplit/>
        </w:trPr>
        <w:tc>
          <w:tcPr>
            <w:tcW w:type="dxa" w:w="33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Adj. EBITDA</w:t>
            </w:r>
          </w:p>
        </w:tc>
        <w:tc>
          <w:tcPr>
            <w:tcW w:type="dxa" w:w="10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737.2</w:t>
            </w:r>
          </w:p>
        </w:tc>
        <w:tc>
          <w:tcPr>
            <w:tcW w:type="dxa" w:w="111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1,029.6</w:t>
            </w:r>
          </w:p>
        </w:tc>
        <w:tc>
          <w:tcPr>
            <w:tcW w:type="dxa" w:w="10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838.1</w:t>
            </w:r>
          </w:p>
        </w:tc>
        <w:tc>
          <w:tcPr>
            <w:tcW w:type="dxa" w:w="10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692.7</w:t>
            </w:r>
          </w:p>
        </w:tc>
        <w:tc>
          <w:tcPr>
            <w:tcW w:type="dxa" w:w="10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644.7</w:t>
            </w:r>
          </w:p>
        </w:tc>
        <w:tc>
          <w:tcPr>
            <w:tcW w:type="dxa" w:w="11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844.0</w:t>
            </w:r>
          </w:p>
        </w:tc>
      </w:tr>
      <w:tr>
        <w:trPr>
          <w:cantSplit/>
        </w:trPr>
        <w:tc>
          <w:tcPr>
            <w:tcW w:type="dxa" w:w="33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of which FX</w:t>
            </w:r>
          </w:p>
        </w:tc>
        <w:tc>
          <w:tcPr>
            <w:tcW w:type="dxa" w:w="10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50.4</w:t>
            </w:r>
          </w:p>
        </w:tc>
        <w:tc>
          <w:tcPr>
            <w:tcW w:type="dxa" w:w="111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184.6</w:t>
            </w:r>
          </w:p>
        </w:tc>
        <w:tc>
          <w:tcPr>
            <w:tcW w:type="dxa" w:w="10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2.8</w:t>
            </w:r>
          </w:p>
        </w:tc>
        <w:tc>
          <w:tcPr>
            <w:tcW w:type="dxa" w:w="10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113.8</w:t>
            </w:r>
          </w:p>
        </w:tc>
        <w:tc>
          <w:tcPr>
            <w:tcW w:type="dxa" w:w="10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14.6</w:t>
            </w:r>
          </w:p>
        </w:tc>
        <w:tc>
          <w:tcPr>
            <w:tcW w:type="dxa" w:w="110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(18.1)</w:t>
            </w:r>
          </w:p>
        </w:tc>
      </w:tr>
      <w:tr>
        <w:trPr>
          <w:cantSplit/>
        </w:trPr>
        <w:tc>
          <w:tcPr>
            <w:tcW w:type="dxa" w:w="33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Adj. EBITDA ex-FX</w:t>
            </w:r>
          </w:p>
        </w:tc>
        <w:tc>
          <w:tcPr>
            <w:tcW w:type="dxa" w:w="10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686.8</w:t>
            </w:r>
          </w:p>
        </w:tc>
        <w:tc>
          <w:tcPr>
            <w:tcW w:type="dxa" w:w="111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845.0</w:t>
            </w:r>
          </w:p>
        </w:tc>
        <w:tc>
          <w:tcPr>
            <w:tcW w:type="dxa" w:w="10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835.3</w:t>
            </w:r>
          </w:p>
        </w:tc>
        <w:tc>
          <w:tcPr>
            <w:tcW w:type="dxa" w:w="10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578.9</w:t>
            </w:r>
          </w:p>
        </w:tc>
        <w:tc>
          <w:tcPr>
            <w:tcW w:type="dxa" w:w="10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630.1</w:t>
            </w:r>
          </w:p>
        </w:tc>
        <w:tc>
          <w:tcPr>
            <w:tcW w:type="dxa" w:w="11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862.1</w:t>
            </w:r>
          </w:p>
        </w:tc>
      </w:tr>
      <w:tr>
        <w:trPr>
          <w:cantSplit/>
        </w:trPr>
        <w:tc>
          <w:tcPr>
            <w:tcW w:type="dxa" w:w="33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Malaysia adj. EBITDA</w:t>
            </w:r>
          </w:p>
        </w:tc>
        <w:tc>
          <w:tcPr>
            <w:tcW w:type="dxa" w:w="10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518.2</w:t>
            </w:r>
          </w:p>
        </w:tc>
        <w:tc>
          <w:tcPr>
            <w:tcW w:type="dxa" w:w="111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606.3</w:t>
            </w:r>
          </w:p>
        </w:tc>
        <w:tc>
          <w:tcPr>
            <w:tcW w:type="dxa" w:w="10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627.4</w:t>
            </w:r>
          </w:p>
        </w:tc>
        <w:tc>
          <w:tcPr>
            <w:tcW w:type="dxa" w:w="10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386.8</w:t>
            </w:r>
          </w:p>
        </w:tc>
        <w:tc>
          <w:tcPr>
            <w:tcW w:type="dxa" w:w="10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512.1</w:t>
            </w:r>
          </w:p>
        </w:tc>
        <w:tc>
          <w:tcPr>
            <w:tcW w:type="dxa" w:w="110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615.0</w:t>
            </w:r>
          </w:p>
        </w:tc>
      </w:tr>
      <w:tr>
        <w:trPr>
          <w:cantSplit/>
        </w:trPr>
        <w:tc>
          <w:tcPr>
            <w:tcW w:type="dxa" w:w="33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UK &amp; Egypt adj. EBITDA</w:t>
            </w:r>
          </w:p>
        </w:tc>
        <w:tc>
          <w:tcPr>
            <w:tcW w:type="dxa" w:w="10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55.5</w:t>
            </w:r>
          </w:p>
        </w:tc>
        <w:tc>
          <w:tcPr>
            <w:tcW w:type="dxa" w:w="111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70.2</w:t>
            </w:r>
          </w:p>
        </w:tc>
        <w:tc>
          <w:tcPr>
            <w:tcW w:type="dxa" w:w="10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86.3</w:t>
            </w:r>
          </w:p>
        </w:tc>
        <w:tc>
          <w:tcPr>
            <w:tcW w:type="dxa" w:w="10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110.1</w:t>
            </w:r>
          </w:p>
        </w:tc>
        <w:tc>
          <w:tcPr>
            <w:tcW w:type="dxa" w:w="10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50.9</w:t>
            </w:r>
          </w:p>
        </w:tc>
        <w:tc>
          <w:tcPr>
            <w:tcW w:type="dxa" w:w="11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68.8</w:t>
            </w:r>
          </w:p>
        </w:tc>
      </w:tr>
      <w:tr>
        <w:trPr>
          <w:cantSplit/>
        </w:trPr>
        <w:tc>
          <w:tcPr>
            <w:tcW w:type="dxa" w:w="33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US &amp; Bahamas adj. EBITDA</w:t>
            </w:r>
          </w:p>
        </w:tc>
        <w:tc>
          <w:tcPr>
            <w:tcW w:type="dxa" w:w="10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119.0</w:t>
            </w:r>
          </w:p>
        </w:tc>
        <w:tc>
          <w:tcPr>
            <w:tcW w:type="dxa" w:w="111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118.4</w:t>
            </w:r>
          </w:p>
        </w:tc>
        <w:tc>
          <w:tcPr>
            <w:tcW w:type="dxa" w:w="10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151.2</w:t>
            </w:r>
          </w:p>
        </w:tc>
        <w:tc>
          <w:tcPr>
            <w:tcW w:type="dxa" w:w="10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83.8</w:t>
            </w:r>
          </w:p>
        </w:tc>
        <w:tc>
          <w:tcPr>
            <w:tcW w:type="dxa" w:w="10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80.5</w:t>
            </w:r>
          </w:p>
        </w:tc>
        <w:tc>
          <w:tcPr>
            <w:tcW w:type="dxa" w:w="110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216.6</w:t>
            </w:r>
          </w:p>
        </w:tc>
      </w:tr>
      <w:tr>
        <w:trPr>
          <w:cantSplit/>
        </w:trPr>
        <w:tc>
          <w:tcPr>
            <w:tcW w:type="dxa" w:w="33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Pre-opening costs</w:t>
            </w:r>
          </w:p>
        </w:tc>
        <w:tc>
          <w:tcPr>
            <w:tcW w:type="dxa" w:w="10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(29.0)</w:t>
            </w:r>
          </w:p>
        </w:tc>
        <w:tc>
          <w:tcPr>
            <w:tcW w:type="dxa" w:w="111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(31.2)</w:t>
            </w:r>
          </w:p>
        </w:tc>
        <w:tc>
          <w:tcPr>
            <w:tcW w:type="dxa" w:w="10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(41.7)</w:t>
            </w:r>
          </w:p>
        </w:tc>
        <w:tc>
          <w:tcPr>
            <w:tcW w:type="dxa" w:w="10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(72.5)</w:t>
            </w:r>
          </w:p>
        </w:tc>
        <w:tc>
          <w:tcPr>
            <w:tcW w:type="dxa" w:w="10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(26.8)</w:t>
            </w:r>
          </w:p>
        </w:tc>
        <w:tc>
          <w:tcPr>
            <w:tcW w:type="dxa" w:w="11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(67.0)</w:t>
            </w:r>
          </w:p>
        </w:tc>
      </w:tr>
      <w:tr>
        <w:trPr>
          <w:cantSplit/>
        </w:trPr>
        <w:tc>
          <w:tcPr>
            <w:tcW w:type="dxa" w:w="33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Finance costs</w:t>
            </w:r>
          </w:p>
        </w:tc>
        <w:tc>
          <w:tcPr>
            <w:tcW w:type="dxa" w:w="10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(184.2)</w:t>
            </w:r>
          </w:p>
        </w:tc>
        <w:tc>
          <w:tcPr>
            <w:tcW w:type="dxa" w:w="111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(196.0)</w:t>
            </w:r>
          </w:p>
        </w:tc>
        <w:tc>
          <w:tcPr>
            <w:tcW w:type="dxa" w:w="10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(219.9)</w:t>
            </w:r>
          </w:p>
        </w:tc>
        <w:tc>
          <w:tcPr>
            <w:tcW w:type="dxa" w:w="10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(228.1)</w:t>
            </w:r>
          </w:p>
        </w:tc>
        <w:tc>
          <w:tcPr>
            <w:tcW w:type="dxa" w:w="10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(246.7)</w:t>
            </w:r>
          </w:p>
        </w:tc>
        <w:tc>
          <w:tcPr>
            <w:tcW w:type="dxa" w:w="110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(281.0)</w:t>
            </w:r>
          </w:p>
        </w:tc>
      </w:tr>
      <w:tr>
        <w:trPr>
          <w:cantSplit/>
        </w:trPr>
        <w:tc>
          <w:tcPr>
            <w:tcW w:type="dxa" w:w="33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PBT</w:t>
            </w:r>
          </w:p>
        </w:tc>
        <w:tc>
          <w:tcPr>
            <w:tcW w:type="dxa" w:w="10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184.0</w:t>
            </w:r>
          </w:p>
        </w:tc>
        <w:tc>
          <w:tcPr>
            <w:tcW w:type="dxa" w:w="111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503.3</w:t>
            </w:r>
          </w:p>
        </w:tc>
        <w:tc>
          <w:tcPr>
            <w:tcW w:type="dxa" w:w="10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256.8</w:t>
            </w:r>
          </w:p>
        </w:tc>
        <w:tc>
          <w:tcPr>
            <w:tcW w:type="dxa" w:w="10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40.9</w:t>
            </w:r>
          </w:p>
        </w:tc>
        <w:tc>
          <w:tcPr>
            <w:tcW w:type="dxa" w:w="10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43.1</w:t>
            </w:r>
          </w:p>
        </w:tc>
        <w:tc>
          <w:tcPr>
            <w:tcW w:type="dxa" w:w="11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143.8</w:t>
            </w:r>
          </w:p>
        </w:tc>
      </w:tr>
      <w:tr>
        <w:trPr>
          <w:cantSplit/>
        </w:trPr>
        <w:tc>
          <w:tcPr>
            <w:tcW w:type="dxa" w:w="33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Net income attributable</w:t>
            </w:r>
          </w:p>
        </w:tc>
        <w:tc>
          <w:tcPr>
            <w:tcW w:type="dxa" w:w="10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72.7</w:t>
            </w:r>
          </w:p>
        </w:tc>
        <w:tc>
          <w:tcPr>
            <w:tcW w:type="dxa" w:w="111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416.6</w:t>
            </w:r>
          </w:p>
        </w:tc>
        <w:tc>
          <w:tcPr>
            <w:tcW w:type="dxa" w:w="10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119.7</w:t>
            </w:r>
          </w:p>
        </w:tc>
        <w:tc>
          <w:tcPr>
            <w:tcW w:type="dxa" w:w="10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145.9</w:t>
            </w:r>
          </w:p>
        </w:tc>
        <w:tc>
          <w:tcPr>
            <w:tcW w:type="dxa" w:w="10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(3.8)</w:t>
            </w:r>
          </w:p>
        </w:tc>
        <w:tc>
          <w:tcPr>
            <w:tcW w:type="dxa" w:w="110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47.4</w:t>
            </w:r>
          </w:p>
        </w:tc>
      </w:tr>
    </w:tbl>
    <w:p>
      <w:pPr>
        <w:spacing w:after="60"/>
      </w:pPr>
    </w:p>
    <w:p>
      <w:pPr>
        <w:spacing w:after="40" w:before="8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81300"/>
                    </a:xfrm>
                    <a:prstGeom prst="rect">
                      <a:avLst/>
                    </a:prstGeom>
                  </pic:spPr>
                </pic:pic>
              </a:graphicData>
            </a:graphic>
          </wp:inline>
        </w:drawing>
      </w:r>
    </w:p>
    <w:p>
      <w:pPr>
        <w:spacing w:after="160"/>
        <w:jc w:val="left"/>
      </w:pPr>
      <w:r>
        <w:rPr>
          <w:rFonts w:ascii="Arial" w:cs="Arial" w:eastAsia="Arial" w:hAnsi="Arial"/>
          <w:i/>
          <w:iCs/>
          <w:color w:val="5A6270"/>
          <w:sz w:val="15"/>
          <w:szCs w:val="15"/>
        </w:rPr>
        <w:t xml:space="preserve">Figure: Segment adj. EBITDA by quarter; labels show group adj. EBITDA ex-FX and margin.</w:t>
      </w:r>
    </w:p>
    <w:p>
      <w:pPr>
        <w:pStyle w:val="Heading2"/>
      </w:pPr>
      <w:r>
        <w:t xml:space="preserve">8.6 Most relevant operational KPIs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5"/>
        <w:gridCol w:w="718"/>
        <w:gridCol w:w="722"/>
        <w:gridCol w:w="718"/>
        <w:gridCol w:w="713"/>
        <w:gridCol w:w="3880"/>
      </w:tblGrid>
      <w:tr>
        <w:trPr>
          <w:tblHeader/>
        </w:trPr>
        <w:tc>
          <w:tcPr>
            <w:tcW w:type="dxa" w:w="315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KPI</w:t>
            </w:r>
          </w:p>
        </w:tc>
        <w:tc>
          <w:tcPr>
            <w:tcW w:type="dxa" w:w="71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2022</w:t>
            </w:r>
          </w:p>
        </w:tc>
        <w:tc>
          <w:tcPr>
            <w:tcW w:type="dxa" w:w="72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2023</w:t>
            </w:r>
          </w:p>
        </w:tc>
        <w:tc>
          <w:tcPr>
            <w:tcW w:type="dxa" w:w="71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2024</w:t>
            </w:r>
          </w:p>
        </w:tc>
        <w:tc>
          <w:tcPr>
            <w:tcW w:type="dxa" w:w="71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2025</w:t>
            </w:r>
          </w:p>
        </w:tc>
        <w:tc>
          <w:tcPr>
            <w:tcW w:type="dxa" w:w="388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Latest / trend</w:t>
            </w:r>
          </w:p>
        </w:tc>
      </w:tr>
      <w:tr>
        <w:trPr>
          <w:cantSplit/>
        </w:trPr>
        <w:tc>
          <w:tcPr>
            <w:tcW w:type="dxa" w:w="31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RWG visitor arrivals (m)</w:t>
            </w:r>
          </w:p>
        </w:tc>
        <w:tc>
          <w:tcPr>
            <w:tcW w:type="dxa" w:w="7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22.2</w:t>
            </w:r>
          </w:p>
        </w:tc>
        <w:tc>
          <w:tcPr>
            <w:tcW w:type="dxa" w:w="7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24.9</w:t>
            </w:r>
          </w:p>
        </w:tc>
        <w:tc>
          <w:tcPr>
            <w:tcW w:type="dxa" w:w="7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28.1</w:t>
            </w:r>
          </w:p>
        </w:tc>
        <w:tc>
          <w:tcPr>
            <w:tcW w:type="dxa" w:w="7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28.6</w:t>
            </w:r>
          </w:p>
        </w:tc>
        <w:tc>
          <w:tcPr>
            <w:tcW w:type="dxa" w:w="38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"Softer" in 2Q26 (airfares, Middle East)</w:t>
            </w:r>
          </w:p>
        </w:tc>
      </w:tr>
      <w:tr>
        <w:trPr>
          <w:cantSplit/>
        </w:trPr>
        <w:tc>
          <w:tcPr>
            <w:tcW w:type="dxa" w:w="315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RWG hilltop hotel occupancy</w:t>
            </w:r>
          </w:p>
        </w:tc>
        <w:tc>
          <w:tcPr>
            <w:tcW w:type="dxa" w:w="7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95%</w:t>
            </w:r>
          </w:p>
        </w:tc>
        <w:tc>
          <w:tcPr>
            <w:tcW w:type="dxa" w:w="72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≥97%</w:t>
            </w:r>
          </w:p>
        </w:tc>
        <w:tc>
          <w:tcPr>
            <w:tcW w:type="dxa" w:w="7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99%</w:t>
            </w:r>
          </w:p>
        </w:tc>
        <w:tc>
          <w:tcPr>
            <w:tcW w:type="dxa" w:w="71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98%</w:t>
            </w:r>
          </w:p>
        </w:tc>
        <w:tc>
          <w:tcPr>
            <w:tcW w:type="dxa" w:w="388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Capacity-constrained</w:t>
            </w:r>
          </w:p>
        </w:tc>
      </w:tr>
      <w:tr>
        <w:trPr>
          <w:cantSplit/>
        </w:trPr>
        <w:tc>
          <w:tcPr>
            <w:tcW w:type="dxa" w:w="31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RWG room-nights sold (k)</w:t>
            </w:r>
          </w:p>
        </w:tc>
        <w:tc>
          <w:tcPr>
            <w:tcW w:type="dxa" w:w="7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2,372</w:t>
            </w:r>
          </w:p>
        </w:tc>
        <w:tc>
          <w:tcPr>
            <w:tcW w:type="dxa" w:w="7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3,527</w:t>
            </w:r>
          </w:p>
        </w:tc>
        <w:tc>
          <w:tcPr>
            <w:tcW w:type="dxa" w:w="7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3,625</w:t>
            </w:r>
          </w:p>
        </w:tc>
        <w:tc>
          <w:tcPr>
            <w:tcW w:type="dxa" w:w="7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3,537</w:t>
            </w:r>
          </w:p>
        </w:tc>
        <w:tc>
          <w:tcPr>
            <w:tcW w:type="dxa" w:w="38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−2.4% in 2025 on refurbishment</w:t>
            </w:r>
          </w:p>
        </w:tc>
      </w:tr>
      <w:tr>
        <w:trPr>
          <w:cantSplit/>
        </w:trPr>
        <w:tc>
          <w:tcPr>
            <w:tcW w:type="dxa" w:w="315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Gaming share of L&amp;H revenue</w:t>
            </w:r>
          </w:p>
        </w:tc>
        <w:tc>
          <w:tcPr>
            <w:tcW w:type="dxa" w:w="7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76%</w:t>
            </w:r>
          </w:p>
        </w:tc>
        <w:tc>
          <w:tcPr>
            <w:tcW w:type="dxa" w:w="72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74%</w:t>
            </w:r>
          </w:p>
        </w:tc>
        <w:tc>
          <w:tcPr>
            <w:tcW w:type="dxa" w:w="7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n/d</w:t>
            </w:r>
          </w:p>
        </w:tc>
        <w:tc>
          <w:tcPr>
            <w:tcW w:type="dxa" w:w="71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74%</w:t>
            </w:r>
          </w:p>
        </w:tc>
        <w:tc>
          <w:tcPr>
            <w:tcW w:type="dxa" w:w="388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77% in 1H26 (US mix)</w:t>
            </w:r>
          </w:p>
        </w:tc>
      </w:tr>
      <w:tr>
        <w:trPr>
          <w:cantSplit/>
        </w:trPr>
        <w:tc>
          <w:tcPr>
            <w:tcW w:type="dxa" w:w="31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Malaysia adj. EBITDA margin</w:t>
            </w:r>
          </w:p>
        </w:tc>
        <w:tc>
          <w:tcPr>
            <w:tcW w:type="dxa" w:w="7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31.1%</w:t>
            </w:r>
          </w:p>
        </w:tc>
        <w:tc>
          <w:tcPr>
            <w:tcW w:type="dxa" w:w="7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32.0%</w:t>
            </w:r>
          </w:p>
        </w:tc>
        <w:tc>
          <w:tcPr>
            <w:tcW w:type="dxa" w:w="7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30.7%</w:t>
            </w:r>
          </w:p>
        </w:tc>
        <w:tc>
          <w:tcPr>
            <w:tcW w:type="dxa" w:w="7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30.0%</w:t>
            </w:r>
          </w:p>
        </w:tc>
        <w:tc>
          <w:tcPr>
            <w:tcW w:type="dxa" w:w="38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32.8% in 1H26 (cost control + VIP hold)</w:t>
            </w:r>
          </w:p>
        </w:tc>
      </w:tr>
      <w:tr>
        <w:trPr>
          <w:cantSplit/>
        </w:trPr>
        <w:tc>
          <w:tcPr>
            <w:tcW w:type="dxa" w:w="315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RWNYC capacity</w:t>
            </w:r>
          </w:p>
        </w:tc>
        <w:tc>
          <w:tcPr>
            <w:tcW w:type="dxa" w:w="7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VGMs only</w:t>
            </w:r>
          </w:p>
        </w:tc>
        <w:tc>
          <w:tcPr>
            <w:tcW w:type="dxa" w:w="72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VGMs only</w:t>
            </w:r>
          </w:p>
        </w:tc>
        <w:tc>
          <w:tcPr>
            <w:tcW w:type="dxa" w:w="7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VGMs only</w:t>
            </w:r>
          </w:p>
        </w:tc>
        <w:tc>
          <w:tcPr>
            <w:tcW w:type="dxa" w:w="71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VGMs only</w:t>
            </w:r>
          </w:p>
        </w:tc>
        <w:tc>
          <w:tcPr>
            <w:tcW w:type="dxa" w:w="388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242 tables + ~3,900 slots after Jul-26</w:t>
            </w:r>
          </w:p>
        </w:tc>
      </w:tr>
      <w:tr>
        <w:trPr>
          <w:cantSplit/>
        </w:trPr>
        <w:tc>
          <w:tcPr>
            <w:tcW w:type="dxa" w:w="31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RWNYC weekly GGR (US$m)</w:t>
            </w:r>
          </w:p>
        </w:tc>
        <w:tc>
          <w:tcPr>
            <w:tcW w:type="dxa" w:w="7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n/a</w:t>
            </w:r>
          </w:p>
        </w:tc>
        <w:tc>
          <w:tcPr>
            <w:tcW w:type="dxa" w:w="7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n/a</w:t>
            </w:r>
          </w:p>
        </w:tc>
        <w:tc>
          <w:tcPr>
            <w:tcW w:type="dxa" w:w="7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n/a</w:t>
            </w:r>
          </w:p>
        </w:tc>
        <w:tc>
          <w:tcPr>
            <w:tcW w:type="dxa" w:w="7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n/a</w:t>
            </w:r>
          </w:p>
        </w:tc>
        <w:tc>
          <w:tcPr>
            <w:tcW w:type="dxa" w:w="38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~30.8 (Jul-26) = ~US$1.6bn annualised [e]</w:t>
            </w:r>
          </w:p>
        </w:tc>
      </w:tr>
      <w:tr>
        <w:trPr>
          <w:cantSplit/>
        </w:trPr>
        <w:tc>
          <w:tcPr>
            <w:tcW w:type="dxa" w:w="315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US visitors (m)</w:t>
            </w:r>
          </w:p>
        </w:tc>
        <w:tc>
          <w:tcPr>
            <w:tcW w:type="dxa" w:w="7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n/d</w:t>
            </w:r>
          </w:p>
        </w:tc>
        <w:tc>
          <w:tcPr>
            <w:tcW w:type="dxa" w:w="72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n/d</w:t>
            </w:r>
          </w:p>
        </w:tc>
        <w:tc>
          <w:tcPr>
            <w:tcW w:type="dxa" w:w="7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7.9</w:t>
            </w:r>
          </w:p>
        </w:tc>
        <w:tc>
          <w:tcPr>
            <w:tcW w:type="dxa" w:w="71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7.4</w:t>
            </w:r>
          </w:p>
        </w:tc>
        <w:tc>
          <w:tcPr>
            <w:tcW w:type="dxa" w:w="388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Ramp under way</w:t>
            </w:r>
          </w:p>
        </w:tc>
      </w:tr>
      <w:tr>
        <w:trPr>
          <w:cantSplit/>
        </w:trPr>
        <w:tc>
          <w:tcPr>
            <w:tcW w:type="dxa" w:w="31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Capex / revenue (cash PPE)</w:t>
            </w:r>
          </w:p>
        </w:tc>
        <w:tc>
          <w:tcPr>
            <w:tcW w:type="dxa" w:w="7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7.6%</w:t>
            </w:r>
          </w:p>
        </w:tc>
        <w:tc>
          <w:tcPr>
            <w:tcW w:type="dxa" w:w="7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6.8%</w:t>
            </w:r>
          </w:p>
        </w:tc>
        <w:tc>
          <w:tcPr>
            <w:tcW w:type="dxa" w:w="7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5.2%</w:t>
            </w:r>
          </w:p>
        </w:tc>
        <w:tc>
          <w:tcPr>
            <w:tcW w:type="dxa" w:w="7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7.6%</w:t>
            </w:r>
          </w:p>
        </w:tc>
        <w:tc>
          <w:tcPr>
            <w:tcW w:type="dxa" w:w="38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~29% FY26E (consensus RM3.9bn)</w:t>
            </w:r>
          </w:p>
        </w:tc>
      </w:tr>
      <w:tr>
        <w:trPr>
          <w:cantSplit/>
        </w:trPr>
        <w:tc>
          <w:tcPr>
            <w:tcW w:type="dxa" w:w="315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Net debt incl. leases / adj. EBITDA</w:t>
            </w:r>
          </w:p>
        </w:tc>
        <w:tc>
          <w:tcPr>
            <w:tcW w:type="dxa" w:w="7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4.6x</w:t>
            </w:r>
          </w:p>
        </w:tc>
        <w:tc>
          <w:tcPr>
            <w:tcW w:type="dxa" w:w="72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3.4x</w:t>
            </w:r>
          </w:p>
        </w:tc>
        <w:tc>
          <w:tcPr>
            <w:tcW w:type="dxa" w:w="7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3.4x</w:t>
            </w:r>
          </w:p>
        </w:tc>
        <w:tc>
          <w:tcPr>
            <w:tcW w:type="dxa" w:w="71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3.1x</w:t>
            </w:r>
          </w:p>
        </w:tc>
        <w:tc>
          <w:tcPr>
            <w:tcW w:type="dxa" w:w="388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4.7x (Jun-26)</w:t>
            </w:r>
          </w:p>
        </w:tc>
      </w:tr>
      <w:tr>
        <w:trPr>
          <w:cantSplit/>
        </w:trPr>
        <w:tc>
          <w:tcPr>
            <w:tcW w:type="dxa" w:w="31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Adj. EBITDA / finance costs</w:t>
            </w:r>
          </w:p>
        </w:tc>
        <w:tc>
          <w:tcPr>
            <w:tcW w:type="dxa" w:w="7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4.0x</w:t>
            </w:r>
          </w:p>
        </w:tc>
        <w:tc>
          <w:tcPr>
            <w:tcW w:type="dxa" w:w="7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4.4x</w:t>
            </w:r>
          </w:p>
        </w:tc>
        <w:tc>
          <w:tcPr>
            <w:tcW w:type="dxa" w:w="7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4.2x</w:t>
            </w:r>
          </w:p>
        </w:tc>
        <w:tc>
          <w:tcPr>
            <w:tcW w:type="dxa" w:w="7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4.0x</w:t>
            </w:r>
          </w:p>
        </w:tc>
        <w:tc>
          <w:tcPr>
            <w:tcW w:type="dxa" w:w="38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3.1x (LTM)</w:t>
            </w:r>
          </w:p>
        </w:tc>
      </w:tr>
      <w:tr>
        <w:trPr>
          <w:cantSplit/>
        </w:trPr>
        <w:tc>
          <w:tcPr>
            <w:tcW w:type="dxa" w:w="315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Dividend payout (DPS/EPS)</w:t>
            </w:r>
          </w:p>
        </w:tc>
        <w:tc>
          <w:tcPr>
            <w:tcW w:type="dxa" w:w="7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n.m.</w:t>
            </w:r>
          </w:p>
        </w:tc>
        <w:tc>
          <w:tcPr>
            <w:tcW w:type="dxa" w:w="72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195%</w:t>
            </w:r>
          </w:p>
        </w:tc>
        <w:tc>
          <w:tcPr>
            <w:tcW w:type="dxa" w:w="71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226%</w:t>
            </w:r>
          </w:p>
        </w:tc>
        <w:tc>
          <w:tcPr>
            <w:tcW w:type="dxa" w:w="71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53%</w:t>
            </w:r>
          </w:p>
        </w:tc>
        <w:tc>
          <w:tcPr>
            <w:tcW w:type="dxa" w:w="388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 interim in FY25 or FY26</w:t>
            </w:r>
          </w:p>
        </w:tc>
      </w:tr>
      <w:tr>
        <w:trPr>
          <w:cantSplit/>
        </w:trPr>
        <w:tc>
          <w:tcPr>
            <w:tcW w:type="dxa" w:w="31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UK casinos</w:t>
            </w:r>
          </w:p>
        </w:tc>
        <w:tc>
          <w:tcPr>
            <w:tcW w:type="dxa" w:w="7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~32</w:t>
            </w:r>
          </w:p>
        </w:tc>
        <w:tc>
          <w:tcPr>
            <w:tcW w:type="dxa" w:w="7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~31</w:t>
            </w:r>
          </w:p>
        </w:tc>
        <w:tc>
          <w:tcPr>
            <w:tcW w:type="dxa" w:w="7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~31</w:t>
            </w:r>
          </w:p>
        </w:tc>
        <w:tc>
          <w:tcPr>
            <w:tcW w:type="dxa" w:w="7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~32</w:t>
            </w:r>
          </w:p>
        </w:tc>
        <w:tc>
          <w:tcPr>
            <w:tcW w:type="dxa" w:w="38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Coventry closing; 13 at risk if MGD doubles</w:t>
            </w:r>
          </w:p>
        </w:tc>
      </w:tr>
    </w:tbl>
    <w:p>
      <w:pPr>
        <w:spacing w:after="60"/>
      </w:pPr>
    </w:p>
    <w:p>
      <w:pPr>
        <w:spacing w:after="120" w:line="276"/>
      </w:pPr>
      <w:r>
        <w:rPr>
          <w:rFonts w:ascii="Arial" w:cs="Arial" w:eastAsia="Arial" w:hAnsi="Arial"/>
          <w:b/>
          <w:bCs/>
          <w:sz w:val="19"/>
          <w:szCs w:val="19"/>
        </w:rPr>
        <w:t xml:space="preserve">KPI read-across:</w:t>
      </w:r>
      <w:r>
        <w:rPr>
          <w:rFonts w:ascii="Arial" w:cs="Arial" w:eastAsia="Arial" w:hAnsi="Arial"/>
          <w:sz w:val="19"/>
          <w:szCs w:val="19"/>
        </w:rPr>
        <w:t xml:space="preserve"> Malaysia volumes have plateaued near 2019 levels with full hotels, so growth there depends on price, mix and reopening the two closed floors. New York is the only real volume growth, and it is capital-hungry. Capex intensity has quadrupled, and leverage and interest cover have both deteriorated since FY2025.</w:t>
      </w:r>
    </w:p>
    <w:p>
      <w:r>
        <w:br w:type="page"/>
      </w:r>
    </w:p>
    <w:p>
      <w:pPr>
        <w:pStyle w:val="Heading1"/>
      </w:pPr>
      <w:r>
        <w:t xml:space="preserve">9. Historical Share Price Catalysts (Moves of More Than 10%)</w:t>
      </w:r>
    </w:p>
    <w:p>
      <w:pPr>
        <w:spacing w:after="40" w:before="80"/>
        <w:jc w:val="center"/>
      </w:pPr>
      <w:r>
        <w:drawing>
          <wp:inline distT="0" distB="0" distL="0" distR="0">
            <wp:extent cx="61912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838450"/>
                    </a:xfrm>
                    <a:prstGeom prst="rect">
                      <a:avLst/>
                    </a:prstGeom>
                  </pic:spPr>
                </pic:pic>
              </a:graphicData>
            </a:graphic>
          </wp:inline>
        </w:drawing>
      </w:r>
    </w:p>
    <w:p>
      <w:pPr>
        <w:spacing w:after="160"/>
        <w:jc w:val="left"/>
      </w:pPr>
      <w:r>
        <w:rPr>
          <w:rFonts w:ascii="Arial" w:cs="Arial" w:eastAsia="Arial" w:hAnsi="Arial"/>
          <w:i/>
          <w:iCs/>
          <w:color w:val="5A6270"/>
          <w:sz w:val="15"/>
          <w:szCs w:val="15"/>
        </w:rPr>
        <w:t xml:space="preserve">Figure: GENM weekly share price, Oct-2016 to 16-Oct-2026, with key events.</w:t>
      </w:r>
    </w:p>
    <w:p>
      <w:pPr>
        <w:spacing w:after="120" w:line="276"/>
      </w:pPr>
      <w:r>
        <w:rPr>
          <w:rFonts w:ascii="Arial" w:cs="Arial" w:eastAsia="Arial" w:hAnsi="Arial"/>
          <w:b/>
          <w:bCs/>
          <w:sz w:val="19"/>
          <w:szCs w:val="19"/>
        </w:rPr>
        <w:t xml:space="preserve">Performance (price only, to 16-Oct-2026, RM1.27):</w:t>
      </w:r>
      <w:r>
        <w:rPr>
          <w:rFonts w:ascii="Arial" w:cs="Arial" w:eastAsia="Arial" w:hAnsi="Arial"/>
          <w:sz w:val="19"/>
          <w:szCs w:val="19"/>
        </w:rPr>
        <w:t xml:space="preserve"> −45.7% over 1 year, −48.8% over 3 years, −60.4% over 5 years, against the FBM KLCI −0.3%, +12% and +1.5%. YTD 2026: −37.7% vs KLCI −4.3%. GENM has underperformed in 7 of the last 9 full years. It is at a 10-year low, 46% below Genting Bhd's lapsed RM2.35 offer and 0.64x book value.</w:t>
      </w:r>
    </w:p>
    <w:p>
      <w:pPr>
        <w:pStyle w:val="Heading2"/>
      </w:pPr>
      <w:r>
        <w:t xml:space="preserve">9.1 Single-day moves of 10% or more (last five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7"/>
        <w:gridCol w:w="2391"/>
        <w:gridCol w:w="1756"/>
        <w:gridCol w:w="4702"/>
      </w:tblGrid>
      <w:tr>
        <w:trPr>
          <w:tblHeader/>
        </w:trPr>
        <w:tc>
          <w:tcPr>
            <w:tcW w:type="dxa" w:w="105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Date</w:t>
            </w:r>
          </w:p>
        </w:tc>
        <w:tc>
          <w:tcPr>
            <w:tcW w:type="dxa" w:w="239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Move</w:t>
            </w:r>
          </w:p>
        </w:tc>
        <w:tc>
          <w:tcPr>
            <w:tcW w:type="dxa" w:w="175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Volume</w:t>
            </w:r>
          </w:p>
        </w:tc>
        <w:tc>
          <w:tcPr>
            <w:tcW w:type="dxa" w:w="470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Cause</w:t>
            </w:r>
          </w:p>
        </w:tc>
      </w:tr>
      <w:tr>
        <w:trPr>
          <w:cantSplit/>
        </w:trPr>
        <w:tc>
          <w:tcPr>
            <w:tcW w:type="dxa" w:w="10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28-Feb-2025</w:t>
            </w:r>
          </w:p>
        </w:tc>
        <w:tc>
          <w:tcPr>
            <w:tcW w:type="dxa" w:w="23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−19.5%</w:t>
            </w:r>
            <w:r>
              <w:rPr>
                <w:rFonts w:ascii="Arial" w:cs="Arial" w:eastAsia="Arial" w:hAnsi="Arial"/>
                <w:b w:val="false"/>
                <w:bCs w:val="false"/>
                <w:color w:val="1A1F2B"/>
                <w:sz w:val="15"/>
                <w:szCs w:val="15"/>
              </w:rPr>
              <w:t xml:space="preserve"> (RM2.36 → 1.90)</w:t>
            </w:r>
          </w:p>
        </w:tc>
        <w:tc>
          <w:tcPr>
            <w:tcW w:type="dxa" w:w="17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356.8m</w:t>
            </w:r>
          </w:p>
        </w:tc>
        <w:tc>
          <w:tcPr>
            <w:tcW w:type="dxa" w:w="47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4Q24 net loss (RM458m: Empire associate losses, NY bid costs, D&amp;A, interest); </w:t>
            </w:r>
            <w:r>
              <w:rPr>
                <w:rFonts w:ascii="Arial" w:cs="Arial" w:eastAsia="Arial" w:hAnsi="Arial"/>
                <w:b/>
                <w:bCs/>
                <w:color w:val="1A1F2B"/>
                <w:sz w:val="15"/>
                <w:szCs w:val="15"/>
              </w:rPr>
              <w:t xml:space="preserve">final dividend cut from 9 to 4 sen</w:t>
            </w:r>
            <w:r>
              <w:rPr>
                <w:rFonts w:ascii="Arial" w:cs="Arial" w:eastAsia="Arial" w:hAnsi="Arial"/>
                <w:b w:val="false"/>
                <w:bCs w:val="false"/>
                <w:color w:val="1A1F2B"/>
                <w:sz w:val="15"/>
                <w:szCs w:val="15"/>
              </w:rPr>
              <w:t xml:space="preserve">; MSCI Malaysia (standard) deletion effective at the close</w:t>
            </w:r>
          </w:p>
        </w:tc>
      </w:tr>
      <w:tr>
        <w:trPr>
          <w:cantSplit/>
        </w:trPr>
        <w:tc>
          <w:tcPr>
            <w:tcW w:type="dxa" w:w="10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12-Oct-2026</w:t>
            </w:r>
          </w:p>
        </w:tc>
        <w:tc>
          <w:tcPr>
            <w:tcW w:type="dxa" w:w="23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−17.4%</w:t>
            </w:r>
            <w:r>
              <w:rPr>
                <w:rFonts w:ascii="Arial" w:cs="Arial" w:eastAsia="Arial" w:hAnsi="Arial"/>
                <w:b w:val="false"/>
                <w:bCs w:val="false"/>
                <w:color w:val="1A1F2B"/>
                <w:sz w:val="15"/>
                <w:szCs w:val="15"/>
              </w:rPr>
              <w:t xml:space="preserve"> (RM1.49 → 1.23)</w:t>
            </w:r>
          </w:p>
        </w:tc>
        <w:tc>
          <w:tcPr>
            <w:tcW w:type="dxa" w:w="175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30.0m (~10-20x normal)</w:t>
            </w:r>
          </w:p>
        </w:tc>
        <w:tc>
          <w:tcPr>
            <w:tcW w:type="dxa" w:w="470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Parent Genting Bhd's </w:t>
            </w:r>
            <w:r>
              <w:rPr>
                <w:rFonts w:ascii="Arial" w:cs="Arial" w:eastAsia="Arial" w:hAnsi="Arial"/>
                <w:b/>
                <w:bCs/>
                <w:color w:val="1A1F2B"/>
                <w:sz w:val="15"/>
                <w:szCs w:val="15"/>
              </w:rPr>
              <w:t xml:space="preserve">RM1.25bn rights issue</w:t>
            </w:r>
            <w:r>
              <w:rPr>
                <w:rFonts w:ascii="Arial" w:cs="Arial" w:eastAsia="Arial" w:hAnsi="Arial"/>
                <w:b w:val="false"/>
                <w:bCs w:val="false"/>
                <w:color w:val="1A1F2B"/>
                <w:sz w:val="15"/>
                <w:szCs w:val="15"/>
              </w:rPr>
              <w:t xml:space="preserve"> (announced after the close on 9-Oct); Genting Bhd −22.9%. Read-across: parent cannot fund a second privatisation, and GENM must self-fund New York</w:t>
            </w:r>
          </w:p>
        </w:tc>
      </w:tr>
    </w:tbl>
    <w:p>
      <w:pPr>
        <w:spacing w:after="60"/>
      </w:pPr>
    </w:p>
    <w:p>
      <w:pPr>
        <w:spacing w:after="120" w:line="276"/>
      </w:pPr>
      <w:r>
        <w:rPr>
          <w:rFonts w:ascii="Arial" w:cs="Arial" w:eastAsia="Arial" w:hAnsi="Arial"/>
          <w:sz w:val="19"/>
          <w:szCs w:val="19"/>
        </w:rPr>
        <w:t xml:space="preserve">Near misses: 21-Nov-2022 (GE15 hung parliament; −10.7% at the open, −5.5% close); 14-Oct-2025 (+8.4% on the RM2.35 offer); 9-Jun-2025 (+8.7%, unexplained [u]); 7-Apr-2025 (−8.0%, US tariff shock).</w:t>
      </w:r>
    </w:p>
    <w:p>
      <w:pPr>
        <w:pStyle w:val="Heading2"/>
      </w:pPr>
      <w:r>
        <w:t xml:space="preserve">9.2 Multi-week swings of 10% or more since Oct-2021</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4"/>
        <w:gridCol w:w="879"/>
        <w:gridCol w:w="6633"/>
      </w:tblGrid>
      <w:tr>
        <w:trPr>
          <w:tblHeader/>
        </w:trPr>
        <w:tc>
          <w:tcPr>
            <w:tcW w:type="dxa" w:w="239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Period</w:t>
            </w:r>
          </w:p>
        </w:tc>
        <w:tc>
          <w:tcPr>
            <w:tcW w:type="dxa" w:w="87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Move</w:t>
            </w:r>
          </w:p>
        </w:tc>
        <w:tc>
          <w:tcPr>
            <w:tcW w:type="dxa" w:w="663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Drivers</w:t>
            </w:r>
          </w:p>
        </w:tc>
      </w:tr>
      <w:tr>
        <w:trPr>
          <w:cantSplit/>
        </w:trPr>
        <w:tc>
          <w:tcPr>
            <w:tcW w:type="dxa" w:w="23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Oct-21 → Jan-22</w:t>
            </w:r>
          </w:p>
        </w:tc>
        <w:tc>
          <w:tcPr>
            <w:tcW w:type="dxa" w:w="8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−14%</w:t>
            </w:r>
          </w:p>
        </w:tc>
        <w:tc>
          <w:tcPr>
            <w:tcW w:type="dxa" w:w="66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Omicron; Budget 2022 one-off "Cukai Makmur" (33% on income above RM100m)</w:t>
            </w:r>
          </w:p>
        </w:tc>
      </w:tr>
      <w:tr>
        <w:trPr>
          <w:cantSplit/>
        </w:trPr>
        <w:tc>
          <w:tcPr>
            <w:tcW w:type="dxa" w:w="239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Jan-22 → May-22</w:t>
            </w:r>
          </w:p>
        </w:tc>
        <w:tc>
          <w:tcPr>
            <w:tcW w:type="dxa" w:w="87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+12%</w:t>
            </w:r>
          </w:p>
        </w:tc>
        <w:tc>
          <w:tcPr>
            <w:tcW w:type="dxa" w:w="66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Genting SkyWorlds opened (8-Feb-22); Malaysian borders reopened (1-Apr-22)</w:t>
            </w:r>
          </w:p>
        </w:tc>
      </w:tr>
      <w:tr>
        <w:trPr>
          <w:cantSplit/>
        </w:trPr>
        <w:tc>
          <w:tcPr>
            <w:tcW w:type="dxa" w:w="23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May-22 → Oct-22</w:t>
            </w:r>
          </w:p>
        </w:tc>
        <w:tc>
          <w:tcPr>
            <w:tcW w:type="dxa" w:w="8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−16%</w:t>
            </w:r>
          </w:p>
        </w:tc>
        <w:tc>
          <w:tcPr>
            <w:tcW w:type="dxa" w:w="66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Global rate shock; Parliament dissolved (GE15, PAS risk)</w:t>
            </w:r>
          </w:p>
        </w:tc>
      </w:tr>
      <w:tr>
        <w:trPr>
          <w:cantSplit/>
        </w:trPr>
        <w:tc>
          <w:tcPr>
            <w:tcW w:type="dxa" w:w="239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Oct-22 → Jan-23</w:t>
            </w:r>
          </w:p>
        </w:tc>
        <w:tc>
          <w:tcPr>
            <w:tcW w:type="dxa" w:w="87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+13%</w:t>
            </w:r>
          </w:p>
        </w:tc>
        <w:tc>
          <w:tcPr>
            <w:tcW w:type="dxa" w:w="66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Post-GE15 relief (Anwar PM); China reopening</w:t>
            </w:r>
          </w:p>
        </w:tc>
      </w:tr>
      <w:tr>
        <w:trPr>
          <w:cantSplit/>
        </w:trPr>
        <w:tc>
          <w:tcPr>
            <w:tcW w:type="dxa" w:w="23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Jan-23 → Oct-23</w:t>
            </w:r>
          </w:p>
        </w:tc>
        <w:tc>
          <w:tcPr>
            <w:tcW w:type="dxa" w:w="8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−17%</w:t>
            </w:r>
          </w:p>
        </w:tc>
        <w:tc>
          <w:tcPr>
            <w:tcW w:type="dxa" w:w="66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Slow China recovery, cost inflation, Empire related-party cash calls</w:t>
            </w:r>
          </w:p>
        </w:tc>
      </w:tr>
      <w:tr>
        <w:trPr>
          <w:cantSplit/>
        </w:trPr>
        <w:tc>
          <w:tcPr>
            <w:tcW w:type="dxa" w:w="239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Oct-23 → Mar-24</w:t>
            </w:r>
          </w:p>
        </w:tc>
        <w:tc>
          <w:tcPr>
            <w:tcW w:type="dxa" w:w="87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+19%</w:t>
            </w:r>
          </w:p>
        </w:tc>
        <w:tc>
          <w:tcPr>
            <w:tcW w:type="dxa" w:w="66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China/India visa-free entry (Dec-23); NY licence optionality</w:t>
            </w:r>
          </w:p>
        </w:tc>
      </w:tr>
      <w:tr>
        <w:trPr>
          <w:cantSplit/>
        </w:trPr>
        <w:tc>
          <w:tcPr>
            <w:tcW w:type="dxa" w:w="23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Mar-24 → Nov-24</w:t>
            </w:r>
          </w:p>
        </w:tc>
        <w:tc>
          <w:tcPr>
            <w:tcW w:type="dxa" w:w="8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−27%</w:t>
            </w:r>
          </w:p>
        </w:tc>
        <w:tc>
          <w:tcPr>
            <w:tcW w:type="dxa" w:w="66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Weaker RWG margins (3Q24 RWG EBITDA −13%), Empire losses, FBM KLCI deletion (Dec-24)</w:t>
            </w:r>
          </w:p>
        </w:tc>
      </w:tr>
      <w:tr>
        <w:trPr>
          <w:cantSplit/>
        </w:trPr>
        <w:tc>
          <w:tcPr>
            <w:tcW w:type="dxa" w:w="239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Nov-24 → Feb-25</w:t>
            </w:r>
          </w:p>
        </w:tc>
        <w:tc>
          <w:tcPr>
            <w:tcW w:type="dxa" w:w="87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+14%</w:t>
            </w:r>
          </w:p>
        </w:tc>
        <w:tc>
          <w:tcPr>
            <w:tcW w:type="dxa" w:w="66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Year-end / CNY recovery</w:t>
            </w:r>
          </w:p>
        </w:tc>
      </w:tr>
      <w:tr>
        <w:trPr>
          <w:cantSplit/>
        </w:trPr>
        <w:tc>
          <w:tcPr>
            <w:tcW w:type="dxa" w:w="23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Feb-25 → Apr-25</w:t>
            </w:r>
          </w:p>
        </w:tc>
        <w:tc>
          <w:tcPr>
            <w:tcW w:type="dxa" w:w="8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−38%</w:t>
            </w:r>
          </w:p>
        </w:tc>
        <w:tc>
          <w:tcPr>
            <w:tcW w:type="dxa" w:w="66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28-Feb crash (loss, dividend cut, MSCI deletion), then US tariff shock</w:t>
            </w:r>
          </w:p>
        </w:tc>
      </w:tr>
      <w:tr>
        <w:trPr>
          <w:cantSplit/>
        </w:trPr>
        <w:tc>
          <w:tcPr>
            <w:tcW w:type="dxa" w:w="239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Apr-25 → Nov-25</w:t>
            </w:r>
          </w:p>
        </w:tc>
        <w:tc>
          <w:tcPr>
            <w:tcW w:type="dxa" w:w="87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+60%</w:t>
            </w:r>
          </w:p>
        </w:tc>
        <w:tc>
          <w:tcPr>
            <w:tcW w:type="dxa" w:w="66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Tariff-pause rebound; 2Q25 FX-driven profit; NY bid; </w:t>
            </w:r>
            <w:r>
              <w:rPr>
                <w:rFonts w:ascii="Arial" w:cs="Arial" w:eastAsia="Arial" w:hAnsi="Arial"/>
                <w:b/>
                <w:bCs/>
                <w:color w:val="1A1F2B"/>
                <w:sz w:val="15"/>
                <w:szCs w:val="15"/>
              </w:rPr>
              <w:t xml:space="preserve">Genting Bhd RM2.35 offer (13-Oct-25)</w:t>
            </w:r>
            <w:r>
              <w:rPr>
                <w:rFonts w:ascii="Arial" w:cs="Arial" w:eastAsia="Arial" w:hAnsi="Arial"/>
                <w:b w:val="false"/>
                <w:bCs w:val="false"/>
                <w:color w:val="1A1F2B"/>
                <w:sz w:val="15"/>
                <w:szCs w:val="15"/>
              </w:rPr>
              <w:t xml:space="preserve"> pinned the price</w:t>
            </w:r>
          </w:p>
        </w:tc>
      </w:tr>
      <w:tr>
        <w:trPr>
          <w:cantSplit/>
        </w:trPr>
        <w:tc>
          <w:tcPr>
            <w:tcW w:type="dxa" w:w="23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1-Dec-25 → 10-Dec-25</w:t>
            </w:r>
          </w:p>
        </w:tc>
        <w:tc>
          <w:tcPr>
            <w:tcW w:type="dxa" w:w="8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−14%</w:t>
            </w:r>
          </w:p>
        </w:tc>
        <w:tc>
          <w:tcPr>
            <w:tcW w:type="dxa" w:w="66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Offer closed at 73.13%</w:t>
            </w:r>
            <w:r>
              <w:rPr>
                <w:rFonts w:ascii="Arial" w:cs="Arial" w:eastAsia="Arial" w:hAnsi="Arial"/>
                <w:b w:val="false"/>
                <w:bCs w:val="false"/>
                <w:color w:val="1A1F2B"/>
                <w:sz w:val="15"/>
                <w:szCs w:val="15"/>
              </w:rPr>
              <w:t xml:space="preserve"> (below 75% delisting / 90% squeeze-out); bid floor removed despite the NY licence the same day</w:t>
            </w:r>
          </w:p>
        </w:tc>
      </w:tr>
      <w:tr>
        <w:trPr>
          <w:cantSplit/>
        </w:trPr>
        <w:tc>
          <w:tcPr>
            <w:tcW w:type="dxa" w:w="239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Feb-26 → Mar-26</w:t>
            </w:r>
          </w:p>
        </w:tc>
        <w:tc>
          <w:tcPr>
            <w:tcW w:type="dxa" w:w="87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−16%</w:t>
            </w:r>
          </w:p>
        </w:tc>
        <w:tc>
          <w:tcPr>
            <w:tcW w:type="dxa" w:w="66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Ex-dividend 7 sen; group-wide weakness (Genting Bhd at a 23-year low); President Lee Choong Yan stepped down</w:t>
            </w:r>
          </w:p>
        </w:tc>
      </w:tr>
      <w:tr>
        <w:trPr>
          <w:cantSplit/>
        </w:trPr>
        <w:tc>
          <w:tcPr>
            <w:tcW w:type="dxa" w:w="23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Mar-26 → Apr-26</w:t>
            </w:r>
          </w:p>
        </w:tc>
        <w:tc>
          <w:tcPr>
            <w:tcW w:type="dxa" w:w="8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+16%</w:t>
            </w:r>
          </w:p>
        </w:tc>
        <w:tc>
          <w:tcPr>
            <w:tcW w:type="dxa" w:w="66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RWNYC live tables announced and opened (28-Apr-26)</w:t>
            </w:r>
          </w:p>
        </w:tc>
      </w:tr>
      <w:tr>
        <w:trPr>
          <w:cantSplit/>
        </w:trPr>
        <w:tc>
          <w:tcPr>
            <w:tcW w:type="dxa" w:w="239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Apr-26 → Sep-26</w:t>
            </w:r>
          </w:p>
        </w:tc>
        <w:tc>
          <w:tcPr>
            <w:tcW w:type="dxa" w:w="87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−28%</w:t>
            </w:r>
          </w:p>
        </w:tc>
        <w:tc>
          <w:tcPr>
            <w:tcW w:type="dxa" w:w="66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1Q26 miss (pre-opening loss), 2Q26 net profit −89%, no interim dividend, debt +RM3.8bn, Fitch downgrade to BBB- (Sep-26), parent-leverage worries</w:t>
            </w:r>
          </w:p>
        </w:tc>
      </w:tr>
      <w:tr>
        <w:trPr>
          <w:cantSplit/>
        </w:trPr>
        <w:tc>
          <w:tcPr>
            <w:tcW w:type="dxa" w:w="23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9-Oct-26 → 12-Oct-26</w:t>
            </w:r>
          </w:p>
        </w:tc>
        <w:tc>
          <w:tcPr>
            <w:tcW w:type="dxa" w:w="8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−17%</w:t>
            </w:r>
          </w:p>
        </w:tc>
        <w:tc>
          <w:tcPr>
            <w:tcW w:type="dxa" w:w="66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Genting Bhd rights issue</w:t>
            </w:r>
          </w:p>
        </w:tc>
      </w:tr>
    </w:tbl>
    <w:p>
      <w:pPr>
        <w:spacing w:after="60"/>
      </w:pPr>
    </w:p>
    <w:p>
      <w:pPr>
        <w:pStyle w:val="Heading2"/>
      </w:pPr>
      <w:r>
        <w:t xml:space="preserve">9.3 Ten-year context</w:t>
      </w:r>
    </w:p>
    <w:p>
      <w:pPr>
        <w:spacing w:after="120" w:line="276"/>
      </w:pPr>
      <w:r>
        <w:rPr>
          <w:rFonts w:ascii="Arial" w:cs="Arial" w:eastAsia="Arial" w:hAnsi="Arial"/>
          <w:sz w:val="19"/>
          <w:szCs w:val="19"/>
        </w:rPr>
        <w:t xml:space="preserve">The 10-year high (RM6.14 close, Aug-2017) reflected the GITP re-rating and net cash. The de-rating since has come in discrete steps, each tied to </w:t>
      </w:r>
      <w:r>
        <w:rPr>
          <w:rFonts w:ascii="Arial" w:cs="Arial" w:eastAsia="Arial" w:hAnsi="Arial"/>
          <w:b/>
          <w:bCs/>
          <w:sz w:val="19"/>
          <w:szCs w:val="19"/>
        </w:rPr>
        <w:t xml:space="preserve">government or related-party decisions rather than operations</w:t>
      </w:r>
      <w:r>
        <w:rPr>
          <w:rFonts w:ascii="Arial" w:cs="Arial" w:eastAsia="Arial" w:hAnsi="Arial"/>
          <w:sz w:val="19"/>
          <w:szCs w:val="19"/>
        </w:rPr>
        <w:t xml:space="preserve">: the Budget 2019 casino-duty hike (−21% in a week), Fox/Disney's termination of the theme-park licence (−20% in a week, Nov-2018), the Empire Resorts related-party deal with Kien Huat (−12% in a day, Aug-2019), Covid, the 2025 dividend cut, and the 2026 parent rights issue. </w:t>
      </w:r>
      <w:r>
        <w:rPr>
          <w:rFonts w:ascii="Arial" w:cs="Arial" w:eastAsia="Arial" w:hAnsi="Arial"/>
          <w:b/>
          <w:bCs/>
          <w:sz w:val="19"/>
          <w:szCs w:val="19"/>
        </w:rPr>
        <w:t xml:space="preserve">Lesson for positioning: GENM's large moves are policy- and parent-driven. Operations explain the drift; governance explains the gaps.</w:t>
      </w:r>
    </w:p>
    <w:p>
      <w:r>
        <w:br w:type="page"/>
      </w:r>
    </w:p>
    <w:p>
      <w:pPr>
        <w:pStyle w:val="Heading1"/>
      </w:pPr>
      <w:r>
        <w:t xml:space="preserve">10. Earnings Calls, Management Focus and Sentiment</w:t>
      </w:r>
    </w:p>
    <w:p>
      <w:pPr>
        <w:spacing w:after="120" w:line="276"/>
      </w:pPr>
      <w:r>
        <w:rPr>
          <w:rFonts w:ascii="Arial" w:cs="Arial" w:eastAsia="Arial" w:hAnsi="Arial"/>
          <w:b/>
          <w:bCs/>
          <w:sz w:val="19"/>
          <w:szCs w:val="19"/>
        </w:rPr>
        <w:t xml:space="preserve">Method note.</w:t>
      </w:r>
      <w:r>
        <w:rPr>
          <w:rFonts w:ascii="Arial" w:cs="Arial" w:eastAsia="Arial" w:hAnsi="Arial"/>
          <w:sz w:val="19"/>
          <w:szCs w:val="19"/>
        </w:rPr>
        <w:t xml:space="preserve"> GENM does not publish call transcripts on S&amp;P Capital IQ, and the ProntoNLP connector is not authorised in this session. We therefore built a transparent sentiment score from results press releases, Bursa quarterly-report commentary, analyst-briefing coverage and broker notes. Each quarter's score (−1 to +1) is the average of four sub-scores: (a) management tone and outlook, (b) capital-return action, (c) result vs expectations, (d) emphasis on forward catalysts. Topic intensity counts distinct statements per theme across the evidence set.</w:t>
      </w:r>
    </w:p>
    <w:p>
      <w:pPr>
        <w:pStyle w:val="Heading2"/>
      </w:pPr>
      <w:r>
        <w:t xml:space="preserve">10.1 Quarter-by-quarter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8"/>
        <w:gridCol w:w="2314"/>
        <w:gridCol w:w="2778"/>
        <w:gridCol w:w="1225"/>
        <w:gridCol w:w="1001"/>
        <w:gridCol w:w="986"/>
        <w:gridCol w:w="674"/>
      </w:tblGrid>
      <w:tr>
        <w:trPr>
          <w:tblHeader/>
        </w:trPr>
        <w:tc>
          <w:tcPr>
            <w:tcW w:type="dxa" w:w="92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Quarter (release)</w:t>
            </w:r>
          </w:p>
        </w:tc>
        <w:tc>
          <w:tcPr>
            <w:tcW w:type="dxa" w:w="231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Headline numbers</w:t>
            </w:r>
          </w:p>
        </w:tc>
        <w:tc>
          <w:tcPr>
            <w:tcW w:type="dxa" w:w="277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What management focused on</w:t>
            </w:r>
          </w:p>
        </w:tc>
        <w:tc>
          <w:tcPr>
            <w:tcW w:type="dxa" w:w="122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vs expectations</w:t>
            </w:r>
          </w:p>
        </w:tc>
        <w:tc>
          <w:tcPr>
            <w:tcW w:type="dxa" w:w="100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Capital action</w:t>
            </w:r>
          </w:p>
        </w:tc>
        <w:tc>
          <w:tcPr>
            <w:tcW w:type="dxa" w:w="98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Share reaction</w:t>
            </w:r>
          </w:p>
        </w:tc>
        <w:tc>
          <w:tcPr>
            <w:tcW w:type="dxa" w:w="67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Score</w:t>
            </w:r>
          </w:p>
        </w:tc>
      </w:tr>
      <w:tr>
        <w:trPr>
          <w:cantSplit/>
        </w:trPr>
        <w:tc>
          <w:tcPr>
            <w:tcW w:type="dxa" w:w="9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3Q24 (28-Nov-24)</w:t>
            </w:r>
          </w:p>
        </w:tc>
        <w:tc>
          <w:tcPr>
            <w:tcW w:type="dxa" w:w="23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Rev RM2,749m; NP RM569m incl. RM602m FX gain; RWG EBITDA −13%</w:t>
            </w:r>
          </w:p>
        </w:tc>
        <w:tc>
          <w:tcPr>
            <w:tcW w:type="dxa" w:w="27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Visitation +12%, occupancy 99%, China visitors doubled; payroll and casino opex up; "cautiously optimistic"</w:t>
            </w:r>
          </w:p>
        </w:tc>
        <w:tc>
          <w:tcPr>
            <w:tcW w:type="dxa" w:w="12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Headline beat, underlying weaker</w:t>
            </w:r>
          </w:p>
        </w:tc>
        <w:tc>
          <w:tcPr>
            <w:tcW w:type="dxa" w:w="1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Interim 6 sen (paid)</w:t>
            </w:r>
          </w:p>
        </w:tc>
        <w:tc>
          <w:tcPr>
            <w:tcW w:type="dxa" w:w="9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+1.4% (week)</w:t>
            </w:r>
          </w:p>
        </w:tc>
        <w:tc>
          <w:tcPr>
            <w:tcW w:type="dxa" w:w="6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+0.1</w:t>
            </w:r>
          </w:p>
        </w:tc>
      </w:tr>
      <w:tr>
        <w:trPr>
          <w:cantSplit/>
        </w:trPr>
        <w:tc>
          <w:tcPr>
            <w:tcW w:type="dxa" w:w="9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4Q24 (27-Feb-25)</w:t>
            </w:r>
          </w:p>
        </w:tc>
        <w:tc>
          <w:tcPr>
            <w:tcW w:type="dxa" w:w="231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Net loss RM458m</w:t>
            </w:r>
          </w:p>
        </w:tc>
        <w:tc>
          <w:tcPr>
            <w:tcW w:type="dxa" w:w="27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Empire losses, NY bid costs, D&amp;A and interest; cash preserved for expansion</w:t>
            </w:r>
          </w:p>
        </w:tc>
        <w:tc>
          <w:tcPr>
            <w:tcW w:type="dxa" w:w="122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Miss</w:t>
            </w:r>
          </w:p>
        </w:tc>
        <w:tc>
          <w:tcPr>
            <w:tcW w:type="dxa" w:w="1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Final cut to 4 sen</w:t>
            </w:r>
          </w:p>
        </w:tc>
        <w:tc>
          <w:tcPr>
            <w:tcW w:type="dxa" w:w="9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−19.5%</w:t>
            </w:r>
          </w:p>
        </w:tc>
        <w:tc>
          <w:tcPr>
            <w:tcW w:type="dxa" w:w="67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−0.5</w:t>
            </w:r>
          </w:p>
        </w:tc>
      </w:tr>
      <w:tr>
        <w:trPr>
          <w:cantSplit/>
        </w:trPr>
        <w:tc>
          <w:tcPr>
            <w:tcW w:type="dxa" w:w="9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1Q25 (29-May-25)</w:t>
            </w:r>
          </w:p>
        </w:tc>
        <w:tc>
          <w:tcPr>
            <w:tcW w:type="dxa" w:w="23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Rev −6%; VIP GGR −18%; core NP −78%</w:t>
            </w:r>
          </w:p>
        </w:tc>
        <w:tc>
          <w:tcPr>
            <w:tcW w:type="dxa" w:w="27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Premium softness; mass floor reopening; Empire losses</w:t>
            </w:r>
          </w:p>
        </w:tc>
        <w:tc>
          <w:tcPr>
            <w:tcW w:type="dxa" w:w="12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Miss; forecasts cut</w:t>
            </w:r>
          </w:p>
        </w:tc>
        <w:tc>
          <w:tcPr>
            <w:tcW w:type="dxa" w:w="1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w:t>
            </w:r>
          </w:p>
        </w:tc>
        <w:tc>
          <w:tcPr>
            <w:tcW w:type="dxa" w:w="9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Flat</w:t>
            </w:r>
          </w:p>
        </w:tc>
        <w:tc>
          <w:tcPr>
            <w:tcW w:type="dxa" w:w="6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−0.3</w:t>
            </w:r>
          </w:p>
        </w:tc>
      </w:tr>
      <w:tr>
        <w:trPr>
          <w:cantSplit/>
        </w:trPr>
        <w:tc>
          <w:tcPr>
            <w:tcW w:type="dxa" w:w="9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2Q25 (28-Aug-25)</w:t>
            </w:r>
          </w:p>
        </w:tc>
        <w:tc>
          <w:tcPr>
            <w:tcW w:type="dxa" w:w="231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Rev +9%; NP +407% (FX); RWG EBITDA +16%</w:t>
            </w:r>
          </w:p>
        </w:tc>
        <w:tc>
          <w:tcPr>
            <w:tcW w:type="dxa" w:w="27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Volumes and margins up, but 2H margin "will not hold" on tax and marketing; NY bid submitted</w:t>
            </w:r>
          </w:p>
        </w:tc>
        <w:tc>
          <w:tcPr>
            <w:tcW w:type="dxa" w:w="122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In line</w:t>
            </w:r>
          </w:p>
        </w:tc>
        <w:tc>
          <w:tcPr>
            <w:tcW w:type="dxa" w:w="1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No interim dividend</w:t>
            </w:r>
          </w:p>
        </w:tc>
        <w:tc>
          <w:tcPr>
            <w:tcW w:type="dxa" w:w="9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+2.5% (week)</w:t>
            </w:r>
          </w:p>
        </w:tc>
        <w:tc>
          <w:tcPr>
            <w:tcW w:type="dxa" w:w="67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0.0</w:t>
            </w:r>
          </w:p>
        </w:tc>
      </w:tr>
      <w:tr>
        <w:trPr>
          <w:cantSplit/>
        </w:trPr>
        <w:tc>
          <w:tcPr>
            <w:tcW w:type="dxa" w:w="9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3Q25 (27-Nov-25)</w:t>
            </w:r>
          </w:p>
        </w:tc>
        <w:tc>
          <w:tcPr>
            <w:tcW w:type="dxa" w:w="23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Rev +22%; ex-FX EBITDA +19%; RWG EBITDA +27%</w:t>
            </w:r>
          </w:p>
        </w:tc>
        <w:tc>
          <w:tcPr>
            <w:tcW w:type="dxa" w:w="27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RWG gaming recovery; NY licence decision imminent</w:t>
            </w:r>
          </w:p>
        </w:tc>
        <w:tc>
          <w:tcPr>
            <w:tcW w:type="dxa" w:w="12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Beat (ex-FX)</w:t>
            </w:r>
          </w:p>
        </w:tc>
        <w:tc>
          <w:tcPr>
            <w:tcW w:type="dxa" w:w="1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Offer period</w:t>
            </w:r>
          </w:p>
        </w:tc>
        <w:tc>
          <w:tcPr>
            <w:tcW w:type="dxa" w:w="9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Pinned at RM2.35</w:t>
            </w:r>
          </w:p>
        </w:tc>
        <w:tc>
          <w:tcPr>
            <w:tcW w:type="dxa" w:w="6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+0.4</w:t>
            </w:r>
          </w:p>
        </w:tc>
      </w:tr>
      <w:tr>
        <w:trPr>
          <w:cantSplit/>
        </w:trPr>
        <w:tc>
          <w:tcPr>
            <w:tcW w:type="dxa" w:w="9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4Q25 (26-Feb-26)</w:t>
            </w:r>
          </w:p>
        </w:tc>
        <w:tc>
          <w:tcPr>
            <w:tcW w:type="dxa" w:w="231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Rev +10%; ex-FX EBITDA +8%; Malaysia EBITDA −21%</w:t>
            </w:r>
          </w:p>
        </w:tc>
        <w:tc>
          <w:tcPr>
            <w:tcW w:type="dxa" w:w="27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NY licence won; "rewarding shareholders while deleveraging"</w:t>
            </w:r>
          </w:p>
        </w:tc>
        <w:tc>
          <w:tcPr>
            <w:tcW w:type="dxa" w:w="122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Mixed</w:t>
            </w:r>
          </w:p>
        </w:tc>
        <w:tc>
          <w:tcPr>
            <w:tcW w:type="dxa" w:w="1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Final 7 sen</w:t>
            </w:r>
          </w:p>
        </w:tc>
        <w:tc>
          <w:tcPr>
            <w:tcW w:type="dxa" w:w="9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+3.4%</w:t>
            </w:r>
          </w:p>
        </w:tc>
        <w:tc>
          <w:tcPr>
            <w:tcW w:type="dxa" w:w="67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+0.5</w:t>
            </w:r>
          </w:p>
        </w:tc>
      </w:tr>
      <w:tr>
        <w:trPr>
          <w:cantSplit/>
        </w:trPr>
        <w:tc>
          <w:tcPr>
            <w:tcW w:type="dxa" w:w="9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1Q26 (21-May-26)</w:t>
            </w:r>
          </w:p>
        </w:tc>
        <w:tc>
          <w:tcPr>
            <w:tcW w:type="dxa" w:w="23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Rev +10%; net loss RM3.8m</w:t>
            </w:r>
          </w:p>
        </w:tc>
        <w:tc>
          <w:tcPr>
            <w:tcW w:type="dxa" w:w="27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RWNYC pre-opening and conversion costs; lower NY tax ahead</w:t>
            </w:r>
          </w:p>
        </w:tc>
        <w:tc>
          <w:tcPr>
            <w:tcW w:type="dxa" w:w="12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Miss</w:t>
            </w:r>
          </w:p>
        </w:tc>
        <w:tc>
          <w:tcPr>
            <w:tcW w:type="dxa" w:w="1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w:t>
            </w:r>
          </w:p>
        </w:tc>
        <w:tc>
          <w:tcPr>
            <w:tcW w:type="dxa" w:w="9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−3.0%</w:t>
            </w:r>
          </w:p>
        </w:tc>
        <w:tc>
          <w:tcPr>
            <w:tcW w:type="dxa" w:w="6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−0.2</w:t>
            </w:r>
          </w:p>
        </w:tc>
      </w:tr>
      <w:tr>
        <w:trPr>
          <w:cantSplit/>
        </w:trPr>
        <w:tc>
          <w:tcPr>
            <w:tcW w:type="dxa" w:w="9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2Q26 (20-Aug-26)</w:t>
            </w:r>
          </w:p>
        </w:tc>
        <w:tc>
          <w:tcPr>
            <w:tcW w:type="dxa" w:w="231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Rev +32% (record); adj. EBITDA −18% (+13% ex-FX per UOBKH); NP −89%</w:t>
            </w:r>
          </w:p>
        </w:tc>
        <w:tc>
          <w:tcPr>
            <w:tcW w:type="dxa" w:w="27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RWNYC ramp (US revenue +166%); RWG VIP hold; FX loss</w:t>
            </w:r>
          </w:p>
        </w:tc>
        <w:tc>
          <w:tcPr>
            <w:tcW w:type="dxa" w:w="122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EBITDA in line; NP miss</w:t>
            </w:r>
          </w:p>
        </w:tc>
        <w:tc>
          <w:tcPr>
            <w:tcW w:type="dxa" w:w="1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No interim</w:t>
            </w:r>
          </w:p>
        </w:tc>
        <w:tc>
          <w:tcPr>
            <w:tcW w:type="dxa" w:w="9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−0.6%, then −13.5% in Sep</w:t>
            </w:r>
          </w:p>
        </w:tc>
        <w:tc>
          <w:tcPr>
            <w:tcW w:type="dxa" w:w="67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+0.2</w:t>
            </w:r>
          </w:p>
        </w:tc>
      </w:tr>
    </w:tbl>
    <w:p>
      <w:pPr>
        <w:spacing w:after="60"/>
      </w:pPr>
    </w:p>
    <w:p>
      <w:pPr>
        <w:spacing w:after="160"/>
      </w:pPr>
      <w:r>
        <w:rPr>
          <w:rFonts w:ascii="Arial" w:cs="Arial" w:eastAsia="Arial" w:hAnsi="Arial"/>
          <w:i/>
          <w:iCs/>
          <w:color w:val="5A6270"/>
          <w:sz w:val="14"/>
          <w:szCs w:val="14"/>
        </w:rPr>
        <w:t xml:space="preserve">Source: S&amp;P Capital IQ key developments; GENM press releases; ASGAM, GGRAsia, The Edge, The Star, NST, Bernama, AGBrief; UOB Kay Hian, Maybank IB, HLIB, Kenanga, TA notes.</w:t>
      </w:r>
    </w:p>
    <w:p>
      <w:pPr>
        <w:spacing w:after="40" w:before="80"/>
        <w:jc w:val="center"/>
      </w:pPr>
      <w:r>
        <w:drawing>
          <wp:inline distT="0" distB="0" distL="0" distR="0">
            <wp:extent cx="61912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2314575"/>
                    </a:xfrm>
                    <a:prstGeom prst="rect">
                      <a:avLst/>
                    </a:prstGeom>
                  </pic:spPr>
                </pic:pic>
              </a:graphicData>
            </a:graphic>
          </wp:inline>
        </w:drawing>
      </w:r>
    </w:p>
    <w:p>
      <w:pPr>
        <w:spacing w:after="160"/>
        <w:jc w:val="left"/>
      </w:pPr>
      <w:r>
        <w:rPr>
          <w:rFonts w:ascii="Arial" w:cs="Arial" w:eastAsia="Arial" w:hAnsi="Arial"/>
          <w:i/>
          <w:iCs/>
          <w:color w:val="5A6270"/>
          <w:sz w:val="15"/>
          <w:szCs w:val="15"/>
        </w:rPr>
        <w:t xml:space="preserve">Figure: Results-tone score and topic intensity, 3Q24-2Q26.</w:t>
      </w:r>
    </w:p>
    <w:p>
      <w:pPr>
        <w:pStyle w:val="Heading2"/>
      </w:pPr>
      <w:r>
        <w:t xml:space="preserve">10.2 What management is focused on</w:t>
      </w:r>
    </w:p>
    <w:p>
      <w:pPr>
        <w:pStyle w:val="ListParagraph"/>
        <w:numPr>
          <w:ilvl w:val="0"/>
          <w:numId w:val="4"/>
        </w:numPr>
        <w:spacing w:after="60" w:line="264"/>
      </w:pPr>
      <w:r>
        <w:rPr>
          <w:rFonts w:ascii="Arial" w:cs="Arial" w:eastAsia="Arial" w:hAnsi="Arial"/>
          <w:b/>
          <w:bCs/>
          <w:sz w:val="19"/>
          <w:szCs w:val="19"/>
        </w:rPr>
        <w:t xml:space="preserve">New York execution.</w:t>
      </w:r>
      <w:r>
        <w:rPr>
          <w:rFonts w:ascii="Arial" w:cs="Arial" w:eastAsia="Arial" w:hAnsi="Arial"/>
          <w:sz w:val="19"/>
          <w:szCs w:val="19"/>
        </w:rPr>
        <w:t xml:space="preserve"> Ramping RWNYC (242 tables, ~3,900 slots), phase 2 (hotel tower, arena; groundbreaking Jul-2026), staffing (2,200+ hires), and the tax fight (racing-support payments). NY now dominates every briefing.</w:t>
      </w:r>
    </w:p>
    <w:p>
      <w:pPr>
        <w:pStyle w:val="ListParagraph"/>
        <w:numPr>
          <w:ilvl w:val="0"/>
          <w:numId w:val="4"/>
        </w:numPr>
        <w:spacing w:after="60" w:line="264"/>
      </w:pPr>
      <w:r>
        <w:rPr>
          <w:rFonts w:ascii="Arial" w:cs="Arial" w:eastAsia="Arial" w:hAnsi="Arial"/>
          <w:b/>
          <w:bCs/>
          <w:sz w:val="19"/>
          <w:szCs w:val="19"/>
        </w:rPr>
        <w:t xml:space="preserve">Protecting Malaysian margins.</w:t>
      </w:r>
      <w:r>
        <w:rPr>
          <w:rFonts w:ascii="Arial" w:cs="Arial" w:eastAsia="Arial" w:hAnsi="Arial"/>
          <w:sz w:val="19"/>
          <w:szCs w:val="19"/>
        </w:rPr>
        <w:t xml:space="preserve"> Cost control, payroll, the mass-market floor, refurbishment, new attractions (Eufloria, golf), and managing VIP volatility.</w:t>
      </w:r>
    </w:p>
    <w:p>
      <w:pPr>
        <w:pStyle w:val="ListParagraph"/>
        <w:numPr>
          <w:ilvl w:val="0"/>
          <w:numId w:val="4"/>
        </w:numPr>
        <w:spacing w:after="60" w:line="264"/>
      </w:pPr>
      <w:r>
        <w:rPr>
          <w:rFonts w:ascii="Arial" w:cs="Arial" w:eastAsia="Arial" w:hAnsi="Arial"/>
          <w:b/>
          <w:bCs/>
          <w:sz w:val="19"/>
          <w:szCs w:val="19"/>
        </w:rPr>
        <w:t xml:space="preserve">Funding and the balance sheet.</w:t>
      </w:r>
      <w:r>
        <w:rPr>
          <w:rFonts w:ascii="Arial" w:cs="Arial" w:eastAsia="Arial" w:hAnsi="Arial"/>
          <w:sz w:val="19"/>
          <w:szCs w:val="19"/>
        </w:rPr>
        <w:t xml:space="preserve"> The US$2.0bn Genting Americas facility (Jun-2026), the Empire note take-out, perpetual securities (Fitch said these alone would not prevent a downgrade), and preserving the BBB- rating.</w:t>
      </w:r>
    </w:p>
    <w:p>
      <w:pPr>
        <w:pStyle w:val="ListParagraph"/>
        <w:numPr>
          <w:ilvl w:val="0"/>
          <w:numId w:val="4"/>
        </w:numPr>
        <w:spacing w:after="60" w:line="264"/>
      </w:pPr>
      <w:r>
        <w:rPr>
          <w:rFonts w:ascii="Arial" w:cs="Arial" w:eastAsia="Arial" w:hAnsi="Arial"/>
          <w:b/>
          <w:bCs/>
          <w:sz w:val="19"/>
          <w:szCs w:val="19"/>
        </w:rPr>
        <w:t xml:space="preserve">Capital returns de-prioritised.</w:t>
      </w:r>
      <w:r>
        <w:rPr>
          <w:rFonts w:ascii="Arial" w:cs="Arial" w:eastAsia="Arial" w:hAnsi="Arial"/>
          <w:sz w:val="19"/>
          <w:szCs w:val="19"/>
        </w:rPr>
        <w:t xml:space="preserve"> No interim dividend in either FY25 or FY26; final 7 sen for FY25 framed as "rewarding shareholders while maintaining deleveraging"; buyback "commenced" 17-Sep-2026 under the AGM mandate (no executions found).</w:t>
      </w:r>
    </w:p>
    <w:p>
      <w:pPr>
        <w:pStyle w:val="Heading2"/>
      </w:pPr>
      <w:r>
        <w:t xml:space="preserve">10.3 How sentiment has shifted</w:t>
      </w:r>
    </w:p>
    <w:p>
      <w:pPr>
        <w:pStyle w:val="ListParagraph"/>
        <w:numPr>
          <w:ilvl w:val="0"/>
          <w:numId w:val="3"/>
        </w:numPr>
        <w:spacing w:after="60" w:line="264"/>
      </w:pPr>
      <w:r>
        <w:rPr>
          <w:rFonts w:ascii="Arial" w:cs="Arial" w:eastAsia="Arial" w:hAnsi="Arial"/>
          <w:b/>
          <w:bCs/>
          <w:sz w:val="19"/>
          <w:szCs w:val="19"/>
        </w:rPr>
        <w:t xml:space="preserve">Late 2024 to mid-2025: defensive.</w:t>
      </w:r>
      <w:r>
        <w:rPr>
          <w:rFonts w:ascii="Arial" w:cs="Arial" w:eastAsia="Arial" w:hAnsi="Arial"/>
          <w:sz w:val="19"/>
          <w:szCs w:val="19"/>
        </w:rPr>
        <w:t xml:space="preserve"> Cost inflation, VIP softness and Empire losses; cash hoarding (dividend cut, skipped interim). FX gains masked weak trends.</w:t>
      </w:r>
    </w:p>
    <w:p>
      <w:pPr>
        <w:pStyle w:val="ListParagraph"/>
        <w:numPr>
          <w:ilvl w:val="0"/>
          <w:numId w:val="3"/>
        </w:numPr>
        <w:spacing w:after="60" w:line="264"/>
      </w:pPr>
      <w:r>
        <w:rPr>
          <w:rFonts w:ascii="Arial" w:cs="Arial" w:eastAsia="Arial" w:hAnsi="Arial"/>
          <w:b/>
          <w:bCs/>
          <w:sz w:val="19"/>
          <w:szCs w:val="19"/>
        </w:rPr>
        <w:t xml:space="preserve">3Q25-4Q25: expansion optimism.</w:t>
      </w:r>
      <w:r>
        <w:rPr>
          <w:rFonts w:ascii="Arial" w:cs="Arial" w:eastAsia="Arial" w:hAnsi="Arial"/>
          <w:sz w:val="19"/>
          <w:szCs w:val="19"/>
        </w:rPr>
        <w:t xml:space="preserve"> RWG recovered and the NY licence was won. The tone was the most constructive of the period, but the share price was pinned by the offer and then lost its support.</w:t>
      </w:r>
    </w:p>
    <w:p>
      <w:pPr>
        <w:pStyle w:val="ListParagraph"/>
        <w:numPr>
          <w:ilvl w:val="0"/>
          <w:numId w:val="3"/>
        </w:numPr>
        <w:spacing w:after="60" w:line="264"/>
      </w:pPr>
      <w:r>
        <w:rPr>
          <w:rFonts w:ascii="Arial" w:cs="Arial" w:eastAsia="Arial" w:hAnsi="Arial"/>
          <w:b/>
          <w:bCs/>
          <w:sz w:val="19"/>
          <w:szCs w:val="19"/>
        </w:rPr>
        <w:t xml:space="preserve">1H26: "temporary earnings dilution".</w:t>
      </w:r>
      <w:r>
        <w:rPr>
          <w:rFonts w:ascii="Arial" w:cs="Arial" w:eastAsia="Arial" w:hAnsi="Arial"/>
          <w:sz w:val="19"/>
          <w:szCs w:val="19"/>
        </w:rPr>
        <w:t xml:space="preserve"> Pre-opening costs, interest, D&amp;A and FX losses; the group P&amp;L and dividend are subordinated to the NY build.</w:t>
      </w:r>
    </w:p>
    <w:p>
      <w:pPr>
        <w:pStyle w:val="ListParagraph"/>
        <w:numPr>
          <w:ilvl w:val="0"/>
          <w:numId w:val="3"/>
        </w:numPr>
        <w:spacing w:after="60" w:line="264"/>
      </w:pPr>
      <w:r>
        <w:rPr>
          <w:rFonts w:ascii="Arial" w:cs="Arial" w:eastAsia="Arial" w:hAnsi="Arial"/>
          <w:b/>
          <w:bCs/>
          <w:sz w:val="19"/>
          <w:szCs w:val="19"/>
        </w:rPr>
        <w:t xml:space="preserve">Market read:</w:t>
      </w:r>
      <w:r>
        <w:rPr>
          <w:rFonts w:ascii="Arial" w:cs="Arial" w:eastAsia="Arial" w:hAnsi="Arial"/>
          <w:sz w:val="19"/>
          <w:szCs w:val="19"/>
        </w:rPr>
        <w:t xml:space="preserve"> the market has stopped crediting the "jam tomorrow" narrative. The stock fell 13.5% in September with no company news, and 17% on the parent's rights issue. Sentiment is now driven by balance-sheet risk at both GENM and its parent.</w:t>
      </w:r>
    </w:p>
    <w:p>
      <w:r>
        <w:br w:type="page"/>
      </w:r>
    </w:p>
    <w:p>
      <w:pPr>
        <w:pStyle w:val="Heading1"/>
      </w:pPr>
      <w:r>
        <w:t xml:space="preserve">11. Latest Result: 2Q26 / 1H26 (released 20-Aug-2026)</w:t>
      </w:r>
    </w:p>
    <w:p>
      <w:pPr>
        <w:pStyle w:val="Heading2"/>
      </w:pPr>
      <w:r>
        <w:t xml:space="preserve">11.1 Revenue and profit vs expectations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974"/>
        <w:gridCol w:w="1014"/>
        <w:gridCol w:w="696"/>
        <w:gridCol w:w="1001"/>
        <w:gridCol w:w="745"/>
        <w:gridCol w:w="1027"/>
        <w:gridCol w:w="1041"/>
        <w:gridCol w:w="701"/>
      </w:tblGrid>
      <w:tr>
        <w:trPr>
          <w:tblHeader/>
        </w:trPr>
        <w:tc>
          <w:tcPr>
            <w:tcW w:type="dxa" w:w="270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3"/>
                <w:szCs w:val="13"/>
              </w:rPr>
              <w:t xml:space="preserve">RM m</w:t>
            </w:r>
          </w:p>
        </w:tc>
        <w:tc>
          <w:tcPr>
            <w:tcW w:type="dxa" w:w="97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2Q26</w:t>
            </w:r>
          </w:p>
        </w:tc>
        <w:tc>
          <w:tcPr>
            <w:tcW w:type="dxa" w:w="101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2Q25</w:t>
            </w:r>
          </w:p>
        </w:tc>
        <w:tc>
          <w:tcPr>
            <w:tcW w:type="dxa" w:w="69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YoY</w:t>
            </w:r>
          </w:p>
        </w:tc>
        <w:tc>
          <w:tcPr>
            <w:tcW w:type="dxa" w:w="100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1Q26</w:t>
            </w:r>
          </w:p>
        </w:tc>
        <w:tc>
          <w:tcPr>
            <w:tcW w:type="dxa" w:w="74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QoQ</w:t>
            </w:r>
          </w:p>
        </w:tc>
        <w:tc>
          <w:tcPr>
            <w:tcW w:type="dxa" w:w="102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1H26</w:t>
            </w:r>
          </w:p>
        </w:tc>
        <w:tc>
          <w:tcPr>
            <w:tcW w:type="dxa" w:w="104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1H25</w:t>
            </w:r>
          </w:p>
        </w:tc>
        <w:tc>
          <w:tcPr>
            <w:tcW w:type="dxa" w:w="70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YoY</w:t>
            </w:r>
          </w:p>
        </w:tc>
      </w:tr>
      <w:tr>
        <w:trPr>
          <w:cantSplit/>
        </w:trPr>
        <w:tc>
          <w:tcPr>
            <w:tcW w:type="dxa" w:w="27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Revenue</w:t>
            </w:r>
          </w:p>
        </w:tc>
        <w:tc>
          <w:tcPr>
            <w:tcW w:type="dxa" w:w="9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3,853.3</w:t>
            </w:r>
          </w:p>
        </w:tc>
        <w:tc>
          <w:tcPr>
            <w:tcW w:type="dxa" w:w="10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2,918.5</w:t>
            </w:r>
          </w:p>
        </w:tc>
        <w:tc>
          <w:tcPr>
            <w:tcW w:type="dxa" w:w="6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+32%</w:t>
            </w:r>
          </w:p>
        </w:tc>
        <w:tc>
          <w:tcPr>
            <w:tcW w:type="dxa" w:w="1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2,866.9</w:t>
            </w:r>
          </w:p>
        </w:tc>
        <w:tc>
          <w:tcPr>
            <w:tcW w:type="dxa" w:w="7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+34%</w:t>
            </w:r>
          </w:p>
        </w:tc>
        <w:tc>
          <w:tcPr>
            <w:tcW w:type="dxa" w:w="10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6,720.2</w:t>
            </w:r>
          </w:p>
        </w:tc>
        <w:tc>
          <w:tcPr>
            <w:tcW w:type="dxa" w:w="10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5,513.7</w:t>
            </w:r>
          </w:p>
        </w:tc>
        <w:tc>
          <w:tcPr>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+22%</w:t>
            </w:r>
          </w:p>
        </w:tc>
      </w:tr>
      <w:tr>
        <w:trPr>
          <w:cantSplit/>
        </w:trPr>
        <w:tc>
          <w:tcPr>
            <w:tcW w:type="dxa" w:w="27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Adj. EBITDA</w:t>
            </w:r>
          </w:p>
        </w:tc>
        <w:tc>
          <w:tcPr>
            <w:tcW w:type="dxa" w:w="97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844.0</w:t>
            </w:r>
          </w:p>
        </w:tc>
        <w:tc>
          <w:tcPr>
            <w:tcW w:type="dxa" w:w="101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1,029.6</w:t>
            </w:r>
          </w:p>
        </w:tc>
        <w:tc>
          <w:tcPr>
            <w:tcW w:type="dxa" w:w="6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−18%</w:t>
            </w:r>
          </w:p>
        </w:tc>
        <w:tc>
          <w:tcPr>
            <w:tcW w:type="dxa" w:w="1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644.7</w:t>
            </w:r>
          </w:p>
        </w:tc>
        <w:tc>
          <w:tcPr>
            <w:tcW w:type="dxa" w:w="74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+31%</w:t>
            </w:r>
          </w:p>
        </w:tc>
        <w:tc>
          <w:tcPr>
            <w:tcW w:type="dxa" w:w="10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1,488.7</w:t>
            </w:r>
          </w:p>
        </w:tc>
        <w:tc>
          <w:tcPr>
            <w:tcW w:type="dxa" w:w="104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1,766.8</w:t>
            </w:r>
          </w:p>
        </w:tc>
        <w:tc>
          <w:tcPr>
            <w:tcW w:type="dxa" w:w="7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−16%</w:t>
            </w:r>
          </w:p>
        </w:tc>
      </w:tr>
      <w:tr>
        <w:trPr>
          <w:cantSplit/>
        </w:trPr>
        <w:tc>
          <w:tcPr>
            <w:tcW w:type="dxa" w:w="27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Adj. EBITDA ex-FX</w:t>
            </w:r>
          </w:p>
        </w:tc>
        <w:tc>
          <w:tcPr>
            <w:tcW w:type="dxa" w:w="9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862.1</w:t>
            </w:r>
          </w:p>
        </w:tc>
        <w:tc>
          <w:tcPr>
            <w:tcW w:type="dxa" w:w="10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845.0</w:t>
            </w:r>
          </w:p>
        </w:tc>
        <w:tc>
          <w:tcPr>
            <w:tcW w:type="dxa" w:w="6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w:t>
            </w:r>
          </w:p>
        </w:tc>
        <w:tc>
          <w:tcPr>
            <w:tcW w:type="dxa" w:w="1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630.1</w:t>
            </w:r>
          </w:p>
        </w:tc>
        <w:tc>
          <w:tcPr>
            <w:tcW w:type="dxa" w:w="7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+37%</w:t>
            </w:r>
          </w:p>
        </w:tc>
        <w:tc>
          <w:tcPr>
            <w:tcW w:type="dxa" w:w="10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1,492.2</w:t>
            </w:r>
          </w:p>
        </w:tc>
        <w:tc>
          <w:tcPr>
            <w:tcW w:type="dxa" w:w="10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1,531.8</w:t>
            </w:r>
          </w:p>
        </w:tc>
        <w:tc>
          <w:tcPr>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w:t>
            </w:r>
          </w:p>
        </w:tc>
      </w:tr>
      <w:tr>
        <w:trPr>
          <w:cantSplit/>
        </w:trPr>
        <w:tc>
          <w:tcPr>
            <w:tcW w:type="dxa" w:w="27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PBT</w:t>
            </w:r>
          </w:p>
        </w:tc>
        <w:tc>
          <w:tcPr>
            <w:tcW w:type="dxa" w:w="97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143.8</w:t>
            </w:r>
          </w:p>
        </w:tc>
        <w:tc>
          <w:tcPr>
            <w:tcW w:type="dxa" w:w="101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503.3</w:t>
            </w:r>
          </w:p>
        </w:tc>
        <w:tc>
          <w:tcPr>
            <w:tcW w:type="dxa" w:w="6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−71%</w:t>
            </w:r>
          </w:p>
        </w:tc>
        <w:tc>
          <w:tcPr>
            <w:tcW w:type="dxa" w:w="1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43.1</w:t>
            </w:r>
          </w:p>
        </w:tc>
        <w:tc>
          <w:tcPr>
            <w:tcW w:type="dxa" w:w="74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+234%</w:t>
            </w:r>
          </w:p>
        </w:tc>
        <w:tc>
          <w:tcPr>
            <w:tcW w:type="dxa" w:w="10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186.9</w:t>
            </w:r>
          </w:p>
        </w:tc>
        <w:tc>
          <w:tcPr>
            <w:tcW w:type="dxa" w:w="104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687.3</w:t>
            </w:r>
          </w:p>
        </w:tc>
        <w:tc>
          <w:tcPr>
            <w:tcW w:type="dxa" w:w="7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−73%</w:t>
            </w:r>
          </w:p>
        </w:tc>
      </w:tr>
      <w:tr>
        <w:trPr>
          <w:cantSplit/>
        </w:trPr>
        <w:tc>
          <w:tcPr>
            <w:tcW w:type="dxa" w:w="27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Net income attributable</w:t>
            </w:r>
          </w:p>
        </w:tc>
        <w:tc>
          <w:tcPr>
            <w:tcW w:type="dxa" w:w="9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47.4</w:t>
            </w:r>
          </w:p>
        </w:tc>
        <w:tc>
          <w:tcPr>
            <w:tcW w:type="dxa" w:w="10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416.6</w:t>
            </w:r>
          </w:p>
        </w:tc>
        <w:tc>
          <w:tcPr>
            <w:tcW w:type="dxa" w:w="6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−89%</w:t>
            </w:r>
          </w:p>
        </w:tc>
        <w:tc>
          <w:tcPr>
            <w:tcW w:type="dxa" w:w="1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(3.8)</w:t>
            </w:r>
          </w:p>
        </w:tc>
        <w:tc>
          <w:tcPr>
            <w:tcW w:type="dxa" w:w="7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n.m.</w:t>
            </w:r>
          </w:p>
        </w:tc>
        <w:tc>
          <w:tcPr>
            <w:tcW w:type="dxa" w:w="10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43.6</w:t>
            </w:r>
          </w:p>
        </w:tc>
        <w:tc>
          <w:tcPr>
            <w:tcW w:type="dxa" w:w="10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489.3</w:t>
            </w:r>
          </w:p>
        </w:tc>
        <w:tc>
          <w:tcPr>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−91%</w:t>
            </w:r>
          </w:p>
        </w:tc>
      </w:tr>
      <w:tr>
        <w:trPr>
          <w:cantSplit/>
        </w:trPr>
        <w:tc>
          <w:tcPr>
            <w:tcW w:type="dxa" w:w="27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EPS (sen)</w:t>
            </w:r>
          </w:p>
        </w:tc>
        <w:tc>
          <w:tcPr>
            <w:tcW w:type="dxa" w:w="97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0.84</w:t>
            </w:r>
          </w:p>
        </w:tc>
        <w:tc>
          <w:tcPr>
            <w:tcW w:type="dxa" w:w="101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7.35</w:t>
            </w:r>
          </w:p>
        </w:tc>
        <w:tc>
          <w:tcPr>
            <w:tcW w:type="dxa" w:w="6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−89%</w:t>
            </w:r>
          </w:p>
        </w:tc>
        <w:tc>
          <w:tcPr>
            <w:tcW w:type="dxa" w:w="1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(0.07)</w:t>
            </w:r>
          </w:p>
        </w:tc>
        <w:tc>
          <w:tcPr>
            <w:tcW w:type="dxa" w:w="74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n.m.</w:t>
            </w:r>
          </w:p>
        </w:tc>
        <w:tc>
          <w:tcPr>
            <w:tcW w:type="dxa" w:w="10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0.77</w:t>
            </w:r>
          </w:p>
        </w:tc>
        <w:tc>
          <w:tcPr>
            <w:tcW w:type="dxa" w:w="104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8.63</w:t>
            </w:r>
          </w:p>
        </w:tc>
        <w:tc>
          <w:tcPr>
            <w:tcW w:type="dxa" w:w="7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−91%</w:t>
            </w:r>
          </w:p>
        </w:tc>
      </w:tr>
    </w:tbl>
    <w:p>
      <w:pPr>
        <w:spacing w:after="60"/>
      </w:pPr>
    </w:p>
    <w:p>
      <w:pPr>
        <w:spacing w:after="120" w:line="276"/>
      </w:pPr>
      <w:r>
        <w:rPr>
          <w:rFonts w:ascii="Arial" w:cs="Arial" w:eastAsia="Arial" w:hAnsi="Arial"/>
          <w:b/>
          <w:bCs/>
          <w:sz w:val="19"/>
          <w:szCs w:val="19"/>
        </w:rPr>
        <w:t xml:space="preserve">Beat or miss?</w:t>
      </w:r>
      <w:r>
        <w:rPr>
          <w:rFonts w:ascii="Arial" w:cs="Arial" w:eastAsia="Arial" w:hAnsi="Arial"/>
          <w:sz w:val="19"/>
          <w:szCs w:val="19"/>
        </w:rPr>
        <w:t xml:space="preserve"> S&amp;P holds no quarterly consensus for GENM, so the surprise is measured against full-year run-rates and broker commentary:</w:t>
      </w:r>
    </w:p>
    <w:p>
      <w:pPr>
        <w:pStyle w:val="ListParagraph"/>
        <w:numPr>
          <w:ilvl w:val="0"/>
          <w:numId w:val="3"/>
        </w:numPr>
        <w:spacing w:after="60" w:line="264"/>
      </w:pPr>
      <w:r>
        <w:rPr>
          <w:rFonts w:ascii="Arial" w:cs="Arial" w:eastAsia="Arial" w:hAnsi="Arial"/>
          <w:b/>
          <w:bCs/>
          <w:sz w:val="19"/>
          <w:szCs w:val="19"/>
        </w:rPr>
        <w:t xml:space="preserve">EBITDA: in line.</w:t>
      </w:r>
      <w:r>
        <w:rPr>
          <w:rFonts w:ascii="Arial" w:cs="Arial" w:eastAsia="Arial" w:hAnsi="Arial"/>
          <w:sz w:val="19"/>
          <w:szCs w:val="19"/>
        </w:rPr>
        <w:t xml:space="preserve"> 1H26 EBITDA was 52% of FY26 consensus (UOBKH).</w:t>
      </w:r>
    </w:p>
    <w:p>
      <w:pPr>
        <w:pStyle w:val="ListParagraph"/>
        <w:numPr>
          <w:ilvl w:val="0"/>
          <w:numId w:val="3"/>
        </w:numPr>
        <w:spacing w:after="60" w:line="264"/>
      </w:pPr>
      <w:r>
        <w:rPr>
          <w:rFonts w:ascii="Arial" w:cs="Arial" w:eastAsia="Arial" w:hAnsi="Arial"/>
          <w:b/>
          <w:bCs/>
          <w:sz w:val="19"/>
          <w:szCs w:val="19"/>
        </w:rPr>
        <w:t xml:space="preserve">Net profit: a clear miss.</w:t>
      </w:r>
      <w:r>
        <w:rPr>
          <w:rFonts w:ascii="Arial" w:cs="Arial" w:eastAsia="Arial" w:hAnsi="Arial"/>
          <w:sz w:val="19"/>
          <w:szCs w:val="19"/>
        </w:rPr>
        <w:t xml:space="preserve"> Kenanga put 1H26 core net profit at </w:t>
      </w:r>
      <w:r>
        <w:rPr>
          <w:rFonts w:ascii="Arial" w:cs="Arial" w:eastAsia="Arial" w:hAnsi="Arial"/>
          <w:b/>
          <w:bCs/>
          <w:sz w:val="19"/>
          <w:szCs w:val="19"/>
        </w:rPr>
        <w:t xml:space="preserve">29% of FY26 consensus</w:t>
      </w:r>
      <w:r>
        <w:rPr>
          <w:rFonts w:ascii="Arial" w:cs="Arial" w:eastAsia="Arial" w:hAnsi="Arial"/>
          <w:sz w:val="19"/>
          <w:szCs w:val="19"/>
        </w:rPr>
        <w:t xml:space="preserve">. HLIB cut FY26-28 forecasts by 40%, 30% and 18%. Consensus FY26 net profit fell from ~RM687m (August, as cited by UOBKH) to RM432m (October), about −37%.</w:t>
      </w:r>
    </w:p>
    <w:p>
      <w:pPr>
        <w:pStyle w:val="Heading2"/>
      </w:pPr>
      <w:r>
        <w:t xml:space="preserve">11.2 Segment drivers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8"/>
        <w:gridCol w:w="687"/>
        <w:gridCol w:w="687"/>
        <w:gridCol w:w="700"/>
        <w:gridCol w:w="5454"/>
      </w:tblGrid>
      <w:tr>
        <w:trPr>
          <w:tblHeader/>
        </w:trPr>
        <w:tc>
          <w:tcPr>
            <w:tcW w:type="dxa" w:w="237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Segment adj. EBITDA (RM m)</w:t>
            </w:r>
          </w:p>
        </w:tc>
        <w:tc>
          <w:tcPr>
            <w:tcW w:type="dxa" w:w="68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2Q26</w:t>
            </w:r>
          </w:p>
        </w:tc>
        <w:tc>
          <w:tcPr>
            <w:tcW w:type="dxa" w:w="68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2Q25</w:t>
            </w:r>
          </w:p>
        </w:tc>
        <w:tc>
          <w:tcPr>
            <w:tcW w:type="dxa" w:w="70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YoY</w:t>
            </w:r>
          </w:p>
        </w:tc>
        <w:tc>
          <w:tcPr>
            <w:tcW w:type="dxa" w:w="545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Driver</w:t>
            </w:r>
          </w:p>
        </w:tc>
      </w:tr>
      <w:tr>
        <w:trPr>
          <w:cantSplit/>
        </w:trPr>
        <w:tc>
          <w:tcPr>
            <w:tcW w:type="dxa" w:w="23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Malaysia</w:t>
            </w:r>
          </w:p>
        </w:tc>
        <w:tc>
          <w:tcPr>
            <w:tcW w:type="dxa" w:w="6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615.0</w:t>
            </w:r>
          </w:p>
        </w:tc>
        <w:tc>
          <w:tcPr>
            <w:tcW w:type="dxa" w:w="6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606.3</w:t>
            </w:r>
          </w:p>
        </w:tc>
        <w:tc>
          <w:tcPr>
            <w:tcW w:type="dxa" w:w="70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w:t>
            </w:r>
          </w:p>
        </w:tc>
        <w:tc>
          <w:tcPr>
            <w:tcW w:type="dxa" w:w="54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Cost management; higher VIP win rate (press); visitation softer. QoQ +20%</w:t>
            </w:r>
          </w:p>
        </w:tc>
      </w:tr>
      <w:tr>
        <w:trPr>
          <w:cantSplit/>
        </w:trPr>
        <w:tc>
          <w:tcPr>
            <w:tcW w:type="dxa" w:w="23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UK &amp; Egypt</w:t>
            </w:r>
          </w:p>
        </w:tc>
        <w:tc>
          <w:tcPr>
            <w:tcW w:type="dxa" w:w="68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68.8</w:t>
            </w:r>
          </w:p>
        </w:tc>
        <w:tc>
          <w:tcPr>
            <w:tcW w:type="dxa" w:w="68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70.2</w:t>
            </w:r>
          </w:p>
        </w:tc>
        <w:tc>
          <w:tcPr>
            <w:tcW w:type="dxa" w:w="70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w:t>
            </w:r>
          </w:p>
        </w:tc>
        <w:tc>
          <w:tcPr>
            <w:tcW w:type="dxa" w:w="545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Middle East conflict hit premium play in London and Cairo; higher minimum wages</w:t>
            </w:r>
          </w:p>
        </w:tc>
      </w:tr>
      <w:tr>
        <w:trPr>
          <w:cantSplit/>
        </w:trPr>
        <w:tc>
          <w:tcPr>
            <w:tcW w:type="dxa" w:w="23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US &amp; Bahamas</w:t>
            </w:r>
          </w:p>
        </w:tc>
        <w:tc>
          <w:tcPr>
            <w:tcW w:type="dxa" w:w="6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216.6</w:t>
            </w:r>
          </w:p>
        </w:tc>
        <w:tc>
          <w:tcPr>
            <w:tcW w:type="dxa" w:w="6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118.4</w:t>
            </w:r>
          </w:p>
        </w:tc>
        <w:tc>
          <w:tcPr>
            <w:tcW w:type="dxa" w:w="70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+83%</w:t>
            </w:r>
          </w:p>
        </w:tc>
        <w:tc>
          <w:tcPr>
            <w:tcW w:type="dxa" w:w="54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RWNYC commercial casino from 28-Apr-26 (tables + lower 56% slot tax); US revenue +166% to RM1,534m</w:t>
            </w:r>
          </w:p>
        </w:tc>
      </w:tr>
      <w:tr>
        <w:trPr>
          <w:cantSplit/>
        </w:trPr>
        <w:tc>
          <w:tcPr>
            <w:tcW w:type="dxa" w:w="23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Investments &amp; Others</w:t>
            </w:r>
          </w:p>
        </w:tc>
        <w:tc>
          <w:tcPr>
            <w:tcW w:type="dxa" w:w="68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(55.1)</w:t>
            </w:r>
          </w:p>
        </w:tc>
        <w:tc>
          <w:tcPr>
            <w:tcW w:type="dxa" w:w="68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230.2</w:t>
            </w:r>
          </w:p>
        </w:tc>
        <w:tc>
          <w:tcPr>
            <w:tcW w:type="dxa" w:w="70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n.m.</w:t>
            </w:r>
          </w:p>
        </w:tc>
        <w:tc>
          <w:tcPr>
            <w:tcW w:type="dxa" w:w="545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FX translation loss vs large gain a year earlier</w:t>
            </w:r>
          </w:p>
        </w:tc>
      </w:tr>
    </w:tbl>
    <w:p>
      <w:pPr>
        <w:spacing w:after="60"/>
      </w:pPr>
    </w:p>
    <w:p>
      <w:pPr>
        <w:spacing w:after="120" w:line="276"/>
      </w:pPr>
      <w:r>
        <w:rPr>
          <w:rFonts w:ascii="Arial" w:cs="Arial" w:eastAsia="Arial" w:hAnsi="Arial"/>
          <w:b/>
          <w:bCs/>
          <w:sz w:val="19"/>
          <w:szCs w:val="19"/>
        </w:rPr>
        <w:t xml:space="preserve">Acceleration / deceleration:</w:t>
      </w:r>
      <w:r>
        <w:rPr>
          <w:rFonts w:ascii="Arial" w:cs="Arial" w:eastAsia="Arial" w:hAnsi="Arial"/>
          <w:sz w:val="19"/>
          <w:szCs w:val="19"/>
        </w:rPr>
        <w:t xml:space="preserve"> US is accelerating sharply (revenue 2.7x). Malaysia is flat YoY, with QoQ improvement partly luck-driven. UK is decelerating.</w:t>
      </w:r>
    </w:p>
    <w:p>
      <w:pPr>
        <w:pStyle w:val="Heading2"/>
      </w:pPr>
      <w:r>
        <w:t xml:space="preserve">11.3 Margin trends</w:t>
      </w:r>
    </w:p>
    <w:p>
      <w:pPr>
        <w:pStyle w:val="ListParagraph"/>
        <w:numPr>
          <w:ilvl w:val="0"/>
          <w:numId w:val="3"/>
        </w:numPr>
        <w:spacing w:after="60" w:line="264"/>
      </w:pPr>
      <w:r>
        <w:rPr>
          <w:rFonts w:ascii="Arial" w:cs="Arial" w:eastAsia="Arial" w:hAnsi="Arial"/>
          <w:sz w:val="19"/>
          <w:szCs w:val="19"/>
        </w:rPr>
        <w:t xml:space="preserve">Reported adj. EBITDA margin </w:t>
      </w:r>
      <w:r>
        <w:rPr>
          <w:rFonts w:ascii="Arial" w:cs="Arial" w:eastAsia="Arial" w:hAnsi="Arial"/>
          <w:b/>
          <w:bCs/>
          <w:sz w:val="19"/>
          <w:szCs w:val="19"/>
        </w:rPr>
        <w:t xml:space="preserve">21.9%</w:t>
      </w:r>
      <w:r>
        <w:rPr>
          <w:rFonts w:ascii="Arial" w:cs="Arial" w:eastAsia="Arial" w:hAnsi="Arial"/>
          <w:sz w:val="19"/>
          <w:szCs w:val="19"/>
        </w:rPr>
        <w:t xml:space="preserve"> vs ~35% in 2Q25. Ex-FX: 22.4% vs 29.0%.</w:t>
      </w:r>
    </w:p>
    <w:p>
      <w:pPr>
        <w:pStyle w:val="ListParagraph"/>
        <w:numPr>
          <w:ilvl w:val="0"/>
          <w:numId w:val="3"/>
        </w:numPr>
        <w:spacing w:after="60" w:line="264"/>
      </w:pPr>
      <w:r>
        <w:rPr>
          <w:rFonts w:ascii="Arial" w:cs="Arial" w:eastAsia="Arial" w:hAnsi="Arial"/>
          <w:sz w:val="19"/>
          <w:szCs w:val="19"/>
        </w:rPr>
        <w:t xml:space="preserve">Causes: (1) </w:t>
      </w:r>
      <w:r>
        <w:rPr>
          <w:rFonts w:ascii="Arial" w:cs="Arial" w:eastAsia="Arial" w:hAnsi="Arial"/>
          <w:b/>
          <w:bCs/>
          <w:sz w:val="19"/>
          <w:szCs w:val="19"/>
        </w:rPr>
        <w:t xml:space="preserve">mix</w:t>
      </w:r>
      <w:r>
        <w:rPr>
          <w:rFonts w:ascii="Arial" w:cs="Arial" w:eastAsia="Arial" w:hAnsi="Arial"/>
          <w:sz w:val="19"/>
          <w:szCs w:val="19"/>
        </w:rPr>
        <w:t xml:space="preserve">, as NY slots are taxed at 56% (and tables at 30%) against Malaysian duty of 35%; (2) </w:t>
      </w:r>
      <w:r>
        <w:rPr>
          <w:rFonts w:ascii="Arial" w:cs="Arial" w:eastAsia="Arial" w:hAnsi="Arial"/>
          <w:b/>
          <w:bCs/>
          <w:sz w:val="19"/>
          <w:szCs w:val="19"/>
        </w:rPr>
        <w:t xml:space="preserve">ramp-up payroll</w:t>
      </w:r>
      <w:r>
        <w:rPr>
          <w:rFonts w:ascii="Arial" w:cs="Arial" w:eastAsia="Arial" w:hAnsi="Arial"/>
          <w:sz w:val="19"/>
          <w:szCs w:val="19"/>
        </w:rPr>
        <w:t xml:space="preserve"> and pre-opening costs (RM67.0m in 2Q26); (3) </w:t>
      </w:r>
      <w:r>
        <w:rPr>
          <w:rFonts w:ascii="Arial" w:cs="Arial" w:eastAsia="Arial" w:hAnsi="Arial"/>
          <w:b/>
          <w:bCs/>
          <w:sz w:val="19"/>
          <w:szCs w:val="19"/>
        </w:rPr>
        <w:t xml:space="preserve">FX</w:t>
      </w:r>
      <w:r>
        <w:rPr>
          <w:rFonts w:ascii="Arial" w:cs="Arial" w:eastAsia="Arial" w:hAnsi="Arial"/>
          <w:sz w:val="19"/>
          <w:szCs w:val="19"/>
        </w:rPr>
        <w:t xml:space="preserve"> swinging from a +RM184.6m gain to a −RM18.1m loss.</w:t>
      </w:r>
    </w:p>
    <w:p>
      <w:pPr>
        <w:pStyle w:val="ListParagraph"/>
        <w:numPr>
          <w:ilvl w:val="0"/>
          <w:numId w:val="3"/>
        </w:numPr>
        <w:spacing w:after="60" w:line="264"/>
      </w:pPr>
      <w:r>
        <w:rPr>
          <w:rFonts w:ascii="Arial" w:cs="Arial" w:eastAsia="Arial" w:hAnsi="Arial"/>
          <w:sz w:val="19"/>
          <w:szCs w:val="19"/>
        </w:rPr>
        <w:t xml:space="preserve">Below EBITDA, finance costs rose 43% YoY to RM281m and D&amp;A rose 12%.</w:t>
      </w:r>
    </w:p>
    <w:p>
      <w:pPr>
        <w:pStyle w:val="Heading2"/>
      </w:pPr>
      <w:r>
        <w:t xml:space="preserve">11.4 Guidance and outlook</w:t>
      </w:r>
    </w:p>
    <w:p>
      <w:pPr>
        <w:spacing w:after="120" w:line="276"/>
      </w:pPr>
      <w:r>
        <w:rPr>
          <w:rFonts w:ascii="Arial" w:cs="Arial" w:eastAsia="Arial" w:hAnsi="Arial"/>
          <w:sz w:val="19"/>
          <w:szCs w:val="19"/>
        </w:rPr>
        <w:t xml:space="preserve">GENM does not give numeric guidance. The prospects statement points to continued RWNYC ramp-up ("thousands more slot machines" added in July 2026), phase-2 construction and full completion in 2029, and a cautious Malaysian outlook given travel costs and softer visitation [paraphrased; u]. Brokers read the tone as "</w:t>
      </w:r>
      <w:r>
        <w:rPr>
          <w:rFonts w:ascii="Arial" w:cs="Arial" w:eastAsia="Arial" w:hAnsi="Arial"/>
          <w:b/>
          <w:bCs/>
          <w:sz w:val="19"/>
          <w:szCs w:val="19"/>
        </w:rPr>
        <w:t xml:space="preserve">better 2H26 ahead</w:t>
      </w:r>
      <w:r>
        <w:rPr>
          <w:rFonts w:ascii="Arial" w:cs="Arial" w:eastAsia="Arial" w:hAnsi="Arial"/>
          <w:sz w:val="19"/>
          <w:szCs w:val="19"/>
        </w:rPr>
        <w:t xml:space="preserve">" (UOBKH), with the lower NY tax rate a FY26-27 tailwind (Maybank: up to +US$100m a year). The tone change is more caution on Malaysia and on dividends, and more confidence on NY volumes.</w:t>
      </w:r>
    </w:p>
    <w:p>
      <w:pPr>
        <w:pStyle w:val="Heading2"/>
      </w:pPr>
      <w:r>
        <w:t xml:space="preserve">11.5 Balance sheet flags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53"/>
        <w:gridCol w:w="973"/>
        <w:gridCol w:w="973"/>
        <w:gridCol w:w="1115"/>
        <w:gridCol w:w="973"/>
        <w:gridCol w:w="1519"/>
      </w:tblGrid>
      <w:tr>
        <w:trPr>
          <w:tblHeader/>
        </w:trPr>
        <w:tc>
          <w:tcPr>
            <w:tcW w:type="dxa" w:w="435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RM m</w:t>
            </w:r>
          </w:p>
        </w:tc>
        <w:tc>
          <w:tcPr>
            <w:tcW w:type="dxa" w:w="97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Jun-25</w:t>
            </w:r>
          </w:p>
        </w:tc>
        <w:tc>
          <w:tcPr>
            <w:tcW w:type="dxa" w:w="97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Sep-25</w:t>
            </w:r>
          </w:p>
        </w:tc>
        <w:tc>
          <w:tcPr>
            <w:tcW w:type="dxa" w:w="111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Dec-25</w:t>
            </w:r>
          </w:p>
        </w:tc>
        <w:tc>
          <w:tcPr>
            <w:tcW w:type="dxa" w:w="97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Mar-26</w:t>
            </w:r>
          </w:p>
        </w:tc>
        <w:tc>
          <w:tcPr>
            <w:tcW w:type="dxa" w:w="151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Jun-26</w:t>
            </w:r>
          </w:p>
        </w:tc>
      </w:tr>
      <w:tr>
        <w:trPr>
          <w:cantSplit/>
        </w:trPr>
        <w:tc>
          <w:tcPr>
            <w:tcW w:type="dxa" w:w="43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Total debt incl. leases</w:t>
            </w:r>
          </w:p>
        </w:tc>
        <w:tc>
          <w:tcPr>
            <w:tcW w:type="dxa" w:w="97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14,641</w:t>
            </w:r>
          </w:p>
        </w:tc>
        <w:tc>
          <w:tcPr>
            <w:tcW w:type="dxa" w:w="97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14,695</w:t>
            </w:r>
          </w:p>
        </w:tc>
        <w:tc>
          <w:tcPr>
            <w:tcW w:type="dxa" w:w="11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14,219</w:t>
            </w:r>
          </w:p>
        </w:tc>
        <w:tc>
          <w:tcPr>
            <w:tcW w:type="dxa" w:w="97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17,146</w:t>
            </w:r>
          </w:p>
        </w:tc>
        <w:tc>
          <w:tcPr>
            <w:tcW w:type="dxa" w:w="15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17,988</w:t>
            </w:r>
          </w:p>
        </w:tc>
      </w:tr>
      <w:tr>
        <w:trPr>
          <w:cantSplit/>
        </w:trPr>
        <w:tc>
          <w:tcPr>
            <w:tcW w:type="dxa" w:w="43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Cash &amp; ST investments</w:t>
            </w:r>
          </w:p>
        </w:tc>
        <w:tc>
          <w:tcPr>
            <w:tcW w:type="dxa" w:w="97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3,903</w:t>
            </w:r>
          </w:p>
        </w:tc>
        <w:tc>
          <w:tcPr>
            <w:tcW w:type="dxa" w:w="97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4,259</w:t>
            </w:r>
          </w:p>
        </w:tc>
        <w:tc>
          <w:tcPr>
            <w:tcW w:type="dxa" w:w="11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3,919</w:t>
            </w:r>
          </w:p>
        </w:tc>
        <w:tc>
          <w:tcPr>
            <w:tcW w:type="dxa" w:w="97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4,344</w:t>
            </w:r>
          </w:p>
        </w:tc>
        <w:tc>
          <w:tcPr>
            <w:tcW w:type="dxa" w:w="151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3,822</w:t>
            </w:r>
          </w:p>
        </w:tc>
      </w:tr>
      <w:tr>
        <w:trPr>
          <w:cantSplit/>
        </w:trPr>
        <w:tc>
          <w:tcPr>
            <w:tcW w:type="dxa" w:w="43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Net debt incl. leases</w:t>
            </w:r>
          </w:p>
        </w:tc>
        <w:tc>
          <w:tcPr>
            <w:tcW w:type="dxa" w:w="97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10,738</w:t>
            </w:r>
          </w:p>
        </w:tc>
        <w:tc>
          <w:tcPr>
            <w:tcW w:type="dxa" w:w="97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10,436</w:t>
            </w:r>
          </w:p>
        </w:tc>
        <w:tc>
          <w:tcPr>
            <w:tcW w:type="dxa" w:w="11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10,300</w:t>
            </w:r>
          </w:p>
        </w:tc>
        <w:tc>
          <w:tcPr>
            <w:tcW w:type="dxa" w:w="97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12,802</w:t>
            </w:r>
          </w:p>
        </w:tc>
        <w:tc>
          <w:tcPr>
            <w:tcW w:type="dxa" w:w="15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14,166</w:t>
            </w:r>
          </w:p>
        </w:tc>
      </w:tr>
      <w:tr>
        <w:trPr>
          <w:cantSplit/>
        </w:trPr>
        <w:tc>
          <w:tcPr>
            <w:tcW w:type="dxa" w:w="43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Receivables</w:t>
            </w:r>
          </w:p>
        </w:tc>
        <w:tc>
          <w:tcPr>
            <w:tcW w:type="dxa" w:w="97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739</w:t>
            </w:r>
          </w:p>
        </w:tc>
        <w:tc>
          <w:tcPr>
            <w:tcW w:type="dxa" w:w="97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686</w:t>
            </w:r>
          </w:p>
        </w:tc>
        <w:tc>
          <w:tcPr>
            <w:tcW w:type="dxa" w:w="11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287 [u]</w:t>
            </w:r>
          </w:p>
        </w:tc>
        <w:tc>
          <w:tcPr>
            <w:tcW w:type="dxa" w:w="97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684</w:t>
            </w:r>
          </w:p>
        </w:tc>
        <w:tc>
          <w:tcPr>
            <w:tcW w:type="dxa" w:w="151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672</w:t>
            </w:r>
          </w:p>
        </w:tc>
      </w:tr>
      <w:tr>
        <w:trPr>
          <w:cantSplit/>
        </w:trPr>
        <w:tc>
          <w:tcPr>
            <w:tcW w:type="dxa" w:w="43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Capex (quarter)</w:t>
            </w:r>
          </w:p>
        </w:tc>
        <w:tc>
          <w:tcPr>
            <w:tcW w:type="dxa" w:w="97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221</w:t>
            </w:r>
          </w:p>
        </w:tc>
        <w:tc>
          <w:tcPr>
            <w:tcW w:type="dxa" w:w="97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245</w:t>
            </w:r>
          </w:p>
        </w:tc>
        <w:tc>
          <w:tcPr>
            <w:tcW w:type="dxa" w:w="11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213</w:t>
            </w:r>
          </w:p>
        </w:tc>
        <w:tc>
          <w:tcPr>
            <w:tcW w:type="dxa" w:w="97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413</w:t>
            </w:r>
          </w:p>
        </w:tc>
        <w:tc>
          <w:tcPr>
            <w:tcW w:type="dxa" w:w="15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721</w:t>
            </w:r>
          </w:p>
        </w:tc>
      </w:tr>
      <w:tr>
        <w:trPr>
          <w:cantSplit/>
        </w:trPr>
        <w:tc>
          <w:tcPr>
            <w:tcW w:type="dxa" w:w="43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Cash from operations (quarter)</w:t>
            </w:r>
          </w:p>
        </w:tc>
        <w:tc>
          <w:tcPr>
            <w:tcW w:type="dxa" w:w="97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666</w:t>
            </w:r>
          </w:p>
        </w:tc>
        <w:tc>
          <w:tcPr>
            <w:tcW w:type="dxa" w:w="97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708</w:t>
            </w:r>
          </w:p>
        </w:tc>
        <w:tc>
          <w:tcPr>
            <w:tcW w:type="dxa" w:w="11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232</w:t>
            </w:r>
          </w:p>
        </w:tc>
        <w:tc>
          <w:tcPr>
            <w:tcW w:type="dxa" w:w="97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139</w:t>
            </w:r>
          </w:p>
        </w:tc>
        <w:tc>
          <w:tcPr>
            <w:tcW w:type="dxa" w:w="151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1,038</w:t>
            </w:r>
          </w:p>
        </w:tc>
      </w:tr>
    </w:tbl>
    <w:p>
      <w:pPr>
        <w:spacing w:after="60"/>
      </w:pPr>
    </w:p>
    <w:p>
      <w:pPr>
        <w:spacing w:after="120" w:line="276"/>
      </w:pPr>
      <w:r>
        <w:rPr>
          <w:rFonts w:ascii="Arial" w:cs="Arial" w:eastAsia="Arial" w:hAnsi="Arial"/>
          <w:sz w:val="19"/>
          <w:szCs w:val="19"/>
        </w:rPr>
        <w:t xml:space="preserve">Flags:</w:t>
      </w:r>
    </w:p>
    <w:p>
      <w:pPr>
        <w:pStyle w:val="ListParagraph"/>
        <w:numPr>
          <w:ilvl w:val="0"/>
          <w:numId w:val="3"/>
        </w:numPr>
        <w:spacing w:after="60" w:line="264"/>
      </w:pPr>
      <w:r>
        <w:rPr>
          <w:rFonts w:ascii="Arial" w:cs="Arial" w:eastAsia="Arial" w:hAnsi="Arial"/>
          <w:b/>
          <w:bCs/>
          <w:sz w:val="19"/>
          <w:szCs w:val="19"/>
        </w:rPr>
        <w:t xml:space="preserve">Debt +RM3.8bn (+26.5%) in six months</w:t>
      </w:r>
      <w:r>
        <w:rPr>
          <w:rFonts w:ascii="Arial" w:cs="Arial" w:eastAsia="Arial" w:hAnsi="Arial"/>
          <w:sz w:val="19"/>
          <w:szCs w:val="19"/>
        </w:rPr>
        <w:t xml:space="preserve">, driven by the US$500m licence fee (RM2,044m) and capex of RM1.13bn in 1H26.</w:t>
      </w:r>
    </w:p>
    <w:p>
      <w:pPr>
        <w:pStyle w:val="ListParagraph"/>
        <w:numPr>
          <w:ilvl w:val="0"/>
          <w:numId w:val="3"/>
        </w:numPr>
        <w:spacing w:after="60" w:line="264"/>
      </w:pPr>
      <w:r>
        <w:rPr>
          <w:rFonts w:ascii="Arial" w:cs="Arial" w:eastAsia="Arial" w:hAnsi="Arial"/>
          <w:b/>
          <w:bCs/>
          <w:sz w:val="19"/>
          <w:szCs w:val="19"/>
        </w:rPr>
        <w:t xml:space="preserve">Lease liabilities +RM0.78bn</w:t>
      </w:r>
      <w:r>
        <w:rPr>
          <w:rFonts w:ascii="Arial" w:cs="Arial" w:eastAsia="Arial" w:hAnsi="Arial"/>
          <w:sz w:val="19"/>
          <w:szCs w:val="19"/>
        </w:rPr>
        <w:t xml:space="preserve"> (right-of-use assets +RM1.03bn), probably the Aqueduct lease re-set on conversion [e].</w:t>
      </w:r>
    </w:p>
    <w:p>
      <w:pPr>
        <w:pStyle w:val="ListParagraph"/>
        <w:numPr>
          <w:ilvl w:val="0"/>
          <w:numId w:val="3"/>
        </w:numPr>
        <w:spacing w:after="60" w:line="264"/>
      </w:pPr>
      <w:r>
        <w:rPr>
          <w:rFonts w:ascii="Arial" w:cs="Arial" w:eastAsia="Arial" w:hAnsi="Arial"/>
          <w:b/>
          <w:bCs/>
          <w:sz w:val="19"/>
          <w:szCs w:val="19"/>
        </w:rPr>
        <w:t xml:space="preserve">Short-term debt RM2.47bn</w:t>
      </w:r>
      <w:r>
        <w:rPr>
          <w:rFonts w:ascii="Arial" w:cs="Arial" w:eastAsia="Arial" w:hAnsi="Arial"/>
          <w:sz w:val="19"/>
          <w:szCs w:val="19"/>
        </w:rPr>
        <w:t xml:space="preserve">: Empire's US$300m notes (repaid 2-Jul-26 via the new facility) and the RM1.1bn MTN due Mar-2027.</w:t>
      </w:r>
    </w:p>
    <w:p>
      <w:pPr>
        <w:pStyle w:val="ListParagraph"/>
        <w:numPr>
          <w:ilvl w:val="0"/>
          <w:numId w:val="3"/>
        </w:numPr>
        <w:spacing w:after="60" w:line="264"/>
      </w:pPr>
      <w:r>
        <w:rPr>
          <w:rFonts w:ascii="Arial" w:cs="Arial" w:eastAsia="Arial" w:hAnsi="Arial"/>
          <w:sz w:val="19"/>
          <w:szCs w:val="19"/>
        </w:rPr>
        <w:t xml:space="preserve">Receivables are stable, so there is no sign of VIP credit stretch. Inventory is immaterial.</w:t>
      </w:r>
    </w:p>
    <w:p>
      <w:pPr>
        <w:pStyle w:val="ListParagraph"/>
        <w:numPr>
          <w:ilvl w:val="0"/>
          <w:numId w:val="3"/>
        </w:numPr>
        <w:spacing w:after="60" w:line="264"/>
      </w:pPr>
      <w:r>
        <w:rPr>
          <w:rFonts w:ascii="Arial" w:cs="Arial" w:eastAsia="Arial" w:hAnsi="Arial"/>
          <w:sz w:val="19"/>
          <w:szCs w:val="19"/>
        </w:rPr>
        <w:t xml:space="preserve">1Q26 CFO of only RM139m is unusually weak (working-capital timing, tax).</w:t>
      </w:r>
    </w:p>
    <w:p>
      <w:pPr>
        <w:pStyle w:val="Heading2"/>
      </w:pPr>
      <w:r>
        <w:t xml:space="preserve">11.6 Market reaction and what was priced in</w:t>
      </w:r>
    </w:p>
    <w:p>
      <w:pPr>
        <w:spacing w:after="120" w:line="276"/>
      </w:pPr>
      <w:r>
        <w:rPr>
          <w:rFonts w:ascii="Arial" w:cs="Arial" w:eastAsia="Arial" w:hAnsi="Arial"/>
          <w:sz w:val="19"/>
          <w:szCs w:val="19"/>
        </w:rPr>
        <w:t xml:space="preserve">The stock slipped 0.6% the next day and 1.7% the next week: "in line" EBITDA had been expected. It then fell 13.5% in September without company news, before the parent's rights issue knocked it down another 17%. The muted initial reaction shows that the NY revenue ramp was priced in. The later slide shows that the market is pricing </w:t>
      </w:r>
      <w:r>
        <w:rPr>
          <w:rFonts w:ascii="Arial" w:cs="Arial" w:eastAsia="Arial" w:hAnsi="Arial"/>
          <w:b/>
          <w:bCs/>
          <w:sz w:val="19"/>
          <w:szCs w:val="19"/>
        </w:rPr>
        <w:t xml:space="preserve">the balance sheet, the dividend and the parent</w:t>
      </w:r>
      <w:r>
        <w:rPr>
          <w:rFonts w:ascii="Arial" w:cs="Arial" w:eastAsia="Arial" w:hAnsi="Arial"/>
          <w:sz w:val="19"/>
          <w:szCs w:val="19"/>
        </w:rPr>
        <w:t xml:space="preserve">, not the NY top line.</w:t>
      </w:r>
    </w:p>
    <w:p>
      <w:pPr>
        <w:pStyle w:val="Heading2"/>
      </w:pPr>
      <w:r>
        <w:t xml:space="preserve">11.7 Unusual vs recent history</w:t>
      </w:r>
    </w:p>
    <w:p>
      <w:pPr>
        <w:pStyle w:val="ListParagraph"/>
        <w:numPr>
          <w:ilvl w:val="0"/>
          <w:numId w:val="5"/>
        </w:numPr>
        <w:spacing w:after="60" w:line="264"/>
      </w:pPr>
      <w:r>
        <w:rPr>
          <w:rFonts w:ascii="Arial" w:cs="Arial" w:eastAsia="Arial" w:hAnsi="Arial"/>
          <w:sz w:val="19"/>
          <w:szCs w:val="19"/>
        </w:rPr>
        <w:t xml:space="preserve">Record revenue alongside a near-record-low margin (adj. EBITDA margin ~22% vs a 30-35% history).</w:t>
      </w:r>
    </w:p>
    <w:p>
      <w:pPr>
        <w:pStyle w:val="ListParagraph"/>
        <w:numPr>
          <w:ilvl w:val="0"/>
          <w:numId w:val="5"/>
        </w:numPr>
        <w:spacing w:after="60" w:line="264"/>
      </w:pPr>
      <w:r>
        <w:rPr>
          <w:rFonts w:ascii="Arial" w:cs="Arial" w:eastAsia="Arial" w:hAnsi="Arial"/>
          <w:sz w:val="19"/>
          <w:szCs w:val="19"/>
        </w:rPr>
        <w:t xml:space="preserve">Two consecutive years without an interim dividend, against a decade of 6-sen interims.</w:t>
      </w:r>
    </w:p>
    <w:p>
      <w:pPr>
        <w:pStyle w:val="ListParagraph"/>
        <w:numPr>
          <w:ilvl w:val="0"/>
          <w:numId w:val="5"/>
        </w:numPr>
        <w:spacing w:after="60" w:line="264"/>
      </w:pPr>
      <w:r>
        <w:rPr>
          <w:rFonts w:ascii="Arial" w:cs="Arial" w:eastAsia="Arial" w:hAnsi="Arial"/>
          <w:sz w:val="19"/>
          <w:szCs w:val="19"/>
        </w:rPr>
        <w:t xml:space="preserve">A 26% jump in gross debt in six months.</w:t>
      </w:r>
    </w:p>
    <w:p>
      <w:pPr>
        <w:pStyle w:val="ListParagraph"/>
        <w:numPr>
          <w:ilvl w:val="0"/>
          <w:numId w:val="5"/>
        </w:numPr>
        <w:spacing w:after="60" w:line="264"/>
      </w:pPr>
      <w:r>
        <w:rPr>
          <w:rFonts w:ascii="Arial" w:cs="Arial" w:eastAsia="Arial" w:hAnsi="Arial"/>
          <w:sz w:val="19"/>
          <w:szCs w:val="19"/>
        </w:rPr>
        <w:t xml:space="preserve">Net profit swings of hundreds of millions of ringgit from unrealised FX on USD debt.</w:t>
      </w:r>
    </w:p>
    <w:p>
      <w:pPr>
        <w:pStyle w:val="ListParagraph"/>
        <w:numPr>
          <w:ilvl w:val="0"/>
          <w:numId w:val="5"/>
        </w:numPr>
        <w:spacing w:after="60" w:line="264"/>
      </w:pPr>
      <w:r>
        <w:rPr>
          <w:rFonts w:ascii="Arial" w:cs="Arial" w:eastAsia="Arial" w:hAnsi="Arial"/>
          <w:sz w:val="19"/>
          <w:szCs w:val="19"/>
        </w:rPr>
        <w:t xml:space="preserve">The President (Lee Choong Yan, in role since 2006) stepped down on 1-Mar-2026, mid-ramp.</w:t>
      </w:r>
    </w:p>
    <w:p>
      <w:r>
        <w:br w:type="page"/>
      </w:r>
    </w:p>
    <w:p>
      <w:pPr>
        <w:pStyle w:val="Heading1"/>
      </w:pPr>
      <w:r>
        <w:t xml:space="preserve">12. Earnings Estimates, FY2026E-FY2028E</w:t>
      </w:r>
    </w:p>
    <w:p>
      <w:pPr>
        <w:pStyle w:val="Heading2"/>
      </w:pPr>
      <w:r>
        <w:t xml:space="preserve">12.1 Our forecasts vs consensus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1"/>
        <w:gridCol w:w="1112"/>
        <w:gridCol w:w="1258"/>
        <w:gridCol w:w="1267"/>
        <w:gridCol w:w="1268"/>
      </w:tblGrid>
      <w:tr>
        <w:trPr>
          <w:tblHeader/>
        </w:trPr>
        <w:tc>
          <w:tcPr>
            <w:tcW w:type="dxa" w:w="500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RM m</w:t>
            </w:r>
          </w:p>
        </w:tc>
        <w:tc>
          <w:tcPr>
            <w:tcW w:type="dxa" w:w="111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FY2025A</w:t>
            </w:r>
          </w:p>
        </w:tc>
        <w:tc>
          <w:tcPr>
            <w:tcW w:type="dxa" w:w="125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FY2026E</w:t>
            </w:r>
          </w:p>
        </w:tc>
        <w:tc>
          <w:tcPr>
            <w:tcW w:type="dxa" w:w="126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FY2027E</w:t>
            </w:r>
          </w:p>
        </w:tc>
        <w:tc>
          <w:tcPr>
            <w:tcW w:type="dxa" w:w="126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FY2028E</w:t>
            </w:r>
          </w:p>
        </w:tc>
      </w:tr>
      <w:tr>
        <w:trPr>
          <w:cantSplit/>
        </w:trPr>
        <w:tc>
          <w:tcPr>
            <w:tcW w:type="dxa" w:w="5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Revenue</w:t>
            </w:r>
          </w:p>
        </w:tc>
        <w:tc>
          <w:tcPr>
            <w:tcW w:type="dxa" w:w="111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11,884</w:t>
            </w:r>
          </w:p>
        </w:tc>
        <w:tc>
          <w:tcPr>
            <w:tcW w:type="dxa" w:w="12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13,720</w:t>
            </w:r>
          </w:p>
        </w:tc>
        <w:tc>
          <w:tcPr>
            <w:tcW w:type="dxa" w:w="12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15,200</w:t>
            </w:r>
          </w:p>
        </w:tc>
        <w:tc>
          <w:tcPr>
            <w:tcW w:type="dxa" w:w="12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16,300</w:t>
            </w:r>
          </w:p>
        </w:tc>
      </w:tr>
      <w:tr>
        <w:trPr>
          <w:cantSplit/>
        </w:trPr>
        <w:tc>
          <w:tcPr>
            <w:tcW w:type="dxa" w:w="5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i/>
                <w:iCs/>
                <w:color w:val="1A1F2B"/>
                <w:sz w:val="15"/>
                <w:szCs w:val="15"/>
              </w:rPr>
              <w:t xml:space="preserve">Consensus revenue</w:t>
            </w:r>
          </w:p>
        </w:tc>
        <w:tc>
          <w:tcPr>
            <w:tcW w:type="dxa" w:w="111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p>
        </w:tc>
        <w:tc>
          <w:tcPr>
            <w:tcW w:type="dxa" w:w="12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i/>
                <w:iCs/>
                <w:color w:val="1A1F2B"/>
                <w:sz w:val="15"/>
                <w:szCs w:val="15"/>
              </w:rPr>
              <w:t xml:space="preserve">13,541</w:t>
            </w:r>
          </w:p>
        </w:tc>
        <w:tc>
          <w:tcPr>
            <w:tcW w:type="dxa" w:w="12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i/>
                <w:iCs/>
                <w:color w:val="1A1F2B"/>
                <w:sz w:val="15"/>
                <w:szCs w:val="15"/>
              </w:rPr>
              <w:t xml:space="preserve">14,859</w:t>
            </w:r>
          </w:p>
        </w:tc>
        <w:tc>
          <w:tcPr>
            <w:tcW w:type="dxa" w:w="12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i/>
                <w:iCs/>
                <w:color w:val="1A1F2B"/>
                <w:sz w:val="15"/>
                <w:szCs w:val="15"/>
              </w:rPr>
              <w:t xml:space="preserve">16,600</w:t>
            </w:r>
          </w:p>
        </w:tc>
      </w:tr>
      <w:tr>
        <w:trPr>
          <w:cantSplit/>
        </w:trPr>
        <w:tc>
          <w:tcPr>
            <w:tcW w:type="dxa" w:w="5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Adj. EBITDA ex-FX</w:t>
            </w:r>
          </w:p>
        </w:tc>
        <w:tc>
          <w:tcPr>
            <w:tcW w:type="dxa" w:w="111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2,946</w:t>
            </w:r>
          </w:p>
        </w:tc>
        <w:tc>
          <w:tcPr>
            <w:tcW w:type="dxa" w:w="12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3,139</w:t>
            </w:r>
          </w:p>
        </w:tc>
        <w:tc>
          <w:tcPr>
            <w:tcW w:type="dxa" w:w="12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3,415</w:t>
            </w:r>
          </w:p>
        </w:tc>
        <w:tc>
          <w:tcPr>
            <w:tcW w:type="dxa" w:w="12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3,680</w:t>
            </w:r>
          </w:p>
        </w:tc>
      </w:tr>
      <w:tr>
        <w:trPr>
          <w:cantSplit/>
        </w:trPr>
        <w:tc>
          <w:tcPr>
            <w:tcW w:type="dxa" w:w="5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 Malaysia</w:t>
            </w:r>
          </w:p>
        </w:tc>
        <w:tc>
          <w:tcPr>
            <w:tcW w:type="dxa" w:w="111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2,139</w:t>
            </w:r>
          </w:p>
        </w:tc>
        <w:tc>
          <w:tcPr>
            <w:tcW w:type="dxa" w:w="12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2,157</w:t>
            </w:r>
          </w:p>
        </w:tc>
        <w:tc>
          <w:tcPr>
            <w:tcW w:type="dxa" w:w="12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2,190</w:t>
            </w:r>
          </w:p>
        </w:tc>
        <w:tc>
          <w:tcPr>
            <w:tcW w:type="dxa" w:w="12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2,260</w:t>
            </w:r>
          </w:p>
        </w:tc>
      </w:tr>
      <w:tr>
        <w:trPr>
          <w:cantSplit/>
        </w:trPr>
        <w:tc>
          <w:tcPr>
            <w:tcW w:type="dxa" w:w="5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 UK &amp; Egypt</w:t>
            </w:r>
          </w:p>
        </w:tc>
        <w:tc>
          <w:tcPr>
            <w:tcW w:type="dxa" w:w="111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322</w:t>
            </w:r>
          </w:p>
        </w:tc>
        <w:tc>
          <w:tcPr>
            <w:tcW w:type="dxa" w:w="12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285</w:t>
            </w:r>
          </w:p>
        </w:tc>
        <w:tc>
          <w:tcPr>
            <w:tcW w:type="dxa" w:w="12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250</w:t>
            </w:r>
          </w:p>
        </w:tc>
        <w:tc>
          <w:tcPr>
            <w:tcW w:type="dxa" w:w="12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260</w:t>
            </w:r>
          </w:p>
        </w:tc>
      </w:tr>
      <w:tr>
        <w:trPr>
          <w:cantSplit/>
        </w:trPr>
        <w:tc>
          <w:tcPr>
            <w:tcW w:type="dxa" w:w="5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 US &amp; Bahamas</w:t>
            </w:r>
          </w:p>
        </w:tc>
        <w:tc>
          <w:tcPr>
            <w:tcW w:type="dxa" w:w="111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472</w:t>
            </w:r>
          </w:p>
        </w:tc>
        <w:tc>
          <w:tcPr>
            <w:tcW w:type="dxa" w:w="12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797</w:t>
            </w:r>
          </w:p>
        </w:tc>
        <w:tc>
          <w:tcPr>
            <w:tcW w:type="dxa" w:w="12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1,060</w:t>
            </w:r>
          </w:p>
        </w:tc>
        <w:tc>
          <w:tcPr>
            <w:tcW w:type="dxa" w:w="12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1,250</w:t>
            </w:r>
          </w:p>
        </w:tc>
      </w:tr>
      <w:tr>
        <w:trPr>
          <w:cantSplit/>
        </w:trPr>
        <w:tc>
          <w:tcPr>
            <w:tcW w:type="dxa" w:w="5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 Property, corporate &amp; other</w:t>
            </w:r>
          </w:p>
        </w:tc>
        <w:tc>
          <w:tcPr>
            <w:tcW w:type="dxa" w:w="111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13</w:t>
            </w:r>
          </w:p>
        </w:tc>
        <w:tc>
          <w:tcPr>
            <w:tcW w:type="dxa" w:w="12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(100)</w:t>
            </w:r>
          </w:p>
        </w:tc>
        <w:tc>
          <w:tcPr>
            <w:tcW w:type="dxa" w:w="12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(85)</w:t>
            </w:r>
          </w:p>
        </w:tc>
        <w:tc>
          <w:tcPr>
            <w:tcW w:type="dxa" w:w="12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(90)</w:t>
            </w:r>
          </w:p>
        </w:tc>
      </w:tr>
      <w:tr>
        <w:trPr>
          <w:cantSplit/>
        </w:trPr>
        <w:tc>
          <w:tcPr>
            <w:tcW w:type="dxa" w:w="5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i/>
                <w:iCs/>
                <w:color w:val="1A1F2B"/>
                <w:sz w:val="15"/>
                <w:szCs w:val="15"/>
              </w:rPr>
              <w:t xml:space="preserve">Consensus EBITDA</w:t>
            </w:r>
          </w:p>
        </w:tc>
        <w:tc>
          <w:tcPr>
            <w:tcW w:type="dxa" w:w="111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p>
        </w:tc>
        <w:tc>
          <w:tcPr>
            <w:tcW w:type="dxa" w:w="12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i/>
                <w:iCs/>
                <w:color w:val="1A1F2B"/>
                <w:sz w:val="15"/>
                <w:szCs w:val="15"/>
              </w:rPr>
              <w:t xml:space="preserve">2,974</w:t>
            </w:r>
          </w:p>
        </w:tc>
        <w:tc>
          <w:tcPr>
            <w:tcW w:type="dxa" w:w="12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i/>
                <w:iCs/>
                <w:color w:val="1A1F2B"/>
                <w:sz w:val="15"/>
                <w:szCs w:val="15"/>
              </w:rPr>
              <w:t xml:space="preserve">3,455</w:t>
            </w:r>
          </w:p>
        </w:tc>
        <w:tc>
          <w:tcPr>
            <w:tcW w:type="dxa" w:w="12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i/>
                <w:iCs/>
                <w:color w:val="1A1F2B"/>
                <w:sz w:val="15"/>
                <w:szCs w:val="15"/>
              </w:rPr>
              <w:t xml:space="preserve">3,765</w:t>
            </w:r>
          </w:p>
        </w:tc>
      </w:tr>
      <w:tr>
        <w:trPr>
          <w:cantSplit/>
        </w:trPr>
        <w:tc>
          <w:tcPr>
            <w:tcW w:type="dxa" w:w="5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Pre-opening and one-offs</w:t>
            </w:r>
          </w:p>
        </w:tc>
        <w:tc>
          <w:tcPr>
            <w:tcW w:type="dxa" w:w="111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(161)</w:t>
            </w:r>
          </w:p>
        </w:tc>
        <w:tc>
          <w:tcPr>
            <w:tcW w:type="dxa" w:w="12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(174)</w:t>
            </w:r>
          </w:p>
        </w:tc>
        <w:tc>
          <w:tcPr>
            <w:tcW w:type="dxa" w:w="12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(110)</w:t>
            </w:r>
          </w:p>
        </w:tc>
        <w:tc>
          <w:tcPr>
            <w:tcW w:type="dxa" w:w="12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(100)</w:t>
            </w:r>
          </w:p>
        </w:tc>
      </w:tr>
      <w:tr>
        <w:trPr>
          <w:cantSplit/>
        </w:trPr>
        <w:tc>
          <w:tcPr>
            <w:tcW w:type="dxa" w:w="5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D&amp;A</w:t>
            </w:r>
          </w:p>
        </w:tc>
        <w:tc>
          <w:tcPr>
            <w:tcW w:type="dxa" w:w="111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(1,315)</w:t>
            </w:r>
          </w:p>
        </w:tc>
        <w:tc>
          <w:tcPr>
            <w:tcW w:type="dxa" w:w="12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(1,433)</w:t>
            </w:r>
          </w:p>
        </w:tc>
        <w:tc>
          <w:tcPr>
            <w:tcW w:type="dxa" w:w="12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(1,520)</w:t>
            </w:r>
          </w:p>
        </w:tc>
        <w:tc>
          <w:tcPr>
            <w:tcW w:type="dxa" w:w="12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(1,620)</w:t>
            </w:r>
          </w:p>
        </w:tc>
      </w:tr>
      <w:tr>
        <w:trPr>
          <w:cantSplit/>
        </w:trPr>
        <w:tc>
          <w:tcPr>
            <w:tcW w:type="dxa" w:w="5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Finance costs (net of interest income)</w:t>
            </w:r>
          </w:p>
        </w:tc>
        <w:tc>
          <w:tcPr>
            <w:tcW w:type="dxa" w:w="111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(726)</w:t>
            </w:r>
          </w:p>
        </w:tc>
        <w:tc>
          <w:tcPr>
            <w:tcW w:type="dxa" w:w="12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(1,029)</w:t>
            </w:r>
          </w:p>
        </w:tc>
        <w:tc>
          <w:tcPr>
            <w:tcW w:type="dxa" w:w="12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(1,045)</w:t>
            </w:r>
          </w:p>
        </w:tc>
        <w:tc>
          <w:tcPr>
            <w:tcW w:type="dxa" w:w="12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(1,110)</w:t>
            </w:r>
          </w:p>
        </w:tc>
      </w:tr>
      <w:tr>
        <w:trPr>
          <w:cantSplit/>
        </w:trPr>
        <w:tc>
          <w:tcPr>
            <w:tcW w:type="dxa" w:w="5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PBT</w:t>
            </w:r>
          </w:p>
        </w:tc>
        <w:tc>
          <w:tcPr>
            <w:tcW w:type="dxa" w:w="111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985</w:t>
            </w:r>
          </w:p>
        </w:tc>
        <w:tc>
          <w:tcPr>
            <w:tcW w:type="dxa" w:w="12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491</w:t>
            </w:r>
          </w:p>
        </w:tc>
        <w:tc>
          <w:tcPr>
            <w:tcW w:type="dxa" w:w="12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735</w:t>
            </w:r>
          </w:p>
        </w:tc>
        <w:tc>
          <w:tcPr>
            <w:tcW w:type="dxa" w:w="12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845</w:t>
            </w:r>
          </w:p>
        </w:tc>
      </w:tr>
      <w:tr>
        <w:trPr>
          <w:cantSplit/>
        </w:trPr>
        <w:tc>
          <w:tcPr>
            <w:tcW w:type="dxa" w:w="5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Tax</w:t>
            </w:r>
          </w:p>
        </w:tc>
        <w:tc>
          <w:tcPr>
            <w:tcW w:type="dxa" w:w="111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(314)</w:t>
            </w:r>
          </w:p>
        </w:tc>
        <w:tc>
          <w:tcPr>
            <w:tcW w:type="dxa" w:w="12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(335)</w:t>
            </w:r>
          </w:p>
        </w:tc>
        <w:tc>
          <w:tcPr>
            <w:tcW w:type="dxa" w:w="12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(330)</w:t>
            </w:r>
          </w:p>
        </w:tc>
        <w:tc>
          <w:tcPr>
            <w:tcW w:type="dxa" w:w="12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(380)</w:t>
            </w:r>
          </w:p>
        </w:tc>
      </w:tr>
      <w:tr>
        <w:trPr>
          <w:cantSplit/>
        </w:trPr>
        <w:tc>
          <w:tcPr>
            <w:tcW w:type="dxa" w:w="5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Non-controlling interests</w:t>
            </w:r>
          </w:p>
        </w:tc>
        <w:tc>
          <w:tcPr>
            <w:tcW w:type="dxa" w:w="111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84</w:t>
            </w:r>
          </w:p>
        </w:tc>
        <w:tc>
          <w:tcPr>
            <w:tcW w:type="dxa" w:w="12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87</w:t>
            </w:r>
          </w:p>
        </w:tc>
        <w:tc>
          <w:tcPr>
            <w:tcW w:type="dxa" w:w="12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80</w:t>
            </w:r>
          </w:p>
        </w:tc>
        <w:tc>
          <w:tcPr>
            <w:tcW w:type="dxa" w:w="12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80</w:t>
            </w:r>
          </w:p>
        </w:tc>
      </w:tr>
      <w:tr>
        <w:trPr>
          <w:cantSplit/>
        </w:trPr>
        <w:tc>
          <w:tcPr>
            <w:tcW w:type="dxa" w:w="5001"/>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Net income attributable</w:t>
            </w:r>
          </w:p>
        </w:tc>
        <w:tc>
          <w:tcPr>
            <w:tcW w:type="dxa" w:w="1112"/>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755</w:t>
            </w:r>
          </w:p>
        </w:tc>
        <w:tc>
          <w:tcPr>
            <w:tcW w:type="dxa" w:w="1258"/>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243</w:t>
            </w:r>
          </w:p>
        </w:tc>
        <w:tc>
          <w:tcPr>
            <w:tcW w:type="dxa" w:w="1267"/>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485</w:t>
            </w:r>
          </w:p>
        </w:tc>
        <w:tc>
          <w:tcPr>
            <w:tcW w:type="dxa" w:w="1268"/>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545</w:t>
            </w:r>
          </w:p>
        </w:tc>
      </w:tr>
      <w:tr>
        <w:trPr>
          <w:cantSplit/>
        </w:trPr>
        <w:tc>
          <w:tcPr>
            <w:tcW w:type="dxa" w:w="5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Shares (m)</w:t>
            </w:r>
          </w:p>
        </w:tc>
        <w:tc>
          <w:tcPr>
            <w:tcW w:type="dxa" w:w="111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5,667.7</w:t>
            </w:r>
          </w:p>
        </w:tc>
        <w:tc>
          <w:tcPr>
            <w:tcW w:type="dxa" w:w="12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5,667.7</w:t>
            </w:r>
          </w:p>
        </w:tc>
        <w:tc>
          <w:tcPr>
            <w:tcW w:type="dxa" w:w="12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5,667.7</w:t>
            </w:r>
          </w:p>
        </w:tc>
        <w:tc>
          <w:tcPr>
            <w:tcW w:type="dxa" w:w="12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5,667.7</w:t>
            </w:r>
          </w:p>
        </w:tc>
      </w:tr>
      <w:tr>
        <w:trPr>
          <w:cantSplit/>
        </w:trPr>
        <w:tc>
          <w:tcPr>
            <w:tcW w:type="dxa" w:w="5001"/>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EPS (sen)</w:t>
            </w:r>
          </w:p>
        </w:tc>
        <w:tc>
          <w:tcPr>
            <w:tcW w:type="dxa" w:w="1112"/>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13.3</w:t>
            </w:r>
          </w:p>
        </w:tc>
        <w:tc>
          <w:tcPr>
            <w:tcW w:type="dxa" w:w="1258"/>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4.3</w:t>
            </w:r>
          </w:p>
        </w:tc>
        <w:tc>
          <w:tcPr>
            <w:tcW w:type="dxa" w:w="1267"/>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8.6</w:t>
            </w:r>
          </w:p>
        </w:tc>
        <w:tc>
          <w:tcPr>
            <w:tcW w:type="dxa" w:w="1268"/>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9.6</w:t>
            </w:r>
          </w:p>
        </w:tc>
      </w:tr>
      <w:tr>
        <w:trPr>
          <w:cantSplit/>
        </w:trPr>
        <w:tc>
          <w:tcPr>
            <w:tcW w:type="dxa" w:w="5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i/>
                <w:iCs/>
                <w:color w:val="1A1F2B"/>
                <w:sz w:val="15"/>
                <w:szCs w:val="15"/>
              </w:rPr>
              <w:t xml:space="preserve">Consensus EPS (sen)</w:t>
            </w:r>
          </w:p>
        </w:tc>
        <w:tc>
          <w:tcPr>
            <w:tcW w:type="dxa" w:w="111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p>
        </w:tc>
        <w:tc>
          <w:tcPr>
            <w:tcW w:type="dxa" w:w="12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i/>
                <w:iCs/>
                <w:color w:val="1A1F2B"/>
                <w:sz w:val="15"/>
                <w:szCs w:val="15"/>
              </w:rPr>
              <w:t xml:space="preserve">7.5</w:t>
            </w:r>
          </w:p>
        </w:tc>
        <w:tc>
          <w:tcPr>
            <w:tcW w:type="dxa" w:w="12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i/>
                <w:iCs/>
                <w:color w:val="1A1F2B"/>
                <w:sz w:val="15"/>
                <w:szCs w:val="15"/>
              </w:rPr>
              <w:t xml:space="preserve">11.8</w:t>
            </w:r>
          </w:p>
        </w:tc>
        <w:tc>
          <w:tcPr>
            <w:tcW w:type="dxa" w:w="12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i/>
                <w:iCs/>
                <w:color w:val="1A1F2B"/>
                <w:sz w:val="15"/>
                <w:szCs w:val="15"/>
              </w:rPr>
              <w:t xml:space="preserve">14.8</w:t>
            </w:r>
          </w:p>
        </w:tc>
      </w:tr>
      <w:tr>
        <w:trPr>
          <w:cantSplit/>
        </w:trPr>
        <w:tc>
          <w:tcPr>
            <w:tcW w:type="dxa" w:w="5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Our EPS vs consensus</w:t>
            </w:r>
          </w:p>
        </w:tc>
        <w:tc>
          <w:tcPr>
            <w:tcW w:type="dxa" w:w="111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p>
        </w:tc>
        <w:tc>
          <w:tcPr>
            <w:tcW w:type="dxa" w:w="12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−42%</w:t>
            </w:r>
          </w:p>
        </w:tc>
        <w:tc>
          <w:tcPr>
            <w:tcW w:type="dxa" w:w="12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−27%</w:t>
            </w:r>
          </w:p>
        </w:tc>
        <w:tc>
          <w:tcPr>
            <w:tcW w:type="dxa" w:w="12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−35%</w:t>
            </w:r>
          </w:p>
        </w:tc>
      </w:tr>
      <w:tr>
        <w:trPr>
          <w:cantSplit/>
        </w:trPr>
        <w:tc>
          <w:tcPr>
            <w:tcW w:type="dxa" w:w="5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DPS (sen)</w:t>
            </w:r>
          </w:p>
        </w:tc>
        <w:tc>
          <w:tcPr>
            <w:tcW w:type="dxa" w:w="111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7.0</w:t>
            </w:r>
          </w:p>
        </w:tc>
        <w:tc>
          <w:tcPr>
            <w:tcW w:type="dxa" w:w="12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5.0</w:t>
            </w:r>
          </w:p>
        </w:tc>
        <w:tc>
          <w:tcPr>
            <w:tcW w:type="dxa" w:w="12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5.0</w:t>
            </w:r>
          </w:p>
        </w:tc>
        <w:tc>
          <w:tcPr>
            <w:tcW w:type="dxa" w:w="12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6.0</w:t>
            </w:r>
          </w:p>
        </w:tc>
      </w:tr>
      <w:tr>
        <w:trPr>
          <w:cantSplit/>
        </w:trPr>
        <w:tc>
          <w:tcPr>
            <w:tcW w:type="dxa" w:w="5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Net debt incl. leases (year-end)</w:t>
            </w:r>
          </w:p>
        </w:tc>
        <w:tc>
          <w:tcPr>
            <w:tcW w:type="dxa" w:w="111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10,300</w:t>
            </w:r>
          </w:p>
        </w:tc>
        <w:tc>
          <w:tcPr>
            <w:tcW w:type="dxa" w:w="12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15,716</w:t>
            </w:r>
          </w:p>
        </w:tc>
        <w:tc>
          <w:tcPr>
            <w:tcW w:type="dxa" w:w="12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16,796</w:t>
            </w:r>
          </w:p>
        </w:tc>
        <w:tc>
          <w:tcPr>
            <w:tcW w:type="dxa" w:w="12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17,386</w:t>
            </w:r>
          </w:p>
        </w:tc>
      </w:tr>
      <w:tr>
        <w:trPr>
          <w:cantSplit/>
        </w:trPr>
        <w:tc>
          <w:tcPr>
            <w:tcW w:type="dxa" w:w="50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Net debt / adj. EBITDA</w:t>
            </w:r>
          </w:p>
        </w:tc>
        <w:tc>
          <w:tcPr>
            <w:tcW w:type="dxa" w:w="111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3.5x</w:t>
            </w:r>
          </w:p>
        </w:tc>
        <w:tc>
          <w:tcPr>
            <w:tcW w:type="dxa" w:w="12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5.0x</w:t>
            </w:r>
          </w:p>
        </w:tc>
        <w:tc>
          <w:tcPr>
            <w:tcW w:type="dxa" w:w="12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4.9x</w:t>
            </w:r>
          </w:p>
        </w:tc>
        <w:tc>
          <w:tcPr>
            <w:tcW w:type="dxa" w:w="12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4.7x</w:t>
            </w:r>
          </w:p>
        </w:tc>
      </w:tr>
    </w:tbl>
    <w:p>
      <w:pPr>
        <w:spacing w:after="60"/>
      </w:pPr>
    </w:p>
    <w:p>
      <w:pPr>
        <w:spacing w:after="120" w:line="276"/>
      </w:pPr>
      <w:r>
        <w:rPr>
          <w:rFonts w:ascii="Arial" w:cs="Arial" w:eastAsia="Arial" w:hAnsi="Arial"/>
          <w:sz w:val="19"/>
          <w:szCs w:val="19"/>
        </w:rPr>
        <w:t xml:space="preserve">[e] Our estimates; consensus is S&amp;P Capital IQ (Oct-2026). FY2025 one-offs reconcile reported EBITDA (RM3,136.8m) to adjusted EBITDA (RM3,297.6m).</w:t>
      </w:r>
    </w:p>
    <w:p>
      <w:pPr>
        <w:pStyle w:val="Heading2"/>
      </w:pPr>
      <w:r>
        <w:t xml:space="preserve">12.2 Key assumptions</w:t>
      </w:r>
    </w:p>
    <w:p>
      <w:pPr>
        <w:pStyle w:val="ListParagraph"/>
        <w:numPr>
          <w:ilvl w:val="0"/>
          <w:numId w:val="3"/>
        </w:numPr>
        <w:spacing w:after="60" w:line="264"/>
      </w:pPr>
      <w:r>
        <w:rPr>
          <w:rFonts w:ascii="Arial" w:cs="Arial" w:eastAsia="Arial" w:hAnsi="Arial"/>
          <w:b/>
          <w:bCs/>
          <w:sz w:val="19"/>
          <w:szCs w:val="19"/>
        </w:rPr>
        <w:t xml:space="preserve">Industry growth.</w:t>
      </w:r>
      <w:r>
        <w:rPr>
          <w:rFonts w:ascii="Arial" w:cs="Arial" w:eastAsia="Arial" w:hAnsi="Arial"/>
          <w:sz w:val="19"/>
          <w:szCs w:val="19"/>
        </w:rPr>
        <w:t xml:space="preserve"> Malaysian visitation flat to +2% a year; RWG mature and room-constrained. NYC metro GGR grows with RWNYC's capacity until rivals open (~2030); CBRE sizes the three-licence market at US$4.7-5.6bn.</w:t>
      </w:r>
    </w:p>
    <w:p>
      <w:pPr>
        <w:pStyle w:val="ListParagraph"/>
        <w:numPr>
          <w:ilvl w:val="0"/>
          <w:numId w:val="3"/>
        </w:numPr>
        <w:spacing w:after="60" w:line="264"/>
      </w:pPr>
      <w:r>
        <w:rPr>
          <w:rFonts w:ascii="Arial" w:cs="Arial" w:eastAsia="Arial" w:hAnsi="Arial"/>
          <w:b/>
          <w:bCs/>
          <w:sz w:val="19"/>
          <w:szCs w:val="19"/>
        </w:rPr>
        <w:t xml:space="preserve">Market share gains.</w:t>
      </w:r>
      <w:r>
        <w:rPr>
          <w:rFonts w:ascii="Arial" w:cs="Arial" w:eastAsia="Arial" w:hAnsi="Arial"/>
          <w:sz w:val="19"/>
          <w:szCs w:val="19"/>
        </w:rPr>
        <w:t xml:space="preserve"> RWNYC takes share from Atlantic City, Connecticut and Pennsylvania as NYC's only table casino. Annualised GGR ~US$1.6bn in July 2026; we assume US&amp;B EBITDA of ~US$62m a quarter in 2H26, rising to ~US$262m in FY27 and ~US$310m in FY28. </w:t>
      </w:r>
      <w:r>
        <w:rPr>
          <w:rFonts w:ascii="Arial" w:cs="Arial" w:eastAsia="Arial" w:hAnsi="Arial"/>
          <w:b/>
          <w:bCs/>
          <w:sz w:val="19"/>
          <w:szCs w:val="19"/>
        </w:rPr>
        <w:t xml:space="preserve">Net of a ~US$40m a year racing-support compromise</w:t>
      </w:r>
      <w:r>
        <w:rPr>
          <w:rFonts w:ascii="Arial" w:cs="Arial" w:eastAsia="Arial" w:hAnsi="Arial"/>
          <w:sz w:val="19"/>
          <w:szCs w:val="19"/>
        </w:rPr>
        <w:t xml:space="preserve"> [e].</w:t>
      </w:r>
    </w:p>
    <w:p>
      <w:pPr>
        <w:pStyle w:val="ListParagraph"/>
        <w:numPr>
          <w:ilvl w:val="0"/>
          <w:numId w:val="3"/>
        </w:numPr>
        <w:spacing w:after="60" w:line="264"/>
      </w:pPr>
      <w:r>
        <w:rPr>
          <w:rFonts w:ascii="Arial" w:cs="Arial" w:eastAsia="Arial" w:hAnsi="Arial"/>
          <w:b/>
          <w:bCs/>
          <w:sz w:val="19"/>
          <w:szCs w:val="19"/>
        </w:rPr>
        <w:t xml:space="preserve">Price increases.</w:t>
      </w:r>
      <w:r>
        <w:rPr>
          <w:rFonts w:ascii="Arial" w:cs="Arial" w:eastAsia="Arial" w:hAnsi="Arial"/>
          <w:sz w:val="19"/>
          <w:szCs w:val="19"/>
        </w:rPr>
        <w:t xml:space="preserve"> Hotel ADR growth at RWG (98% occupancy) ~3%; gaming pricing via rebates and comps is flat.</w:t>
      </w:r>
    </w:p>
    <w:p>
      <w:pPr>
        <w:pStyle w:val="ListParagraph"/>
        <w:numPr>
          <w:ilvl w:val="0"/>
          <w:numId w:val="3"/>
        </w:numPr>
        <w:spacing w:after="60" w:line="264"/>
      </w:pPr>
      <w:r>
        <w:rPr>
          <w:rFonts w:ascii="Arial" w:cs="Arial" w:eastAsia="Arial" w:hAnsi="Arial"/>
          <w:b/>
          <w:bCs/>
          <w:sz w:val="19"/>
          <w:szCs w:val="19"/>
        </w:rPr>
        <w:t xml:space="preserve">Cost pressures.</w:t>
      </w:r>
      <w:r>
        <w:rPr>
          <w:rFonts w:ascii="Arial" w:cs="Arial" w:eastAsia="Arial" w:hAnsi="Arial"/>
          <w:sz w:val="19"/>
          <w:szCs w:val="19"/>
        </w:rPr>
        <w:t xml:space="preserve"> Malaysian minimum wage +17.6% from Jun-2027 (~RM30-40m a year [e]); UK NLW/NIC; NY union wages; energy (Brent &gt;US$100). UK EBITDA falls to RM250m in FY27 on cost and duty risk.</w:t>
      </w:r>
    </w:p>
    <w:p>
      <w:pPr>
        <w:pStyle w:val="ListParagraph"/>
        <w:numPr>
          <w:ilvl w:val="0"/>
          <w:numId w:val="3"/>
        </w:numPr>
        <w:spacing w:after="60" w:line="264"/>
      </w:pPr>
      <w:r>
        <w:rPr>
          <w:rFonts w:ascii="Arial" w:cs="Arial" w:eastAsia="Arial" w:hAnsi="Arial"/>
          <w:b/>
          <w:bCs/>
          <w:sz w:val="19"/>
          <w:szCs w:val="19"/>
        </w:rPr>
        <w:t xml:space="preserve">Operating leverage.</w:t>
      </w:r>
      <w:r>
        <w:rPr>
          <w:rFonts w:ascii="Arial" w:cs="Arial" w:eastAsia="Arial" w:hAnsi="Arial"/>
          <w:sz w:val="19"/>
          <w:szCs w:val="19"/>
        </w:rPr>
        <w:t xml:space="preserve"> Positive in NY (fixed payroll over rising GGR); negative in Malaysia from wage inflation; the group margin recovers to ~22-23% ex-FX.</w:t>
      </w:r>
    </w:p>
    <w:p>
      <w:pPr>
        <w:pStyle w:val="ListParagraph"/>
        <w:numPr>
          <w:ilvl w:val="0"/>
          <w:numId w:val="3"/>
        </w:numPr>
        <w:spacing w:after="60" w:line="264"/>
      </w:pPr>
      <w:r>
        <w:rPr>
          <w:rFonts w:ascii="Arial" w:cs="Arial" w:eastAsia="Arial" w:hAnsi="Arial"/>
          <w:b/>
          <w:bCs/>
          <w:sz w:val="19"/>
          <w:szCs w:val="19"/>
        </w:rPr>
        <w:t xml:space="preserve">Financing costs.</w:t>
      </w:r>
      <w:r>
        <w:rPr>
          <w:rFonts w:ascii="Arial" w:cs="Arial" w:eastAsia="Arial" w:hAnsi="Arial"/>
          <w:sz w:val="19"/>
          <w:szCs w:val="19"/>
        </w:rPr>
        <w:t xml:space="preserve"> Gross debt rises to ~RM20bn by FY28 as capex (consensus RM3.1-3.9bn a year) exceeds cash flow. We assume ~RM100m a year of interest capitalised on phase-2 work in progress.</w:t>
      </w:r>
    </w:p>
    <w:p>
      <w:pPr>
        <w:pStyle w:val="ListParagraph"/>
        <w:numPr>
          <w:ilvl w:val="0"/>
          <w:numId w:val="3"/>
        </w:numPr>
        <w:spacing w:after="60" w:line="264"/>
      </w:pPr>
      <w:r>
        <w:rPr>
          <w:rFonts w:ascii="Arial" w:cs="Arial" w:eastAsia="Arial" w:hAnsi="Arial"/>
          <w:b/>
          <w:bCs/>
          <w:sz w:val="19"/>
          <w:szCs w:val="19"/>
        </w:rPr>
        <w:t xml:space="preserve">Share count.</w:t>
      </w:r>
      <w:r>
        <w:rPr>
          <w:rFonts w:ascii="Arial" w:cs="Arial" w:eastAsia="Arial" w:hAnsi="Arial"/>
          <w:sz w:val="19"/>
          <w:szCs w:val="19"/>
        </w:rPr>
        <w:t xml:space="preserve"> We assume no dilution. Risks are skewed towards dilution (a 10% general mandate or a GENM rights issue) if NY capex overruns; a buyback is immaterial.</w:t>
      </w:r>
    </w:p>
    <w:p>
      <w:pPr>
        <w:pStyle w:val="ListParagraph"/>
        <w:numPr>
          <w:ilvl w:val="0"/>
          <w:numId w:val="3"/>
        </w:numPr>
        <w:spacing w:after="60" w:line="264"/>
      </w:pPr>
      <w:r>
        <w:rPr>
          <w:rFonts w:ascii="Arial" w:cs="Arial" w:eastAsia="Arial" w:hAnsi="Arial"/>
          <w:b/>
          <w:bCs/>
          <w:sz w:val="19"/>
          <w:szCs w:val="19"/>
        </w:rPr>
        <w:t xml:space="preserve">Tax.</w:t>
      </w:r>
      <w:r>
        <w:rPr>
          <w:rFonts w:ascii="Arial" w:cs="Arial" w:eastAsia="Arial" w:hAnsi="Arial"/>
          <w:sz w:val="19"/>
          <w:szCs w:val="19"/>
        </w:rPr>
        <w:t xml:space="preserve"> Malaysian profits taxed at 24%; US losses and the NCI deficit give little shelter, so the effective tax rate stays at 45-68% [e].</w:t>
      </w:r>
    </w:p>
    <w:p>
      <w:pPr>
        <w:spacing w:after="120" w:line="276"/>
      </w:pPr>
      <w:r>
        <w:rPr>
          <w:rFonts w:ascii="Arial" w:cs="Arial" w:eastAsia="Arial" w:hAnsi="Arial"/>
          <w:b/>
          <w:bCs/>
          <w:sz w:val="19"/>
          <w:szCs w:val="19"/>
        </w:rPr>
        <w:t xml:space="preserve">Why we are below consensus:</w:t>
      </w:r>
      <w:r>
        <w:rPr>
          <w:rFonts w:ascii="Arial" w:cs="Arial" w:eastAsia="Arial" w:hAnsi="Arial"/>
          <w:sz w:val="19"/>
          <w:szCs w:val="19"/>
        </w:rPr>
        <w:t xml:space="preserve"> our EBITDA is close to consensus (+6% FY26, −1% FY27, −2% FY28). The gap is below the line: brokers' FY27 interest expense (RM910m) looks too low given gross debt of RM18bn at Jun-26 and rising, their net debt forecasts look stale (FY26E RM10.0bn vs RM14.2bn actual at Jun-26), and the tax rate on a Malaysia-heavy profit base stays high.</w:t>
      </w:r>
    </w:p>
    <w:p>
      <w:r>
        <w:br w:type="page"/>
      </w:r>
    </w:p>
    <w:p>
      <w:pPr>
        <w:pStyle w:val="Heading1"/>
      </w:pPr>
      <w:r>
        <w:t xml:space="preserve">13. Capital Structure, Debt, Covenants and Liquidity</w:t>
      </w:r>
    </w:p>
    <w:p>
      <w:pPr>
        <w:pStyle w:val="Heading2"/>
      </w:pPr>
      <w:r>
        <w:t xml:space="preserve">13.1 Summary (30-Jun-2026)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34"/>
        <w:gridCol w:w="1672"/>
      </w:tblGrid>
      <w:tr>
        <w:trPr>
          <w:tblHeader/>
        </w:trPr>
        <w:tc>
          <w:tcPr>
            <w:tcW w:type="dxa" w:w="823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RM m</w:t>
            </w:r>
          </w:p>
        </w:tc>
        <w:tc>
          <w:tcPr>
            <w:tcW w:type="dxa" w:w="167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Amount</w:t>
            </w:r>
          </w:p>
        </w:tc>
      </w:tr>
      <w:tr>
        <w:trPr>
          <w:cantSplit/>
        </w:trPr>
        <w:tc>
          <w:tcPr>
            <w:tcW w:type="dxa" w:w="82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Ringgit MTNs (GENM Capital Bhd, 13 tranches, 4.92-5.58%)</w:t>
            </w:r>
          </w:p>
        </w:tc>
        <w:tc>
          <w:tcPr>
            <w:tcW w:type="dxa" w:w="16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4,802</w:t>
            </w:r>
          </w:p>
        </w:tc>
      </w:tr>
      <w:tr>
        <w:trPr>
          <w:cantSplit/>
        </w:trPr>
        <w:tc>
          <w:tcPr>
            <w:tcW w:type="dxa" w:w="823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US$1bn 3.882% senior notes due 2031 (GENM Capital Labuan)</w:t>
            </w:r>
          </w:p>
        </w:tc>
        <w:tc>
          <w:tcPr>
            <w:tcW w:type="dxa" w:w="167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~4,080</w:t>
            </w:r>
          </w:p>
        </w:tc>
      </w:tr>
      <w:tr>
        <w:trPr>
          <w:cantSplit/>
        </w:trPr>
        <w:tc>
          <w:tcPr>
            <w:tcW w:type="dxa" w:w="82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US$625m 7.25% senior notes due 2029 (Genting NY / GENNY Capital)</w:t>
            </w:r>
          </w:p>
        </w:tc>
        <w:tc>
          <w:tcPr>
            <w:tcW w:type="dxa" w:w="16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~2,550</w:t>
            </w:r>
          </w:p>
        </w:tc>
      </w:tr>
      <w:tr>
        <w:trPr>
          <w:cantSplit/>
        </w:trPr>
        <w:tc>
          <w:tcPr>
            <w:tcW w:type="dxa" w:w="823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US$2.0bn Genting Americas secured facility (Jun-26; ~US$737.5m drawn at Jun-26)</w:t>
            </w:r>
          </w:p>
        </w:tc>
        <w:tc>
          <w:tcPr>
            <w:tcW w:type="dxa" w:w="167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3,009</w:t>
            </w:r>
          </w:p>
        </w:tc>
      </w:tr>
      <w:tr>
        <w:trPr>
          <w:cantSplit/>
        </w:trPr>
        <w:tc>
          <w:tcPr>
            <w:tcW w:type="dxa" w:w="82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Empire US$300m 7.75% notes (redeemed 2-Jul-26 via the GAI facility)</w:t>
            </w:r>
          </w:p>
        </w:tc>
        <w:tc>
          <w:tcPr>
            <w:tcW w:type="dxa" w:w="16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1,235</w:t>
            </w:r>
          </w:p>
        </w:tc>
      </w:tr>
      <w:tr>
        <w:trPr>
          <w:cantSplit/>
        </w:trPr>
        <w:tc>
          <w:tcPr>
            <w:tcW w:type="dxa" w:w="823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Other</w:t>
            </w:r>
          </w:p>
        </w:tc>
        <w:tc>
          <w:tcPr>
            <w:tcW w:type="dxa" w:w="167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~27</w:t>
            </w:r>
          </w:p>
        </w:tc>
      </w:tr>
      <w:tr>
        <w:trPr>
          <w:cantSplit/>
        </w:trPr>
        <w:tc>
          <w:tcPr>
            <w:tcW w:type="dxa" w:w="8234"/>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Gross borrowings</w:t>
            </w:r>
          </w:p>
        </w:tc>
        <w:tc>
          <w:tcPr>
            <w:tcW w:type="dxa" w:w="1672"/>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15,703</w:t>
            </w:r>
          </w:p>
        </w:tc>
      </w:tr>
      <w:tr>
        <w:trPr>
          <w:cantSplit/>
        </w:trPr>
        <w:tc>
          <w:tcPr>
            <w:tcW w:type="dxa" w:w="823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Lease liabilities</w:t>
            </w:r>
          </w:p>
        </w:tc>
        <w:tc>
          <w:tcPr>
            <w:tcW w:type="dxa" w:w="167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2,231</w:t>
            </w:r>
          </w:p>
        </w:tc>
      </w:tr>
      <w:tr>
        <w:trPr>
          <w:cantSplit/>
        </w:trPr>
        <w:tc>
          <w:tcPr>
            <w:tcW w:type="dxa" w:w="8234"/>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Total debt incl. leases</w:t>
            </w:r>
          </w:p>
        </w:tc>
        <w:tc>
          <w:tcPr>
            <w:tcW w:type="dxa" w:w="1672"/>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17,988</w:t>
            </w:r>
          </w:p>
        </w:tc>
      </w:tr>
      <w:tr>
        <w:trPr>
          <w:cantSplit/>
        </w:trPr>
        <w:tc>
          <w:tcPr>
            <w:tcW w:type="dxa" w:w="823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Cash 2,674 + money-market funds 1,148</w:t>
            </w:r>
          </w:p>
        </w:tc>
        <w:tc>
          <w:tcPr>
            <w:tcW w:type="dxa" w:w="167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(3,822)</w:t>
            </w:r>
          </w:p>
        </w:tc>
      </w:tr>
      <w:tr>
        <w:trPr>
          <w:cantSplit/>
        </w:trPr>
        <w:tc>
          <w:tcPr>
            <w:tcW w:type="dxa" w:w="8234"/>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Net debt incl. leases</w:t>
            </w:r>
          </w:p>
        </w:tc>
        <w:tc>
          <w:tcPr>
            <w:tcW w:type="dxa" w:w="1672"/>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14,166</w:t>
            </w:r>
          </w:p>
        </w:tc>
      </w:tr>
      <w:tr>
        <w:trPr>
          <w:cantSplit/>
        </w:trPr>
        <w:tc>
          <w:tcPr>
            <w:tcW w:type="dxa" w:w="823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Net debt excl. leases</w:t>
            </w:r>
          </w:p>
        </w:tc>
        <w:tc>
          <w:tcPr>
            <w:tcW w:type="dxa" w:w="167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11,881</w:t>
            </w:r>
          </w:p>
        </w:tc>
      </w:tr>
      <w:tr>
        <w:trPr>
          <w:cantSplit/>
        </w:trPr>
        <w:tc>
          <w:tcPr>
            <w:tcW w:type="dxa" w:w="82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Net debt incl. leases / LTM adj. EBITDA ex-FX</w:t>
            </w:r>
          </w:p>
        </w:tc>
        <w:tc>
          <w:tcPr>
            <w:tcW w:type="dxa" w:w="16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4.9x</w:t>
            </w:r>
          </w:p>
        </w:tc>
      </w:tr>
      <w:tr>
        <w:trPr>
          <w:cantSplit/>
        </w:trPr>
        <w:tc>
          <w:tcPr>
            <w:tcW w:type="dxa" w:w="823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Equity (attributable)</w:t>
            </w:r>
          </w:p>
        </w:tc>
        <w:tc>
          <w:tcPr>
            <w:tcW w:type="dxa" w:w="167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11,269</w:t>
            </w:r>
          </w:p>
        </w:tc>
      </w:tr>
    </w:tbl>
    <w:p>
      <w:pPr>
        <w:spacing w:after="60"/>
      </w:pPr>
    </w:p>
    <w:p>
      <w:pPr>
        <w:spacing w:after="120" w:line="276"/>
      </w:pPr>
      <w:r>
        <w:rPr>
          <w:rFonts w:ascii="Arial" w:cs="Arial" w:eastAsia="Arial" w:hAnsi="Arial"/>
          <w:sz w:val="19"/>
          <w:szCs w:val="19"/>
        </w:rPr>
        <w:t xml:space="preserve">Currency mix: USD ~69% of borrowings (secured USD RM4.2bn, unsecured USD RM6.7bn), RM ~31%. Fair value of borrowings at Dec-25: RM12.49bn vs book RM12.72bn.</w:t>
      </w:r>
    </w:p>
    <w:p>
      <w:pPr>
        <w:pStyle w:val="Heading2"/>
      </w:pPr>
      <w:r>
        <w:t xml:space="preserve">13.2 Maturity profile (nominal, RM m) [e]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3"/>
        <w:gridCol w:w="1077"/>
        <w:gridCol w:w="2957"/>
        <w:gridCol w:w="845"/>
        <w:gridCol w:w="3394"/>
      </w:tblGrid>
      <w:tr>
        <w:trPr>
          <w:tblHeader/>
        </w:trPr>
        <w:tc>
          <w:tcPr>
            <w:tcW w:type="dxa" w:w="163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Year</w:t>
            </w:r>
          </w:p>
        </w:tc>
        <w:tc>
          <w:tcPr>
            <w:tcW w:type="dxa" w:w="107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RM MTNs</w:t>
            </w:r>
          </w:p>
        </w:tc>
        <w:tc>
          <w:tcPr>
            <w:tcW w:type="dxa" w:w="295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USD bonds</w:t>
            </w:r>
          </w:p>
        </w:tc>
        <w:tc>
          <w:tcPr>
            <w:tcW w:type="dxa" w:w="84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Total</w:t>
            </w:r>
          </w:p>
        </w:tc>
        <w:tc>
          <w:tcPr>
            <w:tcW w:type="dxa" w:w="339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Comment</w:t>
            </w:r>
          </w:p>
        </w:tc>
      </w:tr>
      <w:tr>
        <w:trPr>
          <w:cantSplit/>
        </w:trPr>
        <w:tc>
          <w:tcPr>
            <w:tcW w:type="dxa" w:w="16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2026 (remaining)</w:t>
            </w:r>
          </w:p>
        </w:tc>
        <w:tc>
          <w:tcPr>
            <w:tcW w:type="dxa" w:w="107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w:t>
            </w:r>
          </w:p>
        </w:tc>
        <w:tc>
          <w:tcPr>
            <w:tcW w:type="dxa" w:w="29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Empire US$300m (repaid Jul-26)</w:t>
            </w:r>
          </w:p>
        </w:tc>
        <w:tc>
          <w:tcPr>
            <w:tcW w:type="dxa" w:w="8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0</w:t>
            </w:r>
          </w:p>
        </w:tc>
        <w:tc>
          <w:tcPr>
            <w:tcW w:type="dxa" w:w="33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Refinanced into the GAI facility</w:t>
            </w:r>
          </w:p>
        </w:tc>
      </w:tr>
      <w:tr>
        <w:trPr>
          <w:cantSplit/>
        </w:trPr>
        <w:tc>
          <w:tcPr>
            <w:tcW w:type="dxa" w:w="16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2027</w:t>
            </w:r>
          </w:p>
        </w:tc>
        <w:tc>
          <w:tcPr>
            <w:tcW w:type="dxa" w:w="107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1,100 (Mar)</w:t>
            </w:r>
          </w:p>
        </w:tc>
        <w:tc>
          <w:tcPr>
            <w:tcW w:type="dxa" w:w="29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t>
            </w:r>
          </w:p>
        </w:tc>
        <w:tc>
          <w:tcPr>
            <w:tcW w:type="dxa" w:w="84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1,100</w:t>
            </w:r>
          </w:p>
        </w:tc>
        <w:tc>
          <w:tcPr>
            <w:tcW w:type="dxa" w:w="339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First refinancing test</w:t>
            </w:r>
          </w:p>
        </w:tc>
      </w:tr>
      <w:tr>
        <w:trPr>
          <w:cantSplit/>
        </w:trPr>
        <w:tc>
          <w:tcPr>
            <w:tcW w:type="dxa" w:w="16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2028</w:t>
            </w:r>
          </w:p>
        </w:tc>
        <w:tc>
          <w:tcPr>
            <w:tcW w:type="dxa" w:w="107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1,000</w:t>
            </w:r>
          </w:p>
        </w:tc>
        <w:tc>
          <w:tcPr>
            <w:tcW w:type="dxa" w:w="29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t>
            </w:r>
          </w:p>
        </w:tc>
        <w:tc>
          <w:tcPr>
            <w:tcW w:type="dxa" w:w="8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1,000</w:t>
            </w:r>
          </w:p>
        </w:tc>
        <w:tc>
          <w:tcPr>
            <w:tcW w:type="dxa" w:w="33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p>
        </w:tc>
      </w:tr>
      <w:tr>
        <w:trPr>
          <w:cantSplit/>
        </w:trPr>
        <w:tc>
          <w:tcPr>
            <w:tcW w:type="dxa" w:w="16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2029</w:t>
            </w:r>
          </w:p>
        </w:tc>
        <w:tc>
          <w:tcPr>
            <w:tcW w:type="dxa" w:w="107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800</w:t>
            </w:r>
          </w:p>
        </w:tc>
        <w:tc>
          <w:tcPr>
            <w:tcW w:type="dxa" w:w="29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US$625m (~2,550)</w:t>
            </w:r>
          </w:p>
        </w:tc>
        <w:tc>
          <w:tcPr>
            <w:tcW w:type="dxa" w:w="84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3,350</w:t>
            </w:r>
          </w:p>
        </w:tc>
        <w:tc>
          <w:tcPr>
            <w:tcW w:type="dxa" w:w="339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Wall year</w:t>
            </w:r>
          </w:p>
        </w:tc>
      </w:tr>
      <w:tr>
        <w:trPr>
          <w:cantSplit/>
        </w:trPr>
        <w:tc>
          <w:tcPr>
            <w:tcW w:type="dxa" w:w="16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2030</w:t>
            </w:r>
          </w:p>
        </w:tc>
        <w:tc>
          <w:tcPr>
            <w:tcW w:type="dxa" w:w="107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150</w:t>
            </w:r>
          </w:p>
        </w:tc>
        <w:tc>
          <w:tcPr>
            <w:tcW w:type="dxa" w:w="29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t>
            </w:r>
          </w:p>
        </w:tc>
        <w:tc>
          <w:tcPr>
            <w:tcW w:type="dxa" w:w="8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150</w:t>
            </w:r>
          </w:p>
        </w:tc>
        <w:tc>
          <w:tcPr>
            <w:tcW w:type="dxa" w:w="33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p>
        </w:tc>
      </w:tr>
      <w:tr>
        <w:trPr>
          <w:cantSplit/>
        </w:trPr>
        <w:tc>
          <w:tcPr>
            <w:tcW w:type="dxa" w:w="16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2031</w:t>
            </w:r>
          </w:p>
        </w:tc>
        <w:tc>
          <w:tcPr>
            <w:tcW w:type="dxa" w:w="107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w:t>
            </w:r>
          </w:p>
        </w:tc>
        <w:tc>
          <w:tcPr>
            <w:tcW w:type="dxa" w:w="29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US$1bn (~4,080)</w:t>
            </w:r>
          </w:p>
        </w:tc>
        <w:tc>
          <w:tcPr>
            <w:tcW w:type="dxa" w:w="84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4,080</w:t>
            </w:r>
          </w:p>
        </w:tc>
        <w:tc>
          <w:tcPr>
            <w:tcW w:type="dxa" w:w="339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Wall year</w:t>
            </w:r>
          </w:p>
        </w:tc>
      </w:tr>
      <w:tr>
        <w:trPr>
          <w:cantSplit/>
        </w:trPr>
        <w:tc>
          <w:tcPr>
            <w:tcW w:type="dxa" w:w="16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2032-2038</w:t>
            </w:r>
          </w:p>
        </w:tc>
        <w:tc>
          <w:tcPr>
            <w:tcW w:type="dxa" w:w="107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1,700</w:t>
            </w:r>
          </w:p>
        </w:tc>
        <w:tc>
          <w:tcPr>
            <w:tcW w:type="dxa" w:w="29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t>
            </w:r>
          </w:p>
        </w:tc>
        <w:tc>
          <w:tcPr>
            <w:tcW w:type="dxa" w:w="8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1,700</w:t>
            </w:r>
          </w:p>
        </w:tc>
        <w:tc>
          <w:tcPr>
            <w:tcW w:type="dxa" w:w="33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p>
        </w:tc>
      </w:tr>
      <w:tr>
        <w:trPr>
          <w:cantSplit/>
        </w:trPr>
        <w:tc>
          <w:tcPr>
            <w:tcW w:type="dxa" w:w="16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GAI facility</w:t>
            </w:r>
          </w:p>
        </w:tc>
        <w:tc>
          <w:tcPr>
            <w:tcW w:type="dxa" w:w="107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w:t>
            </w:r>
          </w:p>
        </w:tc>
        <w:tc>
          <w:tcPr>
            <w:tcW w:type="dxa" w:w="29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~US$1.0bn+ drawn after Jul-26</w:t>
            </w:r>
          </w:p>
        </w:tc>
        <w:tc>
          <w:tcPr>
            <w:tcW w:type="dxa" w:w="84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~4,200+</w:t>
            </w:r>
          </w:p>
        </w:tc>
        <w:tc>
          <w:tcPr>
            <w:tcW w:type="dxa" w:w="339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Tenor and pricing not disclosed [u]</w:t>
            </w:r>
          </w:p>
        </w:tc>
      </w:tr>
    </w:tbl>
    <w:p>
      <w:pPr>
        <w:spacing w:after="60"/>
      </w:pPr>
    </w:p>
    <w:p>
      <w:pPr>
        <w:pStyle w:val="Heading2"/>
      </w:pPr>
      <w:r>
        <w:t xml:space="preserve">13.3 Cost of debt, covenants and ratings</w:t>
      </w:r>
    </w:p>
    <w:p>
      <w:pPr>
        <w:pStyle w:val="ListParagraph"/>
        <w:numPr>
          <w:ilvl w:val="0"/>
          <w:numId w:val="3"/>
        </w:numPr>
        <w:spacing w:after="60" w:line="264"/>
      </w:pPr>
      <w:r>
        <w:rPr>
          <w:rFonts w:ascii="Arial" w:cs="Arial" w:eastAsia="Arial" w:hAnsi="Arial"/>
          <w:b/>
          <w:bCs/>
          <w:sz w:val="19"/>
          <w:szCs w:val="19"/>
        </w:rPr>
        <w:t xml:space="preserve">Interest cost:</w:t>
      </w:r>
      <w:r>
        <w:rPr>
          <w:rFonts w:ascii="Arial" w:cs="Arial" w:eastAsia="Arial" w:hAnsi="Arial"/>
          <w:sz w:val="19"/>
          <w:szCs w:val="19"/>
        </w:rPr>
        <w:t xml:space="preserve"> 1H26 interest on borrowings RM413.8m (~5.8% annualised on average borrowings) plus RM117m of other finance costs (mainly lease interest). LTM finance costs RM976m; adj. EBITDA/finance costs </w:t>
      </w:r>
      <w:r>
        <w:rPr>
          <w:rFonts w:ascii="Arial" w:cs="Arial" w:eastAsia="Arial" w:hAnsi="Arial"/>
          <w:b/>
          <w:bCs/>
          <w:sz w:val="19"/>
          <w:szCs w:val="19"/>
        </w:rPr>
        <w:t xml:space="preserve">3.1x</w:t>
      </w:r>
      <w:r>
        <w:rPr>
          <w:rFonts w:ascii="Arial" w:cs="Arial" w:eastAsia="Arial" w:hAnsi="Arial"/>
          <w:sz w:val="19"/>
          <w:szCs w:val="19"/>
        </w:rPr>
        <w:t xml:space="preserve"> (4.0x in FY25).</w:t>
      </w:r>
    </w:p>
    <w:p>
      <w:pPr>
        <w:pStyle w:val="ListParagraph"/>
        <w:numPr>
          <w:ilvl w:val="0"/>
          <w:numId w:val="3"/>
        </w:numPr>
        <w:spacing w:after="60" w:line="264"/>
      </w:pPr>
      <w:r>
        <w:rPr>
          <w:rFonts w:ascii="Arial" w:cs="Arial" w:eastAsia="Arial" w:hAnsi="Arial"/>
          <w:b/>
          <w:bCs/>
          <w:sz w:val="19"/>
          <w:szCs w:val="19"/>
        </w:rPr>
        <w:t xml:space="preserve">Covenants:</w:t>
      </w:r>
      <w:r>
        <w:rPr>
          <w:rFonts w:ascii="Arial" w:cs="Arial" w:eastAsia="Arial" w:hAnsi="Arial"/>
          <w:sz w:val="19"/>
          <w:szCs w:val="19"/>
        </w:rPr>
        <w:t xml:space="preserve"> not disclosed in the annual report or quarterly filings [u]. The GAI facility is secured on the US restricted group (GENNY, Empire, RW Omni), so leverage and coverage covenants are likely at that level [e]. The USD notes are senior unsecured with standard change-of-control and negative-pledge clauses [e].</w:t>
      </w:r>
    </w:p>
    <w:p>
      <w:pPr>
        <w:pStyle w:val="ListParagraph"/>
        <w:numPr>
          <w:ilvl w:val="0"/>
          <w:numId w:val="3"/>
        </w:numPr>
        <w:spacing w:after="60" w:line="264"/>
      </w:pPr>
      <w:r>
        <w:rPr>
          <w:rFonts w:ascii="Arial" w:cs="Arial" w:eastAsia="Arial" w:hAnsi="Arial"/>
          <w:b/>
          <w:bCs/>
          <w:sz w:val="19"/>
          <w:szCs w:val="19"/>
        </w:rPr>
        <w:t xml:space="preserve">Ratings:</w:t>
      </w:r>
      <w:r>
        <w:rPr>
          <w:rFonts w:ascii="Arial" w:cs="Arial" w:eastAsia="Arial" w:hAnsi="Arial"/>
          <w:sz w:val="19"/>
          <w:szCs w:val="19"/>
        </w:rPr>
        <w:t xml:space="preserve"> Fitch BBB-/Stable (cut from BBB, Sep-26). RAM AA1/Stable (domestic). S&amp;P rates the Genting NY notes BB+ (negative outlook). The parent is Moody's Baa3 (cut Dec-25), Fitch BBB- (cut Sep-26) and S&amp;P BBB-/Negative ("fallen angel" risk).</w:t>
      </w:r>
    </w:p>
    <w:p>
      <w:pPr>
        <w:pStyle w:val="ListParagraph"/>
        <w:numPr>
          <w:ilvl w:val="0"/>
          <w:numId w:val="3"/>
        </w:numPr>
        <w:spacing w:after="60" w:line="264"/>
      </w:pPr>
      <w:r>
        <w:rPr>
          <w:rFonts w:ascii="Arial" w:cs="Arial" w:eastAsia="Arial" w:hAnsi="Arial"/>
          <w:b/>
          <w:bCs/>
          <w:sz w:val="19"/>
          <w:szCs w:val="19"/>
        </w:rPr>
        <w:t xml:space="preserve">Liquidity:</w:t>
      </w:r>
      <w:r>
        <w:rPr>
          <w:rFonts w:ascii="Arial" w:cs="Arial" w:eastAsia="Arial" w:hAnsi="Arial"/>
          <w:sz w:val="19"/>
          <w:szCs w:val="19"/>
        </w:rPr>
        <w:t xml:space="preserve"> ~RM3.9bn of cash and money-market funds, plus undrawn GAI capacity of ~US$0.9-1.0bn [e], against near-term maturities of RM1.1bn (Mar-27) and 2H26-FY27 capex of ~RM6.2bn. Liquidity is adequate for 12-18 months, but the FY29 and FY31 bond walls and phase-2 capex need refinancing, asset sales or equity.</w:t>
      </w:r>
    </w:p>
    <w:p>
      <w:pPr>
        <w:pStyle w:val="Heading2"/>
      </w:pPr>
      <w:r>
        <w:t xml:space="preserve">13.4 Assessment</w:t>
      </w:r>
    </w:p>
    <w:p>
      <w:pPr>
        <w:spacing w:after="120" w:line="276"/>
      </w:pPr>
      <w:r>
        <w:rPr>
          <w:rFonts w:ascii="Arial" w:cs="Arial" w:eastAsia="Arial" w:hAnsi="Arial"/>
          <w:sz w:val="19"/>
          <w:szCs w:val="19"/>
        </w:rPr>
        <w:t xml:space="preserve">The balance sheet has moved from "comfortable" (3.1x in FY25) to </w:t>
      </w:r>
      <w:r>
        <w:rPr>
          <w:rFonts w:ascii="Arial" w:cs="Arial" w:eastAsia="Arial" w:hAnsi="Arial"/>
          <w:b/>
          <w:bCs/>
          <w:sz w:val="19"/>
          <w:szCs w:val="19"/>
        </w:rPr>
        <w:t xml:space="preserve">"stretched but financeable"</w:t>
      </w:r>
      <w:r>
        <w:rPr>
          <w:rFonts w:ascii="Arial" w:cs="Arial" w:eastAsia="Arial" w:hAnsi="Arial"/>
          <w:sz w:val="19"/>
          <w:szCs w:val="19"/>
        </w:rPr>
        <w:t xml:space="preserve"> (~5x through FY27E). The key vulnerabilities:</w:t>
      </w:r>
    </w:p>
    <w:p>
      <w:pPr>
        <w:pStyle w:val="ListParagraph"/>
        <w:numPr>
          <w:ilvl w:val="0"/>
          <w:numId w:val="6"/>
        </w:numPr>
        <w:spacing w:after="60" w:line="264"/>
      </w:pPr>
      <w:r>
        <w:rPr>
          <w:rFonts w:ascii="Arial" w:cs="Arial" w:eastAsia="Arial" w:hAnsi="Arial"/>
          <w:sz w:val="19"/>
          <w:szCs w:val="19"/>
        </w:rPr>
        <w:t xml:space="preserve">The structural subordination of GENM's ringgit and Labuan bonds to the secured US facility.</w:t>
      </w:r>
    </w:p>
    <w:p>
      <w:pPr>
        <w:pStyle w:val="ListParagraph"/>
        <w:numPr>
          <w:ilvl w:val="0"/>
          <w:numId w:val="6"/>
        </w:numPr>
        <w:spacing w:after="60" w:line="264"/>
      </w:pPr>
      <w:r>
        <w:rPr>
          <w:rFonts w:ascii="Arial" w:cs="Arial" w:eastAsia="Arial" w:hAnsi="Arial"/>
          <w:sz w:val="19"/>
          <w:szCs w:val="19"/>
        </w:rPr>
        <w:t xml:space="preserve">USD exposure: ~69% of debt is in USD against ~33% of revenue (a natural hedge only once NY matures).</w:t>
      </w:r>
    </w:p>
    <w:p>
      <w:pPr>
        <w:pStyle w:val="ListParagraph"/>
        <w:numPr>
          <w:ilvl w:val="0"/>
          <w:numId w:val="6"/>
        </w:numPr>
        <w:spacing w:after="60" w:line="264"/>
      </w:pPr>
      <w:r>
        <w:rPr>
          <w:rFonts w:ascii="Arial" w:cs="Arial" w:eastAsia="Arial" w:hAnsi="Arial"/>
          <w:sz w:val="19"/>
          <w:szCs w:val="19"/>
        </w:rPr>
        <w:t xml:space="preserve">A parent that is itself stretched and may extract cash through fees and dividends.</w:t>
      </w:r>
    </w:p>
    <w:p>
      <w:pPr>
        <w:spacing w:after="120" w:line="276"/>
      </w:pPr>
      <w:r>
        <w:rPr>
          <w:rFonts w:ascii="Arial" w:cs="Arial" w:eastAsia="Arial" w:hAnsi="Arial"/>
          <w:sz w:val="19"/>
          <w:szCs w:val="19"/>
        </w:rPr>
        <w:t xml:space="preserve">Covenant headroom cannot be assessed from public data, and we flag this as a diligence item.</w:t>
      </w:r>
    </w:p>
    <w:p>
      <w:r>
        <w:br w:type="page"/>
      </w:r>
    </w:p>
    <w:p>
      <w:pPr>
        <w:pStyle w:val="Heading1"/>
      </w:pPr>
      <w:r>
        <w:t xml:space="preserve">14. Valuation vs Peers and vs History</w:t>
      </w:r>
    </w:p>
    <w:p>
      <w:pPr>
        <w:spacing w:after="120" w:line="276"/>
      </w:pPr>
      <w:r>
        <w:rPr>
          <w:rFonts w:ascii="Arial" w:cs="Arial" w:eastAsia="Arial" w:hAnsi="Arial"/>
          <w:b/>
          <w:bCs/>
          <w:sz w:val="19"/>
          <w:szCs w:val="19"/>
        </w:rPr>
        <w:t xml:space="preserve">Bottom line: cheap on EV/EBITDA, sales and book, expensive on earnings, and roughly fair against peers at today's margins.</w:t>
      </w:r>
      <w:r>
        <w:rPr>
          <w:rFonts w:ascii="Arial" w:cs="Arial" w:eastAsia="Arial" w:hAnsi="Arial"/>
          <w:sz w:val="19"/>
          <w:szCs w:val="19"/>
        </w:rPr>
        <w:t xml:space="preserve"> GENM trades at 6.6x NTM EBITDA (CIQ; peers 7.5x; own 10-year median 8.8x; 11th percentile), 1.56x sales (2nd percentile of its history) and 0.64x book (record low). But it trades at 14.9x NTM P/E (peers 10.1x) because leverage (5.6x net debt/EBITDA vs a 4.3x peer median), D&amp;A and finance costs absorb most of the EBITDA. </w:t>
      </w:r>
      <w:r>
        <w:rPr>
          <w:rFonts w:ascii="Arial" w:cs="Arial" w:eastAsia="Arial" w:hAnsi="Arial"/>
          <w:b/>
          <w:bCs/>
          <w:sz w:val="19"/>
          <w:szCs w:val="19"/>
        </w:rPr>
        <w:t xml:space="preserve">The stock screens cheap only if the EBITDA converts into equity value, which depends on New York.</w:t>
      </w:r>
    </w:p>
    <w:p>
      <w:pPr>
        <w:pStyle w:val="Heading2"/>
      </w:pPr>
      <w:r>
        <w:t xml:space="preserve">14.1 Headline valuation (16-Oct-2026, RM1.27)</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8"/>
        <w:gridCol w:w="1796"/>
        <w:gridCol w:w="937"/>
        <w:gridCol w:w="889"/>
        <w:gridCol w:w="978"/>
        <w:gridCol w:w="1127"/>
        <w:gridCol w:w="2111"/>
      </w:tblGrid>
      <w:tr>
        <w:trPr>
          <w:tblHeader/>
        </w:trPr>
        <w:tc>
          <w:tcPr>
            <w:tcW w:type="dxa" w:w="206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Metric</w:t>
            </w:r>
          </w:p>
        </w:tc>
        <w:tc>
          <w:tcPr>
            <w:tcW w:type="dxa" w:w="179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GENM</w:t>
            </w:r>
          </w:p>
        </w:tc>
        <w:tc>
          <w:tcPr>
            <w:tcW w:type="dxa" w:w="93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Peer median (31)</w:t>
            </w:r>
          </w:p>
        </w:tc>
        <w:tc>
          <w:tcPr>
            <w:tcW w:type="dxa" w:w="88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Asia-Pac median</w:t>
            </w:r>
          </w:p>
        </w:tc>
        <w:tc>
          <w:tcPr>
            <w:tcW w:type="dxa" w:w="97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GENM 10-yr median</w:t>
            </w:r>
          </w:p>
        </w:tc>
        <w:tc>
          <w:tcPr>
            <w:tcW w:type="dxa" w:w="112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GENM percentile (10-yr)</w:t>
            </w:r>
          </w:p>
        </w:tc>
        <w:tc>
          <w:tcPr>
            <w:tcW w:type="dxa" w:w="211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Signal</w:t>
            </w:r>
          </w:p>
        </w:tc>
      </w:tr>
      <w:tr>
        <w:trPr>
          <w:cantSplit/>
        </w:trPr>
        <w:tc>
          <w:tcPr>
            <w:tcW w:type="dxa" w:w="20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TEV/Sales (LTM)</w:t>
            </w:r>
          </w:p>
        </w:tc>
        <w:tc>
          <w:tcPr>
            <w:tcW w:type="dxa" w:w="17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1.56x</w:t>
            </w:r>
          </w:p>
        </w:tc>
        <w:tc>
          <w:tcPr>
            <w:tcW w:type="dxa" w:w="9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1.86x</w:t>
            </w:r>
          </w:p>
        </w:tc>
        <w:tc>
          <w:tcPr>
            <w:tcW w:type="dxa" w:w="8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1.66x</w:t>
            </w:r>
          </w:p>
        </w:tc>
        <w:tc>
          <w:tcPr>
            <w:tcW w:type="dxa" w:w="9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2.65x</w:t>
            </w:r>
          </w:p>
        </w:tc>
        <w:tc>
          <w:tcPr>
            <w:tcW w:type="dxa" w:w="11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2nd</w:t>
            </w:r>
          </w:p>
        </w:tc>
        <w:tc>
          <w:tcPr>
            <w:tcW w:type="dxa" w:w="211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Cheap</w:t>
            </w:r>
          </w:p>
        </w:tc>
      </w:tr>
      <w:tr>
        <w:trPr>
          <w:cantSplit/>
        </w:trPr>
        <w:tc>
          <w:tcPr>
            <w:tcW w:type="dxa" w:w="20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TEV/EBITDA (LTM)</w:t>
            </w:r>
          </w:p>
        </w:tc>
        <w:tc>
          <w:tcPr>
            <w:tcW w:type="dxa" w:w="17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8.1x</w:t>
            </w:r>
          </w:p>
        </w:tc>
        <w:tc>
          <w:tcPr>
            <w:tcW w:type="dxa" w:w="93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7.9x</w:t>
            </w:r>
          </w:p>
        </w:tc>
        <w:tc>
          <w:tcPr>
            <w:tcW w:type="dxa" w:w="8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7.6x</w:t>
            </w:r>
          </w:p>
        </w:tc>
        <w:tc>
          <w:tcPr>
            <w:tcW w:type="dxa" w:w="9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9.4x (ex-Covid)</w:t>
            </w:r>
          </w:p>
        </w:tc>
        <w:tc>
          <w:tcPr>
            <w:tcW w:type="dxa" w:w="11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39th</w:t>
            </w:r>
          </w:p>
        </w:tc>
        <w:tc>
          <w:tcPr>
            <w:tcW w:type="dxa" w:w="211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Fair</w:t>
            </w:r>
          </w:p>
        </w:tc>
      </w:tr>
      <w:tr>
        <w:trPr>
          <w:cantSplit/>
        </w:trPr>
        <w:tc>
          <w:tcPr>
            <w:tcW w:type="dxa" w:w="20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TEV/EBITDA (NTM)</w:t>
            </w:r>
          </w:p>
        </w:tc>
        <w:tc>
          <w:tcPr>
            <w:tcW w:type="dxa" w:w="17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6.6x</w:t>
            </w:r>
          </w:p>
        </w:tc>
        <w:tc>
          <w:tcPr>
            <w:tcW w:type="dxa" w:w="9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7.5x</w:t>
            </w:r>
          </w:p>
        </w:tc>
        <w:tc>
          <w:tcPr>
            <w:tcW w:type="dxa" w:w="8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7.4x</w:t>
            </w:r>
          </w:p>
        </w:tc>
        <w:tc>
          <w:tcPr>
            <w:tcW w:type="dxa" w:w="9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8.8x</w:t>
            </w:r>
          </w:p>
        </w:tc>
        <w:tc>
          <w:tcPr>
            <w:tcW w:type="dxa" w:w="11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11th</w:t>
            </w:r>
          </w:p>
        </w:tc>
        <w:tc>
          <w:tcPr>
            <w:tcW w:type="dxa" w:w="211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Cheap</w:t>
            </w:r>
          </w:p>
        </w:tc>
      </w:tr>
      <w:tr>
        <w:trPr>
          <w:cantSplit/>
        </w:trPr>
        <w:tc>
          <w:tcPr>
            <w:tcW w:type="dxa" w:w="20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TEV/EBIT (LTM)</w:t>
            </w:r>
          </w:p>
        </w:tc>
        <w:tc>
          <w:tcPr>
            <w:tcW w:type="dxa" w:w="17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18.2x</w:t>
            </w:r>
          </w:p>
        </w:tc>
        <w:tc>
          <w:tcPr>
            <w:tcW w:type="dxa" w:w="93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12.8x</w:t>
            </w:r>
          </w:p>
        </w:tc>
        <w:tc>
          <w:tcPr>
            <w:tcW w:type="dxa" w:w="8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13.2x</w:t>
            </w:r>
          </w:p>
        </w:tc>
        <w:tc>
          <w:tcPr>
            <w:tcW w:type="dxa" w:w="9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n/a</w:t>
            </w:r>
          </w:p>
        </w:tc>
        <w:tc>
          <w:tcPr>
            <w:tcW w:type="dxa" w:w="11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n/a</w:t>
            </w:r>
          </w:p>
        </w:tc>
        <w:tc>
          <w:tcPr>
            <w:tcW w:type="dxa" w:w="211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Expensive</w:t>
            </w:r>
          </w:p>
        </w:tc>
      </w:tr>
      <w:tr>
        <w:trPr>
          <w:cantSplit/>
        </w:trPr>
        <w:tc>
          <w:tcPr>
            <w:tcW w:type="dxa" w:w="20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P/E (LTM / NTM)</w:t>
            </w:r>
          </w:p>
        </w:tc>
        <w:tc>
          <w:tcPr>
            <w:tcW w:type="dxa" w:w="17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23.1x / 14.9x</w:t>
            </w:r>
          </w:p>
        </w:tc>
        <w:tc>
          <w:tcPr>
            <w:tcW w:type="dxa" w:w="9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13.4x / 10.1x</w:t>
            </w:r>
          </w:p>
        </w:tc>
        <w:tc>
          <w:tcPr>
            <w:tcW w:type="dxa" w:w="8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11.2x / 9.5x</w:t>
            </w:r>
          </w:p>
        </w:tc>
        <w:tc>
          <w:tcPr>
            <w:tcW w:type="dxa" w:w="9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19.8x (LTM)</w:t>
            </w:r>
          </w:p>
        </w:tc>
        <w:tc>
          <w:tcPr>
            <w:tcW w:type="dxa" w:w="11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76th</w:t>
            </w:r>
          </w:p>
        </w:tc>
        <w:tc>
          <w:tcPr>
            <w:tcW w:type="dxa" w:w="211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Expensive</w:t>
            </w:r>
          </w:p>
        </w:tc>
      </w:tr>
      <w:tr>
        <w:trPr>
          <w:cantSplit/>
        </w:trPr>
        <w:tc>
          <w:tcPr>
            <w:tcW w:type="dxa" w:w="20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P/E on our FY27E EPS (8.6 sen)</w:t>
            </w:r>
          </w:p>
        </w:tc>
        <w:tc>
          <w:tcPr>
            <w:tcW w:type="dxa" w:w="17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14.8x</w:t>
            </w:r>
          </w:p>
        </w:tc>
        <w:tc>
          <w:tcPr>
            <w:tcW w:type="dxa" w:w="93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p>
        </w:tc>
        <w:tc>
          <w:tcPr>
            <w:tcW w:type="dxa" w:w="8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p>
        </w:tc>
        <w:tc>
          <w:tcPr>
            <w:tcW w:type="dxa" w:w="9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p>
        </w:tc>
        <w:tc>
          <w:tcPr>
            <w:tcW w:type="dxa" w:w="11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p>
        </w:tc>
        <w:tc>
          <w:tcPr>
            <w:tcW w:type="dxa" w:w="211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Expensive</w:t>
            </w:r>
          </w:p>
        </w:tc>
      </w:tr>
      <w:tr>
        <w:trPr>
          <w:cantSplit/>
        </w:trPr>
        <w:tc>
          <w:tcPr>
            <w:tcW w:type="dxa" w:w="20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Net debt / EBITDA</w:t>
            </w:r>
          </w:p>
        </w:tc>
        <w:tc>
          <w:tcPr>
            <w:tcW w:type="dxa" w:w="17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5.6x (CIQ) / 4.9x (ex-FX adj.)</w:t>
            </w:r>
          </w:p>
        </w:tc>
        <w:tc>
          <w:tcPr>
            <w:tcW w:type="dxa" w:w="9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4.3x</w:t>
            </w:r>
          </w:p>
        </w:tc>
        <w:tc>
          <w:tcPr>
            <w:tcW w:type="dxa" w:w="8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3.9x</w:t>
            </w:r>
          </w:p>
        </w:tc>
        <w:tc>
          <w:tcPr>
            <w:tcW w:type="dxa" w:w="9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~3.4x (FY23-25)</w:t>
            </w:r>
          </w:p>
        </w:tc>
        <w:tc>
          <w:tcPr>
            <w:tcW w:type="dxa" w:w="11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high</w:t>
            </w:r>
          </w:p>
        </w:tc>
        <w:tc>
          <w:tcPr>
            <w:tcW w:type="dxa" w:w="211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Stretched</w:t>
            </w:r>
          </w:p>
        </w:tc>
      </w:tr>
      <w:tr>
        <w:trPr>
          <w:cantSplit/>
        </w:trPr>
        <w:tc>
          <w:tcPr>
            <w:tcW w:type="dxa" w:w="20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EBITDA margin (CIQ basis)</w:t>
            </w:r>
          </w:p>
        </w:tc>
        <w:tc>
          <w:tcPr>
            <w:tcW w:type="dxa" w:w="17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19.2%</w:t>
            </w:r>
          </w:p>
        </w:tc>
        <w:tc>
          <w:tcPr>
            <w:tcW w:type="dxa" w:w="93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24.7%</w:t>
            </w:r>
          </w:p>
        </w:tc>
        <w:tc>
          <w:tcPr>
            <w:tcW w:type="dxa" w:w="8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23.5%</w:t>
            </w:r>
          </w:p>
        </w:tc>
        <w:tc>
          <w:tcPr>
            <w:tcW w:type="dxa" w:w="9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p>
        </w:tc>
        <w:tc>
          <w:tcPr>
            <w:tcW w:type="dxa" w:w="11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p>
        </w:tc>
        <w:tc>
          <w:tcPr>
            <w:tcW w:type="dxa" w:w="211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Below peers</w:t>
            </w:r>
          </w:p>
        </w:tc>
      </w:tr>
      <w:tr>
        <w:trPr>
          <w:cantSplit/>
        </w:trPr>
        <w:tc>
          <w:tcPr>
            <w:tcW w:type="dxa" w:w="20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EBIT margin (CIQ basis)</w:t>
            </w:r>
          </w:p>
        </w:tc>
        <w:tc>
          <w:tcPr>
            <w:tcW w:type="dxa" w:w="17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8.6%</w:t>
            </w:r>
          </w:p>
        </w:tc>
        <w:tc>
          <w:tcPr>
            <w:tcW w:type="dxa" w:w="9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13.0%</w:t>
            </w:r>
          </w:p>
        </w:tc>
        <w:tc>
          <w:tcPr>
            <w:tcW w:type="dxa" w:w="8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12.6%</w:t>
            </w:r>
          </w:p>
        </w:tc>
        <w:tc>
          <w:tcPr>
            <w:tcW w:type="dxa" w:w="9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p>
        </w:tc>
        <w:tc>
          <w:tcPr>
            <w:tcW w:type="dxa" w:w="11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p>
        </w:tc>
        <w:tc>
          <w:tcPr>
            <w:tcW w:type="dxa" w:w="211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Below peers</w:t>
            </w:r>
          </w:p>
        </w:tc>
      </w:tr>
      <w:tr>
        <w:trPr>
          <w:cantSplit/>
        </w:trPr>
        <w:tc>
          <w:tcPr>
            <w:tcW w:type="dxa" w:w="20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Sales growth (LTM)</w:t>
            </w:r>
          </w:p>
        </w:tc>
        <w:tc>
          <w:tcPr>
            <w:tcW w:type="dxa" w:w="17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19.1%</w:t>
            </w:r>
          </w:p>
        </w:tc>
        <w:tc>
          <w:tcPr>
            <w:tcW w:type="dxa" w:w="93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5.9%</w:t>
            </w:r>
          </w:p>
        </w:tc>
        <w:tc>
          <w:tcPr>
            <w:tcW w:type="dxa" w:w="8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7.9%</w:t>
            </w:r>
          </w:p>
        </w:tc>
        <w:tc>
          <w:tcPr>
            <w:tcW w:type="dxa" w:w="9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p>
        </w:tc>
        <w:tc>
          <w:tcPr>
            <w:tcW w:type="dxa" w:w="11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p>
        </w:tc>
        <w:tc>
          <w:tcPr>
            <w:tcW w:type="dxa" w:w="211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Above peers (NY, Empire consolidation)</w:t>
            </w:r>
          </w:p>
        </w:tc>
      </w:tr>
      <w:tr>
        <w:trPr>
          <w:cantSplit/>
        </w:trPr>
        <w:tc>
          <w:tcPr>
            <w:tcW w:type="dxa" w:w="20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Dividend yield</w:t>
            </w:r>
          </w:p>
        </w:tc>
        <w:tc>
          <w:tcPr>
            <w:tcW w:type="dxa" w:w="17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5.5% (FY25 DPS)</w:t>
            </w:r>
          </w:p>
        </w:tc>
        <w:tc>
          <w:tcPr>
            <w:tcW w:type="dxa" w:w="9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0.8%</w:t>
            </w:r>
          </w:p>
        </w:tc>
        <w:tc>
          <w:tcPr>
            <w:tcW w:type="dxa" w:w="8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3.3%</w:t>
            </w:r>
          </w:p>
        </w:tc>
        <w:tc>
          <w:tcPr>
            <w:tcW w:type="dxa" w:w="9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3.5%</w:t>
            </w:r>
          </w:p>
        </w:tc>
        <w:tc>
          <w:tcPr>
            <w:tcW w:type="dxa" w:w="11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80th</w:t>
            </w:r>
          </w:p>
        </w:tc>
        <w:tc>
          <w:tcPr>
            <w:tcW w:type="dxa" w:w="211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High, but at risk</w:t>
            </w:r>
          </w:p>
        </w:tc>
      </w:tr>
      <w:tr>
        <w:trPr>
          <w:cantSplit/>
        </w:trPr>
        <w:tc>
          <w:tcPr>
            <w:tcW w:type="dxa" w:w="20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FCF yield (CFO − capex)</w:t>
            </w:r>
          </w:p>
        </w:tc>
        <w:tc>
          <w:tcPr>
            <w:tcW w:type="dxa" w:w="17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7.3% (−21% incl. NY licence fee)</w:t>
            </w:r>
          </w:p>
        </w:tc>
        <w:tc>
          <w:tcPr>
            <w:tcW w:type="dxa" w:w="93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10.0%</w:t>
            </w:r>
          </w:p>
        </w:tc>
        <w:tc>
          <w:tcPr>
            <w:tcW w:type="dxa" w:w="88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10.6%</w:t>
            </w:r>
          </w:p>
        </w:tc>
        <w:tc>
          <w:tcPr>
            <w:tcW w:type="dxa" w:w="97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p>
        </w:tc>
        <w:tc>
          <w:tcPr>
            <w:tcW w:type="dxa" w:w="11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p>
        </w:tc>
        <w:tc>
          <w:tcPr>
            <w:tcW w:type="dxa" w:w="211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Weak</w:t>
            </w:r>
          </w:p>
        </w:tc>
      </w:tr>
      <w:tr>
        <w:trPr>
          <w:cantSplit/>
        </w:trPr>
        <w:tc>
          <w:tcPr>
            <w:tcW w:type="dxa" w:w="20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P/B</w:t>
            </w:r>
          </w:p>
        </w:tc>
        <w:tc>
          <w:tcPr>
            <w:tcW w:type="dxa" w:w="17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0.64x</w:t>
            </w:r>
          </w:p>
        </w:tc>
        <w:tc>
          <w:tcPr>
            <w:tcW w:type="dxa" w:w="9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1.16x</w:t>
            </w:r>
          </w:p>
        </w:tc>
        <w:tc>
          <w:tcPr>
            <w:tcW w:type="dxa" w:w="8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0.64x</w:t>
            </w:r>
          </w:p>
        </w:tc>
        <w:tc>
          <w:tcPr>
            <w:tcW w:type="dxa" w:w="9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1.15x</w:t>
            </w:r>
          </w:p>
        </w:tc>
        <w:tc>
          <w:tcPr>
            <w:tcW w:type="dxa" w:w="11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3rd</w:t>
            </w:r>
          </w:p>
        </w:tc>
        <w:tc>
          <w:tcPr>
            <w:tcW w:type="dxa" w:w="211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Cheap</w:t>
            </w:r>
          </w:p>
        </w:tc>
      </w:tr>
    </w:tbl>
    <w:p>
      <w:pPr>
        <w:spacing w:after="60"/>
      </w:pPr>
    </w:p>
    <w:p>
      <w:pPr>
        <w:spacing w:after="160"/>
      </w:pPr>
      <w:r>
        <w:rPr>
          <w:rFonts w:ascii="Arial" w:cs="Arial" w:eastAsia="Arial" w:hAnsi="Arial"/>
          <w:i/>
          <w:iCs/>
          <w:color w:val="5A6270"/>
          <w:sz w:val="14"/>
          <w:szCs w:val="14"/>
        </w:rPr>
        <w:t xml:space="preserve">Source: S&amp;P Capital IQ (multiples as of 16-Oct-2026; financials LTM to 30-Jun-2026). TEV includes leases. The CIQ LTM EBITDA (~RM2.5bn) is below company adj. EBITDA (RM3.0bn) because of classification; on the company basis, TEV/LTM adj. EBITDA is 6.8x (7.0x ex-FX; 7.4x on market cap plus net debt).</w:t>
      </w:r>
    </w:p>
    <w:p>
      <w:pPr>
        <w:pStyle w:val="Heading2"/>
      </w:pPr>
      <w:r>
        <w:t xml:space="preserve">14.2 Listed peer comparison (multiples)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6"/>
        <w:gridCol w:w="1151"/>
        <w:gridCol w:w="681"/>
        <w:gridCol w:w="805"/>
        <w:gridCol w:w="715"/>
        <w:gridCol w:w="906"/>
        <w:gridCol w:w="901"/>
        <w:gridCol w:w="695"/>
        <w:gridCol w:w="681"/>
        <w:gridCol w:w="685"/>
      </w:tblGrid>
      <w:tr>
        <w:trPr>
          <w:tblHeader/>
        </w:trPr>
        <w:tc>
          <w:tcPr>
            <w:tcW w:type="dxa" w:w="268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3"/>
                <w:szCs w:val="13"/>
              </w:rPr>
              <w:t xml:space="preserve">Company</w:t>
            </w:r>
          </w:p>
        </w:tc>
        <w:tc>
          <w:tcPr>
            <w:tcW w:type="dxa" w:w="115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3"/>
                <w:szCs w:val="13"/>
              </w:rPr>
              <w:t xml:space="preserve">Ticker</w:t>
            </w:r>
          </w:p>
        </w:tc>
        <w:tc>
          <w:tcPr>
            <w:tcW w:type="dxa" w:w="68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3"/>
                <w:szCs w:val="13"/>
              </w:rPr>
              <w:t xml:space="preserve">Listed</w:t>
            </w:r>
          </w:p>
        </w:tc>
        <w:tc>
          <w:tcPr>
            <w:tcW w:type="dxa" w:w="80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Mkt cap US$m</w:t>
            </w:r>
          </w:p>
        </w:tc>
        <w:tc>
          <w:tcPr>
            <w:tcW w:type="dxa" w:w="71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TEV/Sales</w:t>
            </w:r>
          </w:p>
        </w:tc>
        <w:tc>
          <w:tcPr>
            <w:tcW w:type="dxa" w:w="90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TEV/EBITDA LTM</w:t>
            </w:r>
          </w:p>
        </w:tc>
        <w:tc>
          <w:tcPr>
            <w:tcW w:type="dxa" w:w="90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TEV/EBITDA NTM</w:t>
            </w:r>
          </w:p>
        </w:tc>
        <w:tc>
          <w:tcPr>
            <w:tcW w:type="dxa" w:w="69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TEV/EBIT</w:t>
            </w:r>
          </w:p>
        </w:tc>
        <w:tc>
          <w:tcPr>
            <w:tcW w:type="dxa" w:w="68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P/E LTM</w:t>
            </w:r>
          </w:p>
        </w:tc>
        <w:tc>
          <w:tcPr>
            <w:tcW w:type="dxa" w:w="68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P/E NTM</w:t>
            </w:r>
          </w:p>
        </w:tc>
      </w:tr>
      <w:tr>
        <w:trPr>
          <w:cantSplit/>
        </w:trPr>
        <w:tc>
          <w:tcPr>
            <w:tcW w:type="dxa" w:w="26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Genting Malaysia</w:t>
            </w:r>
          </w:p>
        </w:tc>
        <w:tc>
          <w:tcPr>
            <w:tcW w:type="dxa" w:w="11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KLSE:GENM</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1,763</w:t>
            </w:r>
          </w:p>
        </w:tc>
        <w:tc>
          <w:tcPr>
            <w:tcW w:type="dxa" w:w="7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1.56x</w:t>
            </w:r>
          </w:p>
        </w:tc>
        <w:tc>
          <w:tcPr>
            <w:tcW w:type="dxa" w:w="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8.1x</w:t>
            </w:r>
          </w:p>
        </w:tc>
        <w:tc>
          <w:tcPr>
            <w:tcW w:type="dxa" w:w="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6.6x</w:t>
            </w:r>
          </w:p>
        </w:tc>
        <w:tc>
          <w:tcPr>
            <w:tcW w:type="dxa" w:w="6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18.2x</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23.1x</w:t>
            </w:r>
          </w:p>
        </w:tc>
        <w:tc>
          <w:tcPr>
            <w:tcW w:type="dxa" w:w="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14.9x</w:t>
            </w:r>
          </w:p>
        </w:tc>
      </w:tr>
      <w:tr>
        <w:trPr>
          <w:cantSplit/>
        </w:trPr>
        <w:tc>
          <w:tcPr>
            <w:tcW w:type="dxa" w:w="26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Genting Bhd</w:t>
            </w:r>
          </w:p>
        </w:tc>
        <w:tc>
          <w:tcPr>
            <w:tcW w:type="dxa" w:w="11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KLSE:GENTING</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1,368</w:t>
            </w:r>
          </w:p>
        </w:tc>
        <w:tc>
          <w:tcPr>
            <w:tcW w:type="dxa" w:w="7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1.78x</w:t>
            </w:r>
          </w:p>
        </w:tc>
        <w:tc>
          <w:tcPr>
            <w:tcW w:type="dxa" w:w="90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6.4x</w:t>
            </w:r>
          </w:p>
        </w:tc>
        <w:tc>
          <w:tcPr>
            <w:tcW w:type="dxa" w:w="9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6.1x</w:t>
            </w:r>
          </w:p>
        </w:tc>
        <w:tc>
          <w:tcPr>
            <w:tcW w:type="dxa" w:w="6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12.4x</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8.8x</w:t>
            </w:r>
          </w:p>
        </w:tc>
      </w:tr>
      <w:tr>
        <w:trPr>
          <w:cantSplit/>
        </w:trPr>
        <w:tc>
          <w:tcPr>
            <w:tcW w:type="dxa" w:w="26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Genting Singapore</w:t>
            </w:r>
          </w:p>
        </w:tc>
        <w:tc>
          <w:tcPr>
            <w:tcW w:type="dxa" w:w="11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SGX:G13</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5,750</w:t>
            </w:r>
          </w:p>
        </w:tc>
        <w:tc>
          <w:tcPr>
            <w:tcW w:type="dxa" w:w="7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1.81x</w:t>
            </w:r>
          </w:p>
        </w:tc>
        <w:tc>
          <w:tcPr>
            <w:tcW w:type="dxa" w:w="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5.6x</w:t>
            </w:r>
          </w:p>
        </w:tc>
        <w:tc>
          <w:tcPr>
            <w:tcW w:type="dxa" w:w="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5.1x</w:t>
            </w:r>
          </w:p>
        </w:tc>
        <w:tc>
          <w:tcPr>
            <w:tcW w:type="dxa" w:w="6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11.7x</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23.5x</w:t>
            </w:r>
          </w:p>
        </w:tc>
        <w:tc>
          <w:tcPr>
            <w:tcW w:type="dxa" w:w="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17.0x</w:t>
            </w:r>
          </w:p>
        </w:tc>
      </w:tr>
      <w:tr>
        <w:trPr>
          <w:cantSplit/>
        </w:trPr>
        <w:tc>
          <w:tcPr>
            <w:tcW w:type="dxa" w:w="26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Las Vegas Sands</w:t>
            </w:r>
          </w:p>
        </w:tc>
        <w:tc>
          <w:tcPr>
            <w:tcW w:type="dxa" w:w="11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NYSE:LVS</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24,618</w:t>
            </w:r>
          </w:p>
        </w:tc>
        <w:tc>
          <w:tcPr>
            <w:tcW w:type="dxa" w:w="7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2.69x</w:t>
            </w:r>
          </w:p>
        </w:tc>
        <w:tc>
          <w:tcPr>
            <w:tcW w:type="dxa" w:w="90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7.8x</w:t>
            </w:r>
          </w:p>
        </w:tc>
        <w:tc>
          <w:tcPr>
            <w:tcW w:type="dxa" w:w="9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6.9x</w:t>
            </w:r>
          </w:p>
        </w:tc>
        <w:tc>
          <w:tcPr>
            <w:tcW w:type="dxa" w:w="6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11.6x</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14.7x</w:t>
            </w:r>
          </w:p>
        </w:tc>
        <w:tc>
          <w:tcPr>
            <w:tcW w:type="dxa" w:w="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11.7x</w:t>
            </w:r>
          </w:p>
        </w:tc>
      </w:tr>
      <w:tr>
        <w:trPr>
          <w:cantSplit/>
        </w:trPr>
        <w:tc>
          <w:tcPr>
            <w:tcW w:type="dxa" w:w="26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Sands China</w:t>
            </w:r>
          </w:p>
        </w:tc>
        <w:tc>
          <w:tcPr>
            <w:tcW w:type="dxa" w:w="11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SEHK:1928</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11,849</w:t>
            </w:r>
          </w:p>
        </w:tc>
        <w:tc>
          <w:tcPr>
            <w:tcW w:type="dxa" w:w="7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2.23x</w:t>
            </w:r>
          </w:p>
        </w:tc>
        <w:tc>
          <w:tcPr>
            <w:tcW w:type="dxa" w:w="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8.5x</w:t>
            </w:r>
          </w:p>
        </w:tc>
        <w:tc>
          <w:tcPr>
            <w:tcW w:type="dxa" w:w="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7.8x</w:t>
            </w:r>
          </w:p>
        </w:tc>
        <w:tc>
          <w:tcPr>
            <w:tcW w:type="dxa" w:w="6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13.7x</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13.4x</w:t>
            </w:r>
          </w:p>
        </w:tc>
        <w:tc>
          <w:tcPr>
            <w:tcW w:type="dxa" w:w="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11.3x</w:t>
            </w:r>
          </w:p>
        </w:tc>
      </w:tr>
      <w:tr>
        <w:trPr>
          <w:cantSplit/>
        </w:trPr>
        <w:tc>
          <w:tcPr>
            <w:tcW w:type="dxa" w:w="26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Galaxy Entertainment</w:t>
            </w:r>
          </w:p>
        </w:tc>
        <w:tc>
          <w:tcPr>
            <w:tcW w:type="dxa" w:w="11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SEHK:27</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18,714</w:t>
            </w:r>
          </w:p>
        </w:tc>
        <w:tc>
          <w:tcPr>
            <w:tcW w:type="dxa" w:w="7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2.71x</w:t>
            </w:r>
          </w:p>
        </w:tc>
        <w:tc>
          <w:tcPr>
            <w:tcW w:type="dxa" w:w="90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10.1x</w:t>
            </w:r>
          </w:p>
        </w:tc>
        <w:tc>
          <w:tcPr>
            <w:tcW w:type="dxa" w:w="9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9.2x</w:t>
            </w:r>
          </w:p>
        </w:tc>
        <w:tc>
          <w:tcPr>
            <w:tcW w:type="dxa" w:w="6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14.1x</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13.7x</w:t>
            </w:r>
          </w:p>
        </w:tc>
        <w:tc>
          <w:tcPr>
            <w:tcW w:type="dxa" w:w="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13.2x</w:t>
            </w:r>
          </w:p>
        </w:tc>
      </w:tr>
      <w:tr>
        <w:trPr>
          <w:cantSplit/>
        </w:trPr>
        <w:tc>
          <w:tcPr>
            <w:tcW w:type="dxa" w:w="26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Wynn Resorts</w:t>
            </w:r>
          </w:p>
        </w:tc>
        <w:tc>
          <w:tcPr>
            <w:tcW w:type="dxa" w:w="11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NasdaqGS:WYNN</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7,670</w:t>
            </w:r>
          </w:p>
        </w:tc>
        <w:tc>
          <w:tcPr>
            <w:tcW w:type="dxa" w:w="7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2.32x</w:t>
            </w:r>
          </w:p>
        </w:tc>
        <w:tc>
          <w:tcPr>
            <w:tcW w:type="dxa" w:w="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9.2x</w:t>
            </w:r>
          </w:p>
        </w:tc>
        <w:tc>
          <w:tcPr>
            <w:tcW w:type="dxa" w:w="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7.6x</w:t>
            </w:r>
          </w:p>
        </w:tc>
        <w:tc>
          <w:tcPr>
            <w:tcW w:type="dxa" w:w="6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14.5x</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18.1x</w:t>
            </w:r>
          </w:p>
        </w:tc>
        <w:tc>
          <w:tcPr>
            <w:tcW w:type="dxa" w:w="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17.8x</w:t>
            </w:r>
          </w:p>
        </w:tc>
      </w:tr>
      <w:tr>
        <w:trPr>
          <w:cantSplit/>
        </w:trPr>
        <w:tc>
          <w:tcPr>
            <w:tcW w:type="dxa" w:w="26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Wynn Macau</w:t>
            </w:r>
          </w:p>
        </w:tc>
        <w:tc>
          <w:tcPr>
            <w:tcW w:type="dxa" w:w="11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SEHK:1128</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3,391</w:t>
            </w:r>
          </w:p>
        </w:tc>
        <w:tc>
          <w:tcPr>
            <w:tcW w:type="dxa" w:w="7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1.95x</w:t>
            </w:r>
          </w:p>
        </w:tc>
        <w:tc>
          <w:tcPr>
            <w:tcW w:type="dxa" w:w="90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7.9x</w:t>
            </w:r>
          </w:p>
        </w:tc>
        <w:tc>
          <w:tcPr>
            <w:tcW w:type="dxa" w:w="9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7.5x</w:t>
            </w:r>
          </w:p>
        </w:tc>
        <w:tc>
          <w:tcPr>
            <w:tcW w:type="dxa" w:w="6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12.0x</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9.5x</w:t>
            </w:r>
          </w:p>
        </w:tc>
        <w:tc>
          <w:tcPr>
            <w:tcW w:type="dxa" w:w="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10.1x</w:t>
            </w:r>
          </w:p>
        </w:tc>
      </w:tr>
      <w:tr>
        <w:trPr>
          <w:cantSplit/>
        </w:trPr>
        <w:tc>
          <w:tcPr>
            <w:tcW w:type="dxa" w:w="26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MGM Resorts</w:t>
            </w:r>
          </w:p>
        </w:tc>
        <w:tc>
          <w:tcPr>
            <w:tcW w:type="dxa" w:w="11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NYSE:MGM</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7,196</w:t>
            </w:r>
          </w:p>
        </w:tc>
        <w:tc>
          <w:tcPr>
            <w:tcW w:type="dxa" w:w="7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2.00x</w:t>
            </w:r>
          </w:p>
        </w:tc>
        <w:tc>
          <w:tcPr>
            <w:tcW w:type="dxa" w:w="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7.8x</w:t>
            </w:r>
          </w:p>
        </w:tc>
        <w:tc>
          <w:tcPr>
            <w:tcW w:type="dxa" w:w="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7.8x</w:t>
            </w:r>
          </w:p>
        </w:tc>
        <w:tc>
          <w:tcPr>
            <w:tcW w:type="dxa" w:w="6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28.4x</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17.9x</w:t>
            </w:r>
          </w:p>
        </w:tc>
        <w:tc>
          <w:tcPr>
            <w:tcW w:type="dxa" w:w="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18.5x</w:t>
            </w:r>
          </w:p>
        </w:tc>
      </w:tr>
      <w:tr>
        <w:trPr>
          <w:cantSplit/>
        </w:trPr>
        <w:tc>
          <w:tcPr>
            <w:tcW w:type="dxa" w:w="26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MGM China</w:t>
            </w:r>
          </w:p>
        </w:tc>
        <w:tc>
          <w:tcPr>
            <w:tcW w:type="dxa" w:w="11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SEHK:2282</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4,770</w:t>
            </w:r>
          </w:p>
        </w:tc>
        <w:tc>
          <w:tcPr>
            <w:tcW w:type="dxa" w:w="7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1.45x</w:t>
            </w:r>
          </w:p>
        </w:tc>
        <w:tc>
          <w:tcPr>
            <w:tcW w:type="dxa" w:w="90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6.2x</w:t>
            </w:r>
          </w:p>
        </w:tc>
        <w:tc>
          <w:tcPr>
            <w:tcW w:type="dxa" w:w="9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5.2x</w:t>
            </w:r>
          </w:p>
        </w:tc>
        <w:tc>
          <w:tcPr>
            <w:tcW w:type="dxa" w:w="6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8.5x</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8.2x</w:t>
            </w:r>
          </w:p>
        </w:tc>
        <w:tc>
          <w:tcPr>
            <w:tcW w:type="dxa" w:w="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8.3x</w:t>
            </w:r>
          </w:p>
        </w:tc>
      </w:tr>
      <w:tr>
        <w:trPr>
          <w:cantSplit/>
        </w:trPr>
        <w:tc>
          <w:tcPr>
            <w:tcW w:type="dxa" w:w="26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Melco Resorts &amp; Ent.</w:t>
            </w:r>
          </w:p>
        </w:tc>
        <w:tc>
          <w:tcPr>
            <w:tcW w:type="dxa" w:w="11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NasdaqGS:MLCO</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1,578</w:t>
            </w:r>
          </w:p>
        </w:tc>
        <w:tc>
          <w:tcPr>
            <w:tcW w:type="dxa" w:w="7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1.59x</w:t>
            </w:r>
          </w:p>
        </w:tc>
        <w:tc>
          <w:tcPr>
            <w:tcW w:type="dxa" w:w="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6.4x</w:t>
            </w:r>
          </w:p>
        </w:tc>
        <w:tc>
          <w:tcPr>
            <w:tcW w:type="dxa" w:w="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6.2x</w:t>
            </w:r>
          </w:p>
        </w:tc>
        <w:tc>
          <w:tcPr>
            <w:tcW w:type="dxa" w:w="6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11.8x</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6.9x</w:t>
            </w:r>
          </w:p>
        </w:tc>
        <w:tc>
          <w:tcPr>
            <w:tcW w:type="dxa" w:w="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7.7x</w:t>
            </w:r>
          </w:p>
        </w:tc>
      </w:tr>
      <w:tr>
        <w:trPr>
          <w:cantSplit/>
        </w:trPr>
        <w:tc>
          <w:tcPr>
            <w:tcW w:type="dxa" w:w="26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Melco International Dev.</w:t>
            </w:r>
          </w:p>
        </w:tc>
        <w:tc>
          <w:tcPr>
            <w:tcW w:type="dxa" w:w="11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SEHK:200</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757</w:t>
            </w:r>
          </w:p>
        </w:tc>
        <w:tc>
          <w:tcPr>
            <w:tcW w:type="dxa" w:w="7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1.59x</w:t>
            </w:r>
          </w:p>
        </w:tc>
        <w:tc>
          <w:tcPr>
            <w:tcW w:type="dxa" w:w="90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6.8x</w:t>
            </w:r>
          </w:p>
        </w:tc>
        <w:tc>
          <w:tcPr>
            <w:tcW w:type="dxa" w:w="9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6.5x</w:t>
            </w:r>
          </w:p>
        </w:tc>
        <w:tc>
          <w:tcPr>
            <w:tcW w:type="dxa" w:w="6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12.6x</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6.1x</w:t>
            </w:r>
          </w:p>
        </w:tc>
        <w:tc>
          <w:tcPr>
            <w:tcW w:type="dxa" w:w="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7.5x</w:t>
            </w:r>
          </w:p>
        </w:tc>
      </w:tr>
      <w:tr>
        <w:trPr>
          <w:cantSplit/>
        </w:trPr>
        <w:tc>
          <w:tcPr>
            <w:tcW w:type="dxa" w:w="26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SJM Holdings</w:t>
            </w:r>
          </w:p>
        </w:tc>
        <w:tc>
          <w:tcPr>
            <w:tcW w:type="dxa" w:w="11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SEHK:880</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1,081</w:t>
            </w:r>
          </w:p>
        </w:tc>
        <w:tc>
          <w:tcPr>
            <w:tcW w:type="dxa" w:w="7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1.50x</w:t>
            </w:r>
          </w:p>
        </w:tc>
        <w:tc>
          <w:tcPr>
            <w:tcW w:type="dxa" w:w="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12.4x</w:t>
            </w:r>
          </w:p>
        </w:tc>
        <w:tc>
          <w:tcPr>
            <w:tcW w:type="dxa" w:w="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10.3x</w:t>
            </w:r>
          </w:p>
        </w:tc>
        <w:tc>
          <w:tcPr>
            <w:tcW w:type="dxa" w:w="6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44.9x</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n.m.</w:t>
            </w:r>
          </w:p>
        </w:tc>
      </w:tr>
      <w:tr>
        <w:trPr>
          <w:cantSplit/>
        </w:trPr>
        <w:tc>
          <w:tcPr>
            <w:tcW w:type="dxa" w:w="26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Studio City Intl</w:t>
            </w:r>
          </w:p>
        </w:tc>
        <w:tc>
          <w:tcPr>
            <w:tcW w:type="dxa" w:w="11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NYSE:MSC</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188</w:t>
            </w:r>
          </w:p>
        </w:tc>
        <w:tc>
          <w:tcPr>
            <w:tcW w:type="dxa" w:w="7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3.08x</w:t>
            </w:r>
          </w:p>
        </w:tc>
        <w:tc>
          <w:tcPr>
            <w:tcW w:type="dxa" w:w="90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7.2x</w:t>
            </w:r>
          </w:p>
        </w:tc>
        <w:tc>
          <w:tcPr>
            <w:tcW w:type="dxa" w:w="9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27.5x</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r>
      <w:tr>
        <w:trPr>
          <w:cantSplit/>
        </w:trPr>
        <w:tc>
          <w:tcPr>
            <w:tcW w:type="dxa" w:w="26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NagaCorp</w:t>
            </w:r>
          </w:p>
        </w:tc>
        <w:tc>
          <w:tcPr>
            <w:tcW w:type="dxa" w:w="11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SEHK:3918</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1,367</w:t>
            </w:r>
          </w:p>
        </w:tc>
        <w:tc>
          <w:tcPr>
            <w:tcW w:type="dxa" w:w="7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1.64x</w:t>
            </w:r>
          </w:p>
        </w:tc>
        <w:tc>
          <w:tcPr>
            <w:tcW w:type="dxa" w:w="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2.6x</w:t>
            </w:r>
          </w:p>
        </w:tc>
        <w:tc>
          <w:tcPr>
            <w:tcW w:type="dxa" w:w="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3.1x</w:t>
            </w:r>
          </w:p>
        </w:tc>
        <w:tc>
          <w:tcPr>
            <w:tcW w:type="dxa" w:w="6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3.5x</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4.5x</w:t>
            </w:r>
          </w:p>
        </w:tc>
        <w:tc>
          <w:tcPr>
            <w:tcW w:type="dxa" w:w="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5.1x</w:t>
            </w:r>
          </w:p>
        </w:tc>
      </w:tr>
      <w:tr>
        <w:trPr>
          <w:cantSplit/>
        </w:trPr>
        <w:tc>
          <w:tcPr>
            <w:tcW w:type="dxa" w:w="26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Bloomberry Resorts</w:t>
            </w:r>
          </w:p>
        </w:tc>
        <w:tc>
          <w:tcPr>
            <w:tcW w:type="dxa" w:w="11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PSE:BLOOM</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347</w:t>
            </w:r>
          </w:p>
        </w:tc>
        <w:tc>
          <w:tcPr>
            <w:tcW w:type="dxa" w:w="7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1.92x</w:t>
            </w:r>
          </w:p>
        </w:tc>
        <w:tc>
          <w:tcPr>
            <w:tcW w:type="dxa" w:w="90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10.7x</w:t>
            </w:r>
          </w:p>
        </w:tc>
        <w:tc>
          <w:tcPr>
            <w:tcW w:type="dxa" w:w="9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7.4x</w:t>
            </w:r>
          </w:p>
        </w:tc>
        <w:tc>
          <w:tcPr>
            <w:tcW w:type="dxa" w:w="6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52.5x</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r>
      <w:tr>
        <w:trPr>
          <w:cantSplit/>
        </w:trPr>
        <w:tc>
          <w:tcPr>
            <w:tcW w:type="dxa" w:w="26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Paradise Co</w:t>
            </w:r>
          </w:p>
        </w:tc>
        <w:tc>
          <w:tcPr>
            <w:tcW w:type="dxa" w:w="11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KOSE:A034230</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644</w:t>
            </w:r>
          </w:p>
        </w:tc>
        <w:tc>
          <w:tcPr>
            <w:tcW w:type="dxa" w:w="7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1.66x</w:t>
            </w:r>
          </w:p>
        </w:tc>
        <w:tc>
          <w:tcPr>
            <w:tcW w:type="dxa" w:w="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9.6x</w:t>
            </w:r>
          </w:p>
        </w:tc>
        <w:tc>
          <w:tcPr>
            <w:tcW w:type="dxa" w:w="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7.5x</w:t>
            </w:r>
          </w:p>
        </w:tc>
        <w:tc>
          <w:tcPr>
            <w:tcW w:type="dxa" w:w="6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15.4x</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11.6x</w:t>
            </w:r>
          </w:p>
        </w:tc>
        <w:tc>
          <w:tcPr>
            <w:tcW w:type="dxa" w:w="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9.8x</w:t>
            </w:r>
          </w:p>
        </w:tc>
      </w:tr>
      <w:tr>
        <w:trPr>
          <w:cantSplit/>
        </w:trPr>
        <w:tc>
          <w:tcPr>
            <w:tcW w:type="dxa" w:w="26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Kangwon Land</w:t>
            </w:r>
          </w:p>
        </w:tc>
        <w:tc>
          <w:tcPr>
            <w:tcW w:type="dxa" w:w="11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KOSE:A035250</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2,117</w:t>
            </w:r>
          </w:p>
        </w:tc>
        <w:tc>
          <w:tcPr>
            <w:tcW w:type="dxa" w:w="7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n.m.</w:t>
            </w:r>
          </w:p>
        </w:tc>
        <w:tc>
          <w:tcPr>
            <w:tcW w:type="dxa" w:w="90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9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8.7x</w:t>
            </w:r>
          </w:p>
        </w:tc>
        <w:tc>
          <w:tcPr>
            <w:tcW w:type="dxa" w:w="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10.1x</w:t>
            </w:r>
          </w:p>
        </w:tc>
      </w:tr>
      <w:tr>
        <w:trPr>
          <w:cantSplit/>
        </w:trPr>
        <w:tc>
          <w:tcPr>
            <w:tcW w:type="dxa" w:w="26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Grand Korea Leisure</w:t>
            </w:r>
          </w:p>
        </w:tc>
        <w:tc>
          <w:tcPr>
            <w:tcW w:type="dxa" w:w="11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KOSE:A114090</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394</w:t>
            </w:r>
          </w:p>
        </w:tc>
        <w:tc>
          <w:tcPr>
            <w:tcW w:type="dxa" w:w="7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0.33x</w:t>
            </w:r>
          </w:p>
        </w:tc>
        <w:tc>
          <w:tcPr>
            <w:tcW w:type="dxa" w:w="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1.7x</w:t>
            </w:r>
          </w:p>
        </w:tc>
        <w:tc>
          <w:tcPr>
            <w:tcW w:type="dxa" w:w="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1.6x</w:t>
            </w:r>
          </w:p>
        </w:tc>
        <w:tc>
          <w:tcPr>
            <w:tcW w:type="dxa" w:w="6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2.7x</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11.2x</w:t>
            </w:r>
          </w:p>
        </w:tc>
        <w:tc>
          <w:tcPr>
            <w:tcW w:type="dxa" w:w="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9.3x</w:t>
            </w:r>
          </w:p>
        </w:tc>
      </w:tr>
      <w:tr>
        <w:trPr>
          <w:cantSplit/>
        </w:trPr>
        <w:tc>
          <w:tcPr>
            <w:tcW w:type="dxa" w:w="26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Universal Entertainment (Okada Manila)</w:t>
            </w:r>
          </w:p>
        </w:tc>
        <w:tc>
          <w:tcPr>
            <w:tcW w:type="dxa" w:w="11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TSE:6425</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330</w:t>
            </w:r>
          </w:p>
        </w:tc>
        <w:tc>
          <w:tcPr>
            <w:tcW w:type="dxa" w:w="7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1.48x</w:t>
            </w:r>
          </w:p>
        </w:tc>
        <w:tc>
          <w:tcPr>
            <w:tcW w:type="dxa" w:w="90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9.2x</w:t>
            </w:r>
          </w:p>
        </w:tc>
        <w:tc>
          <w:tcPr>
            <w:tcW w:type="dxa" w:w="9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28.7x</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r>
      <w:tr>
        <w:trPr>
          <w:cantSplit/>
        </w:trPr>
        <w:tc>
          <w:tcPr>
            <w:tcW w:type="dxa" w:w="26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Star Entertainment</w:t>
            </w:r>
          </w:p>
        </w:tc>
        <w:tc>
          <w:tcPr>
            <w:tcW w:type="dxa" w:w="11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ASX:SGR</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553</w:t>
            </w:r>
          </w:p>
        </w:tc>
        <w:tc>
          <w:tcPr>
            <w:tcW w:type="dxa" w:w="7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0.84x</w:t>
            </w:r>
          </w:p>
        </w:tc>
        <w:tc>
          <w:tcPr>
            <w:tcW w:type="dxa" w:w="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43.8x</w:t>
            </w:r>
          </w:p>
        </w:tc>
        <w:tc>
          <w:tcPr>
            <w:tcW w:type="dxa" w:w="6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r>
      <w:tr>
        <w:trPr>
          <w:cantSplit/>
        </w:trPr>
        <w:tc>
          <w:tcPr>
            <w:tcW w:type="dxa" w:w="26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SkyCity Entertainment</w:t>
            </w:r>
          </w:p>
        </w:tc>
        <w:tc>
          <w:tcPr>
            <w:tcW w:type="dxa" w:w="11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NZSE:SKC</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424</w:t>
            </w:r>
          </w:p>
        </w:tc>
        <w:tc>
          <w:tcPr>
            <w:tcW w:type="dxa" w:w="7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1.66x</w:t>
            </w:r>
          </w:p>
        </w:tc>
        <w:tc>
          <w:tcPr>
            <w:tcW w:type="dxa" w:w="90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9.7x</w:t>
            </w:r>
          </w:p>
        </w:tc>
        <w:tc>
          <w:tcPr>
            <w:tcW w:type="dxa" w:w="9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7.7x</w:t>
            </w:r>
          </w:p>
        </w:tc>
        <w:tc>
          <w:tcPr>
            <w:tcW w:type="dxa" w:w="6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28.7x</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37.8x</w:t>
            </w:r>
          </w:p>
        </w:tc>
        <w:tc>
          <w:tcPr>
            <w:tcW w:type="dxa" w:w="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44.8x</w:t>
            </w:r>
          </w:p>
        </w:tc>
      </w:tr>
      <w:tr>
        <w:trPr>
          <w:cantSplit/>
        </w:trPr>
        <w:tc>
          <w:tcPr>
            <w:tcW w:type="dxa" w:w="26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Caesars Entertainment</w:t>
            </w:r>
          </w:p>
        </w:tc>
        <w:tc>
          <w:tcPr>
            <w:tcW w:type="dxa" w:w="11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NasdaqGS:CZR</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5,867</w:t>
            </w:r>
          </w:p>
        </w:tc>
        <w:tc>
          <w:tcPr>
            <w:tcW w:type="dxa" w:w="7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2.66x</w:t>
            </w:r>
          </w:p>
        </w:tc>
        <w:tc>
          <w:tcPr>
            <w:tcW w:type="dxa" w:w="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8.4x</w:t>
            </w:r>
          </w:p>
        </w:tc>
        <w:tc>
          <w:tcPr>
            <w:tcW w:type="dxa" w:w="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8.3x</w:t>
            </w:r>
          </w:p>
        </w:tc>
        <w:tc>
          <w:tcPr>
            <w:tcW w:type="dxa" w:w="6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15.1x</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r>
      <w:tr>
        <w:trPr>
          <w:cantSplit/>
        </w:trPr>
        <w:tc>
          <w:tcPr>
            <w:tcW w:type="dxa" w:w="26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PENN Entertainment</w:t>
            </w:r>
          </w:p>
        </w:tc>
        <w:tc>
          <w:tcPr>
            <w:tcW w:type="dxa" w:w="11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NasdaqGS:PENN</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1,903</w:t>
            </w:r>
          </w:p>
        </w:tc>
        <w:tc>
          <w:tcPr>
            <w:tcW w:type="dxa" w:w="7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1.69x</w:t>
            </w:r>
          </w:p>
        </w:tc>
        <w:tc>
          <w:tcPr>
            <w:tcW w:type="dxa" w:w="90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7.2x</w:t>
            </w:r>
          </w:p>
        </w:tc>
        <w:tc>
          <w:tcPr>
            <w:tcW w:type="dxa" w:w="9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6.4x</w:t>
            </w:r>
          </w:p>
        </w:tc>
        <w:tc>
          <w:tcPr>
            <w:tcW w:type="dxa" w:w="6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27.2x</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9.4x</w:t>
            </w:r>
          </w:p>
        </w:tc>
      </w:tr>
      <w:tr>
        <w:trPr>
          <w:cantSplit/>
        </w:trPr>
        <w:tc>
          <w:tcPr>
            <w:tcW w:type="dxa" w:w="26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Boyd Gaming</w:t>
            </w:r>
          </w:p>
        </w:tc>
        <w:tc>
          <w:tcPr>
            <w:tcW w:type="dxa" w:w="11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NYSE:BYD</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5,089</w:t>
            </w:r>
          </w:p>
        </w:tc>
        <w:tc>
          <w:tcPr>
            <w:tcW w:type="dxa" w:w="7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1.96x</w:t>
            </w:r>
          </w:p>
        </w:tc>
        <w:tc>
          <w:tcPr>
            <w:tcW w:type="dxa" w:w="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6.0x</w:t>
            </w:r>
          </w:p>
        </w:tc>
        <w:tc>
          <w:tcPr>
            <w:tcW w:type="dxa" w:w="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6.6x</w:t>
            </w:r>
          </w:p>
        </w:tc>
        <w:tc>
          <w:tcPr>
            <w:tcW w:type="dxa" w:w="6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9.7x</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3.0x</w:t>
            </w:r>
          </w:p>
        </w:tc>
        <w:tc>
          <w:tcPr>
            <w:tcW w:type="dxa" w:w="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9.7x</w:t>
            </w:r>
          </w:p>
        </w:tc>
      </w:tr>
      <w:tr>
        <w:trPr>
          <w:cantSplit/>
        </w:trPr>
        <w:tc>
          <w:tcPr>
            <w:tcW w:type="dxa" w:w="26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Red Rock Resorts</w:t>
            </w:r>
          </w:p>
        </w:tc>
        <w:tc>
          <w:tcPr>
            <w:tcW w:type="dxa" w:w="11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NasdaqGS:RRR</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2,854</w:t>
            </w:r>
          </w:p>
        </w:tc>
        <w:tc>
          <w:tcPr>
            <w:tcW w:type="dxa" w:w="7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3.23x</w:t>
            </w:r>
          </w:p>
        </w:tc>
        <w:tc>
          <w:tcPr>
            <w:tcW w:type="dxa" w:w="90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7.9x</w:t>
            </w:r>
          </w:p>
        </w:tc>
        <w:tc>
          <w:tcPr>
            <w:tcW w:type="dxa" w:w="9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7.5x</w:t>
            </w:r>
          </w:p>
        </w:tc>
        <w:tc>
          <w:tcPr>
            <w:tcW w:type="dxa" w:w="6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11.2x</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17.4x</w:t>
            </w:r>
          </w:p>
        </w:tc>
        <w:tc>
          <w:tcPr>
            <w:tcW w:type="dxa" w:w="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20.2x</w:t>
            </w:r>
          </w:p>
        </w:tc>
      </w:tr>
      <w:tr>
        <w:trPr>
          <w:cantSplit/>
        </w:trPr>
        <w:tc>
          <w:tcPr>
            <w:tcW w:type="dxa" w:w="26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Monarch Casino &amp; Resort</w:t>
            </w:r>
          </w:p>
        </w:tc>
        <w:tc>
          <w:tcPr>
            <w:tcW w:type="dxa" w:w="11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NasdaqGS:MCRI</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2,036</w:t>
            </w:r>
          </w:p>
        </w:tc>
        <w:tc>
          <w:tcPr>
            <w:tcW w:type="dxa" w:w="7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3.40x</w:t>
            </w:r>
          </w:p>
        </w:tc>
        <w:tc>
          <w:tcPr>
            <w:tcW w:type="dxa" w:w="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9.6x</w:t>
            </w:r>
          </w:p>
        </w:tc>
        <w:tc>
          <w:tcPr>
            <w:tcW w:type="dxa" w:w="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8.9x</w:t>
            </w:r>
          </w:p>
        </w:tc>
        <w:tc>
          <w:tcPr>
            <w:tcW w:type="dxa" w:w="6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12.8x</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18.2x</w:t>
            </w:r>
          </w:p>
        </w:tc>
        <w:tc>
          <w:tcPr>
            <w:tcW w:type="dxa" w:w="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16.6x</w:t>
            </w:r>
          </w:p>
        </w:tc>
      </w:tr>
      <w:tr>
        <w:trPr>
          <w:cantSplit/>
        </w:trPr>
        <w:tc>
          <w:tcPr>
            <w:tcW w:type="dxa" w:w="26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Churchill Downs</w:t>
            </w:r>
          </w:p>
        </w:tc>
        <w:tc>
          <w:tcPr>
            <w:tcW w:type="dxa" w:w="11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NasdaqGS:CHDN</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5,694</w:t>
            </w:r>
          </w:p>
        </w:tc>
        <w:tc>
          <w:tcPr>
            <w:tcW w:type="dxa" w:w="7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3.48x</w:t>
            </w:r>
          </w:p>
        </w:tc>
        <w:tc>
          <w:tcPr>
            <w:tcW w:type="dxa" w:w="90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8.9x</w:t>
            </w:r>
          </w:p>
        </w:tc>
        <w:tc>
          <w:tcPr>
            <w:tcW w:type="dxa" w:w="9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8.3x</w:t>
            </w:r>
          </w:p>
        </w:tc>
        <w:tc>
          <w:tcPr>
            <w:tcW w:type="dxa" w:w="6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11.3x</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13.9x</w:t>
            </w:r>
          </w:p>
        </w:tc>
        <w:tc>
          <w:tcPr>
            <w:tcW w:type="dxa" w:w="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11.6x</w:t>
            </w:r>
          </w:p>
        </w:tc>
      </w:tr>
      <w:tr>
        <w:trPr>
          <w:cantSplit/>
        </w:trPr>
        <w:tc>
          <w:tcPr>
            <w:tcW w:type="dxa" w:w="26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Bally's Corp</w:t>
            </w:r>
          </w:p>
        </w:tc>
        <w:tc>
          <w:tcPr>
            <w:tcW w:type="dxa" w:w="11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NYSE:BALY</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657</w:t>
            </w:r>
          </w:p>
        </w:tc>
        <w:tc>
          <w:tcPr>
            <w:tcW w:type="dxa" w:w="7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2.94x</w:t>
            </w:r>
          </w:p>
        </w:tc>
        <w:tc>
          <w:tcPr>
            <w:tcW w:type="dxa" w:w="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13.4x</w:t>
            </w:r>
          </w:p>
        </w:tc>
        <w:tc>
          <w:tcPr>
            <w:tcW w:type="dxa" w:w="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17.6x</w:t>
            </w:r>
          </w:p>
        </w:tc>
        <w:tc>
          <w:tcPr>
            <w:tcW w:type="dxa" w:w="6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r>
      <w:tr>
        <w:trPr>
          <w:cantSplit/>
        </w:trPr>
        <w:tc>
          <w:tcPr>
            <w:tcW w:type="dxa" w:w="26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Century Casinos</w:t>
            </w:r>
          </w:p>
        </w:tc>
        <w:tc>
          <w:tcPr>
            <w:tcW w:type="dxa" w:w="11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NasdaqCM:CNTY</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22</w:t>
            </w:r>
          </w:p>
        </w:tc>
        <w:tc>
          <w:tcPr>
            <w:tcW w:type="dxa" w:w="7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1.93x</w:t>
            </w:r>
          </w:p>
        </w:tc>
        <w:tc>
          <w:tcPr>
            <w:tcW w:type="dxa" w:w="90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9.5x</w:t>
            </w:r>
          </w:p>
        </w:tc>
        <w:tc>
          <w:tcPr>
            <w:tcW w:type="dxa" w:w="9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9.3x</w:t>
            </w:r>
          </w:p>
        </w:tc>
        <w:tc>
          <w:tcPr>
            <w:tcW w:type="dxa" w:w="6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19.6x</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r>
      <w:tr>
        <w:trPr>
          <w:cantSplit/>
        </w:trPr>
        <w:tc>
          <w:tcPr>
            <w:tcW w:type="dxa" w:w="26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Full House Resorts</w:t>
            </w:r>
          </w:p>
        </w:tc>
        <w:tc>
          <w:tcPr>
            <w:tcW w:type="dxa" w:w="11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NasdaqCM:FLL</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40</w:t>
            </w:r>
          </w:p>
        </w:tc>
        <w:tc>
          <w:tcPr>
            <w:tcW w:type="dxa" w:w="7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1.74x</w:t>
            </w:r>
          </w:p>
        </w:tc>
        <w:tc>
          <w:tcPr>
            <w:tcW w:type="dxa" w:w="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9.0x</w:t>
            </w:r>
          </w:p>
        </w:tc>
        <w:tc>
          <w:tcPr>
            <w:tcW w:type="dxa" w:w="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8.6x</w:t>
            </w:r>
          </w:p>
        </w:tc>
        <w:tc>
          <w:tcPr>
            <w:tcW w:type="dxa" w:w="6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n.m.</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r>
      <w:tr>
        <w:trPr>
          <w:cantSplit/>
        </w:trPr>
        <w:tc>
          <w:tcPr>
            <w:tcW w:type="dxa" w:w="26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Rank Group</w:t>
            </w:r>
          </w:p>
        </w:tc>
        <w:tc>
          <w:tcPr>
            <w:tcW w:type="dxa" w:w="11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LSE:RNK</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Yes</w:t>
            </w:r>
          </w:p>
        </w:tc>
        <w:tc>
          <w:tcPr>
            <w:tcW w:type="dxa" w:w="80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470</w:t>
            </w:r>
          </w:p>
        </w:tc>
        <w:tc>
          <w:tcPr>
            <w:tcW w:type="dxa" w:w="71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0.61x</w:t>
            </w:r>
          </w:p>
        </w:tc>
        <w:tc>
          <w:tcPr>
            <w:tcW w:type="dxa" w:w="90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4.0x</w:t>
            </w:r>
          </w:p>
        </w:tc>
        <w:tc>
          <w:tcPr>
            <w:tcW w:type="dxa" w:w="9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3.9x</w:t>
            </w:r>
          </w:p>
        </w:tc>
        <w:tc>
          <w:tcPr>
            <w:tcW w:type="dxa" w:w="6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6.6x</w:t>
            </w:r>
          </w:p>
        </w:tc>
        <w:tc>
          <w:tcPr>
            <w:tcW w:type="dxa" w:w="68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12.0x</w:t>
            </w:r>
          </w:p>
        </w:tc>
        <w:tc>
          <w:tcPr>
            <w:tcW w:type="dxa" w:w="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8.4x</w:t>
            </w:r>
          </w:p>
        </w:tc>
      </w:tr>
      <w:tr>
        <w:trPr>
          <w:cantSplit/>
        </w:trPr>
        <w:tc>
          <w:tcPr>
            <w:tcW w:type="dxa" w:w="26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Golden Entertainment</w:t>
            </w:r>
          </w:p>
        </w:tc>
        <w:tc>
          <w:tcPr>
            <w:tcW w:type="dxa" w:w="11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NasdaqGM:GDEN</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No*</w:t>
            </w:r>
          </w:p>
        </w:tc>
        <w:tc>
          <w:tcPr>
            <w:tcW w:type="dxa" w:w="8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754</w:t>
            </w:r>
          </w:p>
        </w:tc>
        <w:tc>
          <w:tcPr>
            <w:tcW w:type="dxa" w:w="71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1.92x</w:t>
            </w:r>
          </w:p>
        </w:tc>
        <w:tc>
          <w:tcPr>
            <w:tcW w:type="dxa" w:w="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7.5x</w:t>
            </w:r>
          </w:p>
        </w:tc>
        <w:tc>
          <w:tcPr>
            <w:tcW w:type="dxa" w:w="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38.3x</w:t>
            </w:r>
          </w:p>
        </w:tc>
        <w:tc>
          <w:tcPr>
            <w:tcW w:type="dxa" w:w="6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c>
          <w:tcPr>
            <w:tcW w:type="dxa" w:w="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n/a</w:t>
            </w:r>
          </w:p>
        </w:tc>
      </w:tr>
      <w:tr>
        <w:trPr>
          <w:cantSplit/>
        </w:trPr>
        <w:tc>
          <w:tcPr>
            <w:tcW w:type="dxa" w:w="2686"/>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Peer median (ex-GENM)</w:t>
            </w:r>
          </w:p>
        </w:tc>
        <w:tc>
          <w:tcPr>
            <w:tcW w:type="dxa" w:w="1151"/>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p>
        </w:tc>
        <w:tc>
          <w:tcPr>
            <w:tcW w:type="dxa" w:w="681"/>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p>
        </w:tc>
        <w:tc>
          <w:tcPr>
            <w:tcW w:type="dxa" w:w="805"/>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p>
        </w:tc>
        <w:tc>
          <w:tcPr>
            <w:tcW w:type="dxa" w:w="715"/>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3"/>
                <w:szCs w:val="13"/>
              </w:rPr>
              <w:t xml:space="preserve">1.86x</w:t>
            </w:r>
          </w:p>
        </w:tc>
        <w:tc>
          <w:tcPr>
            <w:tcW w:type="dxa" w:w="906"/>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3"/>
                <w:szCs w:val="13"/>
              </w:rPr>
              <w:t xml:space="preserve">7.9x</w:t>
            </w:r>
          </w:p>
        </w:tc>
        <w:tc>
          <w:tcPr>
            <w:tcW w:type="dxa" w:w="901"/>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3"/>
                <w:szCs w:val="13"/>
              </w:rPr>
              <w:t xml:space="preserve">7.5x</w:t>
            </w:r>
          </w:p>
        </w:tc>
        <w:tc>
          <w:tcPr>
            <w:tcW w:type="dxa" w:w="695"/>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3"/>
                <w:szCs w:val="13"/>
              </w:rPr>
              <w:t xml:space="preserve">12.8x</w:t>
            </w:r>
          </w:p>
        </w:tc>
        <w:tc>
          <w:tcPr>
            <w:tcW w:type="dxa" w:w="681"/>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3"/>
                <w:szCs w:val="13"/>
              </w:rPr>
              <w:t xml:space="preserve">13.4x</w:t>
            </w:r>
          </w:p>
        </w:tc>
        <w:tc>
          <w:tcPr>
            <w:tcW w:type="dxa" w:w="685"/>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3"/>
                <w:szCs w:val="13"/>
              </w:rPr>
              <w:t xml:space="preserve">10.1x</w:t>
            </w:r>
          </w:p>
        </w:tc>
      </w:tr>
    </w:tbl>
    <w:p>
      <w:pPr>
        <w:spacing w:after="60"/>
      </w:pPr>
    </w:p>
    <w:p>
      <w:pPr>
        <w:spacing w:after="160"/>
      </w:pPr>
      <w:r>
        <w:rPr>
          <w:rFonts w:ascii="Arial" w:cs="Arial" w:eastAsia="Arial" w:hAnsi="Arial"/>
          <w:i/>
          <w:iCs/>
          <w:color w:val="5A6270"/>
          <w:sz w:val="14"/>
          <w:szCs w:val="14"/>
        </w:rPr>
        <w:t xml:space="preserve">Source: S&amp;P Capital IQ, 16-Oct-2026; financials LTM to 30-Jun-2026. *Golden Entertainment was taken private in Apr-2026 (VICI/Sartini) and is shown at its last multiples, excluded from medians. n.m. = negative or &gt;60x.</w:t>
      </w:r>
    </w:p>
    <w:p>
      <w:pPr>
        <w:pStyle w:val="Heading2"/>
      </w:pPr>
      <w:r>
        <w:t xml:space="preserve">14.3 Listed peer comparison (operating and balance-sheet metrics)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6"/>
        <w:gridCol w:w="1657"/>
        <w:gridCol w:w="953"/>
        <w:gridCol w:w="833"/>
        <w:gridCol w:w="1170"/>
        <w:gridCol w:w="1007"/>
        <w:gridCol w:w="742"/>
        <w:gridCol w:w="728"/>
      </w:tblGrid>
      <w:tr>
        <w:trPr>
          <w:tblHeader/>
        </w:trPr>
        <w:tc>
          <w:tcPr>
            <w:tcW w:type="dxa" w:w="281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Company</w:t>
            </w:r>
          </w:p>
        </w:tc>
        <w:tc>
          <w:tcPr>
            <w:tcW w:type="dxa" w:w="165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Country</w:t>
            </w:r>
          </w:p>
        </w:tc>
        <w:tc>
          <w:tcPr>
            <w:tcW w:type="dxa" w:w="95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EBITDA margin</w:t>
            </w:r>
          </w:p>
        </w:tc>
        <w:tc>
          <w:tcPr>
            <w:tcW w:type="dxa" w:w="83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EBIT margin</w:t>
            </w:r>
          </w:p>
        </w:tc>
        <w:tc>
          <w:tcPr>
            <w:tcW w:type="dxa" w:w="117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Sales growth (LTM)</w:t>
            </w:r>
          </w:p>
        </w:tc>
        <w:tc>
          <w:tcPr>
            <w:tcW w:type="dxa" w:w="100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Net debt/EBITDA</w:t>
            </w:r>
          </w:p>
        </w:tc>
        <w:tc>
          <w:tcPr>
            <w:tcW w:type="dxa" w:w="74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Div. yield</w:t>
            </w:r>
          </w:p>
        </w:tc>
        <w:tc>
          <w:tcPr>
            <w:tcW w:type="dxa" w:w="72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FCF yield</w:t>
            </w:r>
          </w:p>
        </w:tc>
      </w:tr>
      <w:tr>
        <w:trPr>
          <w:cantSplit/>
        </w:trPr>
        <w:tc>
          <w:tcPr>
            <w:tcW w:type="dxa" w:w="28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Genting Malaysia</w:t>
            </w:r>
          </w:p>
        </w:tc>
        <w:tc>
          <w:tcPr>
            <w:tcW w:type="dxa" w:w="1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Malaysia</w:t>
            </w:r>
          </w:p>
        </w:tc>
        <w:tc>
          <w:tcPr>
            <w:tcW w:type="dxa" w:w="9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19.2%</w:t>
            </w:r>
          </w:p>
        </w:tc>
        <w:tc>
          <w:tcPr>
            <w:tcW w:type="dxa" w:w="8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8.6%</w:t>
            </w:r>
          </w:p>
        </w:tc>
        <w:tc>
          <w:tcPr>
            <w:tcW w:type="dxa" w:w="11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19.1%</w:t>
            </w:r>
          </w:p>
        </w:tc>
        <w:tc>
          <w:tcPr>
            <w:tcW w:type="dxa" w:w="1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5.6x</w:t>
            </w:r>
          </w:p>
        </w:tc>
        <w:tc>
          <w:tcPr>
            <w:tcW w:type="dxa" w:w="7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5.5%</w:t>
            </w:r>
          </w:p>
        </w:tc>
        <w:tc>
          <w:tcPr>
            <w:tcW w:type="dxa" w:w="7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7.3%</w:t>
            </w:r>
          </w:p>
        </w:tc>
      </w:tr>
      <w:tr>
        <w:trPr>
          <w:cantSplit/>
        </w:trPr>
        <w:tc>
          <w:tcPr>
            <w:tcW w:type="dxa" w:w="28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Genting Bhd</w:t>
            </w:r>
          </w:p>
        </w:tc>
        <w:tc>
          <w:tcPr>
            <w:tcW w:type="dxa" w:w="1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Malaysia</w:t>
            </w:r>
          </w:p>
        </w:tc>
        <w:tc>
          <w:tcPr>
            <w:tcW w:type="dxa" w:w="9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28.0%</w:t>
            </w:r>
          </w:p>
        </w:tc>
        <w:tc>
          <w:tcPr>
            <w:tcW w:type="dxa" w:w="8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14.3%</w:t>
            </w:r>
          </w:p>
        </w:tc>
        <w:tc>
          <w:tcPr>
            <w:tcW w:type="dxa" w:w="11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7.9%</w:t>
            </w:r>
          </w:p>
        </w:tc>
        <w:tc>
          <w:tcPr>
            <w:tcW w:type="dxa" w:w="1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3.6x</w:t>
            </w:r>
          </w:p>
        </w:tc>
        <w:tc>
          <w:tcPr>
            <w:tcW w:type="dxa" w:w="7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3.5%</w:t>
            </w:r>
          </w:p>
        </w:tc>
        <w:tc>
          <w:tcPr>
            <w:tcW w:type="dxa" w:w="7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4.6%</w:t>
            </w:r>
          </w:p>
        </w:tc>
      </w:tr>
      <w:tr>
        <w:trPr>
          <w:cantSplit/>
        </w:trPr>
        <w:tc>
          <w:tcPr>
            <w:tcW w:type="dxa" w:w="28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Genting Singapore</w:t>
            </w:r>
          </w:p>
        </w:tc>
        <w:tc>
          <w:tcPr>
            <w:tcW w:type="dxa" w:w="1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Singapore</w:t>
            </w:r>
          </w:p>
        </w:tc>
        <w:tc>
          <w:tcPr>
            <w:tcW w:type="dxa" w:w="9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32.4%</w:t>
            </w:r>
          </w:p>
        </w:tc>
        <w:tc>
          <w:tcPr>
            <w:tcW w:type="dxa" w:w="8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15.4%</w:t>
            </w:r>
          </w:p>
        </w:tc>
        <w:tc>
          <w:tcPr>
            <w:tcW w:type="dxa" w:w="11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2.2%</w:t>
            </w:r>
          </w:p>
        </w:tc>
        <w:tc>
          <w:tcPr>
            <w:tcW w:type="dxa" w:w="1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-3.7x</w:t>
            </w:r>
          </w:p>
        </w:tc>
        <w:tc>
          <w:tcPr>
            <w:tcW w:type="dxa" w:w="7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6.6%</w:t>
            </w:r>
          </w:p>
        </w:tc>
        <w:tc>
          <w:tcPr>
            <w:tcW w:type="dxa" w:w="7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2.3%</w:t>
            </w:r>
          </w:p>
        </w:tc>
      </w:tr>
      <w:tr>
        <w:trPr>
          <w:cantSplit/>
        </w:trPr>
        <w:tc>
          <w:tcPr>
            <w:tcW w:type="dxa" w:w="28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Las Vegas Sands</w:t>
            </w:r>
          </w:p>
        </w:tc>
        <w:tc>
          <w:tcPr>
            <w:tcW w:type="dxa" w:w="1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USA/Macau/Singapore</w:t>
            </w:r>
          </w:p>
        </w:tc>
        <w:tc>
          <w:tcPr>
            <w:tcW w:type="dxa" w:w="9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34.6%</w:t>
            </w:r>
          </w:p>
        </w:tc>
        <w:tc>
          <w:tcPr>
            <w:tcW w:type="dxa" w:w="8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23.3%</w:t>
            </w:r>
          </w:p>
        </w:tc>
        <w:tc>
          <w:tcPr>
            <w:tcW w:type="dxa" w:w="11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18.1%</w:t>
            </w:r>
          </w:p>
        </w:tc>
        <w:tc>
          <w:tcPr>
            <w:tcW w:type="dxa" w:w="1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2.5x</w:t>
            </w:r>
          </w:p>
        </w:tc>
        <w:tc>
          <w:tcPr>
            <w:tcW w:type="dxa" w:w="7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2.7%</w:t>
            </w:r>
          </w:p>
        </w:tc>
        <w:tc>
          <w:tcPr>
            <w:tcW w:type="dxa" w:w="7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11.0%</w:t>
            </w:r>
          </w:p>
        </w:tc>
      </w:tr>
      <w:tr>
        <w:trPr>
          <w:cantSplit/>
        </w:trPr>
        <w:tc>
          <w:tcPr>
            <w:tcW w:type="dxa" w:w="28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Sands China</w:t>
            </w:r>
          </w:p>
        </w:tc>
        <w:tc>
          <w:tcPr>
            <w:tcW w:type="dxa" w:w="1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Macau</w:t>
            </w:r>
          </w:p>
        </w:tc>
        <w:tc>
          <w:tcPr>
            <w:tcW w:type="dxa" w:w="9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26.3%</w:t>
            </w:r>
          </w:p>
        </w:tc>
        <w:tc>
          <w:tcPr>
            <w:tcW w:type="dxa" w:w="8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16.3%</w:t>
            </w:r>
          </w:p>
        </w:tc>
        <w:tc>
          <w:tcPr>
            <w:tcW w:type="dxa" w:w="11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11.5%</w:t>
            </w:r>
          </w:p>
        </w:tc>
        <w:tc>
          <w:tcPr>
            <w:tcW w:type="dxa" w:w="1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2.7x</w:t>
            </w:r>
          </w:p>
        </w:tc>
        <w:tc>
          <w:tcPr>
            <w:tcW w:type="dxa" w:w="7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6.5%</w:t>
            </w:r>
          </w:p>
        </w:tc>
        <w:tc>
          <w:tcPr>
            <w:tcW w:type="dxa" w:w="7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14.4%</w:t>
            </w:r>
          </w:p>
        </w:tc>
      </w:tr>
      <w:tr>
        <w:trPr>
          <w:cantSplit/>
        </w:trPr>
        <w:tc>
          <w:tcPr>
            <w:tcW w:type="dxa" w:w="28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Galaxy Entertainment</w:t>
            </w:r>
          </w:p>
        </w:tc>
        <w:tc>
          <w:tcPr>
            <w:tcW w:type="dxa" w:w="1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Macau</w:t>
            </w:r>
          </w:p>
        </w:tc>
        <w:tc>
          <w:tcPr>
            <w:tcW w:type="dxa" w:w="9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26.9%</w:t>
            </w:r>
          </w:p>
        </w:tc>
        <w:tc>
          <w:tcPr>
            <w:tcW w:type="dxa" w:w="8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19.2%</w:t>
            </w:r>
          </w:p>
        </w:tc>
        <w:tc>
          <w:tcPr>
            <w:tcW w:type="dxa" w:w="11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11.1%</w:t>
            </w:r>
          </w:p>
        </w:tc>
        <w:tc>
          <w:tcPr>
            <w:tcW w:type="dxa" w:w="1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-0.8x</w:t>
            </w:r>
          </w:p>
        </w:tc>
        <w:tc>
          <w:tcPr>
            <w:tcW w:type="dxa" w:w="7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4.5%</w:t>
            </w:r>
          </w:p>
        </w:tc>
        <w:tc>
          <w:tcPr>
            <w:tcW w:type="dxa" w:w="7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7.6%</w:t>
            </w:r>
          </w:p>
        </w:tc>
      </w:tr>
      <w:tr>
        <w:trPr>
          <w:cantSplit/>
        </w:trPr>
        <w:tc>
          <w:tcPr>
            <w:tcW w:type="dxa" w:w="28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Wynn Resorts</w:t>
            </w:r>
          </w:p>
        </w:tc>
        <w:tc>
          <w:tcPr>
            <w:tcW w:type="dxa" w:w="1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USA/Macau</w:t>
            </w:r>
          </w:p>
        </w:tc>
        <w:tc>
          <w:tcPr>
            <w:tcW w:type="dxa" w:w="9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25.2%</w:t>
            </w:r>
          </w:p>
        </w:tc>
        <w:tc>
          <w:tcPr>
            <w:tcW w:type="dxa" w:w="8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16.0%</w:t>
            </w:r>
          </w:p>
        </w:tc>
        <w:tc>
          <w:tcPr>
            <w:tcW w:type="dxa" w:w="11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6.4%</w:t>
            </w:r>
          </w:p>
        </w:tc>
        <w:tc>
          <w:tcPr>
            <w:tcW w:type="dxa" w:w="1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5.5x</w:t>
            </w:r>
          </w:p>
        </w:tc>
        <w:tc>
          <w:tcPr>
            <w:tcW w:type="dxa" w:w="7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2.4%</w:t>
            </w:r>
          </w:p>
        </w:tc>
        <w:tc>
          <w:tcPr>
            <w:tcW w:type="dxa" w:w="7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10.3%</w:t>
            </w:r>
          </w:p>
        </w:tc>
      </w:tr>
      <w:tr>
        <w:trPr>
          <w:cantSplit/>
        </w:trPr>
        <w:tc>
          <w:tcPr>
            <w:tcW w:type="dxa" w:w="28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Wynn Macau</w:t>
            </w:r>
          </w:p>
        </w:tc>
        <w:tc>
          <w:tcPr>
            <w:tcW w:type="dxa" w:w="1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Macau</w:t>
            </w:r>
          </w:p>
        </w:tc>
        <w:tc>
          <w:tcPr>
            <w:tcW w:type="dxa" w:w="9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24.6%</w:t>
            </w:r>
          </w:p>
        </w:tc>
        <w:tc>
          <w:tcPr>
            <w:tcW w:type="dxa" w:w="8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16.2%</w:t>
            </w:r>
          </w:p>
        </w:tc>
        <w:tc>
          <w:tcPr>
            <w:tcW w:type="dxa" w:w="11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12.0%</w:t>
            </w:r>
          </w:p>
        </w:tc>
        <w:tc>
          <w:tcPr>
            <w:tcW w:type="dxa" w:w="1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4.4x</w:t>
            </w:r>
          </w:p>
        </w:tc>
        <w:tc>
          <w:tcPr>
            <w:tcW w:type="dxa" w:w="7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8.0%</w:t>
            </w:r>
          </w:p>
        </w:tc>
        <w:tc>
          <w:tcPr>
            <w:tcW w:type="dxa" w:w="7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19.8%</w:t>
            </w:r>
          </w:p>
        </w:tc>
      </w:tr>
      <w:tr>
        <w:trPr>
          <w:cantSplit/>
        </w:trPr>
        <w:tc>
          <w:tcPr>
            <w:tcW w:type="dxa" w:w="28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MGM Resorts</w:t>
            </w:r>
          </w:p>
        </w:tc>
        <w:tc>
          <w:tcPr>
            <w:tcW w:type="dxa" w:w="1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USA/Macau</w:t>
            </w:r>
          </w:p>
        </w:tc>
        <w:tc>
          <w:tcPr>
            <w:tcW w:type="dxa" w:w="9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25.8%</w:t>
            </w:r>
          </w:p>
        </w:tc>
        <w:tc>
          <w:tcPr>
            <w:tcW w:type="dxa" w:w="8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7.0%</w:t>
            </w:r>
          </w:p>
        </w:tc>
        <w:tc>
          <w:tcPr>
            <w:tcW w:type="dxa" w:w="11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3.2%</w:t>
            </w:r>
          </w:p>
        </w:tc>
        <w:tc>
          <w:tcPr>
            <w:tcW w:type="dxa" w:w="1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6.0x</w:t>
            </w:r>
          </w:p>
        </w:tc>
        <w:tc>
          <w:tcPr>
            <w:tcW w:type="dxa" w:w="7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0.0%</w:t>
            </w:r>
          </w:p>
        </w:tc>
        <w:tc>
          <w:tcPr>
            <w:tcW w:type="dxa" w:w="7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20.8%</w:t>
            </w:r>
          </w:p>
        </w:tc>
      </w:tr>
      <w:tr>
        <w:trPr>
          <w:cantSplit/>
        </w:trPr>
        <w:tc>
          <w:tcPr>
            <w:tcW w:type="dxa" w:w="28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MGM China</w:t>
            </w:r>
          </w:p>
        </w:tc>
        <w:tc>
          <w:tcPr>
            <w:tcW w:type="dxa" w:w="1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Macau</w:t>
            </w:r>
          </w:p>
        </w:tc>
        <w:tc>
          <w:tcPr>
            <w:tcW w:type="dxa" w:w="9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23.5%</w:t>
            </w:r>
          </w:p>
        </w:tc>
        <w:tc>
          <w:tcPr>
            <w:tcW w:type="dxa" w:w="8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17.1%</w:t>
            </w:r>
          </w:p>
        </w:tc>
        <w:tc>
          <w:tcPr>
            <w:tcW w:type="dxa" w:w="11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11.6%</w:t>
            </w:r>
          </w:p>
        </w:tc>
        <w:tc>
          <w:tcPr>
            <w:tcW w:type="dxa" w:w="1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1.7x</w:t>
            </w:r>
          </w:p>
        </w:tc>
        <w:tc>
          <w:tcPr>
            <w:tcW w:type="dxa" w:w="7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6.8%</w:t>
            </w:r>
          </w:p>
        </w:tc>
        <w:tc>
          <w:tcPr>
            <w:tcW w:type="dxa" w:w="7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17.7%</w:t>
            </w:r>
          </w:p>
        </w:tc>
      </w:tr>
      <w:tr>
        <w:trPr>
          <w:cantSplit/>
        </w:trPr>
        <w:tc>
          <w:tcPr>
            <w:tcW w:type="dxa" w:w="28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Melco Resorts &amp; Ent.</w:t>
            </w:r>
          </w:p>
        </w:tc>
        <w:tc>
          <w:tcPr>
            <w:tcW w:type="dxa" w:w="1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Macau/Philippines/Cyprus</w:t>
            </w:r>
          </w:p>
        </w:tc>
        <w:tc>
          <w:tcPr>
            <w:tcW w:type="dxa" w:w="9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24.9%</w:t>
            </w:r>
          </w:p>
        </w:tc>
        <w:tc>
          <w:tcPr>
            <w:tcW w:type="dxa" w:w="8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13.4%</w:t>
            </w:r>
          </w:p>
        </w:tc>
        <w:tc>
          <w:tcPr>
            <w:tcW w:type="dxa" w:w="11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6.0%</w:t>
            </w:r>
          </w:p>
        </w:tc>
        <w:tc>
          <w:tcPr>
            <w:tcW w:type="dxa" w:w="1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4.9x</w:t>
            </w:r>
          </w:p>
        </w:tc>
        <w:tc>
          <w:tcPr>
            <w:tcW w:type="dxa" w:w="7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0.0%</w:t>
            </w:r>
          </w:p>
        </w:tc>
        <w:tc>
          <w:tcPr>
            <w:tcW w:type="dxa" w:w="7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31.4%</w:t>
            </w:r>
          </w:p>
        </w:tc>
      </w:tr>
      <w:tr>
        <w:trPr>
          <w:cantSplit/>
        </w:trPr>
        <w:tc>
          <w:tcPr>
            <w:tcW w:type="dxa" w:w="28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Melco International Dev.</w:t>
            </w:r>
          </w:p>
        </w:tc>
        <w:tc>
          <w:tcPr>
            <w:tcW w:type="dxa" w:w="1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Macau (holdco)</w:t>
            </w:r>
          </w:p>
        </w:tc>
        <w:tc>
          <w:tcPr>
            <w:tcW w:type="dxa" w:w="9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23.5%</w:t>
            </w:r>
          </w:p>
        </w:tc>
        <w:tc>
          <w:tcPr>
            <w:tcW w:type="dxa" w:w="8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12.6%</w:t>
            </w:r>
          </w:p>
        </w:tc>
        <w:tc>
          <w:tcPr>
            <w:tcW w:type="dxa" w:w="11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6.3%</w:t>
            </w:r>
          </w:p>
        </w:tc>
        <w:tc>
          <w:tcPr>
            <w:tcW w:type="dxa" w:w="1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5.4x</w:t>
            </w:r>
          </w:p>
        </w:tc>
        <w:tc>
          <w:tcPr>
            <w:tcW w:type="dxa" w:w="7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0.0%</w:t>
            </w:r>
          </w:p>
        </w:tc>
        <w:tc>
          <w:tcPr>
            <w:tcW w:type="dxa" w:w="7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n.m.</w:t>
            </w:r>
          </w:p>
        </w:tc>
      </w:tr>
      <w:tr>
        <w:trPr>
          <w:cantSplit/>
        </w:trPr>
        <w:tc>
          <w:tcPr>
            <w:tcW w:type="dxa" w:w="28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SJM Holdings</w:t>
            </w:r>
          </w:p>
        </w:tc>
        <w:tc>
          <w:tcPr>
            <w:tcW w:type="dxa" w:w="1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Macau</w:t>
            </w:r>
          </w:p>
        </w:tc>
        <w:tc>
          <w:tcPr>
            <w:tcW w:type="dxa" w:w="9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12.1%</w:t>
            </w:r>
          </w:p>
        </w:tc>
        <w:tc>
          <w:tcPr>
            <w:tcW w:type="dxa" w:w="8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3.3%</w:t>
            </w:r>
          </w:p>
        </w:tc>
        <w:tc>
          <w:tcPr>
            <w:tcW w:type="dxa" w:w="11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-15.2%</w:t>
            </w:r>
          </w:p>
        </w:tc>
        <w:tc>
          <w:tcPr>
            <w:tcW w:type="dxa" w:w="1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9.5x</w:t>
            </w:r>
          </w:p>
        </w:tc>
        <w:tc>
          <w:tcPr>
            <w:tcW w:type="dxa" w:w="7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0.0%</w:t>
            </w:r>
          </w:p>
        </w:tc>
        <w:tc>
          <w:tcPr>
            <w:tcW w:type="dxa" w:w="7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10.6%</w:t>
            </w:r>
          </w:p>
        </w:tc>
      </w:tr>
      <w:tr>
        <w:trPr>
          <w:cantSplit/>
        </w:trPr>
        <w:tc>
          <w:tcPr>
            <w:tcW w:type="dxa" w:w="28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Studio City Intl</w:t>
            </w:r>
          </w:p>
        </w:tc>
        <w:tc>
          <w:tcPr>
            <w:tcW w:type="dxa" w:w="1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Macau</w:t>
            </w:r>
          </w:p>
        </w:tc>
        <w:tc>
          <w:tcPr>
            <w:tcW w:type="dxa" w:w="9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42.9%</w:t>
            </w:r>
          </w:p>
        </w:tc>
        <w:tc>
          <w:tcPr>
            <w:tcW w:type="dxa" w:w="8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11.2%</w:t>
            </w:r>
          </w:p>
        </w:tc>
        <w:tc>
          <w:tcPr>
            <w:tcW w:type="dxa" w:w="11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0.7%</w:t>
            </w:r>
          </w:p>
        </w:tc>
        <w:tc>
          <w:tcPr>
            <w:tcW w:type="dxa" w:w="1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6.4x</w:t>
            </w:r>
          </w:p>
        </w:tc>
        <w:tc>
          <w:tcPr>
            <w:tcW w:type="dxa" w:w="7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0.0%</w:t>
            </w:r>
          </w:p>
        </w:tc>
        <w:tc>
          <w:tcPr>
            <w:tcW w:type="dxa" w:w="7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n.m.</w:t>
            </w:r>
          </w:p>
        </w:tc>
      </w:tr>
      <w:tr>
        <w:trPr>
          <w:cantSplit/>
        </w:trPr>
        <w:tc>
          <w:tcPr>
            <w:tcW w:type="dxa" w:w="28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NagaCorp</w:t>
            </w:r>
          </w:p>
        </w:tc>
        <w:tc>
          <w:tcPr>
            <w:tcW w:type="dxa" w:w="1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Cambodia</w:t>
            </w:r>
          </w:p>
        </w:tc>
        <w:tc>
          <w:tcPr>
            <w:tcW w:type="dxa" w:w="9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61.9%</w:t>
            </w:r>
          </w:p>
        </w:tc>
        <w:tc>
          <w:tcPr>
            <w:tcW w:type="dxa" w:w="8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46.5%</w:t>
            </w:r>
          </w:p>
        </w:tc>
        <w:tc>
          <w:tcPr>
            <w:tcW w:type="dxa" w:w="11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11.4%</w:t>
            </w:r>
          </w:p>
        </w:tc>
        <w:tc>
          <w:tcPr>
            <w:tcW w:type="dxa" w:w="1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-0.8x</w:t>
            </w:r>
          </w:p>
        </w:tc>
        <w:tc>
          <w:tcPr>
            <w:tcW w:type="dxa" w:w="7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3.3%</w:t>
            </w:r>
          </w:p>
        </w:tc>
        <w:tc>
          <w:tcPr>
            <w:tcW w:type="dxa" w:w="7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22.4%</w:t>
            </w:r>
          </w:p>
        </w:tc>
      </w:tr>
      <w:tr>
        <w:trPr>
          <w:cantSplit/>
        </w:trPr>
        <w:tc>
          <w:tcPr>
            <w:tcW w:type="dxa" w:w="28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Bloomberry Resorts</w:t>
            </w:r>
          </w:p>
        </w:tc>
        <w:tc>
          <w:tcPr>
            <w:tcW w:type="dxa" w:w="1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Philippines</w:t>
            </w:r>
          </w:p>
        </w:tc>
        <w:tc>
          <w:tcPr>
            <w:tcW w:type="dxa" w:w="9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18.0%</w:t>
            </w:r>
          </w:p>
        </w:tc>
        <w:tc>
          <w:tcPr>
            <w:tcW w:type="dxa" w:w="8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3.7%</w:t>
            </w:r>
          </w:p>
        </w:tc>
        <w:tc>
          <w:tcPr>
            <w:tcW w:type="dxa" w:w="11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-4.9%</w:t>
            </w:r>
          </w:p>
        </w:tc>
        <w:tc>
          <w:tcPr>
            <w:tcW w:type="dxa" w:w="1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8.3x</w:t>
            </w:r>
          </w:p>
        </w:tc>
        <w:tc>
          <w:tcPr>
            <w:tcW w:type="dxa" w:w="7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0.0%</w:t>
            </w:r>
          </w:p>
        </w:tc>
        <w:tc>
          <w:tcPr>
            <w:tcW w:type="dxa" w:w="7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22.4%</w:t>
            </w:r>
          </w:p>
        </w:tc>
      </w:tr>
      <w:tr>
        <w:trPr>
          <w:cantSplit/>
        </w:trPr>
        <w:tc>
          <w:tcPr>
            <w:tcW w:type="dxa" w:w="28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Paradise Co</w:t>
            </w:r>
          </w:p>
        </w:tc>
        <w:tc>
          <w:tcPr>
            <w:tcW w:type="dxa" w:w="1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South Korea</w:t>
            </w:r>
          </w:p>
        </w:tc>
        <w:tc>
          <w:tcPr>
            <w:tcW w:type="dxa" w:w="9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17.4%</w:t>
            </w:r>
          </w:p>
        </w:tc>
        <w:tc>
          <w:tcPr>
            <w:tcW w:type="dxa" w:w="8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10.8%</w:t>
            </w:r>
          </w:p>
        </w:tc>
        <w:tc>
          <w:tcPr>
            <w:tcW w:type="dxa" w:w="11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8.4%</w:t>
            </w:r>
          </w:p>
        </w:tc>
        <w:tc>
          <w:tcPr>
            <w:tcW w:type="dxa" w:w="1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3.0x</w:t>
            </w:r>
          </w:p>
        </w:tc>
        <w:tc>
          <w:tcPr>
            <w:tcW w:type="dxa" w:w="7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w:t>
            </w:r>
          </w:p>
        </w:tc>
        <w:tc>
          <w:tcPr>
            <w:tcW w:type="dxa" w:w="7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-19.8%</w:t>
            </w:r>
          </w:p>
        </w:tc>
      </w:tr>
      <w:tr>
        <w:trPr>
          <w:cantSplit/>
        </w:trPr>
        <w:tc>
          <w:tcPr>
            <w:tcW w:type="dxa" w:w="28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Kangwon Land</w:t>
            </w:r>
          </w:p>
        </w:tc>
        <w:tc>
          <w:tcPr>
            <w:tcW w:type="dxa" w:w="1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South Korea</w:t>
            </w:r>
          </w:p>
        </w:tc>
        <w:tc>
          <w:tcPr>
            <w:tcW w:type="dxa" w:w="9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20.7%</w:t>
            </w:r>
          </w:p>
        </w:tc>
        <w:tc>
          <w:tcPr>
            <w:tcW w:type="dxa" w:w="8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14.6%</w:t>
            </w:r>
          </w:p>
        </w:tc>
        <w:tc>
          <w:tcPr>
            <w:tcW w:type="dxa" w:w="11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1.8%</w:t>
            </w:r>
          </w:p>
        </w:tc>
        <w:tc>
          <w:tcPr>
            <w:tcW w:type="dxa" w:w="1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-9.6x</w:t>
            </w:r>
          </w:p>
        </w:tc>
        <w:tc>
          <w:tcPr>
            <w:tcW w:type="dxa" w:w="7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6.7%</w:t>
            </w:r>
          </w:p>
        </w:tc>
        <w:tc>
          <w:tcPr>
            <w:tcW w:type="dxa" w:w="7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4.3%</w:t>
            </w:r>
          </w:p>
        </w:tc>
      </w:tr>
      <w:tr>
        <w:trPr>
          <w:cantSplit/>
        </w:trPr>
        <w:tc>
          <w:tcPr>
            <w:tcW w:type="dxa" w:w="28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Grand Korea Leisure</w:t>
            </w:r>
          </w:p>
        </w:tc>
        <w:tc>
          <w:tcPr>
            <w:tcW w:type="dxa" w:w="1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South Korea</w:t>
            </w:r>
          </w:p>
        </w:tc>
        <w:tc>
          <w:tcPr>
            <w:tcW w:type="dxa" w:w="9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19.8%</w:t>
            </w:r>
          </w:p>
        </w:tc>
        <w:tc>
          <w:tcPr>
            <w:tcW w:type="dxa" w:w="8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12.4%</w:t>
            </w:r>
          </w:p>
        </w:tc>
        <w:tc>
          <w:tcPr>
            <w:tcW w:type="dxa" w:w="11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8.0%</w:t>
            </w:r>
          </w:p>
        </w:tc>
        <w:tc>
          <w:tcPr>
            <w:tcW w:type="dxa" w:w="1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-4.3x</w:t>
            </w:r>
          </w:p>
        </w:tc>
        <w:tc>
          <w:tcPr>
            <w:tcW w:type="dxa" w:w="7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4.9%</w:t>
            </w:r>
          </w:p>
        </w:tc>
        <w:tc>
          <w:tcPr>
            <w:tcW w:type="dxa" w:w="7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19.3%</w:t>
            </w:r>
          </w:p>
        </w:tc>
      </w:tr>
      <w:tr>
        <w:trPr>
          <w:cantSplit/>
        </w:trPr>
        <w:tc>
          <w:tcPr>
            <w:tcW w:type="dxa" w:w="28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Universal Entertainment (Okada Manila)</w:t>
            </w:r>
          </w:p>
        </w:tc>
        <w:tc>
          <w:tcPr>
            <w:tcW w:type="dxa" w:w="1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Japan/Philippines</w:t>
            </w:r>
          </w:p>
        </w:tc>
        <w:tc>
          <w:tcPr>
            <w:tcW w:type="dxa" w:w="9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16.1%</w:t>
            </w:r>
          </w:p>
        </w:tc>
        <w:tc>
          <w:tcPr>
            <w:tcW w:type="dxa" w:w="8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5.2%</w:t>
            </w:r>
          </w:p>
        </w:tc>
        <w:tc>
          <w:tcPr>
            <w:tcW w:type="dxa" w:w="11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9.2%</w:t>
            </w:r>
          </w:p>
        </w:tc>
        <w:tc>
          <w:tcPr>
            <w:tcW w:type="dxa" w:w="1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6.9x</w:t>
            </w:r>
          </w:p>
        </w:tc>
        <w:tc>
          <w:tcPr>
            <w:tcW w:type="dxa" w:w="7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4.5%</w:t>
            </w:r>
          </w:p>
        </w:tc>
        <w:tc>
          <w:tcPr>
            <w:tcW w:type="dxa" w:w="7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6.8%</w:t>
            </w:r>
          </w:p>
        </w:tc>
      </w:tr>
      <w:tr>
        <w:trPr>
          <w:cantSplit/>
        </w:trPr>
        <w:tc>
          <w:tcPr>
            <w:tcW w:type="dxa" w:w="28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Star Entertainment</w:t>
            </w:r>
          </w:p>
        </w:tc>
        <w:tc>
          <w:tcPr>
            <w:tcW w:type="dxa" w:w="1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Australia</w:t>
            </w:r>
          </w:p>
        </w:tc>
        <w:tc>
          <w:tcPr>
            <w:tcW w:type="dxa" w:w="9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-3.4%</w:t>
            </w:r>
          </w:p>
        </w:tc>
        <w:tc>
          <w:tcPr>
            <w:tcW w:type="dxa" w:w="8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-7.1%</w:t>
            </w:r>
          </w:p>
        </w:tc>
        <w:tc>
          <w:tcPr>
            <w:tcW w:type="dxa" w:w="11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0.5%</w:t>
            </w:r>
          </w:p>
        </w:tc>
        <w:tc>
          <w:tcPr>
            <w:tcW w:type="dxa" w:w="1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n/a</w:t>
            </w:r>
          </w:p>
        </w:tc>
        <w:tc>
          <w:tcPr>
            <w:tcW w:type="dxa" w:w="7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0.0%</w:t>
            </w:r>
          </w:p>
        </w:tc>
        <w:tc>
          <w:tcPr>
            <w:tcW w:type="dxa" w:w="7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-9.7%</w:t>
            </w:r>
          </w:p>
        </w:tc>
      </w:tr>
      <w:tr>
        <w:trPr>
          <w:cantSplit/>
        </w:trPr>
        <w:tc>
          <w:tcPr>
            <w:tcW w:type="dxa" w:w="28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SkyCity Entertainment</w:t>
            </w:r>
          </w:p>
        </w:tc>
        <w:tc>
          <w:tcPr>
            <w:tcW w:type="dxa" w:w="1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New Zealand/Australia</w:t>
            </w:r>
          </w:p>
        </w:tc>
        <w:tc>
          <w:tcPr>
            <w:tcW w:type="dxa" w:w="9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17.1%</w:t>
            </w:r>
          </w:p>
        </w:tc>
        <w:tc>
          <w:tcPr>
            <w:tcW w:type="dxa" w:w="8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5.8%</w:t>
            </w:r>
          </w:p>
        </w:tc>
        <w:tc>
          <w:tcPr>
            <w:tcW w:type="dxa" w:w="11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-0.9%</w:t>
            </w:r>
          </w:p>
        </w:tc>
        <w:tc>
          <w:tcPr>
            <w:tcW w:type="dxa" w:w="1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4.3x</w:t>
            </w:r>
          </w:p>
        </w:tc>
        <w:tc>
          <w:tcPr>
            <w:tcW w:type="dxa" w:w="7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0.0%</w:t>
            </w:r>
          </w:p>
        </w:tc>
        <w:tc>
          <w:tcPr>
            <w:tcW w:type="dxa" w:w="7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2.5%</w:t>
            </w:r>
          </w:p>
        </w:tc>
      </w:tr>
      <w:tr>
        <w:trPr>
          <w:cantSplit/>
        </w:trPr>
        <w:tc>
          <w:tcPr>
            <w:tcW w:type="dxa" w:w="28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Caesars Entertainment</w:t>
            </w:r>
          </w:p>
        </w:tc>
        <w:tc>
          <w:tcPr>
            <w:tcW w:type="dxa" w:w="1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USA</w:t>
            </w:r>
          </w:p>
        </w:tc>
        <w:tc>
          <w:tcPr>
            <w:tcW w:type="dxa" w:w="9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31.6%</w:t>
            </w:r>
          </w:p>
        </w:tc>
        <w:tc>
          <w:tcPr>
            <w:tcW w:type="dxa" w:w="8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17.6%</w:t>
            </w:r>
          </w:p>
        </w:tc>
        <w:tc>
          <w:tcPr>
            <w:tcW w:type="dxa" w:w="11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2.4%</w:t>
            </w:r>
          </w:p>
        </w:tc>
        <w:tc>
          <w:tcPr>
            <w:tcW w:type="dxa" w:w="1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6.8x</w:t>
            </w:r>
          </w:p>
        </w:tc>
        <w:tc>
          <w:tcPr>
            <w:tcW w:type="dxa" w:w="7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0.0%</w:t>
            </w:r>
          </w:p>
        </w:tc>
        <w:tc>
          <w:tcPr>
            <w:tcW w:type="dxa" w:w="7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10.4%</w:t>
            </w:r>
          </w:p>
        </w:tc>
      </w:tr>
      <w:tr>
        <w:trPr>
          <w:cantSplit/>
        </w:trPr>
        <w:tc>
          <w:tcPr>
            <w:tcW w:type="dxa" w:w="28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PENN Entertainment</w:t>
            </w:r>
          </w:p>
        </w:tc>
        <w:tc>
          <w:tcPr>
            <w:tcW w:type="dxa" w:w="1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USA</w:t>
            </w:r>
          </w:p>
        </w:tc>
        <w:tc>
          <w:tcPr>
            <w:tcW w:type="dxa" w:w="9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23.5%</w:t>
            </w:r>
          </w:p>
        </w:tc>
        <w:tc>
          <w:tcPr>
            <w:tcW w:type="dxa" w:w="8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6.2%</w:t>
            </w:r>
          </w:p>
        </w:tc>
        <w:tc>
          <w:tcPr>
            <w:tcW w:type="dxa" w:w="11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6.1%</w:t>
            </w:r>
          </w:p>
        </w:tc>
        <w:tc>
          <w:tcPr>
            <w:tcW w:type="dxa" w:w="1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6.1x</w:t>
            </w:r>
          </w:p>
        </w:tc>
        <w:tc>
          <w:tcPr>
            <w:tcW w:type="dxa" w:w="7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0.0%</w:t>
            </w:r>
          </w:p>
        </w:tc>
        <w:tc>
          <w:tcPr>
            <w:tcW w:type="dxa" w:w="7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5.1%</w:t>
            </w:r>
          </w:p>
        </w:tc>
      </w:tr>
      <w:tr>
        <w:trPr>
          <w:cantSplit/>
        </w:trPr>
        <w:tc>
          <w:tcPr>
            <w:tcW w:type="dxa" w:w="28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Boyd Gaming</w:t>
            </w:r>
          </w:p>
        </w:tc>
        <w:tc>
          <w:tcPr>
            <w:tcW w:type="dxa" w:w="1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USA</w:t>
            </w:r>
          </w:p>
        </w:tc>
        <w:tc>
          <w:tcPr>
            <w:tcW w:type="dxa" w:w="9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32.6%</w:t>
            </w:r>
          </w:p>
        </w:tc>
        <w:tc>
          <w:tcPr>
            <w:tcW w:type="dxa" w:w="8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20.3%</w:t>
            </w:r>
          </w:p>
        </w:tc>
        <w:tc>
          <w:tcPr>
            <w:tcW w:type="dxa" w:w="11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1.8%</w:t>
            </w:r>
          </w:p>
        </w:tc>
        <w:tc>
          <w:tcPr>
            <w:tcW w:type="dxa" w:w="1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2.2x</w:t>
            </w:r>
          </w:p>
        </w:tc>
        <w:tc>
          <w:tcPr>
            <w:tcW w:type="dxa" w:w="7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w:t>
            </w:r>
          </w:p>
        </w:tc>
        <w:tc>
          <w:tcPr>
            <w:tcW w:type="dxa" w:w="7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0.7%</w:t>
            </w:r>
          </w:p>
        </w:tc>
      </w:tr>
      <w:tr>
        <w:trPr>
          <w:cantSplit/>
        </w:trPr>
        <w:tc>
          <w:tcPr>
            <w:tcW w:type="dxa" w:w="28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Red Rock Resorts</w:t>
            </w:r>
          </w:p>
        </w:tc>
        <w:tc>
          <w:tcPr>
            <w:tcW w:type="dxa" w:w="1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USA</w:t>
            </w:r>
          </w:p>
        </w:tc>
        <w:tc>
          <w:tcPr>
            <w:tcW w:type="dxa" w:w="9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41.1%</w:t>
            </w:r>
          </w:p>
        </w:tc>
        <w:tc>
          <w:tcPr>
            <w:tcW w:type="dxa" w:w="8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28.8%</w:t>
            </w:r>
          </w:p>
        </w:tc>
        <w:tc>
          <w:tcPr>
            <w:tcW w:type="dxa" w:w="11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0.9%</w:t>
            </w:r>
          </w:p>
        </w:tc>
        <w:tc>
          <w:tcPr>
            <w:tcW w:type="dxa" w:w="1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4.2x</w:t>
            </w:r>
          </w:p>
        </w:tc>
        <w:tc>
          <w:tcPr>
            <w:tcW w:type="dxa" w:w="7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0.0%</w:t>
            </w:r>
          </w:p>
        </w:tc>
        <w:tc>
          <w:tcPr>
            <w:tcW w:type="dxa" w:w="7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6.8%</w:t>
            </w:r>
          </w:p>
        </w:tc>
      </w:tr>
      <w:tr>
        <w:trPr>
          <w:cantSplit/>
        </w:trPr>
        <w:tc>
          <w:tcPr>
            <w:tcW w:type="dxa" w:w="28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Monarch Casino &amp; Resort</w:t>
            </w:r>
          </w:p>
        </w:tc>
        <w:tc>
          <w:tcPr>
            <w:tcW w:type="dxa" w:w="1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USA</w:t>
            </w:r>
          </w:p>
        </w:tc>
        <w:tc>
          <w:tcPr>
            <w:tcW w:type="dxa" w:w="9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35.5%</w:t>
            </w:r>
          </w:p>
        </w:tc>
        <w:tc>
          <w:tcPr>
            <w:tcW w:type="dxa" w:w="8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26.6%</w:t>
            </w:r>
          </w:p>
        </w:tc>
        <w:tc>
          <w:tcPr>
            <w:tcW w:type="dxa" w:w="11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5.1%</w:t>
            </w:r>
          </w:p>
        </w:tc>
        <w:tc>
          <w:tcPr>
            <w:tcW w:type="dxa" w:w="1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-0.6x</w:t>
            </w:r>
          </w:p>
        </w:tc>
        <w:tc>
          <w:tcPr>
            <w:tcW w:type="dxa" w:w="7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w:t>
            </w:r>
          </w:p>
        </w:tc>
        <w:tc>
          <w:tcPr>
            <w:tcW w:type="dxa" w:w="7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7.6%</w:t>
            </w:r>
          </w:p>
        </w:tc>
      </w:tr>
      <w:tr>
        <w:trPr>
          <w:cantSplit/>
        </w:trPr>
        <w:tc>
          <w:tcPr>
            <w:tcW w:type="dxa" w:w="28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Churchill Downs</w:t>
            </w:r>
          </w:p>
        </w:tc>
        <w:tc>
          <w:tcPr>
            <w:tcW w:type="dxa" w:w="1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USA</w:t>
            </w:r>
          </w:p>
        </w:tc>
        <w:tc>
          <w:tcPr>
            <w:tcW w:type="dxa" w:w="9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39.1%</w:t>
            </w:r>
          </w:p>
        </w:tc>
        <w:tc>
          <w:tcPr>
            <w:tcW w:type="dxa" w:w="8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30.7%</w:t>
            </w:r>
          </w:p>
        </w:tc>
        <w:tc>
          <w:tcPr>
            <w:tcW w:type="dxa" w:w="11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5.7%</w:t>
            </w:r>
          </w:p>
        </w:tc>
        <w:tc>
          <w:tcPr>
            <w:tcW w:type="dxa" w:w="1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4.0x</w:t>
            </w:r>
          </w:p>
        </w:tc>
        <w:tc>
          <w:tcPr>
            <w:tcW w:type="dxa" w:w="7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0.6%</w:t>
            </w:r>
          </w:p>
        </w:tc>
        <w:tc>
          <w:tcPr>
            <w:tcW w:type="dxa" w:w="7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10.0%</w:t>
            </w:r>
          </w:p>
        </w:tc>
      </w:tr>
      <w:tr>
        <w:trPr>
          <w:cantSplit/>
        </w:trPr>
        <w:tc>
          <w:tcPr>
            <w:tcW w:type="dxa" w:w="28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Bally's Corp</w:t>
            </w:r>
          </w:p>
        </w:tc>
        <w:tc>
          <w:tcPr>
            <w:tcW w:type="dxa" w:w="1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USA/UK</w:t>
            </w:r>
          </w:p>
        </w:tc>
        <w:tc>
          <w:tcPr>
            <w:tcW w:type="dxa" w:w="9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21.9%</w:t>
            </w:r>
          </w:p>
        </w:tc>
        <w:tc>
          <w:tcPr>
            <w:tcW w:type="dxa" w:w="8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-0.3%</w:t>
            </w:r>
          </w:p>
        </w:tc>
        <w:tc>
          <w:tcPr>
            <w:tcW w:type="dxa" w:w="11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20.4%</w:t>
            </w:r>
          </w:p>
        </w:tc>
        <w:tc>
          <w:tcPr>
            <w:tcW w:type="dxa" w:w="1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10.1x</w:t>
            </w:r>
          </w:p>
        </w:tc>
        <w:tc>
          <w:tcPr>
            <w:tcW w:type="dxa" w:w="7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0.0%</w:t>
            </w:r>
          </w:p>
        </w:tc>
        <w:tc>
          <w:tcPr>
            <w:tcW w:type="dxa" w:w="7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n.m.</w:t>
            </w:r>
          </w:p>
        </w:tc>
      </w:tr>
      <w:tr>
        <w:trPr>
          <w:cantSplit/>
        </w:trPr>
        <w:tc>
          <w:tcPr>
            <w:tcW w:type="dxa" w:w="28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Century Casinos</w:t>
            </w:r>
          </w:p>
        </w:tc>
        <w:tc>
          <w:tcPr>
            <w:tcW w:type="dxa" w:w="1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USA/Canada/Poland</w:t>
            </w:r>
          </w:p>
        </w:tc>
        <w:tc>
          <w:tcPr>
            <w:tcW w:type="dxa" w:w="9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20.2%</w:t>
            </w:r>
          </w:p>
        </w:tc>
        <w:tc>
          <w:tcPr>
            <w:tcW w:type="dxa" w:w="8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9.8%</w:t>
            </w:r>
          </w:p>
        </w:tc>
        <w:tc>
          <w:tcPr>
            <w:tcW w:type="dxa" w:w="11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w:t>
            </w:r>
          </w:p>
        </w:tc>
        <w:tc>
          <w:tcPr>
            <w:tcW w:type="dxa" w:w="1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8.6x</w:t>
            </w:r>
          </w:p>
        </w:tc>
        <w:tc>
          <w:tcPr>
            <w:tcW w:type="dxa" w:w="7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0.0%</w:t>
            </w:r>
          </w:p>
        </w:tc>
        <w:tc>
          <w:tcPr>
            <w:tcW w:type="dxa" w:w="7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-35.7%</w:t>
            </w:r>
          </w:p>
        </w:tc>
      </w:tr>
      <w:tr>
        <w:trPr>
          <w:cantSplit/>
        </w:trPr>
        <w:tc>
          <w:tcPr>
            <w:tcW w:type="dxa" w:w="28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Full House Resorts</w:t>
            </w:r>
          </w:p>
        </w:tc>
        <w:tc>
          <w:tcPr>
            <w:tcW w:type="dxa" w:w="1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USA</w:t>
            </w:r>
          </w:p>
        </w:tc>
        <w:tc>
          <w:tcPr>
            <w:tcW w:type="dxa" w:w="9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19.2%</w:t>
            </w:r>
          </w:p>
        </w:tc>
        <w:tc>
          <w:tcPr>
            <w:tcW w:type="dxa" w:w="8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2.4%</w:t>
            </w:r>
          </w:p>
        </w:tc>
        <w:tc>
          <w:tcPr>
            <w:tcW w:type="dxa" w:w="11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2.8%</w:t>
            </w:r>
          </w:p>
        </w:tc>
        <w:tc>
          <w:tcPr>
            <w:tcW w:type="dxa" w:w="1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8.4x</w:t>
            </w:r>
          </w:p>
        </w:tc>
        <w:tc>
          <w:tcPr>
            <w:tcW w:type="dxa" w:w="7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0.0%</w:t>
            </w:r>
          </w:p>
        </w:tc>
        <w:tc>
          <w:tcPr>
            <w:tcW w:type="dxa" w:w="7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9.9%</w:t>
            </w:r>
          </w:p>
        </w:tc>
      </w:tr>
      <w:tr>
        <w:trPr>
          <w:cantSplit/>
        </w:trPr>
        <w:tc>
          <w:tcPr>
            <w:tcW w:type="dxa" w:w="28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Rank Group</w:t>
            </w:r>
          </w:p>
        </w:tc>
        <w:tc>
          <w:tcPr>
            <w:tcW w:type="dxa" w:w="1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UK</w:t>
            </w:r>
          </w:p>
        </w:tc>
        <w:tc>
          <w:tcPr>
            <w:tcW w:type="dxa" w:w="9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15.2%</w:t>
            </w:r>
          </w:p>
        </w:tc>
        <w:tc>
          <w:tcPr>
            <w:tcW w:type="dxa" w:w="83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9.3%</w:t>
            </w:r>
          </w:p>
        </w:tc>
        <w:tc>
          <w:tcPr>
            <w:tcW w:type="dxa" w:w="11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5.0%</w:t>
            </w:r>
          </w:p>
        </w:tc>
        <w:tc>
          <w:tcPr>
            <w:tcW w:type="dxa" w:w="10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1.3x</w:t>
            </w:r>
          </w:p>
        </w:tc>
        <w:tc>
          <w:tcPr>
            <w:tcW w:type="dxa" w:w="7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3.9%</w:t>
            </w:r>
          </w:p>
        </w:tc>
        <w:tc>
          <w:tcPr>
            <w:tcW w:type="dxa" w:w="7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20.1%</w:t>
            </w:r>
          </w:p>
        </w:tc>
      </w:tr>
      <w:tr>
        <w:trPr>
          <w:cantSplit/>
        </w:trPr>
        <w:tc>
          <w:tcPr>
            <w:tcW w:type="dxa" w:w="28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Golden Entertainment</w:t>
            </w:r>
          </w:p>
        </w:tc>
        <w:tc>
          <w:tcPr>
            <w:tcW w:type="dxa" w:w="1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USA</w:t>
            </w:r>
          </w:p>
        </w:tc>
        <w:tc>
          <w:tcPr>
            <w:tcW w:type="dxa" w:w="9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25.5%</w:t>
            </w:r>
          </w:p>
        </w:tc>
        <w:tc>
          <w:tcPr>
            <w:tcW w:type="dxa" w:w="83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5.0%</w:t>
            </w:r>
          </w:p>
        </w:tc>
        <w:tc>
          <w:tcPr>
            <w:tcW w:type="dxa" w:w="11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-4.8%</w:t>
            </w:r>
          </w:p>
        </w:tc>
        <w:tc>
          <w:tcPr>
            <w:tcW w:type="dxa" w:w="1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2.9x</w:t>
            </w:r>
          </w:p>
        </w:tc>
        <w:tc>
          <w:tcPr>
            <w:tcW w:type="dxa" w:w="7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n/a</w:t>
            </w:r>
          </w:p>
        </w:tc>
        <w:tc>
          <w:tcPr>
            <w:tcW w:type="dxa" w:w="7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n.m.</w:t>
            </w:r>
          </w:p>
        </w:tc>
      </w:tr>
      <w:tr>
        <w:trPr>
          <w:cantSplit/>
        </w:trPr>
        <w:tc>
          <w:tcPr>
            <w:tcW w:type="dxa" w:w="2816"/>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Peer median (ex-GENM)</w:t>
            </w:r>
          </w:p>
        </w:tc>
        <w:tc>
          <w:tcPr>
            <w:tcW w:type="dxa" w:w="1657"/>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p>
        </w:tc>
        <w:tc>
          <w:tcPr>
            <w:tcW w:type="dxa" w:w="953"/>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24.7%</w:t>
            </w:r>
          </w:p>
        </w:tc>
        <w:tc>
          <w:tcPr>
            <w:tcW w:type="dxa" w:w="833"/>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13.0%</w:t>
            </w:r>
          </w:p>
        </w:tc>
        <w:tc>
          <w:tcPr>
            <w:tcW w:type="dxa" w:w="1170"/>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5.9%</w:t>
            </w:r>
          </w:p>
        </w:tc>
        <w:tc>
          <w:tcPr>
            <w:tcW w:type="dxa" w:w="1007"/>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4.3x</w:t>
            </w:r>
          </w:p>
        </w:tc>
        <w:tc>
          <w:tcPr>
            <w:tcW w:type="dxa" w:w="742"/>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0.8%</w:t>
            </w:r>
          </w:p>
        </w:tc>
        <w:tc>
          <w:tcPr>
            <w:tcW w:type="dxa" w:w="728"/>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10.0%</w:t>
            </w:r>
          </w:p>
        </w:tc>
      </w:tr>
    </w:tbl>
    <w:p>
      <w:pPr>
        <w:spacing w:after="60"/>
      </w:pPr>
    </w:p>
    <w:p>
      <w:pPr>
        <w:spacing w:after="160"/>
      </w:pPr>
      <w:r>
        <w:rPr>
          <w:rFonts w:ascii="Arial" w:cs="Arial" w:eastAsia="Arial" w:hAnsi="Arial"/>
          <w:i/>
          <w:iCs/>
          <w:color w:val="5A6270"/>
          <w:sz w:val="14"/>
          <w:szCs w:val="14"/>
        </w:rPr>
        <w:t xml:space="preserve">Source: S&amp;P Capital IQ. FCF yield = (LTM CFO − capex) / market cap; GENM's excludes the US$500m NY licence fee.</w:t>
      </w:r>
    </w:p>
    <w:p>
      <w:pPr>
        <w:pStyle w:val="Heading2"/>
      </w:pPr>
      <w:r>
        <w:t xml:space="preserve">14.4 Private and unlisted competitors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35"/>
        <w:gridCol w:w="2820"/>
        <w:gridCol w:w="1542"/>
        <w:gridCol w:w="2409"/>
      </w:tblGrid>
      <w:tr>
        <w:trPr>
          <w:tblHeader/>
        </w:trPr>
        <w:tc>
          <w:tcPr>
            <w:tcW w:type="dxa" w:w="313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Competitor</w:t>
            </w:r>
          </w:p>
        </w:tc>
        <w:tc>
          <w:tcPr>
            <w:tcW w:type="dxa" w:w="282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Owner</w:t>
            </w:r>
          </w:p>
        </w:tc>
        <w:tc>
          <w:tcPr>
            <w:tcW w:type="dxa" w:w="154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Listed?</w:t>
            </w:r>
          </w:p>
        </w:tc>
        <w:tc>
          <w:tcPr>
            <w:tcW w:type="dxa" w:w="240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Where it competes</w:t>
            </w:r>
          </w:p>
        </w:tc>
      </w:tr>
      <w:tr>
        <w:trPr>
          <w:cantSplit/>
        </w:trPr>
        <w:tc>
          <w:tcPr>
            <w:tcW w:type="dxa" w:w="31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Marina Bay Sands (Singapore)</w:t>
            </w:r>
          </w:p>
        </w:tc>
        <w:tc>
          <w:tcPr>
            <w:tcW w:type="dxa" w:w="28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Las Vegas Sands (LVS)</w:t>
            </w:r>
          </w:p>
        </w:tc>
        <w:tc>
          <w:tcPr>
            <w:tcW w:type="dxa" w:w="15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Via parent</w:t>
            </w:r>
          </w:p>
        </w:tc>
        <w:tc>
          <w:tcPr>
            <w:tcW w:type="dxa" w:w="24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Premium/VIP from Malaysia and the region</w:t>
            </w:r>
          </w:p>
        </w:tc>
      </w:tr>
      <w:tr>
        <w:trPr>
          <w:cantSplit/>
        </w:trPr>
        <w:tc>
          <w:tcPr>
            <w:tcW w:type="dxa" w:w="31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Resorts World Sentosa (Singapore)</w:t>
            </w:r>
          </w:p>
        </w:tc>
        <w:tc>
          <w:tcPr>
            <w:tcW w:type="dxa" w:w="282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Genting Singapore (G13 SP)</w:t>
            </w:r>
          </w:p>
        </w:tc>
        <w:tc>
          <w:tcPr>
            <w:tcW w:type="dxa" w:w="15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Via parent</w:t>
            </w:r>
          </w:p>
        </w:tc>
        <w:tc>
          <w:tcPr>
            <w:tcW w:type="dxa" w:w="24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Same; also a related party</w:t>
            </w:r>
          </w:p>
        </w:tc>
      </w:tr>
      <w:tr>
        <w:trPr>
          <w:cantSplit/>
        </w:trPr>
        <w:tc>
          <w:tcPr>
            <w:tcW w:type="dxa" w:w="31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Crown Resorts (Melbourne, Perth, Sydney)</w:t>
            </w:r>
          </w:p>
        </w:tc>
        <w:tc>
          <w:tcPr>
            <w:tcW w:type="dxa" w:w="28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Blackstone (private since Jun-2022)</w:t>
            </w:r>
          </w:p>
        </w:tc>
        <w:tc>
          <w:tcPr>
            <w:tcW w:type="dxa" w:w="15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w:t>
            </w:r>
          </w:p>
        </w:tc>
        <w:tc>
          <w:tcPr>
            <w:tcW w:type="dxa" w:w="24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Regional premium players</w:t>
            </w:r>
          </w:p>
        </w:tc>
      </w:tr>
      <w:tr>
        <w:trPr>
          <w:cantSplit/>
        </w:trPr>
        <w:tc>
          <w:tcPr>
            <w:tcW w:type="dxa" w:w="31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Okada Manila</w:t>
            </w:r>
          </w:p>
        </w:tc>
        <w:tc>
          <w:tcPr>
            <w:tcW w:type="dxa" w:w="282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Tiger Resort / Universal Entertainment (6425 JP)</w:t>
            </w:r>
          </w:p>
        </w:tc>
        <w:tc>
          <w:tcPr>
            <w:tcW w:type="dxa" w:w="15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Via parent</w:t>
            </w:r>
          </w:p>
        </w:tc>
        <w:tc>
          <w:tcPr>
            <w:tcW w:type="dxa" w:w="24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Philippine VIP</w:t>
            </w:r>
          </w:p>
        </w:tc>
      </w:tr>
      <w:tr>
        <w:trPr>
          <w:cantSplit/>
        </w:trPr>
        <w:tc>
          <w:tcPr>
            <w:tcW w:type="dxa" w:w="31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City of Dreams Manila</w:t>
            </w:r>
          </w:p>
        </w:tc>
        <w:tc>
          <w:tcPr>
            <w:tcW w:type="dxa" w:w="28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Melco Resorts (MLCO US)</w:t>
            </w:r>
          </w:p>
        </w:tc>
        <w:tc>
          <w:tcPr>
            <w:tcW w:type="dxa" w:w="15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Via parent</w:t>
            </w:r>
          </w:p>
        </w:tc>
        <w:tc>
          <w:tcPr>
            <w:tcW w:type="dxa" w:w="24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Philippine VIP</w:t>
            </w:r>
          </w:p>
        </w:tc>
      </w:tr>
      <w:tr>
        <w:trPr>
          <w:cantSplit/>
        </w:trPr>
        <w:tc>
          <w:tcPr>
            <w:tcW w:type="dxa" w:w="31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Newport World Resorts</w:t>
            </w:r>
          </w:p>
        </w:tc>
        <w:tc>
          <w:tcPr>
            <w:tcW w:type="dxa" w:w="282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Travellers International / Alliance Global</w:t>
            </w:r>
          </w:p>
        </w:tc>
        <w:tc>
          <w:tcPr>
            <w:tcW w:type="dxa" w:w="15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Parent listed (AGI PM)</w:t>
            </w:r>
          </w:p>
        </w:tc>
        <w:tc>
          <w:tcPr>
            <w:tcW w:type="dxa" w:w="24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Philippines</w:t>
            </w:r>
          </w:p>
        </w:tc>
      </w:tr>
      <w:tr>
        <w:trPr>
          <w:cantSplit/>
        </w:trPr>
        <w:tc>
          <w:tcPr>
            <w:tcW w:type="dxa" w:w="31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Hoiana, Ho Tram, Corona Phu Quoc (Vietnam)</w:t>
            </w:r>
          </w:p>
        </w:tc>
        <w:tc>
          <w:tcPr>
            <w:tcW w:type="dxa" w:w="28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Private</w:t>
            </w:r>
          </w:p>
        </w:tc>
        <w:tc>
          <w:tcPr>
            <w:tcW w:type="dxa" w:w="15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w:t>
            </w:r>
          </w:p>
        </w:tc>
        <w:tc>
          <w:tcPr>
            <w:tcW w:type="dxa" w:w="24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Regional VIP and premium mass</w:t>
            </w:r>
          </w:p>
        </w:tc>
      </w:tr>
      <w:tr>
        <w:trPr>
          <w:cantSplit/>
        </w:trPr>
        <w:tc>
          <w:tcPr>
            <w:tcW w:type="dxa" w:w="31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MGM Osaka IR (2030); Wynn Al Marjan (UAE, 2027)</w:t>
            </w:r>
          </w:p>
        </w:tc>
        <w:tc>
          <w:tcPr>
            <w:tcW w:type="dxa" w:w="282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MGM/ORIX JV; Wynn JV</w:t>
            </w:r>
          </w:p>
        </w:tc>
        <w:tc>
          <w:tcPr>
            <w:tcW w:type="dxa" w:w="15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Via parents</w:t>
            </w:r>
          </w:p>
        </w:tc>
        <w:tc>
          <w:tcPr>
            <w:tcW w:type="dxa" w:w="24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New regional supply</w:t>
            </w:r>
          </w:p>
        </w:tc>
      </w:tr>
      <w:tr>
        <w:trPr>
          <w:cantSplit/>
        </w:trPr>
        <w:tc>
          <w:tcPr>
            <w:tcW w:type="dxa" w:w="31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Metropolitan Park / Hard Rock (Queens, NY)</w:t>
            </w:r>
          </w:p>
        </w:tc>
        <w:tc>
          <w:tcPr>
            <w:tcW w:type="dxa" w:w="28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Steve Cohen + Hard Rock (Seminole Tribe)</w:t>
            </w:r>
          </w:p>
        </w:tc>
        <w:tc>
          <w:tcPr>
            <w:tcW w:type="dxa" w:w="15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No</w:t>
            </w:r>
          </w:p>
        </w:tc>
        <w:tc>
          <w:tcPr>
            <w:tcW w:type="dxa" w:w="24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RWNYC from ~2030; 25% slot tax</w:t>
            </w:r>
          </w:p>
        </w:tc>
      </w:tr>
      <w:tr>
        <w:trPr>
          <w:cantSplit/>
        </w:trPr>
        <w:tc>
          <w:tcPr>
            <w:tcW w:type="dxa" w:w="31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Bally's Bronx (Ferry Point)</w:t>
            </w:r>
          </w:p>
        </w:tc>
        <w:tc>
          <w:tcPr>
            <w:tcW w:type="dxa" w:w="282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Bally's Corp (BALY; Standard General-controlled)</w:t>
            </w:r>
          </w:p>
        </w:tc>
        <w:tc>
          <w:tcPr>
            <w:tcW w:type="dxa" w:w="15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Via parent</w:t>
            </w:r>
          </w:p>
        </w:tc>
        <w:tc>
          <w:tcPr>
            <w:tcW w:type="dxa" w:w="24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RWNYC from ~2030; 30% slot tax</w:t>
            </w:r>
          </w:p>
        </w:tc>
      </w:tr>
      <w:tr>
        <w:trPr>
          <w:cantSplit/>
        </w:trPr>
        <w:tc>
          <w:tcPr>
            <w:tcW w:type="dxa" w:w="31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Empire City (Yonkers)</w:t>
            </w:r>
          </w:p>
        </w:tc>
        <w:tc>
          <w:tcPr>
            <w:tcW w:type="dxa" w:w="28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MGM Resorts (MGM)</w:t>
            </w:r>
          </w:p>
        </w:tc>
        <w:tc>
          <w:tcPr>
            <w:tcW w:type="dxa" w:w="15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Via parent</w:t>
            </w:r>
          </w:p>
        </w:tc>
        <w:tc>
          <w:tcPr>
            <w:tcW w:type="dxa" w:w="24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RWNYC (slots only)</w:t>
            </w:r>
          </w:p>
        </w:tc>
      </w:tr>
      <w:tr>
        <w:trPr>
          <w:cantSplit/>
        </w:trPr>
        <w:tc>
          <w:tcPr>
            <w:tcW w:type="dxa" w:w="31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Jake's 58 (Long Island)</w:t>
            </w:r>
          </w:p>
        </w:tc>
        <w:tc>
          <w:tcPr>
            <w:tcW w:type="dxa" w:w="282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Delaware North</w:t>
            </w:r>
          </w:p>
        </w:tc>
        <w:tc>
          <w:tcPr>
            <w:tcW w:type="dxa" w:w="15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w:t>
            </w:r>
          </w:p>
        </w:tc>
        <w:tc>
          <w:tcPr>
            <w:tcW w:type="dxa" w:w="24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NY VGMs</w:t>
            </w:r>
          </w:p>
        </w:tc>
      </w:tr>
      <w:tr>
        <w:trPr>
          <w:cantSplit/>
        </w:trPr>
        <w:tc>
          <w:tcPr>
            <w:tcW w:type="dxa" w:w="31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Mohegan Sun, Foxwoods (CT); Seneca; Turning Stone</w:t>
            </w:r>
          </w:p>
        </w:tc>
        <w:tc>
          <w:tcPr>
            <w:tcW w:type="dxa" w:w="28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Tribal authorities</w:t>
            </w:r>
          </w:p>
        </w:tc>
        <w:tc>
          <w:tcPr>
            <w:tcW w:type="dxa" w:w="15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 (Mohegan has public bonds)</w:t>
            </w:r>
          </w:p>
        </w:tc>
        <w:tc>
          <w:tcPr>
            <w:tcW w:type="dxa" w:w="24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NYC drive-in and upstate</w:t>
            </w:r>
          </w:p>
        </w:tc>
      </w:tr>
      <w:tr>
        <w:trPr>
          <w:cantSplit/>
        </w:trPr>
        <w:tc>
          <w:tcPr>
            <w:tcW w:type="dxa" w:w="31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Rivers Schenectady, del Lago, Tioga Downs</w:t>
            </w:r>
          </w:p>
        </w:tc>
        <w:tc>
          <w:tcPr>
            <w:tcW w:type="dxa" w:w="282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Rush Street / private</w:t>
            </w:r>
          </w:p>
        </w:tc>
        <w:tc>
          <w:tcPr>
            <w:tcW w:type="dxa" w:w="15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Rush Street listed (RSI)</w:t>
            </w:r>
          </w:p>
        </w:tc>
        <w:tc>
          <w:tcPr>
            <w:tcW w:type="dxa" w:w="24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RW Catskills</w:t>
            </w:r>
          </w:p>
        </w:tc>
      </w:tr>
      <w:tr>
        <w:trPr>
          <w:cantSplit/>
        </w:trPr>
        <w:tc>
          <w:tcPr>
            <w:tcW w:type="dxa" w:w="31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Aspers, The Hippodrome, Les Ambassadeurs (London)</w:t>
            </w:r>
          </w:p>
        </w:tc>
        <w:tc>
          <w:tcPr>
            <w:tcW w:type="dxa" w:w="28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Private</w:t>
            </w:r>
          </w:p>
        </w:tc>
        <w:tc>
          <w:tcPr>
            <w:tcW w:type="dxa" w:w="15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w:t>
            </w:r>
          </w:p>
        </w:tc>
        <w:tc>
          <w:tcPr>
            <w:tcW w:type="dxa" w:w="24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Genting UK</w:t>
            </w:r>
          </w:p>
        </w:tc>
      </w:tr>
      <w:tr>
        <w:trPr>
          <w:cantSplit/>
        </w:trPr>
        <w:tc>
          <w:tcPr>
            <w:tcW w:type="dxa" w:w="31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Baha Mar, Atlantis (Bahamas)</w:t>
            </w:r>
          </w:p>
        </w:tc>
        <w:tc>
          <w:tcPr>
            <w:tcW w:type="dxa" w:w="282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Chow Tai Fook; Brookfield [u]</w:t>
            </w:r>
          </w:p>
        </w:tc>
        <w:tc>
          <w:tcPr>
            <w:tcW w:type="dxa" w:w="154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w:t>
            </w:r>
          </w:p>
        </w:tc>
        <w:tc>
          <w:tcPr>
            <w:tcW w:type="dxa" w:w="24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RW Bimini</w:t>
            </w:r>
          </w:p>
        </w:tc>
      </w:tr>
    </w:tbl>
    <w:p>
      <w:pPr>
        <w:spacing w:after="60"/>
      </w:pPr>
    </w:p>
    <w:p>
      <w:pPr>
        <w:pStyle w:val="Heading2"/>
      </w:pPr>
      <w:r>
        <w:t xml:space="preserve">14.5 Regression: TEV/Sales vs EBIT margin</w:t>
      </w:r>
    </w:p>
    <w:p>
      <w:pPr>
        <w:spacing w:after="40" w:before="80"/>
        <w:jc w:val="center"/>
      </w:pPr>
      <w:r>
        <w:drawing>
          <wp:inline distT="0" distB="0" distL="0" distR="0">
            <wp:extent cx="61912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743325"/>
                    </a:xfrm>
                    <a:prstGeom prst="rect">
                      <a:avLst/>
                    </a:prstGeom>
                  </pic:spPr>
                </pic:pic>
              </a:graphicData>
            </a:graphic>
          </wp:inline>
        </w:drawing>
      </w:r>
    </w:p>
    <w:p>
      <w:pPr>
        <w:spacing w:after="160"/>
        <w:jc w:val="left"/>
      </w:pPr>
      <w:r>
        <w:rPr>
          <w:rFonts w:ascii="Arial" w:cs="Arial" w:eastAsia="Arial" w:hAnsi="Arial"/>
          <w:i/>
          <w:iCs/>
          <w:color w:val="5A6270"/>
          <w:sz w:val="15"/>
          <w:szCs w:val="15"/>
        </w:rPr>
        <w:t xml:space="preserve">Figure: TEV/Sales (x-axis) vs LTM EBIT margin (y-axis) for GENM and 22 core listed peers.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96"/>
        <w:gridCol w:w="985"/>
        <w:gridCol w:w="786"/>
        <w:gridCol w:w="814"/>
        <w:gridCol w:w="1325"/>
      </w:tblGrid>
      <w:tr>
        <w:trPr>
          <w:tblHeader/>
        </w:trPr>
        <w:tc>
          <w:tcPr>
            <w:tcW w:type="dxa" w:w="599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Regression (core sample, n = 22)</w:t>
            </w:r>
          </w:p>
        </w:tc>
        <w:tc>
          <w:tcPr>
            <w:tcW w:type="dxa" w:w="98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Intercept</w:t>
            </w:r>
          </w:p>
        </w:tc>
        <w:tc>
          <w:tcPr>
            <w:tcW w:type="dxa" w:w="78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Slope</w:t>
            </w:r>
          </w:p>
        </w:tc>
        <w:tc>
          <w:tcPr>
            <w:tcW w:type="dxa" w:w="81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R²</w:t>
            </w:r>
          </w:p>
        </w:tc>
        <w:tc>
          <w:tcPr>
            <w:tcW w:type="dxa" w:w="132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t-stat (slope)</w:t>
            </w:r>
          </w:p>
        </w:tc>
      </w:tr>
      <w:tr>
        <w:trPr>
          <w:cantSplit/>
        </w:trPr>
        <w:tc>
          <w:tcPr>
            <w:tcW w:type="dxa" w:w="59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TEV/Sales = a + b × EBIT margin (%)</w:t>
            </w:r>
          </w:p>
        </w:tc>
        <w:tc>
          <w:tcPr>
            <w:tcW w:type="dxa" w:w="9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1.039</w:t>
            </w:r>
          </w:p>
        </w:tc>
        <w:tc>
          <w:tcPr>
            <w:tcW w:type="dxa" w:w="7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0.0702</w:t>
            </w:r>
          </w:p>
        </w:tc>
        <w:tc>
          <w:tcPr>
            <w:tcW w:type="dxa" w:w="8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0.63</w:t>
            </w:r>
          </w:p>
        </w:tc>
        <w:tc>
          <w:tcPr>
            <w:tcW w:type="dxa" w:w="13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5.87</w:t>
            </w:r>
          </w:p>
        </w:tc>
      </w:tr>
      <w:tr>
        <w:trPr>
          <w:cantSplit/>
        </w:trPr>
        <w:tc>
          <w:tcPr>
            <w:tcW w:type="dxa" w:w="59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TEV/Sales = a + b × EBITDA margin (%) (cross-check)</w:t>
            </w:r>
          </w:p>
        </w:tc>
        <w:tc>
          <w:tcPr>
            <w:tcW w:type="dxa" w:w="9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0.204</w:t>
            </w:r>
          </w:p>
        </w:tc>
        <w:tc>
          <w:tcPr>
            <w:tcW w:type="dxa" w:w="78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0.0723</w:t>
            </w:r>
          </w:p>
        </w:tc>
        <w:tc>
          <w:tcPr>
            <w:tcW w:type="dxa" w:w="81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0.66</w:t>
            </w:r>
          </w:p>
        </w:tc>
        <w:tc>
          <w:tcPr>
            <w:tcW w:type="dxa" w:w="132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6.29</w:t>
            </w:r>
          </w:p>
        </w:tc>
      </w:tr>
      <w:tr>
        <w:trPr>
          <w:cantSplit/>
        </w:trPr>
        <w:tc>
          <w:tcPr>
            <w:tcW w:type="dxa" w:w="59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Full sample (n = 28; incl. NagaCorp, GKL, micro-caps, holdco double counts)</w:t>
            </w:r>
          </w:p>
        </w:tc>
        <w:tc>
          <w:tcPr>
            <w:tcW w:type="dxa" w:w="9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1.487</w:t>
            </w:r>
          </w:p>
        </w:tc>
        <w:tc>
          <w:tcPr>
            <w:tcW w:type="dxa" w:w="7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0.0343</w:t>
            </w:r>
          </w:p>
        </w:tc>
        <w:tc>
          <w:tcPr>
            <w:tcW w:type="dxa" w:w="8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0.20</w:t>
            </w:r>
          </w:p>
        </w:tc>
        <w:tc>
          <w:tcPr>
            <w:tcW w:type="dxa" w:w="132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2.56</w:t>
            </w:r>
          </w:p>
        </w:tc>
      </w:tr>
    </w:tbl>
    <w:p>
      <w:pPr>
        <w:spacing w:after="60"/>
      </w:pPr>
    </w:p>
    <w:p>
      <w:pPr>
        <w:spacing w:after="120" w:line="276"/>
      </w:pPr>
      <w:r>
        <w:rPr>
          <w:rFonts w:ascii="Arial" w:cs="Arial" w:eastAsia="Arial" w:hAnsi="Arial"/>
          <w:sz w:val="19"/>
          <w:szCs w:val="19"/>
        </w:rPr>
        <w:t xml:space="preserve">Exclusions from the core sample: Kangwon Land (negative TEV), Star Entertainment and Bally's (negative EBIT), Golden Entertainment (delisted), NagaCorp (46% margin outlier), GKL (net-cash outlier), Century and Full House (micro-caps), Melco International and Studio City (double counts of Melco).</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63"/>
        <w:gridCol w:w="1423"/>
        <w:gridCol w:w="1102"/>
        <w:gridCol w:w="834"/>
        <w:gridCol w:w="2684"/>
      </w:tblGrid>
      <w:tr>
        <w:trPr>
          <w:tblHeader/>
        </w:trPr>
        <w:tc>
          <w:tcPr>
            <w:tcW w:type="dxa" w:w="386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What the line implies for GENM</w:t>
            </w:r>
          </w:p>
        </w:tc>
        <w:tc>
          <w:tcPr>
            <w:tcW w:type="dxa" w:w="142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Implied TEV/Sales</w:t>
            </w:r>
          </w:p>
        </w:tc>
        <w:tc>
          <w:tcPr>
            <w:tcW w:type="dxa" w:w="110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Implied TEV</w:t>
            </w:r>
          </w:p>
        </w:tc>
        <w:tc>
          <w:tcPr>
            <w:tcW w:type="dxa" w:w="83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vs current</w:t>
            </w:r>
          </w:p>
        </w:tc>
        <w:tc>
          <w:tcPr>
            <w:tcW w:type="dxa" w:w="268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Per share</w:t>
            </w:r>
          </w:p>
        </w:tc>
      </w:tr>
      <w:tr>
        <w:trPr>
          <w:cantSplit/>
        </w:trPr>
        <w:tc>
          <w:tcPr>
            <w:tcW w:type="dxa" w:w="386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LTM EBIT margin 8.6% (CIQ basis)</w:t>
            </w:r>
          </w:p>
        </w:tc>
        <w:tc>
          <w:tcPr>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1.64x</w:t>
            </w:r>
          </w:p>
        </w:tc>
        <w:tc>
          <w:tcPr>
            <w:tcW w:type="dxa" w:w="11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RM21.5bn</w:t>
            </w:r>
          </w:p>
        </w:tc>
        <w:tc>
          <w:tcPr>
            <w:tcW w:type="dxa" w:w="8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w:t>
            </w:r>
          </w:p>
        </w:tc>
        <w:tc>
          <w:tcPr>
            <w:tcW w:type="dxa" w:w="26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RM1.29-1.46</w:t>
            </w:r>
            <w:r>
              <w:rPr>
                <w:rFonts w:ascii="Arial" w:cs="Arial" w:eastAsia="Arial" w:hAnsi="Arial"/>
                <w:b w:val="false"/>
                <w:bCs w:val="false"/>
                <w:color w:val="1A1F2B"/>
                <w:sz w:val="15"/>
                <w:szCs w:val="15"/>
              </w:rPr>
              <w:t xml:space="preserve"> (+2% to +15%)</w:t>
            </w:r>
          </w:p>
        </w:tc>
      </w:tr>
      <w:tr>
        <w:trPr>
          <w:cantSplit/>
        </w:trPr>
        <w:tc>
          <w:tcPr>
            <w:tcW w:type="dxa" w:w="386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FY26E consensus EBIT margin 12.7%</w:t>
            </w:r>
          </w:p>
        </w:tc>
        <w:tc>
          <w:tcPr>
            <w:tcW w:type="dxa" w:w="142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1.93x</w:t>
            </w:r>
          </w:p>
        </w:tc>
        <w:tc>
          <w:tcPr>
            <w:tcW w:type="dxa" w:w="110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RM25.3bn</w:t>
            </w:r>
          </w:p>
        </w:tc>
        <w:tc>
          <w:tcPr>
            <w:tcW w:type="dxa" w:w="83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+24%</w:t>
            </w:r>
          </w:p>
        </w:tc>
        <w:tc>
          <w:tcPr>
            <w:tcW w:type="dxa" w:w="268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RM1.96-2.13 (+54% to +67%)</w:t>
            </w:r>
          </w:p>
        </w:tc>
      </w:tr>
      <w:tr>
        <w:trPr>
          <w:cantSplit/>
        </w:trPr>
        <w:tc>
          <w:tcPr>
            <w:tcW w:type="dxa" w:w="386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Company adj. EBIT margin 12.4% (LTM)</w:t>
            </w:r>
          </w:p>
        </w:tc>
        <w:tc>
          <w:tcPr>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1.91x</w:t>
            </w:r>
          </w:p>
        </w:tc>
        <w:tc>
          <w:tcPr>
            <w:tcW w:type="dxa" w:w="11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RM25.0bn</w:t>
            </w:r>
          </w:p>
        </w:tc>
        <w:tc>
          <w:tcPr>
            <w:tcW w:type="dxa" w:w="8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+22%</w:t>
            </w:r>
          </w:p>
        </w:tc>
        <w:tc>
          <w:tcPr>
            <w:tcW w:type="dxa" w:w="26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~RM2.08 (+64%)</w:t>
            </w:r>
          </w:p>
        </w:tc>
      </w:tr>
    </w:tbl>
    <w:p>
      <w:pPr>
        <w:spacing w:after="60"/>
      </w:pPr>
    </w:p>
    <w:p>
      <w:pPr>
        <w:spacing w:after="120" w:line="276"/>
      </w:pPr>
      <w:r>
        <w:rPr>
          <w:rFonts w:ascii="Arial" w:cs="Arial" w:eastAsia="Arial" w:hAnsi="Arial"/>
          <w:b/>
          <w:bCs/>
          <w:sz w:val="19"/>
          <w:szCs w:val="19"/>
        </w:rPr>
        <w:t xml:space="preserve">Interpretation.</w:t>
      </w:r>
      <w:r>
        <w:rPr>
          <w:rFonts w:ascii="Arial" w:cs="Arial" w:eastAsia="Arial" w:hAnsi="Arial"/>
          <w:sz w:val="19"/>
          <w:szCs w:val="19"/>
        </w:rPr>
        <w:t xml:space="preserve"> On today's margins GENM sits almost on the line: the market prices it in line with peers. The re-rating case rests on </w:t>
      </w:r>
      <w:r>
        <w:rPr>
          <w:rFonts w:ascii="Arial" w:cs="Arial" w:eastAsia="Arial" w:hAnsi="Arial"/>
          <w:b/>
          <w:bCs/>
          <w:sz w:val="19"/>
          <w:szCs w:val="19"/>
        </w:rPr>
        <w:t xml:space="preserve">margin recovery</w:t>
      </w:r>
      <w:r>
        <w:rPr>
          <w:rFonts w:ascii="Arial" w:cs="Arial" w:eastAsia="Arial" w:hAnsi="Arial"/>
          <w:sz w:val="19"/>
          <w:szCs w:val="19"/>
        </w:rPr>
        <w:t xml:space="preserve"> as NY ramps and pre-opening costs roll off. With net debt at ~2x market cap, a 5% EV gap is worth only +2-15% to the equity, but a 20-24% EV gap (margin recovery to ~12.5%) is worth +54-67%. The per-share range reflects two TEV-to-equity bridges: CIQ's (RM13.2bn of claims) and net debt including leases (RM14.2bn).</w:t>
      </w:r>
    </w:p>
    <w:p>
      <w:pPr>
        <w:pStyle w:val="Heading2"/>
      </w:pPr>
      <w:r>
        <w:t xml:space="preserve">14.6 Against its own history</w:t>
      </w:r>
    </w:p>
    <w:p>
      <w:pPr>
        <w:spacing w:after="40" w:before="80"/>
        <w:jc w:val="center"/>
      </w:pPr>
      <w:r>
        <w:drawing>
          <wp:inline distT="0" distB="0" distL="0" distR="0">
            <wp:extent cx="61912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2867025"/>
                    </a:xfrm>
                    <a:prstGeom prst="rect">
                      <a:avLst/>
                    </a:prstGeom>
                  </pic:spPr>
                </pic:pic>
              </a:graphicData>
            </a:graphic>
          </wp:inline>
        </w:drawing>
      </w:r>
    </w:p>
    <w:p>
      <w:pPr>
        <w:spacing w:after="160"/>
        <w:jc w:val="left"/>
      </w:pPr>
      <w:r>
        <w:rPr>
          <w:rFonts w:ascii="Arial" w:cs="Arial" w:eastAsia="Arial" w:hAnsi="Arial"/>
          <w:i/>
          <w:iCs/>
          <w:color w:val="5A6270"/>
          <w:sz w:val="15"/>
          <w:szCs w:val="15"/>
        </w:rPr>
        <w:t xml:space="preserve">Figure: TEV/NTM EBITDA for GENM, Genting Singapore and Genting Bhd, 2016-2026.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45"/>
        <w:gridCol w:w="757"/>
        <w:gridCol w:w="829"/>
        <w:gridCol w:w="749"/>
        <w:gridCol w:w="696"/>
        <w:gridCol w:w="749"/>
        <w:gridCol w:w="820"/>
        <w:gridCol w:w="961"/>
      </w:tblGrid>
      <w:tr>
        <w:trPr>
          <w:tblHeader/>
        </w:trPr>
        <w:tc>
          <w:tcPr>
            <w:tcW w:type="dxa" w:w="434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Series (month-end, CIQ)</w:t>
            </w:r>
          </w:p>
        </w:tc>
        <w:tc>
          <w:tcPr>
            <w:tcW w:type="dxa" w:w="75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Window</w:t>
            </w:r>
          </w:p>
        </w:tc>
        <w:tc>
          <w:tcPr>
            <w:tcW w:type="dxa" w:w="82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Average</w:t>
            </w:r>
          </w:p>
        </w:tc>
        <w:tc>
          <w:tcPr>
            <w:tcW w:type="dxa" w:w="74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Median</w:t>
            </w:r>
          </w:p>
        </w:tc>
        <w:tc>
          <w:tcPr>
            <w:tcW w:type="dxa" w:w="69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Min</w:t>
            </w:r>
          </w:p>
        </w:tc>
        <w:tc>
          <w:tcPr>
            <w:tcW w:type="dxa" w:w="74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Max</w:t>
            </w:r>
          </w:p>
        </w:tc>
        <w:tc>
          <w:tcPr>
            <w:tcW w:type="dxa" w:w="82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Current</w:t>
            </w:r>
          </w:p>
        </w:tc>
        <w:tc>
          <w:tcPr>
            <w:tcW w:type="dxa" w:w="96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Percentile</w:t>
            </w:r>
          </w:p>
        </w:tc>
      </w:tr>
      <w:tr>
        <w:trPr>
          <w:cantSplit/>
        </w:trPr>
        <w:tc>
          <w:tcPr>
            <w:tcW w:type="dxa" w:w="43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TEV/NTM EBITDA</w:t>
            </w:r>
          </w:p>
        </w:tc>
        <w:tc>
          <w:tcPr>
            <w:tcW w:type="dxa" w:w="7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10-yr</w:t>
            </w:r>
          </w:p>
        </w:tc>
        <w:tc>
          <w:tcPr>
            <w:tcW w:type="dxa" w:w="8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9.55x</w:t>
            </w:r>
          </w:p>
        </w:tc>
        <w:tc>
          <w:tcPr>
            <w:tcW w:type="dxa" w:w="7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8.78x</w:t>
            </w:r>
          </w:p>
        </w:tc>
        <w:tc>
          <w:tcPr>
            <w:tcW w:type="dxa" w:w="6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6.35x</w:t>
            </w:r>
          </w:p>
        </w:tc>
        <w:tc>
          <w:tcPr>
            <w:tcW w:type="dxa" w:w="7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19.80x</w:t>
            </w:r>
          </w:p>
        </w:tc>
        <w:tc>
          <w:tcPr>
            <w:tcW w:type="dxa" w:w="8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6.81x</w:t>
            </w:r>
          </w:p>
        </w:tc>
        <w:tc>
          <w:tcPr>
            <w:tcW w:type="dxa" w:w="96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11th</w:t>
            </w:r>
          </w:p>
        </w:tc>
      </w:tr>
      <w:tr>
        <w:trPr>
          <w:cantSplit/>
        </w:trPr>
        <w:tc>
          <w:tcPr>
            <w:tcW w:type="dxa" w:w="434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TEV/NTM EBITDA</w:t>
            </w:r>
          </w:p>
        </w:tc>
        <w:tc>
          <w:tcPr>
            <w:tcW w:type="dxa" w:w="7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5-yr</w:t>
            </w:r>
          </w:p>
        </w:tc>
        <w:tc>
          <w:tcPr>
            <w:tcW w:type="dxa" w:w="8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8.42x</w:t>
            </w:r>
          </w:p>
        </w:tc>
        <w:tc>
          <w:tcPr>
            <w:tcW w:type="dxa" w:w="74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7.80x</w:t>
            </w:r>
          </w:p>
        </w:tc>
        <w:tc>
          <w:tcPr>
            <w:tcW w:type="dxa" w:w="6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6.35x</w:t>
            </w:r>
          </w:p>
        </w:tc>
        <w:tc>
          <w:tcPr>
            <w:tcW w:type="dxa" w:w="74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19.80x</w:t>
            </w:r>
          </w:p>
        </w:tc>
        <w:tc>
          <w:tcPr>
            <w:tcW w:type="dxa" w:w="82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6.81x</w:t>
            </w:r>
          </w:p>
        </w:tc>
        <w:tc>
          <w:tcPr>
            <w:tcW w:type="dxa" w:w="96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20th</w:t>
            </w:r>
          </w:p>
        </w:tc>
      </w:tr>
      <w:tr>
        <w:trPr>
          <w:cantSplit/>
        </w:trPr>
        <w:tc>
          <w:tcPr>
            <w:tcW w:type="dxa" w:w="43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TEV/LTM EBITDA (ex-Covid)</w:t>
            </w:r>
          </w:p>
        </w:tc>
        <w:tc>
          <w:tcPr>
            <w:tcW w:type="dxa" w:w="7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10-yr</w:t>
            </w:r>
          </w:p>
        </w:tc>
        <w:tc>
          <w:tcPr>
            <w:tcW w:type="dxa" w:w="8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10.48x</w:t>
            </w:r>
          </w:p>
        </w:tc>
        <w:tc>
          <w:tcPr>
            <w:tcW w:type="dxa" w:w="7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9.43x</w:t>
            </w:r>
          </w:p>
        </w:tc>
        <w:tc>
          <w:tcPr>
            <w:tcW w:type="dxa" w:w="6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5.67x</w:t>
            </w:r>
          </w:p>
        </w:tc>
        <w:tc>
          <w:tcPr>
            <w:tcW w:type="dxa" w:w="7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17.25x</w:t>
            </w:r>
          </w:p>
        </w:tc>
        <w:tc>
          <w:tcPr>
            <w:tcW w:type="dxa" w:w="8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8.37x</w:t>
            </w:r>
          </w:p>
        </w:tc>
        <w:tc>
          <w:tcPr>
            <w:tcW w:type="dxa" w:w="96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39th</w:t>
            </w:r>
          </w:p>
        </w:tc>
      </w:tr>
      <w:tr>
        <w:trPr>
          <w:cantSplit/>
        </w:trPr>
        <w:tc>
          <w:tcPr>
            <w:tcW w:type="dxa" w:w="434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TEV/LTM Sales</w:t>
            </w:r>
          </w:p>
        </w:tc>
        <w:tc>
          <w:tcPr>
            <w:tcW w:type="dxa" w:w="7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10-yr</w:t>
            </w:r>
          </w:p>
        </w:tc>
        <w:tc>
          <w:tcPr>
            <w:tcW w:type="dxa" w:w="8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3.03x</w:t>
            </w:r>
          </w:p>
        </w:tc>
        <w:tc>
          <w:tcPr>
            <w:tcW w:type="dxa" w:w="74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2.65x</w:t>
            </w:r>
          </w:p>
        </w:tc>
        <w:tc>
          <w:tcPr>
            <w:tcW w:type="dxa" w:w="6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1.50x</w:t>
            </w:r>
          </w:p>
        </w:tc>
        <w:tc>
          <w:tcPr>
            <w:tcW w:type="dxa" w:w="74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7.67x</w:t>
            </w:r>
          </w:p>
        </w:tc>
        <w:tc>
          <w:tcPr>
            <w:tcW w:type="dxa" w:w="82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1.61x</w:t>
            </w:r>
          </w:p>
        </w:tc>
        <w:tc>
          <w:tcPr>
            <w:tcW w:type="dxa" w:w="96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2nd</w:t>
            </w:r>
          </w:p>
        </w:tc>
      </w:tr>
      <w:tr>
        <w:trPr>
          <w:cantSplit/>
        </w:trPr>
        <w:tc>
          <w:tcPr>
            <w:tcW w:type="dxa" w:w="43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P/LTM EPS</w:t>
            </w:r>
          </w:p>
        </w:tc>
        <w:tc>
          <w:tcPr>
            <w:tcW w:type="dxa" w:w="7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10-yr</w:t>
            </w:r>
          </w:p>
        </w:tc>
        <w:tc>
          <w:tcPr>
            <w:tcW w:type="dxa" w:w="8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22.6x</w:t>
            </w:r>
          </w:p>
        </w:tc>
        <w:tc>
          <w:tcPr>
            <w:tcW w:type="dxa" w:w="7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19.8x</w:t>
            </w:r>
          </w:p>
        </w:tc>
        <w:tc>
          <w:tcPr>
            <w:tcW w:type="dxa" w:w="6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8.9x</w:t>
            </w:r>
          </w:p>
        </w:tc>
        <w:tc>
          <w:tcPr>
            <w:tcW w:type="dxa" w:w="7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77.9x</w:t>
            </w:r>
          </w:p>
        </w:tc>
        <w:tc>
          <w:tcPr>
            <w:tcW w:type="dxa" w:w="8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25.1x</w:t>
            </w:r>
          </w:p>
        </w:tc>
        <w:tc>
          <w:tcPr>
            <w:tcW w:type="dxa" w:w="96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76th</w:t>
            </w:r>
          </w:p>
        </w:tc>
      </w:tr>
      <w:tr>
        <w:trPr>
          <w:cantSplit/>
        </w:trPr>
        <w:tc>
          <w:tcPr>
            <w:tcW w:type="dxa" w:w="434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P/B</w:t>
            </w:r>
          </w:p>
        </w:tc>
        <w:tc>
          <w:tcPr>
            <w:tcW w:type="dxa" w:w="7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10-yr</w:t>
            </w:r>
          </w:p>
        </w:tc>
        <w:tc>
          <w:tcPr>
            <w:tcW w:type="dxa" w:w="8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1.16x</w:t>
            </w:r>
          </w:p>
        </w:tc>
        <w:tc>
          <w:tcPr>
            <w:tcW w:type="dxa" w:w="74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1.15x</w:t>
            </w:r>
          </w:p>
        </w:tc>
        <w:tc>
          <w:tcPr>
            <w:tcW w:type="dxa" w:w="6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0.67x</w:t>
            </w:r>
          </w:p>
        </w:tc>
        <w:tc>
          <w:tcPr>
            <w:tcW w:type="dxa" w:w="74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1.73x</w:t>
            </w:r>
          </w:p>
        </w:tc>
        <w:tc>
          <w:tcPr>
            <w:tcW w:type="dxa" w:w="82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0.70x</w:t>
            </w:r>
          </w:p>
        </w:tc>
        <w:tc>
          <w:tcPr>
            <w:tcW w:type="dxa" w:w="96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3rd</w:t>
            </w:r>
          </w:p>
        </w:tc>
      </w:tr>
      <w:tr>
        <w:trPr>
          <w:cantSplit/>
        </w:trPr>
        <w:tc>
          <w:tcPr>
            <w:tcW w:type="dxa" w:w="43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Dividend yield (prior FY DPS)</w:t>
            </w:r>
          </w:p>
        </w:tc>
        <w:tc>
          <w:tcPr>
            <w:tcW w:type="dxa" w:w="7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10-yr</w:t>
            </w:r>
          </w:p>
        </w:tc>
        <w:tc>
          <w:tcPr>
            <w:tcW w:type="dxa" w:w="8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3.6%</w:t>
            </w:r>
          </w:p>
        </w:tc>
        <w:tc>
          <w:tcPr>
            <w:tcW w:type="dxa" w:w="7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3.5%</w:t>
            </w:r>
          </w:p>
        </w:tc>
        <w:tc>
          <w:tcPr>
            <w:tcW w:type="dxa" w:w="6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w:t>
            </w:r>
          </w:p>
        </w:tc>
        <w:tc>
          <w:tcPr>
            <w:tcW w:type="dxa" w:w="7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6.9%</w:t>
            </w:r>
          </w:p>
        </w:tc>
        <w:tc>
          <w:tcPr>
            <w:tcW w:type="dxa" w:w="8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5.5%</w:t>
            </w:r>
          </w:p>
        </w:tc>
        <w:tc>
          <w:tcPr>
            <w:tcW w:type="dxa" w:w="96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80th</w:t>
            </w:r>
          </w:p>
        </w:tc>
      </w:tr>
      <w:tr>
        <w:trPr>
          <w:cantSplit/>
        </w:trPr>
        <w:tc>
          <w:tcPr>
            <w:tcW w:type="dxa" w:w="434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GENM premium to Genting Bhd (NTM EV/EBITDA, x pts)</w:t>
            </w:r>
          </w:p>
        </w:tc>
        <w:tc>
          <w:tcPr>
            <w:tcW w:type="dxa" w:w="7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10-yr</w:t>
            </w:r>
          </w:p>
        </w:tc>
        <w:tc>
          <w:tcPr>
            <w:tcW w:type="dxa" w:w="8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2.54</w:t>
            </w:r>
          </w:p>
        </w:tc>
        <w:tc>
          <w:tcPr>
            <w:tcW w:type="dxa" w:w="74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1.96</w:t>
            </w:r>
          </w:p>
        </w:tc>
        <w:tc>
          <w:tcPr>
            <w:tcW w:type="dxa" w:w="6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0.53</w:t>
            </w:r>
          </w:p>
        </w:tc>
        <w:tc>
          <w:tcPr>
            <w:tcW w:type="dxa" w:w="74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9.41</w:t>
            </w:r>
          </w:p>
        </w:tc>
        <w:tc>
          <w:tcPr>
            <w:tcW w:type="dxa" w:w="82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0.60</w:t>
            </w:r>
          </w:p>
        </w:tc>
        <w:tc>
          <w:tcPr>
            <w:tcW w:type="dxa" w:w="96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2nd</w:t>
            </w:r>
          </w:p>
        </w:tc>
      </w:tr>
    </w:tbl>
    <w:p>
      <w:pPr>
        <w:spacing w:after="60"/>
      </w:pPr>
    </w:p>
    <w:p>
      <w:pPr>
        <w:spacing w:after="120" w:line="276"/>
      </w:pPr>
      <w:r>
        <w:rPr>
          <w:rFonts w:ascii="Arial" w:cs="Arial" w:eastAsia="Arial" w:hAnsi="Arial"/>
          <w:b/>
          <w:bCs/>
          <w:sz w:val="19"/>
          <w:szCs w:val="19"/>
        </w:rPr>
        <w:t xml:space="preserve">Relative to direct listed peers over time.</w:t>
      </w:r>
      <w:r>
        <w:rPr>
          <w:rFonts w:ascii="Arial" w:cs="Arial" w:eastAsia="Arial" w:hAnsi="Arial"/>
          <w:sz w:val="19"/>
          <w:szCs w:val="19"/>
        </w:rPr>
        <w:t xml:space="preserve"> GENM historically traded at a </w:t>
      </w:r>
      <w:r>
        <w:rPr>
          <w:rFonts w:ascii="Arial" w:cs="Arial" w:eastAsia="Arial" w:hAnsi="Arial"/>
          <w:b/>
          <w:bCs/>
          <w:sz w:val="19"/>
          <w:szCs w:val="19"/>
        </w:rPr>
        <w:t xml:space="preserve">1.5-2.5 turn premium</w:t>
      </w:r>
      <w:r>
        <w:rPr>
          <w:rFonts w:ascii="Arial" w:cs="Arial" w:eastAsia="Arial" w:hAnsi="Arial"/>
          <w:sz w:val="19"/>
          <w:szCs w:val="19"/>
        </w:rPr>
        <w:t xml:space="preserve"> to Genting Bhd and Genting Singapore on NTM EV/EBITDA, a premium for its domestic monopoly and net-cash balance sheet. That premium to the parent has collapsed to 0.6x (2nd percentile), while the gap to Genting Singapore (1.6x) is at its norm. The whole Genting complex is de-rating, and GENM has lost its monopoly premium as it has taken on NY capex and leverage.</w:t>
      </w:r>
    </w:p>
    <w:p>
      <w:pPr>
        <w:pStyle w:val="Heading2"/>
      </w:pPr>
      <w:r>
        <w:t xml:space="preserve">14.7 Verdict: cheap, fair or expensive?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5"/>
        <w:gridCol w:w="6011"/>
      </w:tblGrid>
      <w:tr>
        <w:trPr>
          <w:tblHeader/>
        </w:trPr>
        <w:tc>
          <w:tcPr>
            <w:tcW w:type="dxa" w:w="389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Lens</w:t>
            </w:r>
          </w:p>
        </w:tc>
        <w:tc>
          <w:tcPr>
            <w:tcW w:type="dxa" w:w="601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Verdict</w:t>
            </w:r>
          </w:p>
        </w:tc>
      </w:tr>
      <w:tr>
        <w:trPr>
          <w:cantSplit/>
        </w:trPr>
        <w:tc>
          <w:tcPr>
            <w:tcW w:type="dxa" w:w="38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EV/EBITDA vs peers and history</w:t>
            </w:r>
          </w:p>
        </w:tc>
        <w:tc>
          <w:tcPr>
            <w:tcW w:type="dxa" w:w="601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Cheap</w:t>
            </w:r>
            <w:r>
              <w:rPr>
                <w:rFonts w:ascii="Arial" w:cs="Arial" w:eastAsia="Arial" w:hAnsi="Arial"/>
                <w:b w:val="false"/>
                <w:bCs w:val="false"/>
                <w:color w:val="1A1F2B"/>
                <w:sz w:val="15"/>
                <w:szCs w:val="15"/>
              </w:rPr>
              <w:t xml:space="preserve"> (−12% vs peers NTM; 11th percentile of its own history)</w:t>
            </w:r>
          </w:p>
        </w:tc>
      </w:tr>
      <w:tr>
        <w:trPr>
          <w:cantSplit/>
        </w:trPr>
        <w:tc>
          <w:tcPr>
            <w:tcW w:type="dxa" w:w="38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EV/Sales vs margin (regression)</w:t>
            </w:r>
          </w:p>
        </w:tc>
        <w:tc>
          <w:tcPr>
            <w:tcW w:type="dxa" w:w="601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Fair</w:t>
            </w:r>
            <w:r>
              <w:rPr>
                <w:rFonts w:ascii="Arial" w:cs="Arial" w:eastAsia="Arial" w:hAnsi="Arial"/>
                <w:b w:val="false"/>
                <w:bCs w:val="false"/>
                <w:color w:val="1A1F2B"/>
                <w:sz w:val="15"/>
                <w:szCs w:val="15"/>
              </w:rPr>
              <w:t xml:space="preserve"> today; cheap if margins recover to consensus</w:t>
            </w:r>
          </w:p>
        </w:tc>
      </w:tr>
      <w:tr>
        <w:trPr>
          <w:cantSplit/>
        </w:trPr>
        <w:tc>
          <w:tcPr>
            <w:tcW w:type="dxa" w:w="38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P/E and EV/EBIT</w:t>
            </w:r>
          </w:p>
        </w:tc>
        <w:tc>
          <w:tcPr>
            <w:tcW w:type="dxa" w:w="601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Expensive</w:t>
            </w:r>
            <w:r>
              <w:rPr>
                <w:rFonts w:ascii="Arial" w:cs="Arial" w:eastAsia="Arial" w:hAnsi="Arial"/>
                <w:b w:val="false"/>
                <w:bCs w:val="false"/>
                <w:color w:val="1A1F2B"/>
                <w:sz w:val="15"/>
                <w:szCs w:val="15"/>
              </w:rPr>
              <w:t xml:space="preserve"> (leverage, D&amp;A, interest)</w:t>
            </w:r>
          </w:p>
        </w:tc>
      </w:tr>
      <w:tr>
        <w:trPr>
          <w:cantSplit/>
        </w:trPr>
        <w:tc>
          <w:tcPr>
            <w:tcW w:type="dxa" w:w="38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P/B and vs the lapsed RM2.35 offer</w:t>
            </w:r>
          </w:p>
        </w:tc>
        <w:tc>
          <w:tcPr>
            <w:tcW w:type="dxa" w:w="601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Cheap</w:t>
            </w:r>
            <w:r>
              <w:rPr>
                <w:rFonts w:ascii="Arial" w:cs="Arial" w:eastAsia="Arial" w:hAnsi="Arial"/>
                <w:b w:val="false"/>
                <w:bCs w:val="false"/>
                <w:color w:val="1A1F2B"/>
                <w:sz w:val="15"/>
                <w:szCs w:val="15"/>
              </w:rPr>
              <w:t xml:space="preserve"> (0.64x book; −46% vs offer)</w:t>
            </w:r>
          </w:p>
        </w:tc>
      </w:tr>
      <w:tr>
        <w:trPr>
          <w:cantSplit/>
        </w:trPr>
        <w:tc>
          <w:tcPr>
            <w:tcW w:type="dxa" w:w="389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Sum-of-the-parts (Section 24)</w:t>
            </w:r>
          </w:p>
        </w:tc>
        <w:tc>
          <w:tcPr>
            <w:tcW w:type="dxa" w:w="601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Cheap</w:t>
            </w:r>
            <w:r>
              <w:rPr>
                <w:rFonts w:ascii="Arial" w:cs="Arial" w:eastAsia="Arial" w:hAnsi="Arial"/>
                <w:b w:val="false"/>
                <w:bCs w:val="false"/>
                <w:color w:val="1A1F2B"/>
                <w:sz w:val="15"/>
                <w:szCs w:val="15"/>
              </w:rPr>
              <w:t xml:space="preserve">: base RM1.86 (+47%)</w:t>
            </w:r>
          </w:p>
        </w:tc>
      </w:tr>
      <w:tr>
        <w:trPr>
          <w:cantSplit/>
        </w:trPr>
        <w:tc>
          <w:tcPr>
            <w:tcW w:type="dxa" w:w="389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Market-implied</w:t>
            </w:r>
          </w:p>
        </w:tc>
        <w:tc>
          <w:tcPr>
            <w:tcW w:type="dxa" w:w="601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At RM1.27, if RWG is valued at 7x EBITDA, the market pays </w:t>
            </w:r>
            <w:r>
              <w:rPr>
                <w:rFonts w:ascii="Arial" w:cs="Arial" w:eastAsia="Arial" w:hAnsi="Arial"/>
                <w:b/>
                <w:bCs/>
                <w:color w:val="1A1F2B"/>
                <w:sz w:val="15"/>
                <w:szCs w:val="15"/>
              </w:rPr>
              <w:t xml:space="preserve">~US$0.67bn (~2.6x EBITDA) for the entire US business</w:t>
            </w:r>
            <w:r>
              <w:rPr>
                <w:rFonts w:ascii="Arial" w:cs="Arial" w:eastAsia="Arial" w:hAnsi="Arial"/>
                <w:b w:val="false"/>
                <w:bCs w:val="false"/>
                <w:color w:val="1A1F2B"/>
                <w:sz w:val="15"/>
                <w:szCs w:val="15"/>
              </w:rPr>
              <w:t xml:space="preserve">, barely more than the US$500m licence fee paid in January. Alternatively, valuing the US at 7.5x implies RWG at ~4.6x EBITDA</w:t>
            </w:r>
          </w:p>
        </w:tc>
      </w:tr>
    </w:tbl>
    <w:p>
      <w:pPr>
        <w:spacing w:after="60"/>
      </w:pPr>
    </w:p>
    <w:p>
      <w:r>
        <w:br w:type="page"/>
      </w:r>
    </w:p>
    <w:p>
      <w:pPr>
        <w:pStyle w:val="Heading1"/>
      </w:pPr>
      <w:r>
        <w:t xml:space="preserve">15. M&amp;A: Industry Transactions, Takeover Potential and Takeout Multiples</w:t>
      </w:r>
    </w:p>
    <w:p>
      <w:pPr>
        <w:pStyle w:val="Heading2"/>
      </w:pPr>
      <w:r>
        <w:t xml:space="preserve">15.1 Recent industry M&amp;A themes (2021-2026)</w:t>
      </w:r>
    </w:p>
    <w:p>
      <w:pPr>
        <w:pStyle w:val="ListParagraph"/>
        <w:numPr>
          <w:ilvl w:val="0"/>
          <w:numId w:val="7"/>
        </w:numPr>
        <w:spacing w:after="60" w:line="264"/>
      </w:pPr>
      <w:r>
        <w:rPr>
          <w:rFonts w:ascii="Arial" w:cs="Arial" w:eastAsia="Arial" w:hAnsi="Arial"/>
          <w:b/>
          <w:bCs/>
          <w:sz w:val="19"/>
          <w:szCs w:val="19"/>
        </w:rPr>
        <w:t xml:space="preserve">Take-privates of listed casino operators at 9-11x EBITDA:</w:t>
      </w:r>
      <w:r>
        <w:rPr>
          <w:rFonts w:ascii="Arial" w:cs="Arial" w:eastAsia="Arial" w:hAnsi="Arial"/>
          <w:sz w:val="19"/>
          <w:szCs w:val="19"/>
        </w:rPr>
        <w:t xml:space="preserve"> Crown/Blackstone (2022), Golden Entertainment/VICI-Sartini (2026), Caesars/Fertitta (pending, May-2026, 9.1x), SkyCity/Oaktree (cancelled, ~10.8x).</w:t>
      </w:r>
    </w:p>
    <w:p>
      <w:pPr>
        <w:pStyle w:val="ListParagraph"/>
        <w:numPr>
          <w:ilvl w:val="0"/>
          <w:numId w:val="7"/>
        </w:numPr>
        <w:spacing w:after="60" w:line="264"/>
      </w:pPr>
      <w:r>
        <w:rPr>
          <w:rFonts w:ascii="Arial" w:cs="Arial" w:eastAsia="Arial" w:hAnsi="Arial"/>
          <w:b/>
          <w:bCs/>
          <w:sz w:val="19"/>
          <w:szCs w:val="19"/>
        </w:rPr>
        <w:t xml:space="preserve">OpCo/PropCo separation and REIT capital:</w:t>
      </w:r>
      <w:r>
        <w:rPr>
          <w:rFonts w:ascii="Arial" w:cs="Arial" w:eastAsia="Arial" w:hAnsi="Arial"/>
          <w:sz w:val="19"/>
          <w:szCs w:val="19"/>
        </w:rPr>
        <w:t xml:space="preserve"> VICI-MGP (2022), Apollo/VICI-Venetian (2022), GLPI-Bally's Lincoln (US$700m, Feb-2026), VICI-Golden (2026). This is the clearest precedent for monetising RWNYC or RWG real estate.</w:t>
      </w:r>
    </w:p>
    <w:p>
      <w:pPr>
        <w:pStyle w:val="ListParagraph"/>
        <w:numPr>
          <w:ilvl w:val="0"/>
          <w:numId w:val="7"/>
        </w:numPr>
        <w:spacing w:after="60" w:line="264"/>
      </w:pPr>
      <w:r>
        <w:rPr>
          <w:rFonts w:ascii="Arial" w:cs="Arial" w:eastAsia="Arial" w:hAnsi="Arial"/>
          <w:b/>
          <w:bCs/>
          <w:sz w:val="19"/>
          <w:szCs w:val="19"/>
        </w:rPr>
        <w:t xml:space="preserve">Distressed recapitalisations:</w:t>
      </w:r>
      <w:r>
        <w:rPr>
          <w:rFonts w:ascii="Arial" w:cs="Arial" w:eastAsia="Arial" w:hAnsi="Arial"/>
          <w:sz w:val="19"/>
          <w:szCs w:val="19"/>
        </w:rPr>
        <w:t xml:space="preserve"> Bally's into Star Entertainment (2025), Standard General's Bally's take-private (2025).</w:t>
      </w:r>
    </w:p>
    <w:p>
      <w:pPr>
        <w:pStyle w:val="ListParagraph"/>
        <w:numPr>
          <w:ilvl w:val="0"/>
          <w:numId w:val="7"/>
        </w:numPr>
        <w:spacing w:after="60" w:line="264"/>
      </w:pPr>
      <w:r>
        <w:rPr>
          <w:rFonts w:ascii="Arial" w:cs="Arial" w:eastAsia="Arial" w:hAnsi="Arial"/>
          <w:b/>
          <w:bCs/>
          <w:sz w:val="19"/>
          <w:szCs w:val="19"/>
        </w:rPr>
        <w:t xml:space="preserve">Supplier and online consolidation:</w:t>
      </w:r>
      <w:r>
        <w:rPr>
          <w:rFonts w:ascii="Arial" w:cs="Arial" w:eastAsia="Arial" w:hAnsi="Arial"/>
          <w:sz w:val="19"/>
          <w:szCs w:val="19"/>
        </w:rPr>
        <w:t xml:space="preserve"> Apollo-IGT/Everi (2025), Lottomatica-Cirsa (2026), Bally's Intralot-Evoke (2026), FDJ-Kindred (2024).</w:t>
      </w:r>
    </w:p>
    <w:p>
      <w:pPr>
        <w:pStyle w:val="ListParagraph"/>
        <w:numPr>
          <w:ilvl w:val="0"/>
          <w:numId w:val="7"/>
        </w:numPr>
        <w:spacing w:after="60" w:line="264"/>
      </w:pPr>
      <w:r>
        <w:rPr>
          <w:rFonts w:ascii="Arial" w:cs="Arial" w:eastAsia="Arial" w:hAnsi="Arial"/>
          <w:b/>
          <w:bCs/>
          <w:sz w:val="19"/>
          <w:szCs w:val="19"/>
        </w:rPr>
        <w:t xml:space="preserve">Family-holdco minority squeeze-outs in Asia:</w:t>
      </w:r>
      <w:r>
        <w:rPr>
          <w:rFonts w:ascii="Arial" w:cs="Arial" w:eastAsia="Arial" w:hAnsi="Arial"/>
          <w:sz w:val="19"/>
          <w:szCs w:val="19"/>
        </w:rPr>
        <w:t xml:space="preserve"> Genting Bhd's RM2.35 offer for GENM (2025) at 8.1x LTM EBITDA and only a 9.8% premium.</w:t>
      </w:r>
    </w:p>
    <w:p>
      <w:pPr>
        <w:pStyle w:val="Heading2"/>
      </w:pPr>
      <w:r>
        <w:t xml:space="preserve">15.2 Comparable transactions (last five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7"/>
        <w:gridCol w:w="2371"/>
        <w:gridCol w:w="1870"/>
        <w:gridCol w:w="1444"/>
        <w:gridCol w:w="823"/>
        <w:gridCol w:w="1280"/>
        <w:gridCol w:w="664"/>
        <w:gridCol w:w="667"/>
      </w:tblGrid>
      <w:tr>
        <w:trPr>
          <w:tblHeader/>
        </w:trPr>
        <w:tc>
          <w:tcPr>
            <w:tcW w:type="dxa" w:w="78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Announced</w:t>
            </w:r>
          </w:p>
        </w:tc>
        <w:tc>
          <w:tcPr>
            <w:tcW w:type="dxa" w:w="237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Target</w:t>
            </w:r>
          </w:p>
        </w:tc>
        <w:tc>
          <w:tcPr>
            <w:tcW w:type="dxa" w:w="187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Acquirer</w:t>
            </w:r>
          </w:p>
        </w:tc>
        <w:tc>
          <w:tcPr>
            <w:tcW w:type="dxa" w:w="144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Status</w:t>
            </w:r>
          </w:p>
        </w:tc>
        <w:tc>
          <w:tcPr>
            <w:tcW w:type="dxa" w:w="82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EV</w:t>
            </w:r>
          </w:p>
        </w:tc>
        <w:tc>
          <w:tcPr>
            <w:tcW w:type="dxa" w:w="128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EV/EBITDA</w:t>
            </w:r>
          </w:p>
        </w:tc>
        <w:tc>
          <w:tcPr>
            <w:tcW w:type="dxa" w:w="66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EV/Sales</w:t>
            </w:r>
          </w:p>
        </w:tc>
        <w:tc>
          <w:tcPr>
            <w:tcW w:type="dxa" w:w="66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Premium</w:t>
            </w:r>
          </w:p>
        </w:tc>
      </w:tr>
      <w:tr>
        <w:trPr>
          <w:cantSplit/>
        </w:trPr>
        <w:tc>
          <w:tcPr>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13-Oct-2025</w:t>
            </w:r>
          </w:p>
        </w:tc>
        <w:tc>
          <w:tcPr>
            <w:tcW w:type="dxa" w:w="23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Genting Malaysia (50.6% minority)</w:t>
            </w:r>
          </w:p>
        </w:tc>
        <w:tc>
          <w:tcPr>
            <w:tcW w:type="dxa" w:w="18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Genting Bhd</w:t>
            </w:r>
          </w:p>
        </w:tc>
        <w:tc>
          <w:tcPr>
            <w:tcW w:type="dxa" w:w="14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Lapsed at 73.13% (1-Dec-2025)</w:t>
            </w:r>
          </w:p>
        </w:tc>
        <w:tc>
          <w:tcPr>
            <w:tcW w:type="dxa" w:w="8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RM22.9bn</w:t>
            </w:r>
          </w:p>
        </w:tc>
        <w:tc>
          <w:tcPr>
            <w:tcW w:type="dxa" w:w="12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bCs/>
                <w:color w:val="1A1F2B"/>
                <w:sz w:val="14"/>
                <w:szCs w:val="14"/>
              </w:rPr>
              <w:t xml:space="preserve">8.1x LTM</w:t>
            </w:r>
            <w:r>
              <w:rPr>
                <w:rFonts w:ascii="Arial" w:cs="Arial" w:eastAsia="Arial" w:hAnsi="Arial"/>
                <w:b w:val="false"/>
                <w:bCs w:val="false"/>
                <w:color w:val="1A1F2B"/>
                <w:sz w:val="14"/>
                <w:szCs w:val="14"/>
              </w:rPr>
              <w:t xml:space="preserve"> (8.2x FY25)</w:t>
            </w:r>
          </w:p>
        </w:tc>
        <w:tc>
          <w:tcPr>
            <w:tcW w:type="dxa" w:w="6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2.08x</w:t>
            </w:r>
          </w:p>
        </w:tc>
        <w:tc>
          <w:tcPr>
            <w:tcW w:type="dxa" w:w="6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9.8%</w:t>
            </w:r>
          </w:p>
        </w:tc>
      </w:tr>
      <w:tr>
        <w:trPr>
          <w:cantSplit/>
        </w:trPr>
        <w:tc>
          <w:tcPr>
            <w:tcW w:type="dxa" w:w="78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28-May-2026</w:t>
            </w:r>
          </w:p>
        </w:tc>
        <w:tc>
          <w:tcPr>
            <w:tcW w:type="dxa" w:w="237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Caesars Entertainment</w:t>
            </w:r>
          </w:p>
        </w:tc>
        <w:tc>
          <w:tcPr>
            <w:tcW w:type="dxa" w:w="18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Fertitta Entertainment</w:t>
            </w:r>
          </w:p>
        </w:tc>
        <w:tc>
          <w:tcPr>
            <w:tcW w:type="dxa" w:w="144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Pending</w:t>
            </w:r>
          </w:p>
        </w:tc>
        <w:tc>
          <w:tcPr>
            <w:tcW w:type="dxa" w:w="82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US$31.7bn</w:t>
            </w:r>
          </w:p>
        </w:tc>
        <w:tc>
          <w:tcPr>
            <w:tcW w:type="dxa" w:w="128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9.1x</w:t>
            </w:r>
          </w:p>
        </w:tc>
        <w:tc>
          <w:tcPr>
            <w:tcW w:type="dxa" w:w="6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2.76x</w:t>
            </w:r>
          </w:p>
        </w:tc>
        <w:tc>
          <w:tcPr>
            <w:tcW w:type="dxa" w:w="6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n/a</w:t>
            </w:r>
          </w:p>
        </w:tc>
      </w:tr>
      <w:tr>
        <w:trPr>
          <w:cantSplit/>
        </w:trPr>
        <w:tc>
          <w:tcPr>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12-Aug-2026</w:t>
            </w:r>
          </w:p>
        </w:tc>
        <w:tc>
          <w:tcPr>
            <w:tcW w:type="dxa" w:w="23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Caesars (competing approach)</w:t>
            </w:r>
          </w:p>
        </w:tc>
        <w:tc>
          <w:tcPr>
            <w:tcW w:type="dxa" w:w="18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Icahn Enterprises</w:t>
            </w:r>
          </w:p>
        </w:tc>
        <w:tc>
          <w:tcPr>
            <w:tcW w:type="dxa" w:w="14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Cancelled</w:t>
            </w:r>
          </w:p>
        </w:tc>
        <w:tc>
          <w:tcPr>
            <w:tcW w:type="dxa" w:w="8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US$32.9bn</w:t>
            </w:r>
          </w:p>
        </w:tc>
        <w:tc>
          <w:tcPr>
            <w:tcW w:type="dxa" w:w="12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9.4x</w:t>
            </w:r>
          </w:p>
        </w:tc>
        <w:tc>
          <w:tcPr>
            <w:tcW w:type="dxa" w:w="6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2.87x</w:t>
            </w:r>
          </w:p>
        </w:tc>
        <w:tc>
          <w:tcPr>
            <w:tcW w:type="dxa" w:w="6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n/a</w:t>
            </w:r>
          </w:p>
        </w:tc>
      </w:tr>
      <w:tr>
        <w:trPr>
          <w:cantSplit/>
        </w:trPr>
        <w:tc>
          <w:tcPr>
            <w:tcW w:type="dxa" w:w="78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2-Sep-2026</w:t>
            </w:r>
          </w:p>
        </w:tc>
        <w:tc>
          <w:tcPr>
            <w:tcW w:type="dxa" w:w="237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Cirsa Enterprises</w:t>
            </w:r>
          </w:p>
        </w:tc>
        <w:tc>
          <w:tcPr>
            <w:tcW w:type="dxa" w:w="18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Lottomatica</w:t>
            </w:r>
          </w:p>
        </w:tc>
        <w:tc>
          <w:tcPr>
            <w:tcW w:type="dxa" w:w="144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Announced</w:t>
            </w:r>
          </w:p>
        </w:tc>
        <w:tc>
          <w:tcPr>
            <w:tcW w:type="dxa" w:w="82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€4.7bn</w:t>
            </w:r>
          </w:p>
        </w:tc>
        <w:tc>
          <w:tcPr>
            <w:tcW w:type="dxa" w:w="128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7.1x</w:t>
            </w:r>
          </w:p>
        </w:tc>
        <w:tc>
          <w:tcPr>
            <w:tcW w:type="dxa" w:w="6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2.00x</w:t>
            </w:r>
          </w:p>
        </w:tc>
        <w:tc>
          <w:tcPr>
            <w:tcW w:type="dxa" w:w="6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n/a</w:t>
            </w:r>
          </w:p>
        </w:tc>
      </w:tr>
      <w:tr>
        <w:trPr>
          <w:cantSplit/>
        </w:trPr>
        <w:tc>
          <w:tcPr>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18-May-2026</w:t>
            </w:r>
          </w:p>
        </w:tc>
        <w:tc>
          <w:tcPr>
            <w:tcW w:type="dxa" w:w="23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Evoke plc</w:t>
            </w:r>
          </w:p>
        </w:tc>
        <w:tc>
          <w:tcPr>
            <w:tcW w:type="dxa" w:w="18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Bally's Intralot</w:t>
            </w:r>
          </w:p>
        </w:tc>
        <w:tc>
          <w:tcPr>
            <w:tcW w:type="dxa" w:w="14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Announced</w:t>
            </w:r>
          </w:p>
        </w:tc>
        <w:tc>
          <w:tcPr>
            <w:tcW w:type="dxa" w:w="8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£2.2bn</w:t>
            </w:r>
          </w:p>
        </w:tc>
        <w:tc>
          <w:tcPr>
            <w:tcW w:type="dxa" w:w="12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9.3x</w:t>
            </w:r>
          </w:p>
        </w:tc>
        <w:tc>
          <w:tcPr>
            <w:tcW w:type="dxa" w:w="6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1.22x</w:t>
            </w:r>
          </w:p>
        </w:tc>
        <w:tc>
          <w:tcPr>
            <w:tcW w:type="dxa" w:w="6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n/a</w:t>
            </w:r>
          </w:p>
        </w:tc>
      </w:tr>
      <w:tr>
        <w:trPr>
          <w:cantSplit/>
        </w:trPr>
        <w:tc>
          <w:tcPr>
            <w:tcW w:type="dxa" w:w="78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25-Aug-2026</w:t>
            </w:r>
          </w:p>
        </w:tc>
        <w:tc>
          <w:tcPr>
            <w:tcW w:type="dxa" w:w="237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SkyCity Entertainment</w:t>
            </w:r>
          </w:p>
        </w:tc>
        <w:tc>
          <w:tcPr>
            <w:tcW w:type="dxa" w:w="18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Oaktree</w:t>
            </w:r>
          </w:p>
        </w:tc>
        <w:tc>
          <w:tcPr>
            <w:tcW w:type="dxa" w:w="144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Cancelled</w:t>
            </w:r>
          </w:p>
        </w:tc>
        <w:tc>
          <w:tcPr>
            <w:tcW w:type="dxa" w:w="82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NZ$1.5bn</w:t>
            </w:r>
          </w:p>
        </w:tc>
        <w:tc>
          <w:tcPr>
            <w:tcW w:type="dxa" w:w="128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~10.8x [e]</w:t>
            </w:r>
          </w:p>
        </w:tc>
        <w:tc>
          <w:tcPr>
            <w:tcW w:type="dxa" w:w="6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~1.84x</w:t>
            </w:r>
          </w:p>
        </w:tc>
        <w:tc>
          <w:tcPr>
            <w:tcW w:type="dxa" w:w="6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n/a</w:t>
            </w:r>
          </w:p>
        </w:tc>
      </w:tr>
      <w:tr>
        <w:trPr>
          <w:cantSplit/>
        </w:trPr>
        <w:tc>
          <w:tcPr>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6-Nov-2025</w:t>
            </w:r>
          </w:p>
        </w:tc>
        <w:tc>
          <w:tcPr>
            <w:tcW w:type="dxa" w:w="23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Golden Entertainment</w:t>
            </w:r>
          </w:p>
        </w:tc>
        <w:tc>
          <w:tcPr>
            <w:tcW w:type="dxa" w:w="18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VICI (real estate) / Sartini (operations)</w:t>
            </w:r>
          </w:p>
        </w:tc>
        <w:tc>
          <w:tcPr>
            <w:tcW w:type="dxa" w:w="14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Closed Apr-2026</w:t>
            </w:r>
          </w:p>
        </w:tc>
        <w:tc>
          <w:tcPr>
            <w:tcW w:type="dxa" w:w="8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US$1.2bn</w:t>
            </w:r>
          </w:p>
        </w:tc>
        <w:tc>
          <w:tcPr>
            <w:tcW w:type="dxa" w:w="12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9.8x</w:t>
            </w:r>
          </w:p>
        </w:tc>
        <w:tc>
          <w:tcPr>
            <w:tcW w:type="dxa" w:w="6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1.88x</w:t>
            </w:r>
          </w:p>
        </w:tc>
        <w:tc>
          <w:tcPr>
            <w:tcW w:type="dxa" w:w="6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n/a</w:t>
            </w:r>
          </w:p>
        </w:tc>
      </w:tr>
      <w:tr>
        <w:trPr>
          <w:cantSplit/>
        </w:trPr>
        <w:tc>
          <w:tcPr>
            <w:tcW w:type="dxa" w:w="78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13-Oct-2025</w:t>
            </w:r>
          </w:p>
        </w:tc>
        <w:tc>
          <w:tcPr>
            <w:tcW w:type="dxa" w:w="237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OPAP</w:t>
            </w:r>
          </w:p>
        </w:tc>
        <w:tc>
          <w:tcPr>
            <w:tcW w:type="dxa" w:w="18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Allwyn</w:t>
            </w:r>
          </w:p>
        </w:tc>
        <w:tc>
          <w:tcPr>
            <w:tcW w:type="dxa" w:w="144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Closed Mar-2026</w:t>
            </w:r>
          </w:p>
        </w:tc>
        <w:tc>
          <w:tcPr>
            <w:tcW w:type="dxa" w:w="82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€6.6bn</w:t>
            </w:r>
          </w:p>
        </w:tc>
        <w:tc>
          <w:tcPr>
            <w:tcW w:type="dxa" w:w="128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8.4x</w:t>
            </w:r>
          </w:p>
        </w:tc>
        <w:tc>
          <w:tcPr>
            <w:tcW w:type="dxa" w:w="6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4.02x</w:t>
            </w:r>
          </w:p>
        </w:tc>
        <w:tc>
          <w:tcPr>
            <w:tcW w:type="dxa" w:w="6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n/a</w:t>
            </w:r>
          </w:p>
        </w:tc>
      </w:tr>
      <w:tr>
        <w:trPr>
          <w:cantSplit/>
        </w:trPr>
        <w:tc>
          <w:tcPr>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26-Jul-2024</w:t>
            </w:r>
          </w:p>
        </w:tc>
        <w:tc>
          <w:tcPr>
            <w:tcW w:type="dxa" w:w="23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Everi + IGT Gaming &amp; Digital</w:t>
            </w:r>
          </w:p>
        </w:tc>
        <w:tc>
          <w:tcPr>
            <w:tcW w:type="dxa" w:w="18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Apollo</w:t>
            </w:r>
          </w:p>
        </w:tc>
        <w:tc>
          <w:tcPr>
            <w:tcW w:type="dxa" w:w="14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Closed Jul-2025</w:t>
            </w:r>
          </w:p>
        </w:tc>
        <w:tc>
          <w:tcPr>
            <w:tcW w:type="dxa" w:w="8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US$2.2bn (Everi)</w:t>
            </w:r>
          </w:p>
        </w:tc>
        <w:tc>
          <w:tcPr>
            <w:tcW w:type="dxa" w:w="12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6.7x</w:t>
            </w:r>
          </w:p>
        </w:tc>
        <w:tc>
          <w:tcPr>
            <w:tcW w:type="dxa" w:w="6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2.77x</w:t>
            </w:r>
          </w:p>
        </w:tc>
        <w:tc>
          <w:tcPr>
            <w:tcW w:type="dxa" w:w="6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n/a</w:t>
            </w:r>
          </w:p>
        </w:tc>
      </w:tr>
      <w:tr>
        <w:trPr>
          <w:cantSplit/>
        </w:trPr>
        <w:tc>
          <w:tcPr>
            <w:tcW w:type="dxa" w:w="78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21-Jan-2024</w:t>
            </w:r>
          </w:p>
        </w:tc>
        <w:tc>
          <w:tcPr>
            <w:tcW w:type="dxa" w:w="237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Kindred Group</w:t>
            </w:r>
          </w:p>
        </w:tc>
        <w:tc>
          <w:tcPr>
            <w:tcW w:type="dxa" w:w="18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FDJ</w:t>
            </w:r>
          </w:p>
        </w:tc>
        <w:tc>
          <w:tcPr>
            <w:tcW w:type="dxa" w:w="144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Closed</w:t>
            </w:r>
          </w:p>
        </w:tc>
        <w:tc>
          <w:tcPr>
            <w:tcW w:type="dxa" w:w="82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~£2.0bn</w:t>
            </w:r>
          </w:p>
        </w:tc>
        <w:tc>
          <w:tcPr>
            <w:tcW w:type="dxa" w:w="128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~13.0x</w:t>
            </w:r>
          </w:p>
        </w:tc>
        <w:tc>
          <w:tcPr>
            <w:tcW w:type="dxa" w:w="6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1.69x</w:t>
            </w:r>
          </w:p>
        </w:tc>
        <w:tc>
          <w:tcPr>
            <w:tcW w:type="dxa" w:w="6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n/a</w:t>
            </w:r>
          </w:p>
        </w:tc>
      </w:tr>
      <w:tr>
        <w:trPr>
          <w:cantSplit/>
        </w:trPr>
        <w:tc>
          <w:tcPr>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11-Mar-2024</w:t>
            </w:r>
          </w:p>
        </w:tc>
        <w:tc>
          <w:tcPr>
            <w:tcW w:type="dxa" w:w="23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Bally's Corp (remaining)</w:t>
            </w:r>
          </w:p>
        </w:tc>
        <w:tc>
          <w:tcPr>
            <w:tcW w:type="dxa" w:w="18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Standard General</w:t>
            </w:r>
          </w:p>
        </w:tc>
        <w:tc>
          <w:tcPr>
            <w:tcW w:type="dxa" w:w="14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Closed Feb-2025</w:t>
            </w:r>
          </w:p>
        </w:tc>
        <w:tc>
          <w:tcPr>
            <w:tcW w:type="dxa" w:w="8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US$5.6bn</w:t>
            </w:r>
          </w:p>
        </w:tc>
        <w:tc>
          <w:tcPr>
            <w:tcW w:type="dxa" w:w="12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18.0x (post-rent; distorted)</w:t>
            </w:r>
          </w:p>
        </w:tc>
        <w:tc>
          <w:tcPr>
            <w:tcW w:type="dxa" w:w="6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2.28x</w:t>
            </w:r>
          </w:p>
        </w:tc>
        <w:tc>
          <w:tcPr>
            <w:tcW w:type="dxa" w:w="6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n/a</w:t>
            </w:r>
          </w:p>
        </w:tc>
      </w:tr>
      <w:tr>
        <w:trPr>
          <w:cantSplit/>
        </w:trPr>
        <w:tc>
          <w:tcPr>
            <w:tcW w:type="dxa" w:w="78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Feb-2022</w:t>
            </w:r>
          </w:p>
        </w:tc>
        <w:tc>
          <w:tcPr>
            <w:tcW w:type="dxa" w:w="237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Crown Resorts</w:t>
            </w:r>
          </w:p>
        </w:tc>
        <w:tc>
          <w:tcPr>
            <w:tcW w:type="dxa" w:w="18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Blackstone</w:t>
            </w:r>
          </w:p>
        </w:tc>
        <w:tc>
          <w:tcPr>
            <w:tcW w:type="dxa" w:w="144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Closed Jun-2022</w:t>
            </w:r>
          </w:p>
        </w:tc>
        <w:tc>
          <w:tcPr>
            <w:tcW w:type="dxa" w:w="82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A$9.8bn</w:t>
            </w:r>
          </w:p>
        </w:tc>
        <w:tc>
          <w:tcPr>
            <w:tcW w:type="dxa" w:w="128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11.2x (FY19)</w:t>
            </w:r>
          </w:p>
        </w:tc>
        <w:tc>
          <w:tcPr>
            <w:tcW w:type="dxa" w:w="6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3.35x</w:t>
            </w:r>
          </w:p>
        </w:tc>
        <w:tc>
          <w:tcPr>
            <w:tcW w:type="dxa" w:w="6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n/a</w:t>
            </w:r>
          </w:p>
        </w:tc>
      </w:tr>
      <w:tr>
        <w:trPr>
          <w:cantSplit/>
        </w:trPr>
        <w:tc>
          <w:tcPr>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2022-2026</w:t>
            </w:r>
          </w:p>
        </w:tc>
        <w:tc>
          <w:tcPr>
            <w:tcW w:type="dxa" w:w="23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Peninsula Pacific → Churchill Downs (US$2.75bn); The Mirage → Seminole Hard Rock (US$1.075bn); Gold Strike → Cherokee Nation (US$450m); Northfield Park → Clairvest (US$546m); Bally's Lincoln real estate → GLPI (US$700m)</w:t>
            </w:r>
          </w:p>
        </w:tc>
        <w:tc>
          <w:tcPr>
            <w:tcW w:type="dxa" w:w="18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p>
        </w:tc>
        <w:tc>
          <w:tcPr>
            <w:tcW w:type="dxa" w:w="14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4"/>
                <w:szCs w:val="14"/>
              </w:rPr>
              <w:t xml:space="preserve">Closed</w:t>
            </w:r>
          </w:p>
        </w:tc>
        <w:tc>
          <w:tcPr>
            <w:tcW w:type="dxa" w:w="8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p>
        </w:tc>
        <w:tc>
          <w:tcPr>
            <w:tcW w:type="dxa" w:w="12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n/a</w:t>
            </w:r>
          </w:p>
        </w:tc>
        <w:tc>
          <w:tcPr>
            <w:tcW w:type="dxa" w:w="6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p>
        </w:tc>
        <w:tc>
          <w:tcPr>
            <w:tcW w:type="dxa" w:w="6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p>
        </w:tc>
      </w:tr>
    </w:tbl>
    <w:p>
      <w:pPr>
        <w:spacing w:after="60"/>
      </w:pPr>
    </w:p>
    <w:p>
      <w:pPr>
        <w:spacing w:after="160"/>
      </w:pPr>
      <w:r>
        <w:rPr>
          <w:rFonts w:ascii="Arial" w:cs="Arial" w:eastAsia="Arial" w:hAnsi="Arial"/>
          <w:i/>
          <w:iCs/>
          <w:color w:val="5A6270"/>
          <w:sz w:val="14"/>
          <w:szCs w:val="14"/>
        </w:rPr>
        <w:t xml:space="preserve">Source: S&amp;P Capital IQ Transactions; company releases. </w:t>
      </w:r>
      <w:r>
        <w:rPr>
          <w:rFonts w:ascii="Arial" w:cs="Arial" w:eastAsia="Arial" w:hAnsi="Arial"/>
          <w:b/>
          <w:bCs/>
          <w:i/>
          <w:iCs/>
          <w:color w:val="5A6270"/>
          <w:sz w:val="14"/>
          <w:szCs w:val="14"/>
        </w:rPr>
        <w:t xml:space="preserve">Median EV/EBITDA 9.2x (n=10); land-based casino control deals cluster at 9-11x.</w:t>
      </w:r>
      <w:r>
        <w:rPr>
          <w:rFonts w:ascii="Arial" w:cs="Arial" w:eastAsia="Arial" w:hAnsi="Arial"/>
          <w:i/>
          <w:iCs/>
          <w:color w:val="5A6270"/>
          <w:sz w:val="14"/>
          <w:szCs w:val="14"/>
        </w:rPr>
        <w:t xml:space="preserve"> Premiums were largely unavailable [gap].</w:t>
      </w:r>
    </w:p>
    <w:p>
      <w:pPr>
        <w:pStyle w:val="Heading2"/>
      </w:pPr>
      <w:r>
        <w:t xml:space="preserve">15.3 Is GENM a takeover target?</w:t>
      </w:r>
    </w:p>
    <w:p>
      <w:pPr>
        <w:spacing w:after="120" w:line="276"/>
      </w:pPr>
      <w:r>
        <w:rPr>
          <w:rFonts w:ascii="Arial" w:cs="Arial" w:eastAsia="Arial" w:hAnsi="Arial"/>
          <w:b/>
          <w:bCs/>
          <w:sz w:val="19"/>
          <w:szCs w:val="19"/>
        </w:rPr>
        <w:t xml:space="preserve">Yes, but only by one buyer.</w:t>
      </w:r>
      <w:r>
        <w:rPr>
          <w:rFonts w:ascii="Arial" w:cs="Arial" w:eastAsia="Arial" w:hAnsi="Arial"/>
          <w:sz w:val="19"/>
          <w:szCs w:val="19"/>
        </w:rPr>
        <w:t xml:space="preserve"> Genting Bhd owns 73.84% and has said it "does not intend to maintain" GENM's listing. Its CEO framed the 2025 offer as about "balance-sheet requirements and control ahead of RWNYC becoming the group's main earnings driver". A third-party bid is effectively impossible without the Lim family's consent.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53"/>
        <w:gridCol w:w="4853"/>
      </w:tblGrid>
      <w:tr>
        <w:trPr>
          <w:tblHeader/>
        </w:trPr>
        <w:tc>
          <w:tcPr>
            <w:tcW w:type="dxa" w:w="505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Pros (why a renewed privatisation is likely, eventually)</w:t>
            </w:r>
          </w:p>
        </w:tc>
        <w:tc>
          <w:tcPr>
            <w:tcW w:type="dxa" w:w="485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Impediments</w:t>
            </w:r>
          </w:p>
        </w:tc>
      </w:tr>
      <w:tr>
        <w:trPr>
          <w:cantSplit/>
        </w:trPr>
        <w:tc>
          <w:tcPr>
            <w:tcW w:type="dxa" w:w="50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Genting Bhd is 1.16pp (≈66m shares, ~RM84m) from 75%, which reopens a delisting route once the post-offer restrictions lapse (~Dec-2026 [u])</w:t>
            </w:r>
          </w:p>
        </w:tc>
        <w:tc>
          <w:tcPr>
            <w:tcW w:type="dxa" w:w="48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Parent funding:</w:t>
            </w:r>
            <w:r>
              <w:rPr>
                <w:rFonts w:ascii="Arial" w:cs="Arial" w:eastAsia="Arial" w:hAnsi="Arial"/>
                <w:b w:val="false"/>
                <w:bCs w:val="false"/>
                <w:color w:val="1A1F2B"/>
                <w:sz w:val="15"/>
                <w:szCs w:val="15"/>
              </w:rPr>
              <w:t xml:space="preserve"> RM1.25bn rights issue to repay debt; ~RM45bn gross debt; S&amp;P negative outlook; CreditSights expects no debt-funded GENM purchases for 12-18 months</w:t>
            </w:r>
          </w:p>
        </w:tc>
      </w:tr>
      <w:tr>
        <w:trPr>
          <w:cantSplit/>
        </w:trPr>
        <w:tc>
          <w:tcPr>
            <w:tcW w:type="dxa" w:w="50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Full ownership gives the parent 100% of NY cash flows and ends minority scrutiny of related-party transactions</w:t>
            </w:r>
          </w:p>
        </w:tc>
        <w:tc>
          <w:tcPr>
            <w:tcW w:type="dxa" w:w="48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Price anchoring:</w:t>
            </w:r>
            <w:r>
              <w:rPr>
                <w:rFonts w:ascii="Arial" w:cs="Arial" w:eastAsia="Arial" w:hAnsi="Arial"/>
                <w:b w:val="false"/>
                <w:bCs w:val="false"/>
                <w:color w:val="1A1F2B"/>
                <w:sz w:val="15"/>
                <w:szCs w:val="15"/>
              </w:rPr>
              <w:t xml:space="preserve"> minorities will treat RM2.35 (and the independent adviser's RM3.48-3.77) as the reference, not RM1.27</w:t>
            </w:r>
          </w:p>
        </w:tc>
      </w:tr>
      <w:tr>
        <w:trPr>
          <w:cantSplit/>
        </w:trPr>
        <w:tc>
          <w:tcPr>
            <w:tcW w:type="dxa" w:w="50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Minority buy-out is cheap in absolute terms: ~RM1.9bn at spot, ~RM3.5bn at RM2.35</w:t>
            </w:r>
          </w:p>
        </w:tc>
        <w:tc>
          <w:tcPr>
            <w:tcW w:type="dxa" w:w="48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Minority veto:</w:t>
            </w:r>
            <w:r>
              <w:rPr>
                <w:rFonts w:ascii="Arial" w:cs="Arial" w:eastAsia="Arial" w:hAnsi="Arial"/>
                <w:b w:val="false"/>
                <w:bCs w:val="false"/>
                <w:color w:val="1A1F2B"/>
                <w:sz w:val="15"/>
                <w:szCs w:val="15"/>
              </w:rPr>
              <w:t xml:space="preserve"> a delisting resolution typically fails if &gt;10% of holders object [u]; minorities own ~26%</w:t>
            </w:r>
          </w:p>
        </w:tc>
      </w:tr>
      <w:tr>
        <w:trPr>
          <w:cantSplit/>
        </w:trPr>
        <w:tc>
          <w:tcPr>
            <w:tcW w:type="dxa" w:w="50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GENM's monopoly cash flows would help service parent debt</w:t>
            </w:r>
          </w:p>
        </w:tc>
        <w:tc>
          <w:tcPr>
            <w:tcW w:type="dxa" w:w="48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Ratings: a debt-funded offer risks a parent downgrade to junk (S&amp;P BBB-/Negative)</w:t>
            </w:r>
          </w:p>
        </w:tc>
      </w:tr>
      <w:tr>
        <w:trPr>
          <w:cantSplit/>
        </w:trPr>
        <w:tc>
          <w:tcPr>
            <w:tcW w:type="dxa" w:w="50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 share-swap (no cash) structure is possible</w:t>
            </w:r>
          </w:p>
        </w:tc>
        <w:tc>
          <w:tcPr>
            <w:tcW w:type="dxa" w:w="48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 share swap dilutes Kien Huat's ~43.8% of Genting Bhd and is unattractive at Genting Bhd's depressed price</w:t>
            </w:r>
          </w:p>
        </w:tc>
      </w:tr>
      <w:tr>
        <w:trPr>
          <w:cantSplit/>
        </w:trPr>
        <w:tc>
          <w:tcPr>
            <w:tcW w:type="dxa" w:w="50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Low liquidity and index exclusions depress the minority price</w:t>
            </w:r>
          </w:p>
        </w:tc>
        <w:tc>
          <w:tcPr>
            <w:tcW w:type="dxa" w:w="48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Malaysian Take-overs Code and SC scrutiny of a second low-ball attempt; reputational cost</w:t>
            </w:r>
          </w:p>
        </w:tc>
      </w:tr>
    </w:tbl>
    <w:p>
      <w:pPr>
        <w:spacing w:after="60"/>
      </w:pPr>
    </w:p>
    <w:p>
      <w:pPr>
        <w:spacing w:after="120" w:line="276"/>
      </w:pPr>
      <w:r>
        <w:rPr>
          <w:rFonts w:ascii="Arial" w:cs="Arial" w:eastAsia="Arial" w:hAnsi="Arial"/>
          <w:b/>
          <w:bCs/>
          <w:sz w:val="19"/>
          <w:szCs w:val="19"/>
        </w:rPr>
        <w:t xml:space="preserve">Most likely sequence [e]:</w:t>
      </w:r>
      <w:r>
        <w:rPr>
          <w:rFonts w:ascii="Arial" w:cs="Arial" w:eastAsia="Arial" w:hAnsi="Arial"/>
          <w:sz w:val="19"/>
          <w:szCs w:val="19"/>
        </w:rPr>
        <w:t xml:space="preserve"> (1) Genting Bhd completes its rights issue (1Q27); (2) creeping purchases resume and it crosses 75% (2027); (3) a delisting proposal with an exit offer once RWNYC earnings are visible (2027-28), priced off a then-higher EBITDA but at a "control already held" discount. Alternatively, (4) asset-level deals (RWNYC PropCo sale-leaseback, Miami sale) happen first to fund NY.</w:t>
      </w:r>
    </w:p>
    <w:p>
      <w:pPr>
        <w:pStyle w:val="Heading2"/>
      </w:pPr>
      <w:r>
        <w:t xml:space="preserve">15.4 Potential takeout multiples and values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4"/>
        <w:gridCol w:w="657"/>
        <w:gridCol w:w="657"/>
        <w:gridCol w:w="657"/>
        <w:gridCol w:w="1558"/>
        <w:gridCol w:w="657"/>
        <w:gridCol w:w="657"/>
        <w:gridCol w:w="659"/>
      </w:tblGrid>
      <w:tr>
        <w:trPr>
          <w:tblHeader/>
        </w:trPr>
        <w:tc>
          <w:tcPr>
            <w:tcW w:type="dxa" w:w="440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4"/>
                <w:szCs w:val="14"/>
              </w:rPr>
              <w:t xml:space="preserve">TEV / FY26E EBITDA (consensus RM2,974m)</w:t>
            </w:r>
          </w:p>
        </w:tc>
        <w:tc>
          <w:tcPr>
            <w:tcW w:type="dxa" w:w="65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7.0x</w:t>
            </w:r>
          </w:p>
        </w:tc>
        <w:tc>
          <w:tcPr>
            <w:tcW w:type="dxa" w:w="65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8.0x</w:t>
            </w:r>
          </w:p>
        </w:tc>
        <w:tc>
          <w:tcPr>
            <w:tcW w:type="dxa" w:w="65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9.0x</w:t>
            </w:r>
          </w:p>
        </w:tc>
        <w:tc>
          <w:tcPr>
            <w:tcW w:type="dxa" w:w="155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9.2x (deal median)</w:t>
            </w:r>
          </w:p>
        </w:tc>
        <w:tc>
          <w:tcPr>
            <w:tcW w:type="dxa" w:w="65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10.0x</w:t>
            </w:r>
          </w:p>
        </w:tc>
        <w:tc>
          <w:tcPr>
            <w:tcW w:type="dxa" w:w="65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11.0x</w:t>
            </w:r>
          </w:p>
        </w:tc>
        <w:tc>
          <w:tcPr>
            <w:tcW w:type="dxa" w:w="65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4"/>
                <w:szCs w:val="14"/>
              </w:rPr>
              <w:t xml:space="preserve">12.0x</w:t>
            </w:r>
          </w:p>
        </w:tc>
      </w:tr>
      <w:tr>
        <w:trPr>
          <w:cantSplit/>
        </w:trPr>
        <w:tc>
          <w:tcPr>
            <w:tcW w:type="dxa" w:w="44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Value per share (RM)</w:t>
            </w:r>
          </w:p>
        </w:tc>
        <w:tc>
          <w:tcPr>
            <w:tcW w:type="dxa" w:w="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1.17</w:t>
            </w:r>
          </w:p>
        </w:tc>
        <w:tc>
          <w:tcPr>
            <w:tcW w:type="dxa" w:w="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1.70</w:t>
            </w:r>
          </w:p>
        </w:tc>
        <w:tc>
          <w:tcPr>
            <w:tcW w:type="dxa" w:w="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2.22</w:t>
            </w:r>
          </w:p>
        </w:tc>
        <w:tc>
          <w:tcPr>
            <w:tcW w:type="dxa" w:w="15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2.33</w:t>
            </w:r>
          </w:p>
        </w:tc>
        <w:tc>
          <w:tcPr>
            <w:tcW w:type="dxa" w:w="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2.75</w:t>
            </w:r>
          </w:p>
        </w:tc>
        <w:tc>
          <w:tcPr>
            <w:tcW w:type="dxa" w:w="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3.27</w:t>
            </w:r>
          </w:p>
        </w:tc>
        <w:tc>
          <w:tcPr>
            <w:tcW w:type="dxa" w:w="6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3.80</w:t>
            </w:r>
          </w:p>
        </w:tc>
      </w:tr>
      <w:tr>
        <w:trPr>
          <w:cantSplit/>
        </w:trPr>
        <w:tc>
          <w:tcPr>
            <w:tcW w:type="dxa" w:w="440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Premium to RM1.27</w:t>
            </w:r>
          </w:p>
        </w:tc>
        <w:tc>
          <w:tcPr>
            <w:tcW w:type="dxa" w:w="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w:t>
            </w:r>
          </w:p>
        </w:tc>
        <w:tc>
          <w:tcPr>
            <w:tcW w:type="dxa" w:w="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+34%</w:t>
            </w:r>
          </w:p>
        </w:tc>
        <w:tc>
          <w:tcPr>
            <w:tcW w:type="dxa" w:w="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+75%</w:t>
            </w:r>
          </w:p>
        </w:tc>
        <w:tc>
          <w:tcPr>
            <w:tcW w:type="dxa" w:w="15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+83%</w:t>
            </w:r>
          </w:p>
        </w:tc>
        <w:tc>
          <w:tcPr>
            <w:tcW w:type="dxa" w:w="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+116%</w:t>
            </w:r>
          </w:p>
        </w:tc>
        <w:tc>
          <w:tcPr>
            <w:tcW w:type="dxa" w:w="65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+158%</w:t>
            </w:r>
          </w:p>
        </w:tc>
        <w:tc>
          <w:tcPr>
            <w:tcW w:type="dxa" w:w="65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+199%</w:t>
            </w:r>
          </w:p>
        </w:tc>
      </w:tr>
      <w:tr>
        <w:trPr>
          <w:cantSplit/>
        </w:trPr>
        <w:tc>
          <w:tcPr>
            <w:tcW w:type="dxa" w:w="44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4"/>
                <w:szCs w:val="14"/>
              </w:rPr>
              <w:t xml:space="preserve">On our FY27E EBITDA (RM3,415m), per share</w:t>
            </w:r>
          </w:p>
        </w:tc>
        <w:tc>
          <w:tcPr>
            <w:tcW w:type="dxa" w:w="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1.72</w:t>
            </w:r>
          </w:p>
        </w:tc>
        <w:tc>
          <w:tcPr>
            <w:tcW w:type="dxa" w:w="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2.32</w:t>
            </w:r>
          </w:p>
        </w:tc>
        <w:tc>
          <w:tcPr>
            <w:tcW w:type="dxa" w:w="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2.92</w:t>
            </w:r>
          </w:p>
        </w:tc>
        <w:tc>
          <w:tcPr>
            <w:tcW w:type="dxa" w:w="15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3.04</w:t>
            </w:r>
          </w:p>
        </w:tc>
        <w:tc>
          <w:tcPr>
            <w:tcW w:type="dxa" w:w="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3.53</w:t>
            </w:r>
          </w:p>
        </w:tc>
        <w:tc>
          <w:tcPr>
            <w:tcW w:type="dxa" w:w="6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4.13</w:t>
            </w:r>
          </w:p>
        </w:tc>
        <w:tc>
          <w:tcPr>
            <w:tcW w:type="dxa" w:w="6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4"/>
                <w:szCs w:val="14"/>
              </w:rPr>
              <w:t xml:space="preserve">4.73</w:t>
            </w:r>
          </w:p>
        </w:tc>
      </w:tr>
    </w:tbl>
    <w:p>
      <w:pPr>
        <w:spacing w:after="60"/>
      </w:pPr>
    </w:p>
    <w:p>
      <w:pPr>
        <w:spacing w:after="120" w:line="276"/>
      </w:pPr>
      <w:r>
        <w:rPr>
          <w:rFonts w:ascii="Arial" w:cs="Arial" w:eastAsia="Arial" w:hAnsi="Arial"/>
          <w:sz w:val="19"/>
          <w:szCs w:val="19"/>
        </w:rPr>
        <w:t xml:space="preserve">Net debt RM14,166m (Jun-26, incl. leases) held flat; 5,667.7m shares. The RM2.35 offer equals ~9.2x FY26E EBITDA today; Kenanga's RM3.48-3.77 equals 11.4-11.9x.</w:t>
      </w:r>
    </w:p>
    <w:p>
      <w:pPr>
        <w:spacing w:after="120" w:line="276"/>
      </w:pPr>
      <w:r>
        <w:rPr>
          <w:rFonts w:ascii="Arial" w:cs="Arial" w:eastAsia="Arial" w:hAnsi="Arial"/>
          <w:b/>
          <w:bCs/>
          <w:sz w:val="19"/>
          <w:szCs w:val="19"/>
        </w:rPr>
        <w:t xml:space="preserve">Our view of a realistic takeout:</w:t>
      </w:r>
      <w:r>
        <w:rPr>
          <w:rFonts w:ascii="Arial" w:cs="Arial" w:eastAsia="Arial" w:hAnsi="Arial"/>
          <w:sz w:val="19"/>
          <w:szCs w:val="19"/>
        </w:rPr>
        <w:t xml:space="preserve"> 8.5-10x FY26E EBITDA, or </w:t>
      </w:r>
      <w:r>
        <w:rPr>
          <w:rFonts w:ascii="Arial" w:cs="Arial" w:eastAsia="Arial" w:hAnsi="Arial"/>
          <w:b/>
          <w:bCs/>
          <w:sz w:val="19"/>
          <w:szCs w:val="19"/>
        </w:rPr>
        <w:t xml:space="preserve">RM1.96-2.75 per share</w:t>
      </w:r>
      <w:r>
        <w:rPr>
          <w:rFonts w:ascii="Arial" w:cs="Arial" w:eastAsia="Arial" w:hAnsi="Arial"/>
          <w:sz w:val="19"/>
          <w:szCs w:val="19"/>
        </w:rPr>
        <w:t xml:space="preserve">. The lapsed RM2.35 is the psychological anchor. A controlling holder under financial strain is likely to bid at the low end, so a minority blocking stake (Section 26) is what moves the price towards the top.</w:t>
      </w:r>
    </w:p>
    <w:p>
      <w:pPr>
        <w:pStyle w:val="Heading2"/>
      </w:pPr>
      <w:r>
        <w:t xml:space="preserve">15.5 Acquisitions and disposals by GENM (last 10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5"/>
        <w:gridCol w:w="3060"/>
        <w:gridCol w:w="1407"/>
        <w:gridCol w:w="2176"/>
        <w:gridCol w:w="2298"/>
      </w:tblGrid>
      <w:tr>
        <w:trPr>
          <w:tblHeader/>
        </w:trPr>
        <w:tc>
          <w:tcPr>
            <w:tcW w:type="dxa" w:w="96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Date</w:t>
            </w:r>
          </w:p>
        </w:tc>
        <w:tc>
          <w:tcPr>
            <w:tcW w:type="dxa" w:w="306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Target / asset</w:t>
            </w:r>
          </w:p>
        </w:tc>
        <w:tc>
          <w:tcPr>
            <w:tcW w:type="dxa" w:w="140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Role</w:t>
            </w:r>
          </w:p>
        </w:tc>
        <w:tc>
          <w:tcPr>
            <w:tcW w:type="dxa" w:w="217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Consideration</w:t>
            </w:r>
          </w:p>
        </w:tc>
        <w:tc>
          <w:tcPr>
            <w:tcW w:type="dxa" w:w="229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Multiple / outcome</w:t>
            </w:r>
          </w:p>
        </w:tc>
      </w:tr>
      <w:tr>
        <w:trPr>
          <w:cantSplit/>
        </w:trPr>
        <w:tc>
          <w:tcPr>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Oct-2016</w:t>
            </w:r>
          </w:p>
        </w:tc>
        <w:tc>
          <w:tcPr>
            <w:tcW w:type="dxa" w:w="3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Genting Hong Kong stake → Golden Hope (Lim family)</w:t>
            </w:r>
          </w:p>
        </w:tc>
        <w:tc>
          <w:tcPr>
            <w:tcW w:type="dxa" w:w="14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Seller (jointly with Genting Bhd)</w:t>
            </w:r>
          </w:p>
        </w:tc>
        <w:tc>
          <w:tcPr>
            <w:tcW w:type="dxa" w:w="21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US$420.8m (joint); GENM gain ~RM1.27bn</w:t>
            </w:r>
          </w:p>
        </w:tc>
        <w:tc>
          <w:tcPr>
            <w:tcW w:type="dxa" w:w="22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Related-party disposal; below GENM's US$604m cost</w:t>
            </w:r>
          </w:p>
        </w:tc>
      </w:tr>
      <w:tr>
        <w:trPr>
          <w:cantSplit/>
        </w:trPr>
        <w:tc>
          <w:tcPr>
            <w:tcW w:type="dxa" w:w="9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2012-2018 (+2025)</w:t>
            </w:r>
          </w:p>
        </w:tc>
        <w:tc>
          <w:tcPr>
            <w:tcW w:type="dxa" w:w="3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Mashpee Wampanoag tribal-casino notes</w:t>
            </w:r>
          </w:p>
        </w:tc>
        <w:tc>
          <w:tcPr>
            <w:tcW w:type="dxa" w:w="14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Lender</w:t>
            </w:r>
          </w:p>
        </w:tc>
        <w:tc>
          <w:tcPr>
            <w:tcW w:type="dxa" w:w="217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US$426m incl. interest</w:t>
            </w:r>
          </w:p>
        </w:tc>
        <w:tc>
          <w:tcPr>
            <w:tcW w:type="dxa" w:w="229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RM1.83bn impairment (2018)</w:t>
            </w:r>
            <w:r>
              <w:rPr>
                <w:rFonts w:ascii="Arial" w:cs="Arial" w:eastAsia="Arial" w:hAnsi="Arial"/>
                <w:b w:val="false"/>
                <w:bCs w:val="false"/>
                <w:color w:val="1A1F2B"/>
                <w:sz w:val="15"/>
                <w:szCs w:val="15"/>
              </w:rPr>
              <w:t xml:space="preserve">; topped up in 2025</w:t>
            </w:r>
          </w:p>
        </w:tc>
      </w:tr>
      <w:tr>
        <w:trPr>
          <w:cantSplit/>
        </w:trPr>
        <w:tc>
          <w:tcPr>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Mar-2019</w:t>
            </w:r>
          </w:p>
        </w:tc>
        <w:tc>
          <w:tcPr>
            <w:tcW w:type="dxa" w:w="3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Coastbright Ltd (Genting UK) → Sonco UK</w:t>
            </w:r>
          </w:p>
        </w:tc>
        <w:tc>
          <w:tcPr>
            <w:tcW w:type="dxa" w:w="14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Seller</w:t>
            </w:r>
          </w:p>
        </w:tc>
        <w:tc>
          <w:tcPr>
            <w:tcW w:type="dxa" w:w="21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£34.6m</w:t>
            </w:r>
          </w:p>
        </w:tc>
        <w:tc>
          <w:tcPr>
            <w:tcW w:type="dxa" w:w="22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n/a</w:t>
            </w:r>
          </w:p>
        </w:tc>
      </w:tr>
      <w:tr>
        <w:trPr>
          <w:cantSplit/>
        </w:trPr>
        <w:tc>
          <w:tcPr>
            <w:tcW w:type="dxa" w:w="9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Aug-Nov 2019</w:t>
            </w:r>
          </w:p>
        </w:tc>
        <w:tc>
          <w:tcPr>
            <w:tcW w:type="dxa" w:w="3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38.36% of Empire Resorts from Kien Huat, then take-private (49% GENM / 51% KH JV) at US$9.74/share</w:t>
            </w:r>
          </w:p>
        </w:tc>
        <w:tc>
          <w:tcPr>
            <w:tcW w:type="dxa" w:w="14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Buyer</w:t>
            </w:r>
          </w:p>
        </w:tc>
        <w:tc>
          <w:tcPr>
            <w:tcW w:type="dxa" w:w="217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US$128.6m (tranche 1); implied equity US$361m; implied EV US$968m</w:t>
            </w:r>
          </w:p>
        </w:tc>
        <w:tc>
          <w:tcPr>
            <w:tcW w:type="dxa" w:w="229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Empire EBITDA negative → n.m.; −12% share price day</w:t>
            </w:r>
          </w:p>
        </w:tc>
      </w:tr>
      <w:tr>
        <w:trPr>
          <w:cantSplit/>
        </w:trPr>
        <w:tc>
          <w:tcPr>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Oct-2019</w:t>
            </w:r>
          </w:p>
        </w:tc>
        <w:tc>
          <w:tcPr>
            <w:tcW w:type="dxa" w:w="3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Authentic Gaming (live casino) from LeoVegas</w:t>
            </w:r>
          </w:p>
        </w:tc>
        <w:tc>
          <w:tcPr>
            <w:tcW w:type="dxa" w:w="14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Buyer (Genting UK)</w:t>
            </w:r>
          </w:p>
        </w:tc>
        <w:tc>
          <w:tcPr>
            <w:tcW w:type="dxa" w:w="21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€15.2m</w:t>
            </w:r>
          </w:p>
        </w:tc>
        <w:tc>
          <w:tcPr>
            <w:tcW w:type="dxa" w:w="22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n/a</w:t>
            </w:r>
          </w:p>
        </w:tc>
      </w:tr>
      <w:tr>
        <w:trPr>
          <w:cantSplit/>
        </w:trPr>
        <w:tc>
          <w:tcPr>
            <w:tcW w:type="dxa" w:w="9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2020-2024</w:t>
            </w:r>
          </w:p>
        </w:tc>
        <w:tc>
          <w:tcPr>
            <w:tcW w:type="dxa" w:w="3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Empire preferred stock (Series G/H/L, F from KH, M)</w:t>
            </w:r>
          </w:p>
        </w:tc>
        <w:tc>
          <w:tcPr>
            <w:tcW w:type="dxa" w:w="14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Investor</w:t>
            </w:r>
          </w:p>
        </w:tc>
        <w:tc>
          <w:tcPr>
            <w:tcW w:type="dxa" w:w="217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~US$390m</w:t>
            </w:r>
          </w:p>
        </w:tc>
        <w:tc>
          <w:tcPr>
            <w:tcW w:type="dxa" w:w="229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Each below the 5% minority-vote threshold</w:t>
            </w:r>
          </w:p>
        </w:tc>
      </w:tr>
      <w:tr>
        <w:trPr>
          <w:cantSplit/>
        </w:trPr>
        <w:tc>
          <w:tcPr>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Jun-2021</w:t>
            </w:r>
          </w:p>
        </w:tc>
        <w:tc>
          <w:tcPr>
            <w:tcW w:type="dxa" w:w="3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Park Lane Mews Hotel + Mayfair units</w:t>
            </w:r>
          </w:p>
        </w:tc>
        <w:tc>
          <w:tcPr>
            <w:tcW w:type="dxa" w:w="14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Seller (Genting UK)</w:t>
            </w:r>
          </w:p>
        </w:tc>
        <w:tc>
          <w:tcPr>
            <w:tcW w:type="dxa" w:w="21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Undisclosed</w:t>
            </w:r>
          </w:p>
        </w:tc>
        <w:tc>
          <w:tcPr>
            <w:tcW w:type="dxa" w:w="22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n/a</w:t>
            </w:r>
          </w:p>
        </w:tc>
      </w:tr>
      <w:tr>
        <w:trPr>
          <w:cantSplit/>
        </w:trPr>
        <w:tc>
          <w:tcPr>
            <w:tcW w:type="dxa" w:w="9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Jun-2023</w:t>
            </w:r>
          </w:p>
        </w:tc>
        <w:tc>
          <w:tcPr>
            <w:tcW w:type="dxa" w:w="3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Miami Omni/Herald land → Smart Miami City</w:t>
            </w:r>
          </w:p>
        </w:tc>
        <w:tc>
          <w:tcPr>
            <w:tcW w:type="dxa" w:w="14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Seller</w:t>
            </w:r>
          </w:p>
        </w:tc>
        <w:tc>
          <w:tcPr>
            <w:tcW w:type="dxa" w:w="217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US$1.225bn (expected gain RM4.29bn)</w:t>
            </w:r>
          </w:p>
        </w:tc>
        <w:tc>
          <w:tcPr>
            <w:tcW w:type="dxa" w:w="229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Collapsed</w:t>
            </w:r>
          </w:p>
        </w:tc>
      </w:tr>
      <w:tr>
        <w:trPr>
          <w:cantSplit/>
        </w:trPr>
        <w:tc>
          <w:tcPr>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Apr-2025</w:t>
            </w:r>
          </w:p>
        </w:tc>
        <w:tc>
          <w:tcPr>
            <w:tcW w:type="dxa" w:w="3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Aspers Stratford casino (UK)</w:t>
            </w:r>
          </w:p>
        </w:tc>
        <w:tc>
          <w:tcPr>
            <w:tcW w:type="dxa" w:w="14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Buyer</w:t>
            </w:r>
          </w:p>
        </w:tc>
        <w:tc>
          <w:tcPr>
            <w:tcW w:type="dxa" w:w="21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£27.8m</w:t>
            </w:r>
          </w:p>
        </w:tc>
        <w:tc>
          <w:tcPr>
            <w:tcW w:type="dxa" w:w="22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n/a</w:t>
            </w:r>
          </w:p>
        </w:tc>
      </w:tr>
      <w:tr>
        <w:trPr>
          <w:cantSplit/>
        </w:trPr>
        <w:tc>
          <w:tcPr>
            <w:tcW w:type="dxa" w:w="9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Apr-2025</w:t>
            </w:r>
          </w:p>
        </w:tc>
        <w:tc>
          <w:tcPr>
            <w:tcW w:type="dxa" w:w="3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20% of Avanti Dynamic Studios (Sweden)</w:t>
            </w:r>
          </w:p>
        </w:tc>
        <w:tc>
          <w:tcPr>
            <w:tcW w:type="dxa" w:w="14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Buyer</w:t>
            </w:r>
          </w:p>
        </w:tc>
        <w:tc>
          <w:tcPr>
            <w:tcW w:type="dxa" w:w="217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SEK38.1m</w:t>
            </w:r>
          </w:p>
        </w:tc>
        <w:tc>
          <w:tcPr>
            <w:tcW w:type="dxa" w:w="229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Associate</w:t>
            </w:r>
          </w:p>
        </w:tc>
      </w:tr>
      <w:tr>
        <w:trPr>
          <w:cantSplit/>
        </w:trPr>
        <w:tc>
          <w:tcPr>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May-2025</w:t>
            </w:r>
          </w:p>
        </w:tc>
        <w:tc>
          <w:tcPr>
            <w:tcW w:type="dxa" w:w="3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Kien Huat's 51% of Genting Empire Resorts LLC (+ US$39.7m loan)</w:t>
            </w:r>
          </w:p>
        </w:tc>
        <w:tc>
          <w:tcPr>
            <w:tcW w:type="dxa" w:w="14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Buyer</w:t>
            </w:r>
          </w:p>
        </w:tc>
        <w:tc>
          <w:tcPr>
            <w:tcW w:type="dxa" w:w="21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US$41.0m (CIQ TV US$161.4m incl. claims [u])</w:t>
            </w:r>
          </w:p>
        </w:tc>
        <w:tc>
          <w:tcPr>
            <w:tcW w:type="dxa" w:w="22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RM129.1m bargain-purchase gain; ~20 Bursa queries</w:t>
            </w:r>
          </w:p>
        </w:tc>
      </w:tr>
      <w:tr>
        <w:trPr>
          <w:cantSplit/>
        </w:trPr>
        <w:tc>
          <w:tcPr>
            <w:tcW w:type="dxa" w:w="9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Aug-2025</w:t>
            </w:r>
          </w:p>
        </w:tc>
        <w:tc>
          <w:tcPr>
            <w:tcW w:type="dxa" w:w="306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RW Catskills non-gaming assets → Sullivan County LDC (sale-leaseback)</w:t>
            </w:r>
          </w:p>
        </w:tc>
        <w:tc>
          <w:tcPr>
            <w:tcW w:type="dxa" w:w="140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Seller</w:t>
            </w:r>
          </w:p>
        </w:tc>
        <w:tc>
          <w:tcPr>
            <w:tcW w:type="dxa" w:w="217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US$525m</w:t>
            </w:r>
          </w:p>
        </w:tc>
        <w:tc>
          <w:tcPr>
            <w:tcW w:type="dxa" w:w="229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Abandoned</w:t>
            </w:r>
          </w:p>
        </w:tc>
      </w:tr>
      <w:tr>
        <w:trPr>
          <w:cantSplit/>
        </w:trPr>
        <w:tc>
          <w:tcPr>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Dec-2025 / Jan-2026</w:t>
            </w:r>
          </w:p>
        </w:tc>
        <w:tc>
          <w:tcPr>
            <w:tcW w:type="dxa" w:w="30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NY downstate commercial casino licence</w:t>
            </w:r>
          </w:p>
        </w:tc>
        <w:tc>
          <w:tcPr>
            <w:tcW w:type="dxa" w:w="14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Licence</w:t>
            </w:r>
          </w:p>
        </w:tc>
        <w:tc>
          <w:tcPr>
            <w:tcW w:type="dxa" w:w="21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US$500m fee</w:t>
            </w:r>
          </w:p>
        </w:tc>
        <w:tc>
          <w:tcPr>
            <w:tcW w:type="dxa" w:w="22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Awarded 15-Dec-2025</w:t>
            </w:r>
          </w:p>
        </w:tc>
      </w:tr>
    </w:tbl>
    <w:p>
      <w:pPr>
        <w:spacing w:after="60"/>
      </w:pPr>
    </w:p>
    <w:p>
      <w:pPr>
        <w:spacing w:after="120" w:line="276"/>
      </w:pPr>
      <w:r>
        <w:rPr>
          <w:rFonts w:ascii="Arial" w:cs="Arial" w:eastAsia="Arial" w:hAnsi="Arial"/>
          <w:b/>
          <w:bCs/>
          <w:sz w:val="19"/>
          <w:szCs w:val="19"/>
        </w:rPr>
        <w:t xml:space="preserve">Assessment:</w:t>
      </w:r>
      <w:r>
        <w:rPr>
          <w:rFonts w:ascii="Arial" w:cs="Arial" w:eastAsia="Arial" w:hAnsi="Arial"/>
          <w:sz w:val="19"/>
          <w:szCs w:val="19"/>
        </w:rPr>
        <w:t xml:space="preserve"> a decade of M&amp;A has been dominated by related-party transactions with the controlling family and by impairments. The NY licence is the only acquisition with a credible path to earning its cost of capital.</w:t>
      </w:r>
    </w:p>
    <w:p>
      <w:r>
        <w:br w:type="page"/>
      </w:r>
    </w:p>
    <w:p>
      <w:pPr>
        <w:pStyle w:val="Heading1"/>
      </w:pPr>
      <w:r>
        <w:t xml:space="preserve">16. Management Assessment</w:t>
      </w:r>
    </w:p>
    <w:p>
      <w:pPr>
        <w:pStyle w:val="Heading2"/>
      </w:pPr>
      <w:r>
        <w:t xml:space="preserve">16.1 Archetype</w:t>
      </w:r>
    </w:p>
    <w:p>
      <w:pPr>
        <w:spacing w:after="120" w:line="276"/>
      </w:pPr>
      <w:r>
        <w:rPr>
          <w:rFonts w:ascii="Arial" w:cs="Arial" w:eastAsia="Arial" w:hAnsi="Arial"/>
          <w:b/>
          <w:bCs/>
          <w:sz w:val="19"/>
          <w:szCs w:val="19"/>
        </w:rPr>
        <w:t xml:space="preserve">A founder-family dynasty with long-serving in-house operators underneath.</w:t>
      </w:r>
      <w:r>
        <w:rPr>
          <w:rFonts w:ascii="Arial" w:cs="Arial" w:eastAsia="Arial" w:hAnsi="Arial"/>
          <w:sz w:val="19"/>
          <w:szCs w:val="19"/>
        </w:rPr>
        <w:t xml:space="preserve"> Tan Sri Lim Kok Thay (LKT) succeeded his father, founder Lim Goh Tong, and his son Lim Keong Hui (LKH) is the third generation. Day-to-day operations sit with career Genting professionals. At the parent, a non-family CEO (Tan Kong Han) took over in Mar-2025 as part of a multi-year succession plan.</w:t>
      </w:r>
    </w:p>
    <w:p>
      <w:pPr>
        <w:spacing w:after="120" w:line="276"/>
      </w:pPr>
      <w:r>
        <w:rPr>
          <w:rFonts w:ascii="Arial" w:cs="Arial" w:eastAsia="Arial" w:hAnsi="Arial"/>
          <w:b/>
          <w:bCs/>
          <w:sz w:val="19"/>
          <w:szCs w:val="19"/>
        </w:rPr>
        <w:t xml:space="preserve">Implication for this stage:</w:t>
      </w:r>
      <w:r>
        <w:rPr>
          <w:rFonts w:ascii="Arial" w:cs="Arial" w:eastAsia="Arial" w:hAnsi="Arial"/>
          <w:sz w:val="19"/>
          <w:szCs w:val="19"/>
        </w:rPr>
        <w:t xml:space="preserve"> the business needs disciplined capital allocation through a US$5.5bn construction cycle and a heavily indebted parent. The family's incentives (control of the Genting complex and cash up-streamed to Genting Bhd) are not aligned with GENM minority holders, who own ~26%.</w:t>
      </w:r>
    </w:p>
    <w:p>
      <w:pPr>
        <w:pStyle w:val="Heading2"/>
      </w:pPr>
      <w:r>
        <w:t xml:space="preserve">16.2 Key executives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1"/>
        <w:gridCol w:w="2335"/>
        <w:gridCol w:w="1801"/>
        <w:gridCol w:w="2335"/>
        <w:gridCol w:w="1994"/>
      </w:tblGrid>
      <w:tr>
        <w:trPr>
          <w:tblHeader/>
        </w:trPr>
        <w:tc>
          <w:tcPr>
            <w:tcW w:type="dxa" w:w="144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Executive</w:t>
            </w:r>
          </w:p>
        </w:tc>
        <w:tc>
          <w:tcPr>
            <w:tcW w:type="dxa" w:w="233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Role</w:t>
            </w:r>
          </w:p>
        </w:tc>
        <w:tc>
          <w:tcPr>
            <w:tcW w:type="dxa" w:w="180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Tenure</w:t>
            </w:r>
          </w:p>
        </w:tc>
        <w:tc>
          <w:tcPr>
            <w:tcW w:type="dxa" w:w="233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Track record</w:t>
            </w:r>
          </w:p>
        </w:tc>
        <w:tc>
          <w:tcPr>
            <w:tcW w:type="dxa" w:w="199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Skin in the game</w:t>
            </w:r>
          </w:p>
        </w:tc>
      </w:tr>
      <w:tr>
        <w:trPr>
          <w:cantSplit/>
        </w:trPr>
        <w:tc>
          <w:tcPr>
            <w:tcW w:type="dxa" w:w="14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Tan Sri Lim Kok Thay</w:t>
            </w:r>
            <w:r>
              <w:rPr>
                <w:rFonts w:ascii="Arial" w:cs="Arial" w:eastAsia="Arial" w:hAnsi="Arial"/>
                <w:b/>
                <w:bCs/>
                <w:color w:val="1A1F2B"/>
                <w:sz w:val="15"/>
                <w:szCs w:val="15"/>
              </w:rPr>
              <w:t xml:space="preserve"> (~75)</w:t>
            </w:r>
          </w:p>
        </w:tc>
        <w:tc>
          <w:tcPr>
            <w:tcW w:type="dxa" w:w="23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Deputy Chairman &amp; Chief Executive, GENM; Executive Chairman, Genting Bhd and Genting Singapore</w:t>
            </w:r>
          </w:p>
        </w:tc>
        <w:tc>
          <w:tcPr>
            <w:tcW w:type="dxa" w:w="18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GENM board since 1988; CEO ~30 years</w:t>
            </w:r>
          </w:p>
        </w:tc>
        <w:tc>
          <w:tcPr>
            <w:tcW w:type="dxa" w:w="23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Built:</w:t>
            </w:r>
            <w:r>
              <w:rPr>
                <w:rFonts w:ascii="Arial" w:cs="Arial" w:eastAsia="Arial" w:hAnsi="Arial"/>
                <w:b w:val="false"/>
                <w:bCs w:val="false"/>
                <w:color w:val="1A1F2B"/>
                <w:sz w:val="15"/>
                <w:szCs w:val="15"/>
              </w:rPr>
              <w:t xml:space="preserve"> Resorts World Sentosa (Singapore IR), NCLH (chaired 2003-15), RWNYC (top US VGM facility, now a full casino), Resorts World Las Vegas (parent). </w:t>
            </w:r>
            <w:r>
              <w:rPr>
                <w:rFonts w:ascii="Arial" w:cs="Arial" w:eastAsia="Arial" w:hAnsi="Arial"/>
                <w:b/>
                <w:bCs/>
                <w:color w:val="1A1F2B"/>
                <w:sz w:val="15"/>
                <w:szCs w:val="15"/>
              </w:rPr>
              <w:t xml:space="preserve">Value-destructive:</w:t>
            </w:r>
            <w:r>
              <w:rPr>
                <w:rFonts w:ascii="Arial" w:cs="Arial" w:eastAsia="Arial" w:hAnsi="Arial"/>
                <w:b w:val="false"/>
                <w:bCs w:val="false"/>
                <w:color w:val="1A1F2B"/>
                <w:sz w:val="15"/>
                <w:szCs w:val="15"/>
              </w:rPr>
              <w:t xml:space="preserve"> Genting Hong Kong (collapsed 2022), Mashpee notes (RM1.83bn impairment, 2018), Fox World theme park dispute, Empire Resorts (~US$765m invested; still loss-making), Bimini, collapsed Miami sale</w:t>
            </w:r>
          </w:p>
        </w:tc>
        <w:tc>
          <w:tcPr>
            <w:tcW w:type="dxa" w:w="19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Deemed </w:t>
            </w:r>
            <w:r>
              <w:rPr>
                <w:rFonts w:ascii="Arial" w:cs="Arial" w:eastAsia="Arial" w:hAnsi="Arial"/>
                <w:b/>
                <w:bCs/>
                <w:color w:val="1A1F2B"/>
                <w:sz w:val="15"/>
                <w:szCs w:val="15"/>
              </w:rPr>
              <w:t xml:space="preserve">73.86%</w:t>
            </w:r>
            <w:r>
              <w:rPr>
                <w:rFonts w:ascii="Arial" w:cs="Arial" w:eastAsia="Arial" w:hAnsi="Arial"/>
                <w:b w:val="false"/>
                <w:bCs w:val="false"/>
                <w:color w:val="1A1F2B"/>
                <w:sz w:val="15"/>
                <w:szCs w:val="15"/>
              </w:rPr>
              <w:t xml:space="preserve"> via the Lim family trust (Kien Huat); no material direct holding. GENM pay RM54.7m (FY25), plus ~RM54.0m reported by Genting Bhd [u overlap]</w:t>
            </w:r>
          </w:p>
        </w:tc>
      </w:tr>
      <w:tr>
        <w:trPr>
          <w:cantSplit/>
        </w:trPr>
        <w:tc>
          <w:tcPr>
            <w:tcW w:type="dxa" w:w="144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Dato' Indera Lim Keong Hui</w:t>
            </w:r>
          </w:p>
        </w:tc>
        <w:tc>
          <w:tcPr>
            <w:tcW w:type="dxa" w:w="23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Deputy Chief Executive &amp; ED (GENM and Genting Bhd); CEO of Genting Plantations since Mar-2025</w:t>
            </w:r>
          </w:p>
        </w:tc>
        <w:tc>
          <w:tcPr>
            <w:tcW w:type="dxa" w:w="18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GENM board since 2012</w:t>
            </w:r>
          </w:p>
        </w:tc>
        <w:tc>
          <w:tcPr>
            <w:tcW w:type="dxa" w:w="23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HSBC investment banking; Genting HK Deputy CEO 2013-20</w:t>
            </w:r>
          </w:p>
        </w:tc>
        <w:tc>
          <w:tcPr>
            <w:tcW w:type="dxa" w:w="199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Deemed 73.86%; substantial interests in Zouk-related companies that supply GENM (related-party). GENM pay RM12.3m (FY25)</w:t>
            </w:r>
          </w:p>
        </w:tc>
      </w:tr>
      <w:tr>
        <w:trPr>
          <w:cantSplit/>
        </w:trPr>
        <w:tc>
          <w:tcPr>
            <w:tcW w:type="dxa" w:w="14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Lee Thiam Kit</w:t>
            </w:r>
            <w:r>
              <w:rPr>
                <w:rFonts w:ascii="Arial" w:cs="Arial" w:eastAsia="Arial" w:hAnsi="Arial"/>
                <w:b/>
                <w:bCs/>
                <w:color w:val="1A1F2B"/>
                <w:sz w:val="15"/>
                <w:szCs w:val="15"/>
              </w:rPr>
              <w:t xml:space="preserve"> (56)</w:t>
            </w:r>
          </w:p>
        </w:tc>
        <w:tc>
          <w:tcPr>
            <w:tcW w:type="dxa" w:w="23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President (since 1-Mar-2026)</w:t>
            </w:r>
          </w:p>
        </w:tc>
        <w:tc>
          <w:tcPr>
            <w:tcW w:type="dxa" w:w="18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Genting since 2004; RWG President &amp; COO 2023-24</w:t>
            </w:r>
          </w:p>
        </w:tc>
        <w:tc>
          <w:tcPr>
            <w:tcW w:type="dxa" w:w="23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Career RWG operator</w:t>
            </w:r>
          </w:p>
        </w:tc>
        <w:tc>
          <w:tcPr>
            <w:tcW w:type="dxa" w:w="19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Not disclosed</w:t>
            </w:r>
          </w:p>
        </w:tc>
      </w:tr>
      <w:tr>
        <w:trPr>
          <w:cantSplit/>
        </w:trPr>
        <w:tc>
          <w:tcPr>
            <w:tcW w:type="dxa" w:w="144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Loh Wai Yee</w:t>
            </w:r>
            <w:r>
              <w:rPr>
                <w:rFonts w:ascii="Arial" w:cs="Arial" w:eastAsia="Arial" w:hAnsi="Arial"/>
                <w:b/>
                <w:bCs/>
                <w:color w:val="1A1F2B"/>
                <w:sz w:val="15"/>
                <w:szCs w:val="15"/>
              </w:rPr>
              <w:t xml:space="preserve"> (53)</w:t>
            </w:r>
          </w:p>
        </w:tc>
        <w:tc>
          <w:tcPr>
            <w:tcW w:type="dxa" w:w="23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CFO (since 1-Apr-2025)</w:t>
            </w:r>
          </w:p>
        </w:tc>
        <w:tc>
          <w:tcPr>
            <w:tcW w:type="dxa" w:w="18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Joined Jun-2023</w:t>
            </w:r>
          </w:p>
        </w:tc>
        <w:tc>
          <w:tcPr>
            <w:tcW w:type="dxa" w:w="23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Tenaga Nasional, Khazanah investments, PwC</w:t>
            </w:r>
          </w:p>
        </w:tc>
        <w:tc>
          <w:tcPr>
            <w:tcW w:type="dxa" w:w="199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Not disclosed</w:t>
            </w:r>
          </w:p>
        </w:tc>
      </w:tr>
      <w:tr>
        <w:trPr>
          <w:cantSplit/>
        </w:trPr>
        <w:tc>
          <w:tcPr>
            <w:tcW w:type="dxa" w:w="14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Robert DeSalvio</w:t>
            </w:r>
          </w:p>
        </w:tc>
        <w:tc>
          <w:tcPr>
            <w:tcW w:type="dxa" w:w="23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President, Genting Americas East (RWNYC, Empire)</w:t>
            </w:r>
          </w:p>
        </w:tc>
        <w:tc>
          <w:tcPr>
            <w:tcW w:type="dxa" w:w="18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Long-serving RWNYC head [u]</w:t>
            </w:r>
          </w:p>
        </w:tc>
        <w:tc>
          <w:tcPr>
            <w:tcW w:type="dxa" w:w="23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Delivered NYC licence and table-games launch</w:t>
            </w:r>
          </w:p>
        </w:tc>
        <w:tc>
          <w:tcPr>
            <w:tcW w:type="dxa" w:w="19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Not disclosed</w:t>
            </w:r>
          </w:p>
        </w:tc>
      </w:tr>
      <w:tr>
        <w:trPr>
          <w:cantSplit/>
        </w:trPr>
        <w:tc>
          <w:tcPr>
            <w:tcW w:type="dxa" w:w="144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Paul Willcock</w:t>
            </w:r>
          </w:p>
        </w:tc>
        <w:tc>
          <w:tcPr>
            <w:tcW w:type="dxa" w:w="23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President &amp; COO, Genting UK</w:t>
            </w:r>
          </w:p>
        </w:tc>
        <w:tc>
          <w:tcPr>
            <w:tcW w:type="dxa" w:w="180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n/d</w:t>
            </w:r>
          </w:p>
        </w:tc>
        <w:tc>
          <w:tcPr>
            <w:tcW w:type="dxa" w:w="233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Crockfords Mayfair closure (2023); Stratford acquisition</w:t>
            </w:r>
          </w:p>
        </w:tc>
        <w:tc>
          <w:tcPr>
            <w:tcW w:type="dxa" w:w="199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Not disclosed</w:t>
            </w:r>
          </w:p>
        </w:tc>
      </w:tr>
      <w:tr>
        <w:trPr>
          <w:cantSplit/>
        </w:trPr>
        <w:tc>
          <w:tcPr>
            <w:tcW w:type="dxa" w:w="14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Dato' Sri Lee Choong Yan (65)</w:t>
            </w:r>
          </w:p>
        </w:tc>
        <w:tc>
          <w:tcPr>
            <w:tcW w:type="dxa" w:w="23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Former President &amp; COO (2006-Feb-26); now non-executive director</w:t>
            </w:r>
          </w:p>
        </w:tc>
        <w:tc>
          <w:tcPr>
            <w:tcW w:type="dxa" w:w="18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Group since 1997</w:t>
            </w:r>
          </w:p>
        </w:tc>
        <w:tc>
          <w:tcPr>
            <w:tcW w:type="dxa" w:w="23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Ran UK, US and Bahamas</w:t>
            </w:r>
          </w:p>
        </w:tc>
        <w:tc>
          <w:tcPr>
            <w:tcW w:type="dxa" w:w="19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Spouse holds 2.0m shares (0.035%)</w:t>
            </w:r>
          </w:p>
        </w:tc>
      </w:tr>
    </w:tbl>
    <w:p>
      <w:pPr>
        <w:spacing w:after="60"/>
      </w:pPr>
    </w:p>
    <w:p>
      <w:pPr>
        <w:pStyle w:val="Heading2"/>
      </w:pPr>
      <w:r>
        <w:t xml:space="preserve">16.3 Capital allocation and returns under current management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4"/>
        <w:gridCol w:w="950"/>
        <w:gridCol w:w="2079"/>
        <w:gridCol w:w="1544"/>
        <w:gridCol w:w="2358"/>
        <w:gridCol w:w="2211"/>
      </w:tblGrid>
      <w:tr>
        <w:trPr>
          <w:tblHeader/>
        </w:trPr>
        <w:tc>
          <w:tcPr>
            <w:tcW w:type="dxa" w:w="76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FY</w:t>
            </w:r>
          </w:p>
        </w:tc>
        <w:tc>
          <w:tcPr>
            <w:tcW w:type="dxa" w:w="95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ROE</w:t>
            </w:r>
          </w:p>
        </w:tc>
        <w:tc>
          <w:tcPr>
            <w:tcW w:type="dxa" w:w="207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Return on capital</w:t>
            </w:r>
          </w:p>
        </w:tc>
        <w:tc>
          <w:tcPr>
            <w:tcW w:type="dxa" w:w="154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Capex (RM m)</w:t>
            </w:r>
          </w:p>
        </w:tc>
        <w:tc>
          <w:tcPr>
            <w:tcW w:type="dxa" w:w="235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Dividends paid (RM m)</w:t>
            </w:r>
          </w:p>
        </w:tc>
        <w:tc>
          <w:tcPr>
            <w:tcW w:type="dxa" w:w="221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Total debt (RM m)</w:t>
            </w:r>
          </w:p>
        </w:tc>
      </w:tr>
      <w:tr>
        <w:trPr>
          <w:cantSplit/>
        </w:trPr>
        <w:tc>
          <w:tcPr>
            <w:tcW w:type="dxa" w:w="7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2015</w:t>
            </w:r>
          </w:p>
        </w:tc>
        <w:tc>
          <w:tcPr>
            <w:tcW w:type="dxa" w:w="9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7.0%</w:t>
            </w:r>
          </w:p>
        </w:tc>
        <w:tc>
          <w:tcPr>
            <w:tcW w:type="dxa" w:w="20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3.7%</w:t>
            </w:r>
          </w:p>
        </w:tc>
        <w:tc>
          <w:tcPr>
            <w:tcW w:type="dxa" w:w="15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2,531</w:t>
            </w:r>
          </w:p>
        </w:tc>
        <w:tc>
          <w:tcPr>
            <w:tcW w:type="dxa" w:w="23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357</w:t>
            </w:r>
          </w:p>
        </w:tc>
        <w:tc>
          <w:tcPr>
            <w:tcW w:type="dxa" w:w="221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4,630</w:t>
            </w:r>
          </w:p>
        </w:tc>
      </w:tr>
      <w:tr>
        <w:trPr>
          <w:cantSplit/>
        </w:trPr>
        <w:tc>
          <w:tcPr>
            <w:tcW w:type="dxa" w:w="7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2017</w:t>
            </w:r>
          </w:p>
        </w:tc>
        <w:tc>
          <w:tcPr>
            <w:tcW w:type="dxa" w:w="95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5.5%</w:t>
            </w:r>
          </w:p>
        </w:tc>
        <w:tc>
          <w:tcPr>
            <w:tcW w:type="dxa" w:w="207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4.6%</w:t>
            </w:r>
          </w:p>
        </w:tc>
        <w:tc>
          <w:tcPr>
            <w:tcW w:type="dxa" w:w="154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2,659</w:t>
            </w:r>
          </w:p>
        </w:tc>
        <w:tc>
          <w:tcPr>
            <w:tcW w:type="dxa" w:w="23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578</w:t>
            </w:r>
          </w:p>
        </w:tc>
        <w:tc>
          <w:tcPr>
            <w:tcW w:type="dxa" w:w="221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6,974</w:t>
            </w:r>
          </w:p>
        </w:tc>
      </w:tr>
      <w:tr>
        <w:trPr>
          <w:cantSplit/>
        </w:trPr>
        <w:tc>
          <w:tcPr>
            <w:tcW w:type="dxa" w:w="7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2019</w:t>
            </w:r>
          </w:p>
        </w:tc>
        <w:tc>
          <w:tcPr>
            <w:tcW w:type="dxa" w:w="9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7.4%</w:t>
            </w:r>
          </w:p>
        </w:tc>
        <w:tc>
          <w:tcPr>
            <w:tcW w:type="dxa" w:w="20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4.8%</w:t>
            </w:r>
          </w:p>
        </w:tc>
        <w:tc>
          <w:tcPr>
            <w:tcW w:type="dxa" w:w="15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2,518</w:t>
            </w:r>
          </w:p>
        </w:tc>
        <w:tc>
          <w:tcPr>
            <w:tcW w:type="dxa" w:w="23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622</w:t>
            </w:r>
          </w:p>
        </w:tc>
        <w:tc>
          <w:tcPr>
            <w:tcW w:type="dxa" w:w="221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10,882</w:t>
            </w:r>
          </w:p>
        </w:tc>
      </w:tr>
      <w:tr>
        <w:trPr>
          <w:cantSplit/>
        </w:trPr>
        <w:tc>
          <w:tcPr>
            <w:tcW w:type="dxa" w:w="7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2021</w:t>
            </w:r>
          </w:p>
        </w:tc>
        <w:tc>
          <w:tcPr>
            <w:tcW w:type="dxa" w:w="95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(7.6%)</w:t>
            </w:r>
          </w:p>
        </w:tc>
        <w:tc>
          <w:tcPr>
            <w:tcW w:type="dxa" w:w="207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(2.0%)</w:t>
            </w:r>
          </w:p>
        </w:tc>
        <w:tc>
          <w:tcPr>
            <w:tcW w:type="dxa" w:w="154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865</w:t>
            </w:r>
          </w:p>
        </w:tc>
        <w:tc>
          <w:tcPr>
            <w:tcW w:type="dxa" w:w="23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480</w:t>
            </w:r>
          </w:p>
        </w:tc>
        <w:tc>
          <w:tcPr>
            <w:tcW w:type="dxa" w:w="221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13,788</w:t>
            </w:r>
          </w:p>
        </w:tc>
      </w:tr>
      <w:tr>
        <w:trPr>
          <w:cantSplit/>
        </w:trPr>
        <w:tc>
          <w:tcPr>
            <w:tcW w:type="dxa" w:w="7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2023</w:t>
            </w:r>
          </w:p>
        </w:tc>
        <w:tc>
          <w:tcPr>
            <w:tcW w:type="dxa" w:w="9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3.0%</w:t>
            </w:r>
          </w:p>
        </w:tc>
        <w:tc>
          <w:tcPr>
            <w:tcW w:type="dxa" w:w="20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5.9%</w:t>
            </w:r>
          </w:p>
        </w:tc>
        <w:tc>
          <w:tcPr>
            <w:tcW w:type="dxa" w:w="15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696</w:t>
            </w:r>
          </w:p>
        </w:tc>
        <w:tc>
          <w:tcPr>
            <w:tcW w:type="dxa" w:w="23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850</w:t>
            </w:r>
          </w:p>
        </w:tc>
        <w:tc>
          <w:tcPr>
            <w:tcW w:type="dxa" w:w="221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13,001</w:t>
            </w:r>
          </w:p>
        </w:tc>
      </w:tr>
      <w:tr>
        <w:trPr>
          <w:cantSplit/>
        </w:trPr>
        <w:tc>
          <w:tcPr>
            <w:tcW w:type="dxa" w:w="7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2024</w:t>
            </w:r>
          </w:p>
        </w:tc>
        <w:tc>
          <w:tcPr>
            <w:tcW w:type="dxa" w:w="95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1.4%</w:t>
            </w:r>
          </w:p>
        </w:tc>
        <w:tc>
          <w:tcPr>
            <w:tcW w:type="dxa" w:w="207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5.3%</w:t>
            </w:r>
          </w:p>
        </w:tc>
        <w:tc>
          <w:tcPr>
            <w:tcW w:type="dxa" w:w="154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567</w:t>
            </w:r>
          </w:p>
        </w:tc>
        <w:tc>
          <w:tcPr>
            <w:tcW w:type="dxa" w:w="23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850</w:t>
            </w:r>
          </w:p>
        </w:tc>
        <w:tc>
          <w:tcPr>
            <w:tcW w:type="dxa" w:w="221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13,323</w:t>
            </w:r>
          </w:p>
        </w:tc>
      </w:tr>
      <w:tr>
        <w:trPr>
          <w:cantSplit/>
        </w:trPr>
        <w:tc>
          <w:tcPr>
            <w:tcW w:type="dxa" w:w="7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2025</w:t>
            </w:r>
          </w:p>
        </w:tc>
        <w:tc>
          <w:tcPr>
            <w:tcW w:type="dxa" w:w="9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6.2%</w:t>
            </w:r>
          </w:p>
        </w:tc>
        <w:tc>
          <w:tcPr>
            <w:tcW w:type="dxa" w:w="20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6.1%</w:t>
            </w:r>
          </w:p>
        </w:tc>
        <w:tc>
          <w:tcPr>
            <w:tcW w:type="dxa" w:w="15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908</w:t>
            </w:r>
          </w:p>
        </w:tc>
        <w:tc>
          <w:tcPr>
            <w:tcW w:type="dxa" w:w="23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227</w:t>
            </w:r>
          </w:p>
        </w:tc>
        <w:tc>
          <w:tcPr>
            <w:tcW w:type="dxa" w:w="221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14,219</w:t>
            </w:r>
          </w:p>
        </w:tc>
      </w:tr>
    </w:tbl>
    <w:p>
      <w:pPr>
        <w:spacing w:after="60"/>
      </w:pPr>
    </w:p>
    <w:p>
      <w:pPr>
        <w:spacing w:after="160"/>
      </w:pPr>
      <w:r>
        <w:rPr>
          <w:rFonts w:ascii="Arial" w:cs="Arial" w:eastAsia="Arial" w:hAnsi="Arial"/>
          <w:i/>
          <w:iCs/>
          <w:color w:val="5A6270"/>
          <w:sz w:val="14"/>
          <w:szCs w:val="14"/>
        </w:rPr>
        <w:t xml:space="preserve">Source: S&amp;P Capital IQ. Over FY2015-25, average ROE was ~1.6% and return on capital ~3.6% [e], </w:t>
      </w:r>
      <w:r>
        <w:rPr>
          <w:rFonts w:ascii="Arial" w:cs="Arial" w:eastAsia="Arial" w:hAnsi="Arial"/>
          <w:b/>
          <w:bCs/>
          <w:i/>
          <w:iCs/>
          <w:color w:val="5A6270"/>
          <w:sz w:val="14"/>
          <w:szCs w:val="14"/>
        </w:rPr>
        <w:t xml:space="preserve">below any plausible cost of capital</w:t>
      </w:r>
      <w:r>
        <w:rPr>
          <w:rFonts w:ascii="Arial" w:cs="Arial" w:eastAsia="Arial" w:hAnsi="Arial"/>
          <w:i/>
          <w:iCs/>
          <w:color w:val="5A6270"/>
          <w:sz w:val="14"/>
          <w:szCs w:val="14"/>
        </w:rPr>
        <w:t xml:space="preserve"> (8-10% for a casino operator). Equity attributable fell from RM19.7bn (FY16) to RM11.6bn (FY25) while debt rose ~3x. Dividends paid since 2015 (≥RM5.5bn) exceed cumulative attributable profit (RM4.4bn): dividends were effectively debt-funded in FY23-24 (payout 195-226%).</w:t>
      </w:r>
    </w:p>
    <w:p>
      <w:pPr>
        <w:spacing w:after="120" w:line="276"/>
      </w:pPr>
      <w:r>
        <w:rPr>
          <w:rFonts w:ascii="Arial" w:cs="Arial" w:eastAsia="Arial" w:hAnsi="Arial"/>
          <w:b/>
          <w:bCs/>
          <w:sz w:val="19"/>
          <w:szCs w:val="19"/>
        </w:rPr>
        <w:t xml:space="preserve">Verdict on capital allocation: poor.</w:t>
      </w:r>
      <w:r>
        <w:rPr>
          <w:rFonts w:ascii="Arial" w:cs="Arial" w:eastAsia="Arial" w:hAnsi="Arial"/>
          <w:sz w:val="19"/>
          <w:szCs w:val="19"/>
        </w:rPr>
        <w:t xml:space="preserve"> The core Malaysian reinvestment (GITP, RM10.4bn) delivered volume but low incremental returns. The international expansion has been the main value destroyer: Mashpee, Empire, Bimini, the Fox World dispute, the UK and Miami. Several deals have been with, or have benefited, the controlling family. The NY downstate licence is the first large bet that could earn its cost of capital, but it is being funded at a time of peak leverage at both GENM and its parent.</w:t>
      </w:r>
    </w:p>
    <w:p>
      <w:pPr>
        <w:pStyle w:val="Heading2"/>
      </w:pPr>
      <w:r>
        <w:t xml:space="preserve">16.4 Red flags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3"/>
        <w:gridCol w:w="3685"/>
        <w:gridCol w:w="5538"/>
      </w:tblGrid>
      <w:tr>
        <w:trPr>
          <w:tblHeader/>
        </w:trPr>
        <w:tc>
          <w:tcPr>
            <w:tcW w:type="dxa" w:w="68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w:t>
            </w:r>
          </w:p>
        </w:tc>
        <w:tc>
          <w:tcPr>
            <w:tcW w:type="dxa" w:w="368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Red flag</w:t>
            </w:r>
          </w:p>
        </w:tc>
        <w:tc>
          <w:tcPr>
            <w:tcW w:type="dxa" w:w="553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Evidence</w:t>
            </w:r>
          </w:p>
        </w:tc>
      </w:tr>
      <w:tr>
        <w:trPr>
          <w:cantSplit/>
        </w:trPr>
        <w:tc>
          <w:tcPr>
            <w:tcW w:type="dxa" w:w="68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w:t>
            </w:r>
          </w:p>
        </w:tc>
        <w:tc>
          <w:tcPr>
            <w:tcW w:type="dxa" w:w="3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Fee leakage to the parent</w:t>
            </w:r>
          </w:p>
        </w:tc>
        <w:tc>
          <w:tcPr>
            <w:tcW w:type="dxa" w:w="553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FY25 related-party fees ~</w:t>
            </w:r>
            <w:r>
              <w:rPr>
                <w:rFonts w:ascii="Arial" w:cs="Arial" w:eastAsia="Arial" w:hAnsi="Arial"/>
                <w:b/>
                <w:bCs/>
                <w:color w:val="1A1F2B"/>
                <w:sz w:val="15"/>
                <w:szCs w:val="15"/>
              </w:rPr>
              <w:t xml:space="preserve">RM848m</w:t>
            </w:r>
            <w:r>
              <w:rPr>
                <w:rFonts w:ascii="Arial" w:cs="Arial" w:eastAsia="Arial" w:hAnsi="Arial"/>
                <w:b w:val="false"/>
                <w:bCs w:val="false"/>
                <w:color w:val="1A1F2B"/>
                <w:sz w:val="15"/>
                <w:szCs w:val="15"/>
              </w:rPr>
              <w:t xml:space="preserve"> (technical know-how &amp; management fee RM497.8m; brand licence RM233.0m; RWI US/Bahamas IP RM90.2m; software/support RM16.1m; other RM11.2m) = ~7% of revenue, 26% of adj. EBITDA, ~112% of FY25 net income [e]</w:t>
            </w:r>
          </w:p>
        </w:tc>
      </w:tr>
      <w:tr>
        <w:trPr>
          <w:cantSplit/>
        </w:trPr>
        <w:tc>
          <w:tcPr>
            <w:tcW w:type="dxa" w:w="68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w:t>
            </w:r>
          </w:p>
        </w:tc>
        <w:tc>
          <w:tcPr>
            <w:tcW w:type="dxa" w:w="3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Serial related-party deals with Kien Huat</w:t>
            </w:r>
          </w:p>
        </w:tc>
        <w:tc>
          <w:tcPr>
            <w:tcW w:type="dxa" w:w="553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Empire Resorts transactions in 2019, 2020, 2022, 2024 and 2025, each sized below the 5% threshold that would require a minority vote; May-2025 buyout of KH's 51% of GERL for US$41m booked a RM129.1m "bargain" gain and drew ~20 Bursa queries</w:t>
            </w:r>
          </w:p>
        </w:tc>
      </w:tr>
      <w:tr>
        <w:trPr>
          <w:cantSplit/>
        </w:trPr>
        <w:tc>
          <w:tcPr>
            <w:tcW w:type="dxa" w:w="68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3</w:t>
            </w:r>
          </w:p>
        </w:tc>
        <w:tc>
          <w:tcPr>
            <w:tcW w:type="dxa" w:w="3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Executive pay</w:t>
            </w:r>
          </w:p>
        </w:tc>
        <w:tc>
          <w:tcPr>
            <w:tcW w:type="dxa" w:w="553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LKT RM54.7m (GENM FY25), RM93.5m in loss-making FY2018; board pay RM80.2m = 10.6% of FY25 net income; LKT pay "similar to his father's" by design</w:t>
            </w:r>
          </w:p>
        </w:tc>
      </w:tr>
      <w:tr>
        <w:trPr>
          <w:cantSplit/>
        </w:trPr>
        <w:tc>
          <w:tcPr>
            <w:tcW w:type="dxa" w:w="68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4</w:t>
            </w:r>
          </w:p>
        </w:tc>
        <w:tc>
          <w:tcPr>
            <w:tcW w:type="dxa" w:w="3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Other family-linked suppliers</w:t>
            </w:r>
          </w:p>
        </w:tc>
        <w:tc>
          <w:tcPr>
            <w:tcW w:type="dxa" w:w="553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Zouk IP/management (LKH interests); HanBurger, Sky Pie (director-connected); Warisan Timah rental (LKT's brother)</w:t>
            </w:r>
          </w:p>
        </w:tc>
      </w:tr>
      <w:tr>
        <w:trPr>
          <w:cantSplit/>
        </w:trPr>
        <w:tc>
          <w:tcPr>
            <w:tcW w:type="dxa" w:w="68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5</w:t>
            </w:r>
          </w:p>
        </w:tc>
        <w:tc>
          <w:tcPr>
            <w:tcW w:type="dxa" w:w="3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Board independence</w:t>
            </w:r>
          </w:p>
        </w:tc>
        <w:tc>
          <w:tcPr>
            <w:tcW w:type="dxa" w:w="553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3 of 8 independent (37.5%), below MCCG's majority for large companies; three long-serving independents redesignated non-independent instead of retiring; non-independent chairman with 21 years' tenure</w:t>
            </w:r>
          </w:p>
        </w:tc>
      </w:tr>
      <w:tr>
        <w:trPr>
          <w:cantSplit/>
        </w:trPr>
        <w:tc>
          <w:tcPr>
            <w:tcW w:type="dxa" w:w="68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6</w:t>
            </w:r>
          </w:p>
        </w:tc>
        <w:tc>
          <w:tcPr>
            <w:tcW w:type="dxa" w:w="3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Offer timing</w:t>
            </w:r>
          </w:p>
        </w:tc>
        <w:tc>
          <w:tcPr>
            <w:tcW w:type="dxa" w:w="553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Interim dividend skipped (Aug-25) two months before the parent's RM2.35 offer (~1.15x book), which the independent adviser called "not fair and not reasonable" (SOTP RM3.48-3.77); parent then bought on-market at ~RM1.97</w:t>
            </w:r>
          </w:p>
        </w:tc>
      </w:tr>
      <w:tr>
        <w:trPr>
          <w:cantSplit/>
        </w:trPr>
        <w:tc>
          <w:tcPr>
            <w:tcW w:type="dxa" w:w="68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7</w:t>
            </w:r>
          </w:p>
        </w:tc>
        <w:tc>
          <w:tcPr>
            <w:tcW w:type="dxa" w:w="36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Strategy pivots</w:t>
            </w:r>
          </w:p>
        </w:tc>
        <w:tc>
          <w:tcPr>
            <w:tcW w:type="dxa" w:w="553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Theme-park IP (Fox → generic), Empire (associate → loan → preferred → 100%), Miami (develop → sell → re-market), NY online betting (entered 2022, exited 2025), Catskills sale-leaseback (announced Aug-25, abandoned)</w:t>
            </w:r>
          </w:p>
        </w:tc>
      </w:tr>
      <w:tr>
        <w:trPr>
          <w:cantSplit/>
        </w:trPr>
        <w:tc>
          <w:tcPr>
            <w:tcW w:type="dxa" w:w="68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8</w:t>
            </w:r>
          </w:p>
        </w:tc>
        <w:tc>
          <w:tcPr>
            <w:tcW w:type="dxa" w:w="368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Promotional behaviour</w:t>
            </w:r>
          </w:p>
        </w:tc>
        <w:tc>
          <w:tcPr>
            <w:tcW w:type="dxa" w:w="553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Limited; management is not promotional, but disclosure is thin (no VIP/mass split, no hold-adjusted numbers, no NY project IRR)</w:t>
            </w:r>
          </w:p>
        </w:tc>
      </w:tr>
    </w:tbl>
    <w:p>
      <w:pPr>
        <w:spacing w:after="60"/>
      </w:pPr>
    </w:p>
    <w:p>
      <w:pPr>
        <w:pStyle w:val="Heading2"/>
      </w:pPr>
      <w:r>
        <w:t xml:space="preserve">16.5 Recent senior management changes</w:t>
      </w:r>
    </w:p>
    <w:p>
      <w:pPr>
        <w:pStyle w:val="ListParagraph"/>
        <w:numPr>
          <w:ilvl w:val="0"/>
          <w:numId w:val="3"/>
        </w:numPr>
        <w:spacing w:after="60" w:line="264"/>
      </w:pPr>
      <w:r>
        <w:rPr>
          <w:rFonts w:ascii="Arial" w:cs="Arial" w:eastAsia="Arial" w:hAnsi="Arial"/>
          <w:sz w:val="19"/>
          <w:szCs w:val="19"/>
        </w:rPr>
        <w:t xml:space="preserve">Mar-2025: LKT hands the Genting Bhd CEO role to Tan Kong Han; LKH becomes CEO of Genting Plantations; Lee Thiam Kit becomes GENM Deputy President.</w:t>
      </w:r>
    </w:p>
    <w:p>
      <w:pPr>
        <w:pStyle w:val="ListParagraph"/>
        <w:numPr>
          <w:ilvl w:val="0"/>
          <w:numId w:val="3"/>
        </w:numPr>
        <w:spacing w:after="60" w:line="264"/>
      </w:pPr>
      <w:r>
        <w:rPr>
          <w:rFonts w:ascii="Arial" w:cs="Arial" w:eastAsia="Arial" w:hAnsi="Arial"/>
          <w:sz w:val="19"/>
          <w:szCs w:val="19"/>
        </w:rPr>
        <w:t xml:space="preserve">Apr-2025: CFO Koh Poy Yong (CFO since 2010) retires; Loh Wai Yee appointed.</w:t>
      </w:r>
    </w:p>
    <w:p>
      <w:pPr>
        <w:pStyle w:val="ListParagraph"/>
        <w:numPr>
          <w:ilvl w:val="0"/>
          <w:numId w:val="3"/>
        </w:numPr>
        <w:spacing w:after="60" w:line="264"/>
      </w:pPr>
      <w:r>
        <w:rPr>
          <w:rFonts w:ascii="Arial" w:cs="Arial" w:eastAsia="Arial" w:hAnsi="Arial"/>
          <w:sz w:val="19"/>
          <w:szCs w:val="19"/>
        </w:rPr>
        <w:t xml:space="preserve">Dec-2025: Chief Corporate Development Officer Andrew Tan retires.</w:t>
      </w:r>
    </w:p>
    <w:p>
      <w:pPr>
        <w:pStyle w:val="ListParagraph"/>
        <w:numPr>
          <w:ilvl w:val="0"/>
          <w:numId w:val="3"/>
        </w:numPr>
        <w:spacing w:after="60" w:line="264"/>
      </w:pPr>
      <w:r>
        <w:rPr>
          <w:rFonts w:ascii="Arial" w:cs="Arial" w:eastAsia="Arial" w:hAnsi="Arial"/>
          <w:b/>
          <w:bCs/>
          <w:sz w:val="19"/>
          <w:szCs w:val="19"/>
        </w:rPr>
        <w:t xml:space="preserve">Mar-2026: President &amp; COO Lee Choong Yan steps down</w:t>
      </w:r>
      <w:r>
        <w:rPr>
          <w:rFonts w:ascii="Arial" w:cs="Arial" w:eastAsia="Arial" w:hAnsi="Arial"/>
          <w:sz w:val="19"/>
          <w:szCs w:val="19"/>
        </w:rPr>
        <w:t xml:space="preserve"> (no succession rationale given); Lee Thiam Kit appointed President.</w:t>
      </w:r>
    </w:p>
    <w:p>
      <w:pPr>
        <w:pStyle w:val="ListParagraph"/>
        <w:numPr>
          <w:ilvl w:val="0"/>
          <w:numId w:val="3"/>
        </w:numPr>
        <w:spacing w:after="60" w:line="264"/>
      </w:pPr>
      <w:r>
        <w:rPr>
          <w:rFonts w:ascii="Arial" w:cs="Arial" w:eastAsia="Arial" w:hAnsi="Arial"/>
          <w:sz w:val="19"/>
          <w:szCs w:val="19"/>
        </w:rPr>
        <w:t xml:space="preserve">May-2026: Lee Choong Yan becomes a non-executive director and joins the Remuneration Committee.</w:t>
      </w:r>
    </w:p>
    <w:p>
      <w:r>
        <w:br w:type="page"/>
      </w:r>
    </w:p>
    <w:p>
      <w:pPr>
        <w:pStyle w:val="Heading1"/>
      </w:pPr>
      <w:r>
        <w:t xml:space="preserve">17. Board of Directors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6"/>
        <w:gridCol w:w="2147"/>
        <w:gridCol w:w="1664"/>
        <w:gridCol w:w="2141"/>
        <w:gridCol w:w="2208"/>
      </w:tblGrid>
      <w:tr>
        <w:trPr>
          <w:tblHeader/>
        </w:trPr>
        <w:tc>
          <w:tcPr>
            <w:tcW w:type="dxa" w:w="174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Director</w:t>
            </w:r>
          </w:p>
        </w:tc>
        <w:tc>
          <w:tcPr>
            <w:tcW w:type="dxa" w:w="214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Role</w:t>
            </w:r>
          </w:p>
        </w:tc>
        <w:tc>
          <w:tcPr>
            <w:tcW w:type="dxa" w:w="166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Appointed / tenure</w:t>
            </w:r>
          </w:p>
        </w:tc>
        <w:tc>
          <w:tcPr>
            <w:tcW w:type="dxa" w:w="214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Professional background</w:t>
            </w:r>
          </w:p>
        </w:tc>
        <w:tc>
          <w:tcPr>
            <w:tcW w:type="dxa" w:w="220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Other affiliations</w:t>
            </w:r>
          </w:p>
        </w:tc>
      </w:tr>
      <w:tr>
        <w:trPr>
          <w:cantSplit/>
        </w:trPr>
        <w:tc>
          <w:tcPr>
            <w:tcW w:type="dxa" w:w="17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Gen (R) Tan Sri (Dr) Mohd Zahidi bin Hj Zainuddin (~78)</w:t>
            </w:r>
          </w:p>
        </w:tc>
        <w:tc>
          <w:tcPr>
            <w:tcW w:type="dxa" w:w="214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Non-independent non-executive Chairman (since Jun-2024)</w:t>
            </w:r>
          </w:p>
        </w:tc>
        <w:tc>
          <w:tcPr>
            <w:tcW w:type="dxa" w:w="16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Aug-2005 (~21 yrs); independent until Jun-2023</w:t>
            </w:r>
          </w:p>
        </w:tc>
        <w:tc>
          <w:tcPr>
            <w:tcW w:type="dxa" w:w="2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Chief of Defence Forces 1999-2005; Army Chief</w:t>
            </w:r>
          </w:p>
        </w:tc>
        <w:tc>
          <w:tcPr>
            <w:tcW w:type="dxa" w:w="22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Chairman of Genting Plantations; Group Chairman of Cahya Mata Sarawak (CMS holds 18.8% of Kenanga IB, the 2025 independent adviser; he abstained); Chairman of AHAM Asset Management; Only World Group</w:t>
            </w:r>
          </w:p>
        </w:tc>
      </w:tr>
      <w:tr>
        <w:trPr>
          <w:cantSplit/>
        </w:trPr>
        <w:tc>
          <w:tcPr>
            <w:tcW w:type="dxa" w:w="174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Tan Sri Lim Kok Thay</w:t>
            </w:r>
          </w:p>
        </w:tc>
        <w:tc>
          <w:tcPr>
            <w:tcW w:type="dxa" w:w="214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Deputy Chairman &amp; Chief Executive</w:t>
            </w:r>
          </w:p>
        </w:tc>
        <w:tc>
          <w:tcPr>
            <w:tcW w:type="dxa" w:w="16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Oct-1988 (~38 yrs)</w:t>
            </w:r>
          </w:p>
        </w:tc>
        <w:tc>
          <w:tcPr>
            <w:tcW w:type="dxa" w:w="214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Founder-family CEO</w:t>
            </w:r>
          </w:p>
        </w:tc>
        <w:tc>
          <w:tcPr>
            <w:tcW w:type="dxa" w:w="220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Executive Chairman of Genting Bhd and Genting Singapore; Deputy Chairman of Genting Plantations; biotech boards (TauRx, DNAe)</w:t>
            </w:r>
          </w:p>
        </w:tc>
      </w:tr>
      <w:tr>
        <w:trPr>
          <w:cantSplit/>
        </w:trPr>
        <w:tc>
          <w:tcPr>
            <w:tcW w:type="dxa" w:w="17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Dato' Indera Lim Keong Hui</w:t>
            </w:r>
          </w:p>
        </w:tc>
        <w:tc>
          <w:tcPr>
            <w:tcW w:type="dxa" w:w="214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Deputy Chief Executive &amp; Executive Director</w:t>
            </w:r>
          </w:p>
        </w:tc>
        <w:tc>
          <w:tcPr>
            <w:tcW w:type="dxa" w:w="16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Jul-2012 (~14 yrs)</w:t>
            </w:r>
          </w:p>
        </w:tc>
        <w:tc>
          <w:tcPr>
            <w:tcW w:type="dxa" w:w="2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HSBC IB; Genting HK</w:t>
            </w:r>
          </w:p>
        </w:tc>
        <w:tc>
          <w:tcPr>
            <w:tcW w:type="dxa" w:w="22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Deputy CE of Genting Bhd; CEO of Genting Plantations</w:t>
            </w:r>
          </w:p>
        </w:tc>
      </w:tr>
      <w:tr>
        <w:trPr>
          <w:cantSplit/>
        </w:trPr>
        <w:tc>
          <w:tcPr>
            <w:tcW w:type="dxa" w:w="174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Dato' Sri Lee Choong Yan</w:t>
            </w:r>
          </w:p>
        </w:tc>
        <w:tc>
          <w:tcPr>
            <w:tcW w:type="dxa" w:w="214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Non-independent non-executive director</w:t>
            </w:r>
          </w:p>
        </w:tc>
        <w:tc>
          <w:tcPr>
            <w:tcW w:type="dxa" w:w="16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Jan-2020 (exec since 1997)</w:t>
            </w:r>
          </w:p>
        </w:tc>
        <w:tc>
          <w:tcPr>
            <w:tcW w:type="dxa" w:w="214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Chartered accountant; former President &amp; COO</w:t>
            </w:r>
          </w:p>
        </w:tc>
        <w:tc>
          <w:tcPr>
            <w:tcW w:type="dxa" w:w="220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GENM subsidiaries; Remuneration Committee</w:t>
            </w:r>
          </w:p>
        </w:tc>
      </w:tr>
      <w:tr>
        <w:trPr>
          <w:cantSplit/>
        </w:trPr>
        <w:tc>
          <w:tcPr>
            <w:tcW w:type="dxa" w:w="17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Quah Chek Tin (~74)</w:t>
            </w:r>
          </w:p>
        </w:tc>
        <w:tc>
          <w:tcPr>
            <w:tcW w:type="dxa" w:w="214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Non-independent non-executive director (Nomination Chair)</w:t>
            </w:r>
          </w:p>
        </w:tc>
        <w:tc>
          <w:tcPr>
            <w:tcW w:type="dxa" w:w="16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Jan-2003 (~23 yrs)</w:t>
            </w:r>
          </w:p>
        </w:tc>
        <w:tc>
          <w:tcPr>
            <w:tcW w:type="dxa" w:w="2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Former GENM COO / Genting Bhd ED (to 2006); ICAEW</w:t>
            </w:r>
          </w:p>
        </w:tc>
        <w:tc>
          <w:tcPr>
            <w:tcW w:type="dxa" w:w="22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Chairman of Paramount Corp</w:t>
            </w:r>
          </w:p>
        </w:tc>
      </w:tr>
      <w:tr>
        <w:trPr>
          <w:cantSplit/>
        </w:trPr>
        <w:tc>
          <w:tcPr>
            <w:tcW w:type="dxa" w:w="174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Chong Kwai Ying (~66)</w:t>
            </w:r>
          </w:p>
        </w:tc>
        <w:tc>
          <w:tcPr>
            <w:tcW w:type="dxa" w:w="214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Independent non-executive director</w:t>
            </w:r>
          </w:p>
        </w:tc>
        <w:tc>
          <w:tcPr>
            <w:tcW w:type="dxa" w:w="16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Dec-2018 (~8 yrs)</w:t>
            </w:r>
          </w:p>
        </w:tc>
        <w:tc>
          <w:tcPr>
            <w:tcW w:type="dxa" w:w="214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30+ years at Bank Negara Malaysia (banking supervision)</w:t>
            </w:r>
          </w:p>
        </w:tc>
        <w:tc>
          <w:tcPr>
            <w:tcW w:type="dxa" w:w="220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China Construction Bank (Malaysia)</w:t>
            </w:r>
          </w:p>
        </w:tc>
      </w:tr>
      <w:tr>
        <w:trPr>
          <w:cantSplit/>
        </w:trPr>
        <w:tc>
          <w:tcPr>
            <w:tcW w:type="dxa" w:w="17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Ho Heng Chuan (~69)</w:t>
            </w:r>
          </w:p>
        </w:tc>
        <w:tc>
          <w:tcPr>
            <w:tcW w:type="dxa" w:w="214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Independent; Audit and Risk Committee Chair</w:t>
            </w:r>
          </w:p>
        </w:tc>
        <w:tc>
          <w:tcPr>
            <w:tcW w:type="dxa" w:w="16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Feb-2022 (~5 yrs)</w:t>
            </w:r>
          </w:p>
        </w:tc>
        <w:tc>
          <w:tcPr>
            <w:tcW w:type="dxa" w:w="2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Citigroup Malaysia 2000-20 (Head of Corporate Finance)</w:t>
            </w:r>
          </w:p>
        </w:tc>
        <w:tc>
          <w:tcPr>
            <w:tcW w:type="dxa" w:w="22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Hong Leong Financial Group</w:t>
            </w:r>
          </w:p>
        </w:tc>
      </w:tr>
      <w:tr>
        <w:trPr>
          <w:cantSplit/>
        </w:trPr>
        <w:tc>
          <w:tcPr>
            <w:tcW w:type="dxa" w:w="174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Norazilla binti Md Tahir (60)</w:t>
            </w:r>
          </w:p>
        </w:tc>
        <w:tc>
          <w:tcPr>
            <w:tcW w:type="dxa" w:w="214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Independent; Remuneration Committee Chair</w:t>
            </w:r>
          </w:p>
        </w:tc>
        <w:tc>
          <w:tcPr>
            <w:tcW w:type="dxa" w:w="16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Jan-2024 (~3 yrs)</w:t>
            </w:r>
          </w:p>
        </w:tc>
        <w:tc>
          <w:tcPr>
            <w:tcW w:type="dxa" w:w="214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Former CFO of Cagamas; RHB Islamic; FCA</w:t>
            </w:r>
          </w:p>
        </w:tc>
        <w:tc>
          <w:tcPr>
            <w:tcW w:type="dxa" w:w="220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Citibank Bhd; Kenanga Investors Bhd; Berjaya Sompo</w:t>
            </w:r>
          </w:p>
        </w:tc>
      </w:tr>
    </w:tbl>
    <w:p>
      <w:pPr>
        <w:spacing w:after="60"/>
      </w:pPr>
    </w:p>
    <w:p>
      <w:pPr>
        <w:spacing w:after="120" w:line="276"/>
      </w:pPr>
      <w:r>
        <w:rPr>
          <w:rFonts w:ascii="Arial" w:cs="Arial" w:eastAsia="Arial" w:hAnsi="Arial"/>
          <w:b/>
          <w:bCs/>
          <w:sz w:val="19"/>
          <w:szCs w:val="19"/>
        </w:rPr>
        <w:t xml:space="preserve">Composition:</w:t>
      </w:r>
      <w:r>
        <w:rPr>
          <w:rFonts w:ascii="Arial" w:cs="Arial" w:eastAsia="Arial" w:hAnsi="Arial"/>
          <w:sz w:val="19"/>
          <w:szCs w:val="19"/>
        </w:rPr>
        <w:t xml:space="preserve"> 8 directors, 3 independent (37.5%), 2 women (25%). Directors' fees FY25 RM1.92m.</w:t>
      </w:r>
    </w:p>
    <w:p>
      <w:pPr>
        <w:pStyle w:val="Heading2"/>
      </w:pPr>
      <w:r>
        <w:t xml:space="preserve">17.1 Board changes in the last five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8"/>
        <w:gridCol w:w="8138"/>
      </w:tblGrid>
      <w:tr>
        <w:trPr>
          <w:tblHeader/>
        </w:trPr>
        <w:tc>
          <w:tcPr>
            <w:tcW w:type="dxa" w:w="176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Date</w:t>
            </w:r>
          </w:p>
        </w:tc>
        <w:tc>
          <w:tcPr>
            <w:tcW w:type="dxa" w:w="813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Change</w:t>
            </w:r>
          </w:p>
        </w:tc>
      </w:tr>
      <w:tr>
        <w:trPr>
          <w:cantSplit/>
        </w:trPr>
        <w:tc>
          <w:tcPr>
            <w:tcW w:type="dxa" w:w="17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18-Feb-2022</w:t>
            </w:r>
          </w:p>
        </w:tc>
        <w:tc>
          <w:tcPr>
            <w:tcW w:type="dxa" w:w="813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Ho Heng Chuan appointed independent director</w:t>
            </w:r>
          </w:p>
        </w:tc>
      </w:tr>
      <w:tr>
        <w:trPr>
          <w:cantSplit/>
        </w:trPr>
        <w:tc>
          <w:tcPr>
            <w:tcW w:type="dxa" w:w="17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1-Jul-2022</w:t>
            </w:r>
          </w:p>
        </w:tc>
        <w:tc>
          <w:tcPr>
            <w:tcW w:type="dxa" w:w="813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Dato' Dr Lee Bee Phang appointed independent director</w:t>
            </w:r>
          </w:p>
        </w:tc>
      </w:tr>
      <w:tr>
        <w:trPr>
          <w:cantSplit/>
        </w:trPr>
        <w:tc>
          <w:tcPr>
            <w:tcW w:type="dxa" w:w="17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6-Apr-2023</w:t>
            </w:r>
          </w:p>
        </w:tc>
        <w:tc>
          <w:tcPr>
            <w:tcW w:type="dxa" w:w="813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Lee Bee Phang resigns (appointed to the Election Commission)</w:t>
            </w:r>
          </w:p>
        </w:tc>
      </w:tr>
      <w:tr>
        <w:trPr>
          <w:cantSplit/>
        </w:trPr>
        <w:tc>
          <w:tcPr>
            <w:tcW w:type="dxa" w:w="17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6-May-2023</w:t>
            </w:r>
          </w:p>
        </w:tc>
        <w:tc>
          <w:tcPr>
            <w:tcW w:type="dxa" w:w="813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Tan Sri Clifford Francis Herbert (independent, Audit Chair, on board since 2002) dies</w:t>
            </w:r>
          </w:p>
        </w:tc>
      </w:tr>
      <w:tr>
        <w:trPr>
          <w:cantSplit/>
        </w:trPr>
        <w:tc>
          <w:tcPr>
            <w:tcW w:type="dxa" w:w="17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1-Jun-2023</w:t>
            </w:r>
          </w:p>
        </w:tc>
        <w:tc>
          <w:tcPr>
            <w:tcW w:type="dxa" w:w="813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Zahidi, Quah Chek Tin and Teo Eng Siong redesignated independent → non-independent (12-year rule)</w:t>
            </w:r>
          </w:p>
        </w:tc>
      </w:tr>
      <w:tr>
        <w:trPr>
          <w:cantSplit/>
        </w:trPr>
        <w:tc>
          <w:tcPr>
            <w:tcW w:type="dxa" w:w="17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19-Jan-2024</w:t>
            </w:r>
          </w:p>
        </w:tc>
        <w:tc>
          <w:tcPr>
            <w:tcW w:type="dxa" w:w="813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Norazilla Md Tahir appointed independent director</w:t>
            </w:r>
          </w:p>
        </w:tc>
      </w:tr>
      <w:tr>
        <w:trPr>
          <w:cantSplit/>
        </w:trPr>
        <w:tc>
          <w:tcPr>
            <w:tcW w:type="dxa" w:w="17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12-Jun-2024</w:t>
            </w:r>
          </w:p>
        </w:tc>
        <w:tc>
          <w:tcPr>
            <w:tcW w:type="dxa" w:w="813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Chairman Tan Sri Alwi Jantan (89) and Dato' Koh Hong Sun (independent) retire; Zahidi becomes Chairman</w:t>
            </w:r>
          </w:p>
        </w:tc>
      </w:tr>
      <w:tr>
        <w:trPr>
          <w:cantSplit/>
        </w:trPr>
        <w:tc>
          <w:tcPr>
            <w:tcW w:type="dxa" w:w="176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1-May-2026</w:t>
            </w:r>
          </w:p>
        </w:tc>
        <w:tc>
          <w:tcPr>
            <w:tcW w:type="dxa" w:w="813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Lee Choong Yan redesignated non-executive director</w:t>
            </w:r>
          </w:p>
        </w:tc>
      </w:tr>
      <w:tr>
        <w:trPr>
          <w:cantSplit/>
        </w:trPr>
        <w:tc>
          <w:tcPr>
            <w:tcW w:type="dxa" w:w="17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10-Jun-2026</w:t>
            </w:r>
          </w:p>
        </w:tc>
        <w:tc>
          <w:tcPr>
            <w:tcW w:type="dxa" w:w="813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Teo Eng Siong (ex-Kien Huat GM) retires at the 46th AGM</w:t>
            </w:r>
          </w:p>
        </w:tc>
      </w:tr>
    </w:tbl>
    <w:p>
      <w:pPr>
        <w:spacing w:after="60"/>
      </w:pPr>
    </w:p>
    <w:p>
      <w:r>
        <w:br w:type="page"/>
      </w:r>
    </w:p>
    <w:p>
      <w:pPr>
        <w:pStyle w:val="Heading1"/>
      </w:pPr>
      <w:r>
        <w:t xml:space="preserve">18. Shareholders, Activism and Short Interest</w:t>
      </w:r>
    </w:p>
    <w:p>
      <w:pPr>
        <w:pStyle w:val="Heading2"/>
      </w:pPr>
      <w:r>
        <w:t xml:space="preserve">18.1 Top 10 shareholders (beneficial, aggregated from the 30 largest accounts, 16-Mar-2026)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1"/>
        <w:gridCol w:w="3528"/>
        <w:gridCol w:w="913"/>
        <w:gridCol w:w="4774"/>
      </w:tblGrid>
      <w:tr>
        <w:trPr>
          <w:tblHeader/>
        </w:trPr>
        <w:tc>
          <w:tcPr>
            <w:tcW w:type="dxa" w:w="69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Rank</w:t>
            </w:r>
          </w:p>
        </w:tc>
        <w:tc>
          <w:tcPr>
            <w:tcW w:type="dxa" w:w="352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Holder</w:t>
            </w:r>
          </w:p>
        </w:tc>
        <w:tc>
          <w:tcPr>
            <w:tcW w:type="dxa" w:w="91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w:t>
            </w:r>
          </w:p>
        </w:tc>
        <w:tc>
          <w:tcPr>
            <w:tcW w:type="dxa" w:w="477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Type</w:t>
            </w:r>
          </w:p>
        </w:tc>
      </w:tr>
      <w:tr>
        <w:trPr>
          <w:cantSplit/>
        </w:trPr>
        <w:tc>
          <w:tcPr>
            <w:tcW w:type="dxa" w:w="6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w:t>
            </w:r>
          </w:p>
        </w:tc>
        <w:tc>
          <w:tcPr>
            <w:tcW w:type="dxa" w:w="35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Genting Berhad</w:t>
            </w:r>
          </w:p>
        </w:tc>
        <w:tc>
          <w:tcPr>
            <w:tcW w:type="dxa" w:w="9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bCs/>
                <w:color w:val="1A1F2B"/>
                <w:sz w:val="15"/>
                <w:szCs w:val="15"/>
              </w:rPr>
              <w:t xml:space="preserve">73.84</w:t>
            </w:r>
          </w:p>
        </w:tc>
        <w:tc>
          <w:tcPr>
            <w:tcW w:type="dxa" w:w="47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Parent / insider (Lim family via Kien Huat)</w:t>
            </w:r>
          </w:p>
        </w:tc>
      </w:tr>
      <w:tr>
        <w:trPr>
          <w:cantSplit/>
        </w:trPr>
        <w:tc>
          <w:tcPr>
            <w:tcW w:type="dxa" w:w="6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w:t>
            </w:r>
          </w:p>
        </w:tc>
        <w:tc>
          <w:tcPr>
            <w:tcW w:type="dxa" w:w="35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UBS AG (Citigroup Nominees Asing)</w:t>
            </w:r>
          </w:p>
        </w:tc>
        <w:tc>
          <w:tcPr>
            <w:tcW w:type="dxa" w:w="91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1.00</w:t>
            </w:r>
          </w:p>
        </w:tc>
        <w:tc>
          <w:tcPr>
            <w:tcW w:type="dxa" w:w="477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Foreign custody/broker (underlying owner unknown)</w:t>
            </w:r>
          </w:p>
        </w:tc>
      </w:tr>
      <w:tr>
        <w:trPr>
          <w:cantSplit/>
        </w:trPr>
        <w:tc>
          <w:tcPr>
            <w:tcW w:type="dxa" w:w="6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3</w:t>
            </w:r>
          </w:p>
        </w:tc>
        <w:tc>
          <w:tcPr>
            <w:tcW w:type="dxa" w:w="35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Vanguard funds</w:t>
            </w:r>
          </w:p>
        </w:tc>
        <w:tc>
          <w:tcPr>
            <w:tcW w:type="dxa" w:w="9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0.98</w:t>
            </w:r>
          </w:p>
        </w:tc>
        <w:tc>
          <w:tcPr>
            <w:tcW w:type="dxa" w:w="47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Foreign passive</w:t>
            </w:r>
          </w:p>
        </w:tc>
      </w:tr>
      <w:tr>
        <w:trPr>
          <w:cantSplit/>
        </w:trPr>
        <w:tc>
          <w:tcPr>
            <w:tcW w:type="dxa" w:w="6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4</w:t>
            </w:r>
          </w:p>
        </w:tc>
        <w:tc>
          <w:tcPr>
            <w:tcW w:type="dxa" w:w="35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Ta Kin Yan</w:t>
            </w:r>
          </w:p>
        </w:tc>
        <w:tc>
          <w:tcPr>
            <w:tcW w:type="dxa" w:w="91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0.43</w:t>
            </w:r>
          </w:p>
        </w:tc>
        <w:tc>
          <w:tcPr>
            <w:tcW w:type="dxa" w:w="477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Local individual (pledged/margin accounts)</w:t>
            </w:r>
          </w:p>
        </w:tc>
      </w:tr>
      <w:tr>
        <w:trPr>
          <w:cantSplit/>
        </w:trPr>
        <w:tc>
          <w:tcPr>
            <w:tcW w:type="dxa" w:w="6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5</w:t>
            </w:r>
          </w:p>
        </w:tc>
        <w:tc>
          <w:tcPr>
            <w:tcW w:type="dxa" w:w="35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Prudential Assurance Malaysia</w:t>
            </w:r>
          </w:p>
        </w:tc>
        <w:tc>
          <w:tcPr>
            <w:tcW w:type="dxa" w:w="9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0.41</w:t>
            </w:r>
          </w:p>
        </w:tc>
        <w:tc>
          <w:tcPr>
            <w:tcW w:type="dxa" w:w="47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Local insurer</w:t>
            </w:r>
          </w:p>
        </w:tc>
      </w:tr>
      <w:tr>
        <w:trPr>
          <w:cantSplit/>
        </w:trPr>
        <w:tc>
          <w:tcPr>
            <w:tcW w:type="dxa" w:w="6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6</w:t>
            </w:r>
          </w:p>
        </w:tc>
        <w:tc>
          <w:tcPr>
            <w:tcW w:type="dxa" w:w="35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Dimensional Fund Advisors</w:t>
            </w:r>
          </w:p>
        </w:tc>
        <w:tc>
          <w:tcPr>
            <w:tcW w:type="dxa" w:w="91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0.34</w:t>
            </w:r>
          </w:p>
        </w:tc>
        <w:tc>
          <w:tcPr>
            <w:tcW w:type="dxa" w:w="477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Foreign quant/passive</w:t>
            </w:r>
          </w:p>
        </w:tc>
      </w:tr>
      <w:tr>
        <w:trPr>
          <w:cantSplit/>
        </w:trPr>
        <w:tc>
          <w:tcPr>
            <w:tcW w:type="dxa" w:w="6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7</w:t>
            </w:r>
          </w:p>
        </w:tc>
        <w:tc>
          <w:tcPr>
            <w:tcW w:type="dxa" w:w="35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iShares Core MSCI EM ETF</w:t>
            </w:r>
          </w:p>
        </w:tc>
        <w:tc>
          <w:tcPr>
            <w:tcW w:type="dxa" w:w="9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0.33</w:t>
            </w:r>
          </w:p>
        </w:tc>
        <w:tc>
          <w:tcPr>
            <w:tcW w:type="dxa" w:w="47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Foreign passive</w:t>
            </w:r>
          </w:p>
        </w:tc>
      </w:tr>
      <w:tr>
        <w:trPr>
          <w:cantSplit/>
        </w:trPr>
        <w:tc>
          <w:tcPr>
            <w:tcW w:type="dxa" w:w="6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8</w:t>
            </w:r>
          </w:p>
        </w:tc>
        <w:tc>
          <w:tcPr>
            <w:tcW w:type="dxa" w:w="35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Great Eastern Life</w:t>
            </w:r>
          </w:p>
        </w:tc>
        <w:tc>
          <w:tcPr>
            <w:tcW w:type="dxa" w:w="91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0.32</w:t>
            </w:r>
          </w:p>
        </w:tc>
        <w:tc>
          <w:tcPr>
            <w:tcW w:type="dxa" w:w="477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Local insurer</w:t>
            </w:r>
          </w:p>
        </w:tc>
      </w:tr>
      <w:tr>
        <w:trPr>
          <w:cantSplit/>
        </w:trPr>
        <w:tc>
          <w:tcPr>
            <w:tcW w:type="dxa" w:w="6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9</w:t>
            </w:r>
          </w:p>
        </w:tc>
        <w:tc>
          <w:tcPr>
            <w:tcW w:type="dxa" w:w="35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WisdomTree</w:t>
            </w:r>
          </w:p>
        </w:tc>
        <w:tc>
          <w:tcPr>
            <w:tcW w:type="dxa" w:w="9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0.31</w:t>
            </w:r>
          </w:p>
        </w:tc>
        <w:tc>
          <w:tcPr>
            <w:tcW w:type="dxa" w:w="47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Foreign passive</w:t>
            </w:r>
          </w:p>
        </w:tc>
      </w:tr>
      <w:tr>
        <w:trPr>
          <w:cantSplit/>
        </w:trPr>
        <w:tc>
          <w:tcPr>
            <w:tcW w:type="dxa" w:w="6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10</w:t>
            </w:r>
          </w:p>
        </w:tc>
        <w:tc>
          <w:tcPr>
            <w:tcW w:type="dxa" w:w="35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Norges Bank</w:t>
            </w:r>
          </w:p>
        </w:tc>
        <w:tc>
          <w:tcPr>
            <w:tcW w:type="dxa" w:w="91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0.19</w:t>
            </w:r>
          </w:p>
        </w:tc>
        <w:tc>
          <w:tcPr>
            <w:tcW w:type="dxa" w:w="477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Foreign sovereign wealth fund</w:t>
            </w:r>
          </w:p>
        </w:tc>
      </w:tr>
    </w:tbl>
    <w:p>
      <w:pPr>
        <w:spacing w:after="60"/>
      </w:pPr>
    </w:p>
    <w:p>
      <w:pPr>
        <w:spacing w:after="120" w:line="276"/>
      </w:pPr>
      <w:r>
        <w:rPr>
          <w:rFonts w:ascii="Arial" w:cs="Arial" w:eastAsia="Arial" w:hAnsi="Arial"/>
          <w:sz w:val="19"/>
          <w:szCs w:val="19"/>
        </w:rPr>
        <w:t xml:space="preserve">Shares in issue 5,938.0m less 270.3m treasury = 5,667.7m outstanding; 72,243 holders. </w:t>
      </w:r>
      <w:r>
        <w:rPr>
          <w:rFonts w:ascii="Arial" w:cs="Arial" w:eastAsia="Arial" w:hAnsi="Arial"/>
          <w:b/>
          <w:bCs/>
          <w:sz w:val="19"/>
          <w:szCs w:val="19"/>
        </w:rPr>
        <w:t xml:space="preserve">EPF, KWAP and PNB/ASB no longer appear in the top 30</w:t>
      </w:r>
      <w:r>
        <w:rPr>
          <w:rFonts w:ascii="Arial" w:cs="Arial" w:eastAsia="Arial" w:hAnsi="Arial"/>
          <w:sz w:val="19"/>
          <w:szCs w:val="19"/>
        </w:rPr>
        <w:t xml:space="preserve"> (each &lt;0.11%), which implies they tendered into the RM2.35 offer or sold [e]. Public spread ≈ </w:t>
      </w:r>
      <w:r>
        <w:rPr>
          <w:rFonts w:ascii="Arial" w:cs="Arial" w:eastAsia="Arial" w:hAnsi="Arial"/>
          <w:b/>
          <w:bCs/>
          <w:sz w:val="19"/>
          <w:szCs w:val="19"/>
        </w:rPr>
        <w:t xml:space="preserve">26.1%</w:t>
      </w:r>
      <w:r>
        <w:rPr>
          <w:rFonts w:ascii="Arial" w:cs="Arial" w:eastAsia="Arial" w:hAnsi="Arial"/>
          <w:sz w:val="19"/>
          <w:szCs w:val="19"/>
        </w:rPr>
        <w:t xml:space="preserve">, only ~1.1pp (≈64m shares, ~RM81m at RM1.27) above Bursa's 25% minimum.</w:t>
      </w:r>
    </w:p>
    <w:p>
      <w:pPr>
        <w:pStyle w:val="Heading2"/>
      </w:pPr>
      <w:r>
        <w:t xml:space="preserve">18.2 Activism</w:t>
      </w:r>
    </w:p>
    <w:p>
      <w:pPr>
        <w:spacing w:after="120" w:line="276"/>
      </w:pPr>
      <w:r>
        <w:rPr>
          <w:rFonts w:ascii="Arial" w:cs="Arial" w:eastAsia="Arial" w:hAnsi="Arial"/>
          <w:b/>
          <w:bCs/>
          <w:sz w:val="19"/>
          <w:szCs w:val="19"/>
        </w:rPr>
        <w:t xml:space="preserve">No activist fund campaign, requisitioned EGM or board-seat demand has ever been launched at GENM.</w:t>
      </w:r>
      <w:r>
        <w:rPr>
          <w:rFonts w:ascii="Arial" w:cs="Arial" w:eastAsia="Arial" w:hAnsi="Arial"/>
          <w:sz w:val="19"/>
          <w:szCs w:val="19"/>
        </w:rPr>
        <w:t xml:space="preserve"> We searched S&amp;P key developments (2015-2026), The Edge, The Star, Malay Mail, GGRAsia, ASGAM and MSWG. Opposition has been passive: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1"/>
        <w:gridCol w:w="2656"/>
        <w:gridCol w:w="2162"/>
        <w:gridCol w:w="2637"/>
      </w:tblGrid>
      <w:tr>
        <w:trPr>
          <w:tblHeader/>
        </w:trPr>
        <w:tc>
          <w:tcPr>
            <w:tcW w:type="dxa" w:w="245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Episode</w:t>
            </w:r>
          </w:p>
        </w:tc>
        <w:tc>
          <w:tcPr>
            <w:tcW w:type="dxa" w:w="265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Who</w:t>
            </w:r>
          </w:p>
        </w:tc>
        <w:tc>
          <w:tcPr>
            <w:tcW w:type="dxa" w:w="216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Demands</w:t>
            </w:r>
          </w:p>
        </w:tc>
        <w:tc>
          <w:tcPr>
            <w:tcW w:type="dxa" w:w="263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Outcome</w:t>
            </w:r>
          </w:p>
        </w:tc>
      </w:tr>
      <w:tr>
        <w:trPr>
          <w:cantSplit/>
        </w:trPr>
        <w:tc>
          <w:tcPr>
            <w:tcW w:type="dxa" w:w="24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Aug-2010 purchase of Genting UK from Genting Singapore (£351.5m)</w:t>
            </w:r>
          </w:p>
        </w:tc>
        <w:tc>
          <w:tcPr>
            <w:tcW w:type="dxa" w:w="26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Minority shareholders</w:t>
            </w:r>
          </w:p>
        </w:tc>
        <w:tc>
          <w:tcPr>
            <w:tcW w:type="dxa" w:w="216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Objected to related-party price</w:t>
            </w:r>
          </w:p>
        </w:tc>
        <w:tc>
          <w:tcPr>
            <w:tcW w:type="dxa" w:w="26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Approved by only 60.39%</w:t>
            </w:r>
          </w:p>
        </w:tc>
      </w:tr>
      <w:tr>
        <w:trPr>
          <w:cantSplit/>
        </w:trPr>
        <w:tc>
          <w:tcPr>
            <w:tcW w:type="dxa" w:w="24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Aug-2019 Empire Resorts related-party deal</w:t>
            </w:r>
          </w:p>
        </w:tc>
        <w:tc>
          <w:tcPr>
            <w:tcW w:type="dxa" w:w="265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MSWG; The Edge columns urging independent directors to call an EGM; analysts</w:t>
            </w:r>
          </w:p>
        </w:tc>
        <w:tc>
          <w:tcPr>
            <w:tcW w:type="dxa" w:w="216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Disclosure; minority vote in spirit</w:t>
            </w:r>
          </w:p>
        </w:tc>
        <w:tc>
          <w:tcPr>
            <w:tcW w:type="dxa" w:w="263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Went ahead (structured below the 5% threshold); RM2.6bn of market value lost in a day</w:t>
            </w:r>
          </w:p>
        </w:tc>
      </w:tr>
      <w:tr>
        <w:trPr>
          <w:cantSplit/>
        </w:trPr>
        <w:tc>
          <w:tcPr>
            <w:tcW w:type="dxa" w:w="24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Oct-2019 Empire take-private</w:t>
            </w:r>
          </w:p>
        </w:tc>
        <w:tc>
          <w:tcPr>
            <w:tcW w:type="dxa" w:w="26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David Mullen (Empire minority holder) US lawsuit vs GENM, KH and Empire board</w:t>
            </w:r>
          </w:p>
        </w:tc>
        <w:tc>
          <w:tcPr>
            <w:tcW w:type="dxa" w:w="216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Alleged unfair price and conflicted process</w:t>
            </w:r>
          </w:p>
        </w:tc>
        <w:tc>
          <w:tcPr>
            <w:tcW w:type="dxa" w:w="26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Deal closed Nov-2019; lawsuit outcome not found [u]</w:t>
            </w:r>
          </w:p>
        </w:tc>
      </w:tr>
      <w:tr>
        <w:trPr>
          <w:cantSplit/>
        </w:trPr>
        <w:tc>
          <w:tcPr>
            <w:tcW w:type="dxa" w:w="245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Oct-Dec 2025 Genting Bhd RM2.35 offer</w:t>
            </w:r>
          </w:p>
        </w:tc>
        <w:tc>
          <w:tcPr>
            <w:tcW w:type="dxa" w:w="265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 activist; independent adviser (Kenanga IB) and most brokers recommended rejection</w:t>
            </w:r>
          </w:p>
        </w:tc>
        <w:tc>
          <w:tcPr>
            <w:tcW w:type="dxa" w:w="216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Reject; SOTP RM3.48-3.77</w:t>
            </w:r>
          </w:p>
        </w:tc>
        <w:tc>
          <w:tcPr>
            <w:tcW w:type="dxa" w:w="263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Offer lapsed at 73.13%; no price revision; GENM stays listed</w:t>
            </w:r>
          </w:p>
        </w:tc>
      </w:tr>
    </w:tbl>
    <w:p>
      <w:pPr>
        <w:spacing w:after="60"/>
      </w:pPr>
    </w:p>
    <w:p>
      <w:pPr>
        <w:spacing w:after="120" w:line="276"/>
      </w:pPr>
      <w:r>
        <w:rPr>
          <w:rFonts w:ascii="Arial" w:cs="Arial" w:eastAsia="Arial" w:hAnsi="Arial"/>
          <w:b/>
          <w:bCs/>
          <w:sz w:val="19"/>
          <w:szCs w:val="19"/>
        </w:rPr>
        <w:t xml:space="preserve">Assessment:</w:t>
      </w:r>
      <w:r>
        <w:rPr>
          <w:rFonts w:ascii="Arial" w:cs="Arial" w:eastAsia="Arial" w:hAnsi="Arial"/>
          <w:sz w:val="19"/>
          <w:szCs w:val="19"/>
        </w:rPr>
        <w:t xml:space="preserve"> a proxy fight is impossible against a 73.84% holder. Minorities do hold real veto points, however:</w:t>
      </w:r>
    </w:p>
    <w:p>
      <w:pPr>
        <w:pStyle w:val="ListParagraph"/>
        <w:numPr>
          <w:ilvl w:val="0"/>
          <w:numId w:val="8"/>
        </w:numPr>
        <w:spacing w:after="60" w:line="264"/>
      </w:pPr>
      <w:r>
        <w:rPr>
          <w:rFonts w:ascii="Arial" w:cs="Arial" w:eastAsia="Arial" w:hAnsi="Arial"/>
          <w:sz w:val="19"/>
          <w:szCs w:val="19"/>
        </w:rPr>
        <w:t xml:space="preserve">Recurrent related-party transaction (RRPT) mandates, where interested parties must abstain.</w:t>
      </w:r>
    </w:p>
    <w:p>
      <w:pPr>
        <w:pStyle w:val="ListParagraph"/>
        <w:numPr>
          <w:ilvl w:val="0"/>
          <w:numId w:val="8"/>
        </w:numPr>
        <w:spacing w:after="60" w:line="264"/>
      </w:pPr>
      <w:r>
        <w:rPr>
          <w:rFonts w:ascii="Arial" w:cs="Arial" w:eastAsia="Arial" w:hAnsi="Arial"/>
          <w:sz w:val="19"/>
          <w:szCs w:val="19"/>
        </w:rPr>
        <w:t xml:space="preserve">Any future delisting resolution, which typically fails if more than 10% of votes object [u: exact rule].</w:t>
      </w:r>
    </w:p>
    <w:p>
      <w:pPr>
        <w:pStyle w:val="ListParagraph"/>
        <w:numPr>
          <w:ilvl w:val="0"/>
          <w:numId w:val="8"/>
        </w:numPr>
        <w:spacing w:after="60" w:line="264"/>
      </w:pPr>
      <w:r>
        <w:rPr>
          <w:rFonts w:ascii="Arial" w:cs="Arial" w:eastAsia="Arial" w:hAnsi="Arial"/>
          <w:sz w:val="19"/>
          <w:szCs w:val="19"/>
        </w:rPr>
        <w:t xml:space="preserve">Major related-party acquisitions above 5%.</w:t>
      </w:r>
    </w:p>
    <w:p>
      <w:pPr>
        <w:spacing w:after="120" w:line="276"/>
      </w:pPr>
      <w:r>
        <w:rPr>
          <w:rFonts w:ascii="Arial" w:cs="Arial" w:eastAsia="Arial" w:hAnsi="Arial"/>
          <w:sz w:val="19"/>
          <w:szCs w:val="19"/>
        </w:rPr>
        <w:t xml:space="preserve">A coordinated minority holding ~10% of GENM (~38% of the free float; ~RM720m at today's price) would hold a blocking position against a lowball privatisation. That is the activist's real lever (see Section 26).</w:t>
      </w:r>
    </w:p>
    <w:p>
      <w:pPr>
        <w:pStyle w:val="Heading2"/>
      </w:pPr>
      <w:r>
        <w:t xml:space="preserve">18.3 Short interest</w:t>
      </w:r>
    </w:p>
    <w:p>
      <w:pPr>
        <w:spacing w:after="120" w:line="276"/>
      </w:pPr>
      <w:r>
        <w:rPr>
          <w:rFonts w:ascii="Arial" w:cs="Arial" w:eastAsia="Arial" w:hAnsi="Arial"/>
          <w:sz w:val="19"/>
          <w:szCs w:val="19"/>
        </w:rPr>
        <w:t xml:space="preserve">No GENM short-interest data are published. Bursa runs regulated short selling and intraday short selling only in approved securities and does not disclose positions by holder. There are </w:t>
      </w:r>
      <w:r>
        <w:rPr>
          <w:rFonts w:ascii="Arial" w:cs="Arial" w:eastAsia="Arial" w:hAnsi="Arial"/>
          <w:b/>
          <w:bCs/>
          <w:sz w:val="19"/>
          <w:szCs w:val="19"/>
        </w:rPr>
        <w:t xml:space="preserve">no disclosed short sellers</w:t>
      </w:r>
      <w:r>
        <w:rPr>
          <w:rFonts w:ascii="Arial" w:cs="Arial" w:eastAsia="Arial" w:hAnsi="Arial"/>
          <w:sz w:val="19"/>
          <w:szCs w:val="19"/>
        </w:rPr>
        <w:t xml:space="preserve">. Intraday short selling in the parent (GENTING) was suspended on 12-Oct-2026 after it hit limit-down; an unverified report suggests GENM's IDSS was suspended in early 2025 [u]. Stock-borrow utilisation was not available.</w:t>
      </w:r>
    </w:p>
    <w:p>
      <w:r>
        <w:br w:type="page"/>
      </w:r>
    </w:p>
    <w:p>
      <w:pPr>
        <w:pStyle w:val="Heading1"/>
      </w:pPr>
      <w:r>
        <w:t xml:space="preserve">19. Strategic Initiatives (2016-2026)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1"/>
        <w:gridCol w:w="2021"/>
        <w:gridCol w:w="3029"/>
        <w:gridCol w:w="2265"/>
      </w:tblGrid>
      <w:tr>
        <w:trPr>
          <w:tblHeader/>
        </w:trPr>
        <w:tc>
          <w:tcPr>
            <w:tcW w:type="dxa" w:w="259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Initiative</w:t>
            </w:r>
          </w:p>
        </w:tc>
        <w:tc>
          <w:tcPr>
            <w:tcW w:type="dxa" w:w="202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Dates</w:t>
            </w:r>
          </w:p>
        </w:tc>
        <w:tc>
          <w:tcPr>
            <w:tcW w:type="dxa" w:w="302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Status</w:t>
            </w:r>
          </w:p>
        </w:tc>
        <w:tc>
          <w:tcPr>
            <w:tcW w:type="dxa" w:w="226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Assessment</w:t>
            </w:r>
          </w:p>
        </w:tc>
      </w:tr>
      <w:tr>
        <w:trPr>
          <w:cantSplit/>
        </w:trPr>
        <w:tc>
          <w:tcPr>
            <w:tcW w:type="dxa" w:w="25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Genting Integrated Tourism Plan (GITP)</w:t>
            </w:r>
          </w:p>
        </w:tc>
        <w:tc>
          <w:tcPr>
            <w:tcW w:type="dxa" w:w="202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2013-2023+; budget raised to RM10.38bn</w:t>
            </w:r>
          </w:p>
        </w:tc>
        <w:tc>
          <w:tcPr>
            <w:tcW w:type="dxa" w:w="30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Phases complete: Skytropolis, SkyAvenue, new hotels, Awana SkyWay</w:t>
            </w:r>
          </w:p>
        </w:tc>
        <w:tc>
          <w:tcPr>
            <w:tcW w:type="dxa" w:w="22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Partial success:</w:t>
            </w:r>
            <w:r>
              <w:rPr>
                <w:rFonts w:ascii="Arial" w:cs="Arial" w:eastAsia="Arial" w:hAnsi="Arial"/>
                <w:b w:val="false"/>
                <w:bCs w:val="false"/>
                <w:color w:val="1A1F2B"/>
                <w:sz w:val="15"/>
                <w:szCs w:val="15"/>
              </w:rPr>
              <w:t xml:space="preserve"> visitation up, incremental returns low</w:t>
            </w:r>
          </w:p>
        </w:tc>
      </w:tr>
      <w:tr>
        <w:trPr>
          <w:cantSplit/>
        </w:trPr>
        <w:tc>
          <w:tcPr>
            <w:tcW w:type="dxa" w:w="25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Outdoor theme park (20th Century Fox World → Genting SkyWorlds)</w:t>
            </w:r>
          </w:p>
        </w:tc>
        <w:tc>
          <w:tcPr>
            <w:tcW w:type="dxa" w:w="202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2013-2022</w:t>
            </w:r>
          </w:p>
        </w:tc>
        <w:tc>
          <w:tcPr>
            <w:tcW w:type="dxa" w:w="30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Fox/Disney terminated licence Nov-2018; US$1.75bn suit settled Jul-2019; opened Feb-2022 with limited Fox IP</w:t>
            </w:r>
          </w:p>
        </w:tc>
        <w:tc>
          <w:tcPr>
            <w:tcW w:type="dxa" w:w="22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Failure on time and IP; operating</w:t>
            </w:r>
            <w:r>
              <w:rPr>
                <w:rFonts w:ascii="Arial" w:cs="Arial" w:eastAsia="Arial" w:hAnsi="Arial"/>
                <w:b w:val="false"/>
                <w:bCs w:val="false"/>
                <w:color w:val="1A1F2B"/>
                <w:sz w:val="15"/>
                <w:szCs w:val="15"/>
              </w:rPr>
              <w:t xml:space="preserve"> (attractions revenue declining)</w:t>
            </w:r>
          </w:p>
        </w:tc>
      </w:tr>
      <w:tr>
        <w:trPr>
          <w:cantSplit/>
        </w:trPr>
        <w:tc>
          <w:tcPr>
            <w:tcW w:type="dxa" w:w="25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Resorts World Catskills (Empire)</w:t>
            </w:r>
          </w:p>
        </w:tc>
        <w:tc>
          <w:tcPr>
            <w:tcW w:type="dxa" w:w="202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Opened Feb-2018</w:t>
            </w:r>
          </w:p>
        </w:tc>
        <w:tc>
          <w:tcPr>
            <w:tcW w:type="dxa" w:w="30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Loss-making (Empire lost US$59m in 2024); 100% owned since May-2025</w:t>
            </w:r>
          </w:p>
        </w:tc>
        <w:tc>
          <w:tcPr>
            <w:tcW w:type="dxa" w:w="22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Failure to date</w:t>
            </w:r>
          </w:p>
        </w:tc>
      </w:tr>
      <w:tr>
        <w:trPr>
          <w:cantSplit/>
        </w:trPr>
        <w:tc>
          <w:tcPr>
            <w:tcW w:type="dxa" w:w="25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Empire take-private with Kien Huat</w:t>
            </w:r>
          </w:p>
        </w:tc>
        <w:tc>
          <w:tcPr>
            <w:tcW w:type="dxa" w:w="202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2019-2025</w:t>
            </w:r>
          </w:p>
        </w:tc>
        <w:tc>
          <w:tcPr>
            <w:tcW w:type="dxa" w:w="30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~US$765m committed through serial RPTs</w:t>
            </w:r>
          </w:p>
        </w:tc>
        <w:tc>
          <w:tcPr>
            <w:tcW w:type="dxa" w:w="22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Value-destructive; governance red flag</w:t>
            </w:r>
          </w:p>
        </w:tc>
      </w:tr>
      <w:tr>
        <w:trPr>
          <w:cantSplit/>
        </w:trPr>
        <w:tc>
          <w:tcPr>
            <w:tcW w:type="dxa" w:w="25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Resorts World Hudson Valley (Newburgh)</w:t>
            </w:r>
          </w:p>
        </w:tc>
        <w:tc>
          <w:tcPr>
            <w:tcW w:type="dxa" w:w="202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Opened Dec-2022</w:t>
            </w:r>
          </w:p>
        </w:tc>
        <w:tc>
          <w:tcPr>
            <w:tcW w:type="dxa" w:w="30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1,200 VGMs; loss-making; downstate competition ahead</w:t>
            </w:r>
          </w:p>
        </w:tc>
        <w:tc>
          <w:tcPr>
            <w:tcW w:type="dxa" w:w="22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Weak</w:t>
            </w:r>
          </w:p>
        </w:tc>
      </w:tr>
      <w:tr>
        <w:trPr>
          <w:cantSplit/>
        </w:trPr>
        <w:tc>
          <w:tcPr>
            <w:tcW w:type="dxa" w:w="25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NY online sports betting (Resorts World Bet)</w:t>
            </w:r>
          </w:p>
        </w:tc>
        <w:tc>
          <w:tcPr>
            <w:tcW w:type="dxa" w:w="202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2022-Jun-2025</w:t>
            </w:r>
          </w:p>
        </w:tc>
        <w:tc>
          <w:tcPr>
            <w:tcW w:type="dxa" w:w="30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Exited</w:t>
            </w:r>
          </w:p>
        </w:tc>
        <w:tc>
          <w:tcPr>
            <w:tcW w:type="dxa" w:w="22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Failure</w:t>
            </w:r>
          </w:p>
        </w:tc>
      </w:tr>
      <w:tr>
        <w:trPr>
          <w:cantSplit/>
        </w:trPr>
        <w:tc>
          <w:tcPr>
            <w:tcW w:type="dxa" w:w="25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Catskills non-gaming sale-leaseback to Sullivan County LDC (US$525-585m)</w:t>
            </w:r>
          </w:p>
        </w:tc>
        <w:tc>
          <w:tcPr>
            <w:tcW w:type="dxa" w:w="202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Aug-2025</w:t>
            </w:r>
          </w:p>
        </w:tc>
        <w:tc>
          <w:tcPr>
            <w:tcW w:type="dxa" w:w="30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Bond deal delayed by the parent offer; abandoned after notes were refinanced</w:t>
            </w:r>
          </w:p>
        </w:tc>
        <w:tc>
          <w:tcPr>
            <w:tcW w:type="dxa" w:w="22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Abandoned</w:t>
            </w:r>
          </w:p>
        </w:tc>
      </w:tr>
      <w:tr>
        <w:trPr>
          <w:cantSplit/>
        </w:trPr>
        <w:tc>
          <w:tcPr>
            <w:tcW w:type="dxa" w:w="25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NY downstate commercial casino licence</w:t>
            </w:r>
          </w:p>
        </w:tc>
        <w:tc>
          <w:tcPr>
            <w:tcW w:type="dxa" w:w="202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Bid Jun-2025; awarded 15-Dec-2025; tables opened 28-Apr-2026</w:t>
            </w:r>
          </w:p>
        </w:tc>
        <w:tc>
          <w:tcPr>
            <w:tcW w:type="dxa" w:w="30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US$500m fee paid; phase 2 broke ground Jul-2026; US$5.5bn plan to ~2029-30</w:t>
            </w:r>
          </w:p>
        </w:tc>
        <w:tc>
          <w:tcPr>
            <w:tcW w:type="dxa" w:w="22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Early success commercially (US revenue +166%); returns at risk from the racing-support dispute and 2030 rivals</w:t>
            </w:r>
          </w:p>
        </w:tc>
      </w:tr>
      <w:tr>
        <w:trPr>
          <w:cantSplit/>
        </w:trPr>
        <w:tc>
          <w:tcPr>
            <w:tcW w:type="dxa" w:w="25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Mashpee Wampanoag tribal casino notes (Massachusetts)</w:t>
            </w:r>
          </w:p>
        </w:tc>
        <w:tc>
          <w:tcPr>
            <w:tcW w:type="dxa" w:w="202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2012-2025</w:t>
            </w:r>
          </w:p>
        </w:tc>
        <w:tc>
          <w:tcPr>
            <w:tcW w:type="dxa" w:w="30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RM1.83bn impaired 2018; more notes subscribed in FY2025</w:t>
            </w:r>
          </w:p>
        </w:tc>
        <w:tc>
          <w:tcPr>
            <w:tcW w:type="dxa" w:w="22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Failure; option value only</w:t>
            </w:r>
          </w:p>
        </w:tc>
      </w:tr>
      <w:tr>
        <w:trPr>
          <w:cantSplit/>
        </w:trPr>
        <w:tc>
          <w:tcPr>
            <w:tcW w:type="dxa" w:w="25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Miami (Omni land)</w:t>
            </w:r>
          </w:p>
        </w:tc>
        <w:tc>
          <w:tcPr>
            <w:tcW w:type="dxa" w:w="202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2011-; sale to Smart Miami City for US$1.225bn collapsed Jun-2023</w:t>
            </w:r>
          </w:p>
        </w:tc>
        <w:tc>
          <w:tcPr>
            <w:tcW w:type="dxa" w:w="30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Held as investment property; re-marketed [u]</w:t>
            </w:r>
          </w:p>
        </w:tc>
        <w:tc>
          <w:tcPr>
            <w:tcW w:type="dxa" w:w="22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Value unrealised</w:t>
            </w:r>
          </w:p>
        </w:tc>
      </w:tr>
      <w:tr>
        <w:trPr>
          <w:cantSplit/>
        </w:trPr>
        <w:tc>
          <w:tcPr>
            <w:tcW w:type="dxa" w:w="25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RW Bimini</w:t>
            </w:r>
          </w:p>
        </w:tc>
        <w:tc>
          <w:tcPr>
            <w:tcW w:type="dxa" w:w="202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2013-</w:t>
            </w:r>
          </w:p>
        </w:tc>
        <w:tc>
          <w:tcPr>
            <w:tcW w:type="dxa" w:w="30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Loss-making; cruise-led strategy; audit key matter</w:t>
            </w:r>
          </w:p>
        </w:tc>
        <w:tc>
          <w:tcPr>
            <w:tcW w:type="dxa" w:w="22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Failure to date</w:t>
            </w:r>
          </w:p>
        </w:tc>
      </w:tr>
      <w:tr>
        <w:trPr>
          <w:cantSplit/>
        </w:trPr>
        <w:tc>
          <w:tcPr>
            <w:tcW w:type="dxa" w:w="25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UK restructuring</w:t>
            </w:r>
          </w:p>
        </w:tc>
        <w:tc>
          <w:tcPr>
            <w:tcW w:type="dxa" w:w="202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2020-2026</w:t>
            </w:r>
          </w:p>
        </w:tc>
        <w:tc>
          <w:tcPr>
            <w:tcW w:type="dxa" w:w="30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Crockfords Mayfair closed (2023); Stratford bought (2025); Coventry closing (2026); Birmingham impaired RM122.8m</w:t>
            </w:r>
          </w:p>
        </w:tc>
        <w:tc>
          <w:tcPr>
            <w:tcW w:type="dxa" w:w="22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Shrinking</w:t>
            </w:r>
          </w:p>
        </w:tc>
      </w:tr>
      <w:tr>
        <w:trPr>
          <w:cantSplit/>
        </w:trPr>
        <w:tc>
          <w:tcPr>
            <w:tcW w:type="dxa" w:w="259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Digital / iGaming</w:t>
            </w:r>
          </w:p>
        </w:tc>
        <w:tc>
          <w:tcPr>
            <w:tcW w:type="dxa" w:w="202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2025</w:t>
            </w:r>
          </w:p>
        </w:tc>
        <w:tc>
          <w:tcPr>
            <w:tcW w:type="dxa" w:w="30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16.5-20% of Avanti Dynamic Studios (Sweden)</w:t>
            </w:r>
          </w:p>
        </w:tc>
        <w:tc>
          <w:tcPr>
            <w:tcW w:type="dxa" w:w="22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Immaterial</w:t>
            </w:r>
          </w:p>
        </w:tc>
      </w:tr>
      <w:tr>
        <w:trPr>
          <w:cantSplit/>
        </w:trPr>
        <w:tc>
          <w:tcPr>
            <w:tcW w:type="dxa" w:w="259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Forest City / second Malaysian casino</w:t>
            </w:r>
          </w:p>
        </w:tc>
        <w:tc>
          <w:tcPr>
            <w:tcW w:type="dxa" w:w="202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Apr-2024 rumour</w:t>
            </w:r>
          </w:p>
        </w:tc>
        <w:tc>
          <w:tcPr>
            <w:tcW w:type="dxa" w:w="302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Denied by GENM, the PM and Johor</w:t>
            </w:r>
          </w:p>
        </w:tc>
        <w:tc>
          <w:tcPr>
            <w:tcW w:type="dxa" w:w="226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Monopoly intact</w:t>
            </w:r>
          </w:p>
        </w:tc>
      </w:tr>
    </w:tbl>
    <w:p>
      <w:pPr>
        <w:spacing w:after="60"/>
      </w:pPr>
    </w:p>
    <w:p>
      <w:r>
        <w:br w:type="page"/>
      </w:r>
    </w:p>
    <w:p>
      <w:pPr>
        <w:pStyle w:val="Heading1"/>
      </w:pPr>
      <w:r>
        <w:t xml:space="preserve">20. Stakes in Other Companies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9"/>
        <w:gridCol w:w="964"/>
        <w:gridCol w:w="2323"/>
        <w:gridCol w:w="2082"/>
        <w:gridCol w:w="1928"/>
      </w:tblGrid>
      <w:tr>
        <w:trPr>
          <w:tblHeader/>
        </w:trPr>
        <w:tc>
          <w:tcPr>
            <w:tcW w:type="dxa" w:w="260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Holding</w:t>
            </w:r>
          </w:p>
        </w:tc>
        <w:tc>
          <w:tcPr>
            <w:tcW w:type="dxa" w:w="96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Stake</w:t>
            </w:r>
          </w:p>
        </w:tc>
        <w:tc>
          <w:tcPr>
            <w:tcW w:type="dxa" w:w="232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Book / size</w:t>
            </w:r>
          </w:p>
        </w:tc>
        <w:tc>
          <w:tcPr>
            <w:tcW w:type="dxa" w:w="208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Strategic relevance</w:t>
            </w:r>
          </w:p>
        </w:tc>
        <w:tc>
          <w:tcPr>
            <w:tcW w:type="dxa" w:w="192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Financial relevance</w:t>
            </w:r>
          </w:p>
        </w:tc>
      </w:tr>
      <w:tr>
        <w:trPr>
          <w:cantSplit/>
        </w:trPr>
        <w:tc>
          <w:tcPr>
            <w:tcW w:type="dxa" w:w="26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Genting New York LLC (RWNYC; licence holder)</w:t>
            </w:r>
          </w:p>
        </w:tc>
        <w:tc>
          <w:tcPr>
            <w:tcW w:type="dxa" w:w="9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100%</w:t>
            </w:r>
          </w:p>
        </w:tc>
        <w:tc>
          <w:tcPr>
            <w:tcW w:type="dxa" w:w="23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NY licence intangibles RM1,565m; segment assets RM12.4bn (US &amp; Bahamas, Jun-26)</w:t>
            </w:r>
          </w:p>
        </w:tc>
        <w:tc>
          <w:tcPr>
            <w:tcW w:type="dxa" w:w="208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Core growth asset</w:t>
            </w:r>
          </w:p>
        </w:tc>
        <w:tc>
          <w:tcPr>
            <w:tcW w:type="dxa" w:w="19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High</w:t>
            </w:r>
          </w:p>
        </w:tc>
      </w:tr>
      <w:tr>
        <w:trPr>
          <w:cantSplit/>
        </w:trPr>
        <w:tc>
          <w:tcPr>
            <w:tcW w:type="dxa" w:w="26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Empire Resorts / Genting Empire Resorts LLC (Catskills, Hudson Valley)</w:t>
            </w:r>
          </w:p>
        </w:tc>
        <w:tc>
          <w:tcPr>
            <w:tcW w:type="dxa" w:w="9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100% (from May-2025)</w:t>
            </w:r>
          </w:p>
        </w:tc>
        <w:tc>
          <w:tcPr>
            <w:tcW w:type="dxa" w:w="232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Consolidated</w:t>
            </w:r>
          </w:p>
        </w:tc>
        <w:tc>
          <w:tcPr>
            <w:tcW w:type="dxa" w:w="208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Upstate NY footprint; cannibalisation risk from downstate</w:t>
            </w:r>
          </w:p>
        </w:tc>
        <w:tc>
          <w:tcPr>
            <w:tcW w:type="dxa" w:w="19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Negative (loss-making)</w:t>
            </w:r>
          </w:p>
        </w:tc>
      </w:tr>
      <w:tr>
        <w:trPr>
          <w:cantSplit/>
        </w:trPr>
        <w:tc>
          <w:tcPr>
            <w:tcW w:type="dxa" w:w="26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Miami: Resorts World Miami / Genting Florida (Omni land, Hilton Miami Downtown)</w:t>
            </w:r>
          </w:p>
        </w:tc>
        <w:tc>
          <w:tcPr>
            <w:tcW w:type="dxa" w:w="9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100%</w:t>
            </w:r>
          </w:p>
        </w:tc>
        <w:tc>
          <w:tcPr>
            <w:tcW w:type="dxa" w:w="23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Within investment properties of RM2,061m</w:t>
            </w:r>
          </w:p>
        </w:tc>
        <w:tc>
          <w:tcPr>
            <w:tcW w:type="dxa" w:w="208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Non-core</w:t>
            </w:r>
          </w:p>
        </w:tc>
        <w:tc>
          <w:tcPr>
            <w:tcW w:type="dxa" w:w="19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High: disposal candidate (US$1.2bn bid in 2023)</w:t>
            </w:r>
          </w:p>
        </w:tc>
      </w:tr>
      <w:tr>
        <w:trPr>
          <w:cantSplit/>
        </w:trPr>
        <w:tc>
          <w:tcPr>
            <w:tcW w:type="dxa" w:w="26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RW Bimini (BBEL)</w:t>
            </w:r>
          </w:p>
        </w:tc>
        <w:tc>
          <w:tcPr>
            <w:tcW w:type="dxa" w:w="9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Majority; NCI deficit</w:t>
            </w:r>
          </w:p>
        </w:tc>
        <w:tc>
          <w:tcPr>
            <w:tcW w:type="dxa" w:w="232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RM631.8m of PP&amp;E and licences</w:t>
            </w:r>
          </w:p>
        </w:tc>
        <w:tc>
          <w:tcPr>
            <w:tcW w:type="dxa" w:w="208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Non-core</w:t>
            </w:r>
          </w:p>
        </w:tc>
        <w:tc>
          <w:tcPr>
            <w:tcW w:type="dxa" w:w="19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Negative</w:t>
            </w:r>
          </w:p>
        </w:tc>
      </w:tr>
      <w:tr>
        <w:trPr>
          <w:cantSplit/>
        </w:trPr>
        <w:tc>
          <w:tcPr>
            <w:tcW w:type="dxa" w:w="26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Genting UK</w:t>
            </w:r>
          </w:p>
        </w:tc>
        <w:tc>
          <w:tcPr>
            <w:tcW w:type="dxa" w:w="9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100%</w:t>
            </w:r>
          </w:p>
        </w:tc>
        <w:tc>
          <w:tcPr>
            <w:tcW w:type="dxa" w:w="23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RM2.9bn of PP&amp;E, licences and ROU assets; RM459m goodwill and trademarks</w:t>
            </w:r>
          </w:p>
        </w:tc>
        <w:tc>
          <w:tcPr>
            <w:tcW w:type="dxa" w:w="208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Mature</w:t>
            </w:r>
          </w:p>
        </w:tc>
        <w:tc>
          <w:tcPr>
            <w:tcW w:type="dxa" w:w="19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Low-moderate</w:t>
            </w:r>
          </w:p>
        </w:tc>
      </w:tr>
      <w:tr>
        <w:trPr>
          <w:cantSplit/>
        </w:trPr>
        <w:tc>
          <w:tcPr>
            <w:tcW w:type="dxa" w:w="26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Avanti Dynamic Studios AB (Sweden)</w:t>
            </w:r>
          </w:p>
        </w:tc>
        <w:tc>
          <w:tcPr>
            <w:tcW w:type="dxa" w:w="9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16.5% → 20%</w:t>
            </w:r>
          </w:p>
        </w:tc>
        <w:tc>
          <w:tcPr>
            <w:tcW w:type="dxa" w:w="232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~RM12.5m</w:t>
            </w:r>
          </w:p>
        </w:tc>
        <w:tc>
          <w:tcPr>
            <w:tcW w:type="dxa" w:w="208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iGaming optionality</w:t>
            </w:r>
          </w:p>
        </w:tc>
        <w:tc>
          <w:tcPr>
            <w:tcW w:type="dxa" w:w="19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Immaterial</w:t>
            </w:r>
          </w:p>
        </w:tc>
      </w:tr>
      <w:tr>
        <w:trPr>
          <w:cantSplit/>
        </w:trPr>
        <w:tc>
          <w:tcPr>
            <w:tcW w:type="dxa" w:w="26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Mashpee Wampanoag promissory notes</w:t>
            </w:r>
          </w:p>
        </w:tc>
        <w:tc>
          <w:tcPr>
            <w:tcW w:type="dxa" w:w="9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Creditor</w:t>
            </w:r>
          </w:p>
        </w:tc>
        <w:tc>
          <w:tcPr>
            <w:tcW w:type="dxa" w:w="23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Largely impaired</w:t>
            </w:r>
          </w:p>
        </w:tc>
        <w:tc>
          <w:tcPr>
            <w:tcW w:type="dxa" w:w="208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Optionality if the Taunton casino is ever built</w:t>
            </w:r>
          </w:p>
        </w:tc>
        <w:tc>
          <w:tcPr>
            <w:tcW w:type="dxa" w:w="19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Low</w:t>
            </w:r>
          </w:p>
        </w:tc>
      </w:tr>
      <w:tr>
        <w:trPr>
          <w:cantSplit/>
        </w:trPr>
        <w:tc>
          <w:tcPr>
            <w:tcW w:type="dxa" w:w="26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FVOCI unquoted equities; joint venture</w:t>
            </w:r>
          </w:p>
        </w:tc>
        <w:tc>
          <w:tcPr>
            <w:tcW w:type="dxa" w:w="9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n/d</w:t>
            </w:r>
          </w:p>
        </w:tc>
        <w:tc>
          <w:tcPr>
            <w:tcW w:type="dxa" w:w="232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RM64.4m; RM36.2m</w:t>
            </w:r>
          </w:p>
        </w:tc>
        <w:tc>
          <w:tcPr>
            <w:tcW w:type="dxa" w:w="208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Minor</w:t>
            </w:r>
          </w:p>
        </w:tc>
        <w:tc>
          <w:tcPr>
            <w:tcW w:type="dxa" w:w="19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Immaterial</w:t>
            </w:r>
          </w:p>
        </w:tc>
      </w:tr>
      <w:tr>
        <w:trPr>
          <w:cantSplit/>
        </w:trPr>
        <w:tc>
          <w:tcPr>
            <w:tcW w:type="dxa" w:w="26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Money-market funds (FVTPL)</w:t>
            </w:r>
          </w:p>
        </w:tc>
        <w:tc>
          <w:tcPr>
            <w:tcW w:type="dxa" w:w="9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n/a</w:t>
            </w:r>
          </w:p>
        </w:tc>
        <w:tc>
          <w:tcPr>
            <w:tcW w:type="dxa" w:w="23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RM1,148m (Jun-26)</w:t>
            </w:r>
          </w:p>
        </w:tc>
        <w:tc>
          <w:tcPr>
            <w:tcW w:type="dxa" w:w="208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Liquidity</w:t>
            </w:r>
          </w:p>
        </w:tc>
        <w:tc>
          <w:tcPr>
            <w:tcW w:type="dxa" w:w="192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Treated as cash</w:t>
            </w:r>
          </w:p>
        </w:tc>
      </w:tr>
      <w:tr>
        <w:trPr>
          <w:cantSplit/>
        </w:trPr>
        <w:tc>
          <w:tcPr>
            <w:tcW w:type="dxa" w:w="26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Listed equity stakes</w:t>
            </w:r>
          </w:p>
        </w:tc>
        <w:tc>
          <w:tcPr>
            <w:tcW w:type="dxa" w:w="96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None</w:t>
            </w:r>
          </w:p>
        </w:tc>
        <w:tc>
          <w:tcPr>
            <w:tcW w:type="dxa" w:w="232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t>
            </w:r>
          </w:p>
        </w:tc>
        <w:tc>
          <w:tcPr>
            <w:tcW w:type="dxa" w:w="208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t>
            </w:r>
          </w:p>
        </w:tc>
        <w:tc>
          <w:tcPr>
            <w:tcW w:type="dxa" w:w="192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t>
            </w:r>
          </w:p>
        </w:tc>
      </w:tr>
    </w:tbl>
    <w:p>
      <w:pPr>
        <w:spacing w:after="60"/>
      </w:pPr>
    </w:p>
    <w:p>
      <w:pPr>
        <w:spacing w:after="120" w:line="276"/>
      </w:pPr>
      <w:r>
        <w:rPr>
          <w:rFonts w:ascii="Arial" w:cs="Arial" w:eastAsia="Arial" w:hAnsi="Arial"/>
          <w:b/>
          <w:bCs/>
          <w:sz w:val="19"/>
          <w:szCs w:val="19"/>
        </w:rPr>
        <w:t xml:space="preserve">GENM's place in the group:</w:t>
      </w:r>
      <w:r>
        <w:rPr>
          <w:rFonts w:ascii="Arial" w:cs="Arial" w:eastAsia="Arial" w:hAnsi="Arial"/>
          <w:sz w:val="19"/>
          <w:szCs w:val="19"/>
        </w:rPr>
        <w:t xml:space="preserve"> Lim family trust → Kien Huat Realty (~43.8% of Genting Bhd votes) → </w:t>
      </w:r>
      <w:r>
        <w:rPr>
          <w:rFonts w:ascii="Arial" w:cs="Arial" w:eastAsia="Arial" w:hAnsi="Arial"/>
          <w:b/>
          <w:bCs/>
          <w:sz w:val="19"/>
          <w:szCs w:val="19"/>
        </w:rPr>
        <w:t xml:space="preserve">Genting Bhd</w:t>
      </w:r>
      <w:r>
        <w:rPr>
          <w:rFonts w:ascii="Arial" w:cs="Arial" w:eastAsia="Arial" w:hAnsi="Arial"/>
          <w:sz w:val="19"/>
          <w:szCs w:val="19"/>
        </w:rPr>
        <w:t xml:space="preserve"> (73.84% of GENM; ~52.6% of Genting Singapore; ~55.4% of Genting Plantations; 100% of Resorts World Las Vegas; Genting Energy). GENM holds no stake in its sister companies. Sister Genting Singapore (RWS) is both a related party and a regional competitor.</w:t>
      </w:r>
    </w:p>
    <w:p>
      <w:r>
        <w:br w:type="page"/>
      </w:r>
    </w:p>
    <w:p>
      <w:pPr>
        <w:pStyle w:val="Heading1"/>
      </w:pPr>
      <w:r>
        <w:t xml:space="preserve">21. Dividends, Buybacks and Treasury Shares (Five-Year Timeline)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3"/>
        <w:gridCol w:w="670"/>
        <w:gridCol w:w="663"/>
        <w:gridCol w:w="663"/>
        <w:gridCol w:w="708"/>
        <w:gridCol w:w="663"/>
        <w:gridCol w:w="2011"/>
        <w:gridCol w:w="2008"/>
        <w:gridCol w:w="1190"/>
        <w:gridCol w:w="667"/>
      </w:tblGrid>
      <w:tr>
        <w:trPr>
          <w:tblHeader/>
        </w:trPr>
        <w:tc>
          <w:tcPr>
            <w:tcW w:type="dxa" w:w="66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3"/>
                <w:szCs w:val="13"/>
              </w:rPr>
              <w:t xml:space="preserve">FY</w:t>
            </w:r>
          </w:p>
        </w:tc>
        <w:tc>
          <w:tcPr>
            <w:tcW w:type="dxa" w:w="67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Interim (sen)</w:t>
            </w:r>
          </w:p>
        </w:tc>
        <w:tc>
          <w:tcPr>
            <w:tcW w:type="dxa" w:w="66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Final (sen)</w:t>
            </w:r>
          </w:p>
        </w:tc>
        <w:tc>
          <w:tcPr>
            <w:tcW w:type="dxa" w:w="66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Special (sen)</w:t>
            </w:r>
          </w:p>
        </w:tc>
        <w:tc>
          <w:tcPr>
            <w:tcW w:type="dxa" w:w="70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Total DPS (sen)</w:t>
            </w:r>
          </w:p>
        </w:tc>
        <w:tc>
          <w:tcPr>
            <w:tcW w:type="dxa" w:w="66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Payout</w:t>
            </w:r>
          </w:p>
        </w:tc>
        <w:tc>
          <w:tcPr>
            <w:tcW w:type="dxa" w:w="201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Cash dividends paid in calendar year (RM m)</w:t>
            </w:r>
          </w:p>
        </w:tc>
        <w:tc>
          <w:tcPr>
            <w:tcW w:type="dxa" w:w="200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Buyback (RM m)</w:t>
            </w:r>
          </w:p>
        </w:tc>
        <w:tc>
          <w:tcPr>
            <w:tcW w:type="dxa" w:w="119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3"/>
                <w:szCs w:val="13"/>
              </w:rPr>
              <w:t xml:space="preserve">Treasury shares held (m)</w:t>
            </w:r>
          </w:p>
        </w:tc>
        <w:tc>
          <w:tcPr>
            <w:tcW w:type="dxa" w:w="66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3"/>
                <w:szCs w:val="13"/>
              </w:rPr>
              <w:t xml:space="preserve">Cancellations</w:t>
            </w:r>
          </w:p>
        </w:tc>
      </w:tr>
      <w:tr>
        <w:trPr>
          <w:cantSplit/>
        </w:trPr>
        <w:tc>
          <w:tcPr>
            <w:tcW w:type="dxa" w:w="66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2021</w:t>
            </w:r>
          </w:p>
        </w:tc>
        <w:tc>
          <w:tcPr>
            <w:tcW w:type="dxa" w:w="6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w:t>
            </w:r>
          </w:p>
        </w:tc>
        <w:tc>
          <w:tcPr>
            <w:tcW w:type="dxa" w:w="66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9.0</w:t>
            </w:r>
          </w:p>
        </w:tc>
        <w:tc>
          <w:tcPr>
            <w:tcW w:type="dxa" w:w="66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w:t>
            </w:r>
          </w:p>
        </w:tc>
        <w:tc>
          <w:tcPr>
            <w:tcW w:type="dxa" w:w="7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9.0</w:t>
            </w:r>
          </w:p>
        </w:tc>
        <w:tc>
          <w:tcPr>
            <w:tcW w:type="dxa" w:w="66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n.m. (loss)</w:t>
            </w:r>
          </w:p>
        </w:tc>
        <w:tc>
          <w:tcPr>
            <w:tcW w:type="dxa" w:w="201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480.3</w:t>
            </w:r>
          </w:p>
        </w:tc>
        <w:tc>
          <w:tcPr>
            <w:tcW w:type="dxa" w:w="20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21.3</w:t>
            </w:r>
          </w:p>
        </w:tc>
        <w:tc>
          <w:tcPr>
            <w:tcW w:type="dxa" w:w="11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~270-285 [u]</w:t>
            </w:r>
          </w:p>
        </w:tc>
        <w:tc>
          <w:tcPr>
            <w:tcW w:type="dxa" w:w="6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None</w:t>
            </w:r>
          </w:p>
        </w:tc>
      </w:tr>
      <w:tr>
        <w:trPr>
          <w:cantSplit/>
        </w:trPr>
        <w:tc>
          <w:tcPr>
            <w:tcW w:type="dxa" w:w="66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2022</w:t>
            </w:r>
          </w:p>
        </w:tc>
        <w:tc>
          <w:tcPr>
            <w:tcW w:type="dxa" w:w="6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6.0</w:t>
            </w:r>
          </w:p>
        </w:tc>
        <w:tc>
          <w:tcPr>
            <w:tcW w:type="dxa" w:w="66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9.0</w:t>
            </w:r>
          </w:p>
        </w:tc>
        <w:tc>
          <w:tcPr>
            <w:tcW w:type="dxa" w:w="66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w:t>
            </w:r>
          </w:p>
        </w:tc>
        <w:tc>
          <w:tcPr>
            <w:tcW w:type="dxa" w:w="70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15.0</w:t>
            </w:r>
          </w:p>
        </w:tc>
        <w:tc>
          <w:tcPr>
            <w:tcW w:type="dxa" w:w="66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n.m. (loss)</w:t>
            </w:r>
          </w:p>
        </w:tc>
        <w:tc>
          <w:tcPr>
            <w:tcW w:type="dxa" w:w="201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848.7</w:t>
            </w:r>
          </w:p>
        </w:tc>
        <w:tc>
          <w:tcPr>
            <w:tcW w:type="dxa" w:w="200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w:t>
            </w:r>
          </w:p>
        </w:tc>
        <w:tc>
          <w:tcPr>
            <w:tcW w:type="dxa" w:w="119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~270 [u]</w:t>
            </w:r>
          </w:p>
        </w:tc>
        <w:tc>
          <w:tcPr>
            <w:tcW w:type="dxa" w:w="6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None</w:t>
            </w:r>
          </w:p>
        </w:tc>
      </w:tr>
      <w:tr>
        <w:trPr>
          <w:cantSplit/>
        </w:trPr>
        <w:tc>
          <w:tcPr>
            <w:tcW w:type="dxa" w:w="66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2023</w:t>
            </w:r>
          </w:p>
        </w:tc>
        <w:tc>
          <w:tcPr>
            <w:tcW w:type="dxa" w:w="6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6.0</w:t>
            </w:r>
          </w:p>
        </w:tc>
        <w:tc>
          <w:tcPr>
            <w:tcW w:type="dxa" w:w="66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9.0</w:t>
            </w:r>
          </w:p>
        </w:tc>
        <w:tc>
          <w:tcPr>
            <w:tcW w:type="dxa" w:w="66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w:t>
            </w:r>
          </w:p>
        </w:tc>
        <w:tc>
          <w:tcPr>
            <w:tcW w:type="dxa" w:w="7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15.0</w:t>
            </w:r>
          </w:p>
        </w:tc>
        <w:tc>
          <w:tcPr>
            <w:tcW w:type="dxa" w:w="66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195%</w:t>
            </w:r>
          </w:p>
        </w:tc>
        <w:tc>
          <w:tcPr>
            <w:tcW w:type="dxa" w:w="201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850.2</w:t>
            </w:r>
          </w:p>
        </w:tc>
        <w:tc>
          <w:tcPr>
            <w:tcW w:type="dxa" w:w="20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w:t>
            </w:r>
          </w:p>
        </w:tc>
        <w:tc>
          <w:tcPr>
            <w:tcW w:type="dxa" w:w="11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270.3</w:t>
            </w:r>
          </w:p>
        </w:tc>
        <w:tc>
          <w:tcPr>
            <w:tcW w:type="dxa" w:w="6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None</w:t>
            </w:r>
          </w:p>
        </w:tc>
      </w:tr>
      <w:tr>
        <w:trPr>
          <w:cantSplit/>
        </w:trPr>
        <w:tc>
          <w:tcPr>
            <w:tcW w:type="dxa" w:w="66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2024</w:t>
            </w:r>
          </w:p>
        </w:tc>
        <w:tc>
          <w:tcPr>
            <w:tcW w:type="dxa" w:w="6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6.0</w:t>
            </w:r>
          </w:p>
        </w:tc>
        <w:tc>
          <w:tcPr>
            <w:tcW w:type="dxa" w:w="66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4.0</w:t>
            </w:r>
          </w:p>
        </w:tc>
        <w:tc>
          <w:tcPr>
            <w:tcW w:type="dxa" w:w="66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w:t>
            </w:r>
          </w:p>
        </w:tc>
        <w:tc>
          <w:tcPr>
            <w:tcW w:type="dxa" w:w="70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10.0</w:t>
            </w:r>
          </w:p>
        </w:tc>
        <w:tc>
          <w:tcPr>
            <w:tcW w:type="dxa" w:w="66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226%</w:t>
            </w:r>
          </w:p>
        </w:tc>
        <w:tc>
          <w:tcPr>
            <w:tcW w:type="dxa" w:w="201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850.2</w:t>
            </w:r>
          </w:p>
        </w:tc>
        <w:tc>
          <w:tcPr>
            <w:tcW w:type="dxa" w:w="200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w:t>
            </w:r>
          </w:p>
        </w:tc>
        <w:tc>
          <w:tcPr>
            <w:tcW w:type="dxa" w:w="119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270.3</w:t>
            </w:r>
          </w:p>
        </w:tc>
        <w:tc>
          <w:tcPr>
            <w:tcW w:type="dxa" w:w="6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None</w:t>
            </w:r>
          </w:p>
        </w:tc>
      </w:tr>
      <w:tr>
        <w:trPr>
          <w:cantSplit/>
        </w:trPr>
        <w:tc>
          <w:tcPr>
            <w:tcW w:type="dxa" w:w="66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2025</w:t>
            </w:r>
          </w:p>
        </w:tc>
        <w:tc>
          <w:tcPr>
            <w:tcW w:type="dxa" w:w="6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bCs/>
                <w:color w:val="1A1F2B"/>
                <w:sz w:val="13"/>
                <w:szCs w:val="13"/>
              </w:rPr>
              <w:t xml:space="preserve">none</w:t>
            </w:r>
          </w:p>
        </w:tc>
        <w:tc>
          <w:tcPr>
            <w:tcW w:type="dxa" w:w="66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7.0</w:t>
            </w:r>
          </w:p>
        </w:tc>
        <w:tc>
          <w:tcPr>
            <w:tcW w:type="dxa" w:w="66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w:t>
            </w:r>
          </w:p>
        </w:tc>
        <w:tc>
          <w:tcPr>
            <w:tcW w:type="dxa" w:w="7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7.0</w:t>
            </w:r>
          </w:p>
        </w:tc>
        <w:tc>
          <w:tcPr>
            <w:tcW w:type="dxa" w:w="66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53%</w:t>
            </w:r>
          </w:p>
        </w:tc>
        <w:tc>
          <w:tcPr>
            <w:tcW w:type="dxa" w:w="201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226.7</w:t>
            </w:r>
          </w:p>
        </w:tc>
        <w:tc>
          <w:tcPr>
            <w:tcW w:type="dxa" w:w="20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w:t>
            </w:r>
          </w:p>
        </w:tc>
        <w:tc>
          <w:tcPr>
            <w:tcW w:type="dxa" w:w="11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270.3</w:t>
            </w:r>
          </w:p>
        </w:tc>
        <w:tc>
          <w:tcPr>
            <w:tcW w:type="dxa" w:w="6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None</w:t>
            </w:r>
          </w:p>
        </w:tc>
      </w:tr>
      <w:tr>
        <w:trPr>
          <w:cantSplit/>
        </w:trPr>
        <w:tc>
          <w:tcPr>
            <w:tcW w:type="dxa" w:w="66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3"/>
                <w:szCs w:val="13"/>
              </w:rPr>
              <w:t xml:space="preserve">2026 YTD</w:t>
            </w:r>
          </w:p>
        </w:tc>
        <w:tc>
          <w:tcPr>
            <w:tcW w:type="dxa" w:w="67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bCs/>
                <w:color w:val="1A1F2B"/>
                <w:sz w:val="13"/>
                <w:szCs w:val="13"/>
              </w:rPr>
              <w:t xml:space="preserve">none</w:t>
            </w:r>
          </w:p>
        </w:tc>
        <w:tc>
          <w:tcPr>
            <w:tcW w:type="dxa" w:w="66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w:t>
            </w:r>
          </w:p>
        </w:tc>
        <w:tc>
          <w:tcPr>
            <w:tcW w:type="dxa" w:w="66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w:t>
            </w:r>
          </w:p>
        </w:tc>
        <w:tc>
          <w:tcPr>
            <w:tcW w:type="dxa" w:w="70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w:t>
            </w:r>
          </w:p>
        </w:tc>
        <w:tc>
          <w:tcPr>
            <w:tcW w:type="dxa" w:w="66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w:t>
            </w:r>
          </w:p>
        </w:tc>
        <w:tc>
          <w:tcPr>
            <w:tcW w:type="dxa" w:w="201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396.7 (FY25 final, Apr-26)</w:t>
            </w:r>
          </w:p>
        </w:tc>
        <w:tc>
          <w:tcPr>
            <w:tcW w:type="dxa" w:w="200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Mandate renewed 10-Jun-26; "commenced" 17-Sep-26, no executions found</w:t>
            </w:r>
          </w:p>
        </w:tc>
        <w:tc>
          <w:tcPr>
            <w:tcW w:type="dxa" w:w="119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3"/>
                <w:szCs w:val="13"/>
              </w:rPr>
              <w:t xml:space="preserve">270.3</w:t>
            </w:r>
          </w:p>
        </w:tc>
        <w:tc>
          <w:tcPr>
            <w:tcW w:type="dxa" w:w="66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3"/>
                <w:szCs w:val="13"/>
              </w:rPr>
              <w:t xml:space="preserve">None</w:t>
            </w:r>
          </w:p>
        </w:tc>
      </w:tr>
    </w:tbl>
    <w:p>
      <w:pPr>
        <w:spacing w:after="60"/>
      </w:pPr>
    </w:p>
    <w:p>
      <w:pPr>
        <w:spacing w:after="120" w:line="276"/>
      </w:pPr>
      <w:r>
        <w:rPr>
          <w:rFonts w:ascii="Arial" w:cs="Arial" w:eastAsia="Arial" w:hAnsi="Arial"/>
          <w:sz w:val="19"/>
          <w:szCs w:val="19"/>
        </w:rPr>
        <w:t xml:space="preserve">Earlier years: FY2016 16.5 sen; FY2017 17 sen (incl. 8 sen special); FY2018 19 sen (incl. 8 sen special); FY2019 20 sen (incl. 9 sen special); FY2020 14.5 sen (incl. 8.5 sen special).</w:t>
      </w:r>
    </w:p>
    <w:p>
      <w:pPr>
        <w:spacing w:after="160"/>
      </w:pPr>
      <w:r>
        <w:rPr>
          <w:rFonts w:ascii="Arial" w:cs="Arial" w:eastAsia="Arial" w:hAnsi="Arial"/>
          <w:i/>
          <w:iCs/>
          <w:color w:val="5A6270"/>
          <w:sz w:val="14"/>
          <w:szCs w:val="14"/>
        </w:rPr>
        <w:t xml:space="preserve">Notes:</w:t>
      </w:r>
    </w:p>
    <w:p>
      <w:pPr>
        <w:pStyle w:val="ListParagraph"/>
        <w:numPr>
          <w:ilvl w:val="0"/>
          <w:numId w:val="3"/>
        </w:numPr>
        <w:spacing w:after="60" w:line="264"/>
      </w:pPr>
      <w:r>
        <w:rPr>
          <w:rFonts w:ascii="Arial" w:cs="Arial" w:eastAsia="Arial" w:hAnsi="Arial"/>
          <w:sz w:val="19"/>
          <w:szCs w:val="19"/>
        </w:rPr>
        <w:t xml:space="preserve">Treasury shares: 270,302,915 held against 5,938,044,648 issued (Dec-25). Treasury cost fell from RM985.9m (FY21) to RM935.7m (FY23-25), consistent with re-issuance under an employee scheme [e]. </w:t>
      </w:r>
      <w:r>
        <w:rPr>
          <w:rFonts w:ascii="Arial" w:cs="Arial" w:eastAsia="Arial" w:hAnsi="Arial"/>
          <w:b/>
          <w:bCs/>
          <w:sz w:val="19"/>
          <w:szCs w:val="19"/>
        </w:rPr>
        <w:t xml:space="preserve">No cancellations</w:t>
      </w:r>
      <w:r>
        <w:rPr>
          <w:rFonts w:ascii="Arial" w:cs="Arial" w:eastAsia="Arial" w:hAnsi="Arial"/>
          <w:sz w:val="19"/>
          <w:szCs w:val="19"/>
        </w:rPr>
        <w:t xml:space="preserve"> in the period.</w:t>
      </w:r>
    </w:p>
    <w:p>
      <w:pPr>
        <w:pStyle w:val="ListParagraph"/>
        <w:numPr>
          <w:ilvl w:val="0"/>
          <w:numId w:val="3"/>
        </w:numPr>
        <w:spacing w:after="60" w:line="264"/>
      </w:pPr>
      <w:r>
        <w:rPr>
          <w:rFonts w:ascii="Arial" w:cs="Arial" w:eastAsia="Arial" w:hAnsi="Arial"/>
          <w:sz w:val="19"/>
          <w:szCs w:val="19"/>
        </w:rPr>
        <w:t xml:space="preserve">Source: GENM AR2025, S&amp;P Capital IQ.</w:t>
      </w:r>
    </w:p>
    <w:p>
      <w:pPr>
        <w:spacing w:after="40" w:before="80"/>
        <w:jc w:val="center"/>
      </w:pPr>
      <w:r>
        <w:drawing>
          <wp:inline distT="0" distB="0" distL="0" distR="0">
            <wp:extent cx="4000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581275"/>
                    </a:xfrm>
                    <a:prstGeom prst="rect">
                      <a:avLst/>
                    </a:prstGeom>
                  </pic:spPr>
                </pic:pic>
              </a:graphicData>
            </a:graphic>
          </wp:inline>
        </w:drawing>
      </w:r>
    </w:p>
    <w:p>
      <w:pPr>
        <w:spacing w:after="160"/>
        <w:jc w:val="left"/>
      </w:pPr>
      <w:r>
        <w:rPr>
          <w:rFonts w:ascii="Arial" w:cs="Arial" w:eastAsia="Arial" w:hAnsi="Arial"/>
          <w:i/>
          <w:iCs/>
          <w:color w:val="5A6270"/>
          <w:sz w:val="15"/>
          <w:szCs w:val="15"/>
        </w:rPr>
        <w:t xml:space="preserve">Figure: Dividend per share declared, FY2016-FY2025.</w:t>
      </w:r>
    </w:p>
    <w:p>
      <w:pPr>
        <w:spacing w:after="120" w:line="276"/>
      </w:pPr>
      <w:r>
        <w:rPr>
          <w:rFonts w:ascii="Arial" w:cs="Arial" w:eastAsia="Arial" w:hAnsi="Arial"/>
          <w:b/>
          <w:bCs/>
          <w:sz w:val="19"/>
          <w:szCs w:val="19"/>
        </w:rPr>
        <w:t xml:space="preserve">Read-across:</w:t>
      </w:r>
      <w:r>
        <w:rPr>
          <w:rFonts w:ascii="Arial" w:cs="Arial" w:eastAsia="Arial" w:hAnsi="Arial"/>
          <w:sz w:val="19"/>
          <w:szCs w:val="19"/>
        </w:rPr>
        <w:t xml:space="preserve"> dividends were maintained through FY2023-24 at ~2x earnings, funded by debt. They have since been cut to protect the NY build. With FY26E EPS of ~4 sen (ours), a 7 sen final is at risk; Kenanga already models 5 sen.</w:t>
      </w:r>
    </w:p>
    <w:p>
      <w:r>
        <w:br w:type="page"/>
      </w:r>
    </w:p>
    <w:p>
      <w:pPr>
        <w:pStyle w:val="Heading1"/>
      </w:pPr>
      <w:r>
        <w:t xml:space="preserve">22. Adversarial Analysis I: The Bull Case</w:t>
      </w:r>
    </w:p>
    <w:p>
      <w:pPr>
        <w:pStyle w:val="ListParagraph"/>
        <w:numPr>
          <w:ilvl w:val="0"/>
          <w:numId w:val="9"/>
        </w:numPr>
        <w:spacing w:after="60" w:line="264"/>
      </w:pPr>
      <w:r>
        <w:rPr>
          <w:rFonts w:ascii="Arial" w:cs="Arial" w:eastAsia="Arial" w:hAnsi="Arial"/>
          <w:b/>
          <w:bCs/>
          <w:sz w:val="19"/>
          <w:szCs w:val="19"/>
        </w:rPr>
        <w:t xml:space="preserve">A licence monopoly at a trough multiple.</w:t>
      </w:r>
      <w:r>
        <w:rPr>
          <w:rFonts w:ascii="Arial" w:cs="Arial" w:eastAsia="Arial" w:hAnsi="Arial"/>
          <w:sz w:val="19"/>
          <w:szCs w:val="19"/>
        </w:rPr>
        <w:t xml:space="preserve"> RWG is Malaysia's only casino, with ~RM2.1bn of EBITDA at a ~30% margin, 28.6m visitors and 98% hotel occupancy. Comparable regional casino monopolies trade at 7-9x and change hands at 9-11x. At today's price, if the US business is valued at 7.5x, RWG is implicitly valued at </w:t>
      </w:r>
      <w:r>
        <w:rPr>
          <w:rFonts w:ascii="Arial" w:cs="Arial" w:eastAsia="Arial" w:hAnsi="Arial"/>
          <w:b/>
          <w:bCs/>
          <w:sz w:val="19"/>
          <w:szCs w:val="19"/>
        </w:rPr>
        <w:t xml:space="preserve">~4.6x EBITDA</w:t>
      </w:r>
      <w:r>
        <w:rPr>
          <w:rFonts w:ascii="Arial" w:cs="Arial" w:eastAsia="Arial" w:hAnsi="Arial"/>
          <w:sz w:val="19"/>
          <w:szCs w:val="19"/>
        </w:rPr>
        <w:t xml:space="preserve">.</w:t>
      </w:r>
    </w:p>
    <w:p>
      <w:pPr>
        <w:pStyle w:val="ListParagraph"/>
        <w:numPr>
          <w:ilvl w:val="0"/>
          <w:numId w:val="9"/>
        </w:numPr>
        <w:spacing w:after="60" w:line="264"/>
      </w:pPr>
      <w:r>
        <w:rPr>
          <w:rFonts w:ascii="Arial" w:cs="Arial" w:eastAsia="Arial" w:hAnsi="Arial"/>
          <w:b/>
          <w:bCs/>
          <w:sz w:val="19"/>
          <w:szCs w:val="19"/>
        </w:rPr>
        <w:t xml:space="preserve">New York is a scarce, appreciating licence.</w:t>
      </w:r>
      <w:r>
        <w:rPr>
          <w:rFonts w:ascii="Arial" w:cs="Arial" w:eastAsia="Arial" w:hAnsi="Arial"/>
          <w:sz w:val="19"/>
          <w:szCs w:val="19"/>
        </w:rPr>
        <w:t xml:space="preserve"> RWNYC is the only full casino in NYC until ~2030, adjacent to JFK and on the subway. It ran ~US$30.8m of weekly GGR within 11 weeks of opening tables (~US$1.6bn annualised). The slot tax fell from ~68% to 56%. Fitch sees ~US$450m of NY EBITDA by 2028 and S&amp;P a run-rate above US$400m; the market pays ~US$0.7bn for the whole US business.</w:t>
      </w:r>
    </w:p>
    <w:p>
      <w:pPr>
        <w:pStyle w:val="ListParagraph"/>
        <w:numPr>
          <w:ilvl w:val="0"/>
          <w:numId w:val="9"/>
        </w:numPr>
        <w:spacing w:after="60" w:line="264"/>
      </w:pPr>
      <w:r>
        <w:rPr>
          <w:rFonts w:ascii="Arial" w:cs="Arial" w:eastAsia="Arial" w:hAnsi="Arial"/>
          <w:b/>
          <w:bCs/>
          <w:sz w:val="19"/>
          <w:szCs w:val="19"/>
        </w:rPr>
        <w:t xml:space="preserve">Moat sustainability.</w:t>
      </w:r>
      <w:r>
        <w:rPr>
          <w:rFonts w:ascii="Arial" w:cs="Arial" w:eastAsia="Arial" w:hAnsi="Arial"/>
          <w:sz w:val="19"/>
          <w:szCs w:val="19"/>
        </w:rPr>
        <w:t xml:space="preserve"> Malaysia's government has repeatedly and publicly defended the single-licence model (Forest City denial, 2024). The NYC licence came with a ground lease running 60 years past licence expiry, and MGM's withdrawal shows the barrier to entry.</w:t>
      </w:r>
    </w:p>
    <w:p>
      <w:pPr>
        <w:pStyle w:val="ListParagraph"/>
        <w:numPr>
          <w:ilvl w:val="0"/>
          <w:numId w:val="9"/>
        </w:numPr>
        <w:spacing w:after="60" w:line="264"/>
      </w:pPr>
      <w:r>
        <w:rPr>
          <w:rFonts w:ascii="Arial" w:cs="Arial" w:eastAsia="Arial" w:hAnsi="Arial"/>
          <w:b/>
          <w:bCs/>
          <w:sz w:val="19"/>
          <w:szCs w:val="19"/>
        </w:rPr>
        <w:t xml:space="preserve">Growth levers and potential earnings surprises:</w:t>
      </w:r>
    </w:p>
    <w:p>
      <w:pPr>
        <w:pStyle w:val="ListParagraph"/>
        <w:numPr>
          <w:ilvl w:val="1"/>
          <w:numId w:val="3"/>
        </w:numPr>
        <w:spacing w:after="60" w:line="264"/>
      </w:pPr>
      <w:r>
        <w:rPr>
          <w:rFonts w:ascii="Arial" w:cs="Arial" w:eastAsia="Arial" w:hAnsi="Arial"/>
          <w:sz w:val="19"/>
          <w:szCs w:val="19"/>
        </w:rPr>
        <w:t xml:space="preserve">a full quarter of NY tables in 3Q26 (late Nov);</w:t>
      </w:r>
    </w:p>
    <w:p>
      <w:pPr>
        <w:pStyle w:val="ListParagraph"/>
        <w:numPr>
          <w:ilvl w:val="1"/>
          <w:numId w:val="3"/>
        </w:numPr>
        <w:spacing w:after="60" w:line="264"/>
      </w:pPr>
      <w:r>
        <w:rPr>
          <w:rFonts w:ascii="Arial" w:cs="Arial" w:eastAsia="Arial" w:hAnsi="Arial"/>
          <w:sz w:val="19"/>
          <w:szCs w:val="19"/>
        </w:rPr>
        <w:t xml:space="preserve">reopening of RWG's two closed casino floors;</w:t>
      </w:r>
    </w:p>
    <w:p>
      <w:pPr>
        <w:pStyle w:val="ListParagraph"/>
        <w:numPr>
          <w:ilvl w:val="1"/>
          <w:numId w:val="3"/>
        </w:numPr>
        <w:spacing w:after="60" w:line="264"/>
      </w:pPr>
      <w:r>
        <w:rPr>
          <w:rFonts w:ascii="Arial" w:cs="Arial" w:eastAsia="Arial" w:hAnsi="Arial"/>
          <w:sz w:val="19"/>
          <w:szCs w:val="19"/>
        </w:rPr>
        <w:t xml:space="preserve">Genting Premium Outlets phase 2 and new attractions;</w:t>
      </w:r>
    </w:p>
    <w:p>
      <w:pPr>
        <w:pStyle w:val="ListParagraph"/>
        <w:numPr>
          <w:ilvl w:val="1"/>
          <w:numId w:val="3"/>
        </w:numPr>
        <w:spacing w:after="60" w:line="264"/>
      </w:pPr>
      <w:r>
        <w:rPr>
          <w:rFonts w:ascii="Arial" w:cs="Arial" w:eastAsia="Arial" w:hAnsi="Arial"/>
          <w:sz w:val="19"/>
          <w:szCs w:val="19"/>
        </w:rPr>
        <w:t xml:space="preserve">ECRL rail access;</w:t>
      </w:r>
    </w:p>
    <w:p>
      <w:pPr>
        <w:pStyle w:val="ListParagraph"/>
        <w:numPr>
          <w:ilvl w:val="1"/>
          <w:numId w:val="3"/>
        </w:numPr>
        <w:spacing w:after="60" w:line="264"/>
      </w:pPr>
      <w:r>
        <w:rPr>
          <w:rFonts w:ascii="Arial" w:cs="Arial" w:eastAsia="Arial" w:hAnsi="Arial"/>
          <w:sz w:val="19"/>
          <w:szCs w:val="19"/>
        </w:rPr>
        <w:t xml:space="preserve">China visa-free flows;</w:t>
      </w:r>
    </w:p>
    <w:p>
      <w:pPr>
        <w:pStyle w:val="ListParagraph"/>
        <w:numPr>
          <w:ilvl w:val="1"/>
          <w:numId w:val="3"/>
        </w:numPr>
        <w:spacing w:after="60" w:line="264"/>
      </w:pPr>
      <w:r>
        <w:rPr>
          <w:rFonts w:ascii="Arial" w:cs="Arial" w:eastAsia="Arial" w:hAnsi="Arial"/>
          <w:sz w:val="19"/>
          <w:szCs w:val="19"/>
        </w:rPr>
        <w:t xml:space="preserve">a negotiated racing-support settlement or tax equalisation;</w:t>
      </w:r>
    </w:p>
    <w:p>
      <w:pPr>
        <w:pStyle w:val="ListParagraph"/>
        <w:numPr>
          <w:ilvl w:val="1"/>
          <w:numId w:val="3"/>
        </w:numPr>
        <w:spacing w:after="60" w:line="264"/>
      </w:pPr>
      <w:r>
        <w:rPr>
          <w:rFonts w:ascii="Arial" w:cs="Arial" w:eastAsia="Arial" w:hAnsi="Arial"/>
          <w:sz w:val="19"/>
          <w:szCs w:val="19"/>
        </w:rPr>
        <w:t xml:space="preserve">margin recovery as pre-opening costs roll off.</w:t>
      </w:r>
    </w:p>
    <w:p>
      <w:pPr>
        <w:pStyle w:val="ListParagraph"/>
        <w:numPr>
          <w:ilvl w:val="1"/>
          <w:numId w:val="3"/>
        </w:numPr>
        <w:spacing w:after="60" w:line="264"/>
      </w:pPr>
      <w:r>
        <w:rPr>
          <w:rFonts w:ascii="Arial" w:cs="Arial" w:eastAsia="Arial" w:hAnsi="Arial"/>
          <w:sz w:val="19"/>
          <w:szCs w:val="19"/>
        </w:rPr>
        <w:t xml:space="preserve">if the FY26E consensus EBIT margin (12.7%) is reached, the peer regression implies RM1.96-2.13.</w:t>
      </w:r>
    </w:p>
    <w:p>
      <w:pPr>
        <w:pStyle w:val="ListParagraph"/>
        <w:numPr>
          <w:ilvl w:val="0"/>
          <w:numId w:val="9"/>
        </w:numPr>
        <w:spacing w:after="60" w:line="264"/>
      </w:pPr>
      <w:r>
        <w:rPr>
          <w:rFonts w:ascii="Arial" w:cs="Arial" w:eastAsia="Arial" w:hAnsi="Arial"/>
          <w:b/>
          <w:bCs/>
          <w:sz w:val="19"/>
          <w:szCs w:val="19"/>
        </w:rPr>
        <w:t xml:space="preserve">Hidden and under-appreciated assets:</w:t>
      </w:r>
      <w:r>
        <w:rPr>
          <w:rFonts w:ascii="Arial" w:cs="Arial" w:eastAsia="Arial" w:hAnsi="Arial"/>
          <w:sz w:val="19"/>
          <w:szCs w:val="19"/>
        </w:rPr>
        <w:t xml:space="preserve"> ~30 acres of freehold Miami waterfront (a US$1.225bn bid in 2023 vs book of ~US$0.5bn), the NY real estate (sale-leaseback potential at REIT cap rates), and the UK estate.</w:t>
      </w:r>
    </w:p>
    <w:p>
      <w:pPr>
        <w:pStyle w:val="ListParagraph"/>
        <w:numPr>
          <w:ilvl w:val="0"/>
          <w:numId w:val="9"/>
        </w:numPr>
        <w:spacing w:after="60" w:line="264"/>
      </w:pPr>
      <w:r>
        <w:rPr>
          <w:rFonts w:ascii="Arial" w:cs="Arial" w:eastAsia="Arial" w:hAnsi="Arial"/>
          <w:b/>
          <w:bCs/>
          <w:sz w:val="19"/>
          <w:szCs w:val="19"/>
        </w:rPr>
        <w:t xml:space="preserve">Event optionality.</w:t>
      </w:r>
      <w:r>
        <w:rPr>
          <w:rFonts w:ascii="Arial" w:cs="Arial" w:eastAsia="Arial" w:hAnsi="Arial"/>
          <w:sz w:val="19"/>
          <w:szCs w:val="19"/>
        </w:rPr>
        <w:t xml:space="preserve"> The parent is 1.16pp from 75% and has said it does not intend to keep GENM listed. The lapsed RM2.35 offer and the independent adviser's RM3.48-3.77 SOTP anchor any future bid. </w:t>
      </w:r>
      <w:r>
        <w:rPr>
          <w:rFonts w:ascii="Arial" w:cs="Arial" w:eastAsia="Arial" w:hAnsi="Arial"/>
          <w:b/>
          <w:bCs/>
          <w:sz w:val="19"/>
          <w:szCs w:val="19"/>
        </w:rPr>
        <w:t xml:space="preserve">Holders get paid to wait</w:t>
      </w:r>
      <w:r>
        <w:rPr>
          <w:rFonts w:ascii="Arial" w:cs="Arial" w:eastAsia="Arial" w:hAnsi="Arial"/>
          <w:sz w:val="19"/>
          <w:szCs w:val="19"/>
        </w:rPr>
        <w:t xml:space="preserve">: the dividend yield is ~4-5.5%.</w:t>
      </w:r>
    </w:p>
    <w:p>
      <w:pPr>
        <w:pStyle w:val="ListParagraph"/>
        <w:numPr>
          <w:ilvl w:val="0"/>
          <w:numId w:val="9"/>
        </w:numPr>
        <w:spacing w:after="60" w:line="264"/>
      </w:pPr>
      <w:r>
        <w:rPr>
          <w:rFonts w:ascii="Arial" w:cs="Arial" w:eastAsia="Arial" w:hAnsi="Arial"/>
          <w:b/>
          <w:bCs/>
          <w:sz w:val="19"/>
          <w:szCs w:val="19"/>
        </w:rPr>
        <w:t xml:space="preserve">Capital allocation can only get better from here:</w:t>
      </w:r>
      <w:r>
        <w:rPr>
          <w:rFonts w:ascii="Arial" w:cs="Arial" w:eastAsia="Arial" w:hAnsi="Arial"/>
          <w:sz w:val="19"/>
          <w:szCs w:val="19"/>
        </w:rPr>
        <w:t xml:space="preserve"> the NY capex peak is 2026-27, the buyback mandate is active, and the dividend payout reset is done.</w:t>
      </w:r>
    </w:p>
    <w:p>
      <w:r>
        <w:br w:type="page"/>
      </w:r>
    </w:p>
    <w:p>
      <w:pPr>
        <w:pStyle w:val="Heading1"/>
      </w:pPr>
      <w:r>
        <w:t xml:space="preserve">23. Adversarial Analysis II: The Bear Case, Pre-Mortem and Contrarian View</w:t>
      </w:r>
    </w:p>
    <w:p>
      <w:pPr>
        <w:pStyle w:val="Heading2"/>
      </w:pPr>
      <w:r>
        <w:t xml:space="preserve">23.1 Two to three risks that could permanently impair the business</w:t>
      </w:r>
    </w:p>
    <w:p>
      <w:pPr>
        <w:pStyle w:val="ListParagraph"/>
        <w:numPr>
          <w:ilvl w:val="0"/>
          <w:numId w:val="10"/>
        </w:numPr>
        <w:spacing w:after="60" w:line="264"/>
      </w:pPr>
      <w:r>
        <w:rPr>
          <w:rFonts w:ascii="Arial" w:cs="Arial" w:eastAsia="Arial" w:hAnsi="Arial"/>
          <w:b/>
          <w:bCs/>
          <w:sz w:val="19"/>
          <w:szCs w:val="19"/>
        </w:rPr>
        <w:t xml:space="preserve">Policy at both ends.</w:t>
      </w:r>
      <w:r>
        <w:rPr>
          <w:rFonts w:ascii="Arial" w:cs="Arial" w:eastAsia="Arial" w:hAnsi="Arial"/>
          <w:sz w:val="19"/>
          <w:szCs w:val="19"/>
        </w:rPr>
        <w:t xml:space="preserve"> In Malaysia, a quarterly licence, a 35% duty that has been raised before, and PAS's vow to close RWG if it wins Pahang (GE16 by early 2028). In New York, a State that says ~US$150m a year of racing support is owed on top of the 56% tax (effective ~72%), and two rivals arriving ~2030 at half the tax rate.</w:t>
      </w:r>
    </w:p>
    <w:p>
      <w:pPr>
        <w:pStyle w:val="ListParagraph"/>
        <w:numPr>
          <w:ilvl w:val="0"/>
          <w:numId w:val="10"/>
        </w:numPr>
        <w:spacing w:after="60" w:line="264"/>
      </w:pPr>
      <w:r>
        <w:rPr>
          <w:rFonts w:ascii="Arial" w:cs="Arial" w:eastAsia="Arial" w:hAnsi="Arial"/>
          <w:b/>
          <w:bCs/>
          <w:sz w:val="19"/>
          <w:szCs w:val="19"/>
        </w:rPr>
        <w:t xml:space="preserve">Over-investment at sub-par returns.</w:t>
      </w:r>
      <w:r>
        <w:rPr>
          <w:rFonts w:ascii="Arial" w:cs="Arial" w:eastAsia="Arial" w:hAnsi="Arial"/>
          <w:sz w:val="19"/>
          <w:szCs w:val="19"/>
        </w:rPr>
        <w:t xml:space="preserve"> US$3.7bn of remaining NY capex at a time of 5x leverage, against a decade of ROIC of 3-6%. Phase 2 (US$3.3bn) may never earn its cost of capital once rivals open.</w:t>
      </w:r>
    </w:p>
    <w:p>
      <w:pPr>
        <w:pStyle w:val="ListParagraph"/>
        <w:numPr>
          <w:ilvl w:val="0"/>
          <w:numId w:val="10"/>
        </w:numPr>
        <w:spacing w:after="60" w:line="264"/>
      </w:pPr>
      <w:r>
        <w:rPr>
          <w:rFonts w:ascii="Arial" w:cs="Arial" w:eastAsia="Arial" w:hAnsi="Arial"/>
          <w:b/>
          <w:bCs/>
          <w:sz w:val="19"/>
          <w:szCs w:val="19"/>
        </w:rPr>
        <w:t xml:space="preserve">The parent.</w:t>
      </w:r>
      <w:r>
        <w:rPr>
          <w:rFonts w:ascii="Arial" w:cs="Arial" w:eastAsia="Arial" w:hAnsi="Arial"/>
          <w:sz w:val="19"/>
          <w:szCs w:val="19"/>
        </w:rPr>
        <w:t xml:space="preserve"> A cash-strapped Genting Bhd extracts ~RM848m a year in fees, needs dividends, and may squeeze out minorities cheaply. Alternatively, it may be unable to support a GENM rights issue if one is needed.</w:t>
      </w:r>
    </w:p>
    <w:p>
      <w:pPr>
        <w:pStyle w:val="Heading2"/>
      </w:pPr>
      <w:r>
        <w:t xml:space="preserve">23.2 Margin compression and revenue deceleration risks</w:t>
      </w:r>
    </w:p>
    <w:p>
      <w:pPr>
        <w:pStyle w:val="ListParagraph"/>
        <w:numPr>
          <w:ilvl w:val="0"/>
          <w:numId w:val="3"/>
        </w:numPr>
        <w:spacing w:after="60" w:line="264"/>
      </w:pPr>
      <w:r>
        <w:rPr>
          <w:rFonts w:ascii="Arial" w:cs="Arial" w:eastAsia="Arial" w:hAnsi="Arial"/>
          <w:sz w:val="19"/>
          <w:szCs w:val="19"/>
        </w:rPr>
        <w:t xml:space="preserve">US mix dilutes the group margin: the NY tax take is 56% vs 35% in Malaysia. The 2Q26 adj. EBITDA margin was ~22% vs 30-35% historically.</w:t>
      </w:r>
    </w:p>
    <w:p>
      <w:pPr>
        <w:pStyle w:val="ListParagraph"/>
        <w:numPr>
          <w:ilvl w:val="0"/>
          <w:numId w:val="3"/>
        </w:numPr>
        <w:spacing w:after="60" w:line="264"/>
      </w:pPr>
      <w:r>
        <w:rPr>
          <w:rFonts w:ascii="Arial" w:cs="Arial" w:eastAsia="Arial" w:hAnsi="Arial"/>
          <w:sz w:val="19"/>
          <w:szCs w:val="19"/>
        </w:rPr>
        <w:t xml:space="preserve">Malaysian costs are rising: the minimum wage goes up 17.6% from Jun-2027, plus EPF for foreign workers and energy costs (Brent &gt;US$100).</w:t>
      </w:r>
    </w:p>
    <w:p>
      <w:pPr>
        <w:pStyle w:val="ListParagraph"/>
        <w:numPr>
          <w:ilvl w:val="0"/>
          <w:numId w:val="3"/>
        </w:numPr>
        <w:spacing w:after="60" w:line="264"/>
      </w:pPr>
      <w:r>
        <w:rPr>
          <w:rFonts w:ascii="Arial" w:cs="Arial" w:eastAsia="Arial" w:hAnsi="Arial"/>
          <w:sz w:val="19"/>
          <w:szCs w:val="19"/>
        </w:rPr>
        <w:t xml:space="preserve">UK machine-games duty could double (28-Oct-2026), putting 13 of 32 casinos at risk.</w:t>
      </w:r>
    </w:p>
    <w:p>
      <w:pPr>
        <w:pStyle w:val="ListParagraph"/>
        <w:numPr>
          <w:ilvl w:val="0"/>
          <w:numId w:val="3"/>
        </w:numPr>
        <w:spacing w:after="60" w:line="264"/>
      </w:pPr>
      <w:r>
        <w:rPr>
          <w:rFonts w:ascii="Arial" w:cs="Arial" w:eastAsia="Arial" w:hAnsi="Arial"/>
          <w:sz w:val="19"/>
          <w:szCs w:val="19"/>
        </w:rPr>
        <w:t xml:space="preserve">RWG visitation is flat at ~28-29m (room-constrained), so growth depends on price and hold.</w:t>
      </w:r>
    </w:p>
    <w:p>
      <w:pPr>
        <w:pStyle w:val="Heading2"/>
      </w:pPr>
      <w:r>
        <w:t xml:space="preserve">23.3 Are expectations too high?</w:t>
      </w:r>
    </w:p>
    <w:p>
      <w:pPr>
        <w:spacing w:after="120" w:line="276"/>
      </w:pPr>
      <w:r>
        <w:rPr>
          <w:rFonts w:ascii="Arial" w:cs="Arial" w:eastAsia="Arial" w:hAnsi="Arial"/>
          <w:b/>
          <w:bCs/>
          <w:sz w:val="19"/>
          <w:szCs w:val="19"/>
        </w:rPr>
        <w:t xml:space="preserve">Yes, below EBITDA.</w:t>
      </w:r>
      <w:r>
        <w:rPr>
          <w:rFonts w:ascii="Arial" w:cs="Arial" w:eastAsia="Arial" w:hAnsi="Arial"/>
          <w:sz w:val="19"/>
          <w:szCs w:val="19"/>
        </w:rPr>
        <w:t xml:space="preserve"> Our FY26-28E EPS is 27-42% below consensus because brokers under-model interest (FY27E RM910m consensus vs our ~RM1.05bn) and use stale net debt (FY26E RM10.0bn vs RM14.2bn actual at Jun-26). Consensus EBITDA is reasonable. The equity is not cheap on earnings: 14.8x our FY27E P/E against 10.1x for peers.</w:t>
      </w:r>
    </w:p>
    <w:p>
      <w:pPr>
        <w:pStyle w:val="Heading2"/>
      </w:pPr>
      <w:r>
        <w:t xml:space="preserve">23.4 Are valuation multiples too high?</w:t>
      </w:r>
    </w:p>
    <w:p>
      <w:pPr>
        <w:spacing w:after="120" w:line="276"/>
      </w:pPr>
      <w:r>
        <w:rPr>
          <w:rFonts w:ascii="Arial" w:cs="Arial" w:eastAsia="Arial" w:hAnsi="Arial"/>
          <w:sz w:val="19"/>
          <w:szCs w:val="19"/>
        </w:rPr>
        <w:t xml:space="preserve">On EV/EBITDA, no: 6.6x NTM vs 7.5x for peers and an 8.8x 10-year median. On P/E and EV/EBIT, yes: 14.9x and 18.2x vs 10.1x and 12.8x for peers. The right frame is that the EV multiple is low because the market discounts (a) NY returns, (b) parent extraction and (c) the probability of dilution.</w:t>
      </w:r>
    </w:p>
    <w:p>
      <w:pPr>
        <w:pStyle w:val="Heading2"/>
      </w:pPr>
      <w:r>
        <w:t xml:space="preserve">23.5 Pre-mortem: "It is October 2027 and the position lost 40%. What happened?"</w:t>
      </w:r>
    </w:p>
    <w:p>
      <w:pPr>
        <w:pStyle w:val="ListParagraph"/>
        <w:numPr>
          <w:ilvl w:val="0"/>
          <w:numId w:val="11"/>
        </w:numPr>
        <w:spacing w:after="60" w:line="264"/>
      </w:pPr>
      <w:r>
        <w:rPr>
          <w:rFonts w:ascii="Arial" w:cs="Arial" w:eastAsia="Arial" w:hAnsi="Arial"/>
          <w:b/>
          <w:bCs/>
          <w:sz w:val="19"/>
          <w:szCs w:val="19"/>
        </w:rPr>
        <w:t xml:space="preserve">NY racing support enforced</w:t>
      </w:r>
      <w:r>
        <w:rPr>
          <w:rFonts w:ascii="Arial" w:cs="Arial" w:eastAsia="Arial" w:hAnsi="Arial"/>
          <w:sz w:val="19"/>
          <w:szCs w:val="19"/>
        </w:rPr>
        <w:t xml:space="preserve"> in the 2027 legislative session. RWNYC's effective slot tax went to ~72%; NY EBITDA came in at ~US$180m vs our ~US$262m. Management paused phase 2 but had already spent ~US$1.5bn.</w:t>
      </w:r>
    </w:p>
    <w:p>
      <w:pPr>
        <w:pStyle w:val="ListParagraph"/>
        <w:numPr>
          <w:ilvl w:val="0"/>
          <w:numId w:val="11"/>
        </w:numPr>
        <w:spacing w:after="60" w:line="264"/>
      </w:pPr>
      <w:r>
        <w:rPr>
          <w:rFonts w:ascii="Arial" w:cs="Arial" w:eastAsia="Arial" w:hAnsi="Arial"/>
          <w:b/>
          <w:bCs/>
          <w:sz w:val="19"/>
          <w:szCs w:val="19"/>
        </w:rPr>
        <w:t xml:space="preserve">Malaysia softened:</w:t>
      </w:r>
      <w:r>
        <w:rPr>
          <w:rFonts w:ascii="Arial" w:cs="Arial" w:eastAsia="Arial" w:hAnsi="Arial"/>
          <w:sz w:val="19"/>
          <w:szCs w:val="19"/>
        </w:rPr>
        <w:t xml:space="preserve"> the Middle East war kept airfares high, visitation fell 5%, VIP hold normalised, and the minimum-wage rise hit 2H27. Malaysia EBITDA fell to ~RM2.0bn.</w:t>
      </w:r>
    </w:p>
    <w:p>
      <w:pPr>
        <w:pStyle w:val="ListParagraph"/>
        <w:numPr>
          <w:ilvl w:val="0"/>
          <w:numId w:val="11"/>
        </w:numPr>
        <w:spacing w:after="60" w:line="264"/>
      </w:pPr>
      <w:r>
        <w:rPr>
          <w:rFonts w:ascii="Arial" w:cs="Arial" w:eastAsia="Arial" w:hAnsi="Arial"/>
          <w:b/>
          <w:bCs/>
          <w:sz w:val="19"/>
          <w:szCs w:val="19"/>
        </w:rPr>
        <w:t xml:space="preserve">Funding stress:</w:t>
      </w:r>
      <w:r>
        <w:rPr>
          <w:rFonts w:ascii="Arial" w:cs="Arial" w:eastAsia="Arial" w:hAnsi="Arial"/>
          <w:sz w:val="19"/>
          <w:szCs w:val="19"/>
        </w:rPr>
        <w:t xml:space="preserve"> Fitch cut GENM to BB+, refinancing costs rose, and the board declared no FY26 final dividend.</w:t>
      </w:r>
    </w:p>
    <w:p>
      <w:pPr>
        <w:pStyle w:val="ListParagraph"/>
        <w:numPr>
          <w:ilvl w:val="0"/>
          <w:numId w:val="11"/>
        </w:numPr>
        <w:spacing w:after="60" w:line="264"/>
      </w:pPr>
      <w:r>
        <w:rPr>
          <w:rFonts w:ascii="Arial" w:cs="Arial" w:eastAsia="Arial" w:hAnsi="Arial"/>
          <w:b/>
          <w:bCs/>
          <w:sz w:val="19"/>
          <w:szCs w:val="19"/>
        </w:rPr>
        <w:t xml:space="preserve">The parent's rights issue under-delivered,</w:t>
      </w:r>
      <w:r>
        <w:rPr>
          <w:rFonts w:ascii="Arial" w:cs="Arial" w:eastAsia="Arial" w:hAnsi="Arial"/>
          <w:sz w:val="19"/>
          <w:szCs w:val="19"/>
        </w:rPr>
        <w:t xml:space="preserve"> and Genting Bhd sold GENM shares or pledged them. Alternatively, it proposed a share-swap privatisation at RM1.40 that minorities could not block because the free float had dispersed among retail.</w:t>
      </w:r>
    </w:p>
    <w:p>
      <w:pPr>
        <w:pStyle w:val="ListParagraph"/>
        <w:numPr>
          <w:ilvl w:val="0"/>
          <w:numId w:val="11"/>
        </w:numPr>
        <w:spacing w:after="60" w:line="264"/>
      </w:pPr>
      <w:r>
        <w:rPr>
          <w:rFonts w:ascii="Arial" w:cs="Arial" w:eastAsia="Arial" w:hAnsi="Arial"/>
          <w:b/>
          <w:bCs/>
          <w:sz w:val="19"/>
          <w:szCs w:val="19"/>
        </w:rPr>
        <w:t xml:space="preserve">Index deletion</w:t>
      </w:r>
      <w:r>
        <w:rPr>
          <w:rFonts w:ascii="Arial" w:cs="Arial" w:eastAsia="Arial" w:hAnsi="Arial"/>
          <w:sz w:val="19"/>
          <w:szCs w:val="19"/>
        </w:rPr>
        <w:t xml:space="preserve"> (MSCI small cap) forced passive selling.</w:t>
      </w:r>
    </w:p>
    <w:p>
      <w:pPr>
        <w:spacing w:after="120" w:line="276"/>
      </w:pPr>
      <w:r>
        <w:rPr>
          <w:rFonts w:ascii="Arial" w:cs="Arial" w:eastAsia="Arial" w:hAnsi="Arial"/>
          <w:b/>
          <w:bCs/>
          <w:sz w:val="19"/>
          <w:szCs w:val="19"/>
        </w:rPr>
        <w:t xml:space="preserve">Early-warning indicators to monitor:</w:t>
      </w:r>
    </w:p>
    <w:p>
      <w:pPr>
        <w:pStyle w:val="ListParagraph"/>
        <w:numPr>
          <w:ilvl w:val="0"/>
          <w:numId w:val="3"/>
        </w:numPr>
        <w:spacing w:after="60" w:line="264"/>
      </w:pPr>
      <w:r>
        <w:rPr>
          <w:rFonts w:ascii="Arial" w:cs="Arial" w:eastAsia="Arial" w:hAnsi="Arial"/>
          <w:sz w:val="19"/>
          <w:szCs w:val="19"/>
        </w:rPr>
        <w:t xml:space="preserve">NY weekly GGR trend and racing-support legislation;</w:t>
      </w:r>
    </w:p>
    <w:p>
      <w:pPr>
        <w:pStyle w:val="ListParagraph"/>
        <w:numPr>
          <w:ilvl w:val="0"/>
          <w:numId w:val="3"/>
        </w:numPr>
        <w:spacing w:after="60" w:line="264"/>
      </w:pPr>
      <w:r>
        <w:rPr>
          <w:rFonts w:ascii="Arial" w:cs="Arial" w:eastAsia="Arial" w:hAnsi="Arial"/>
          <w:sz w:val="19"/>
          <w:szCs w:val="19"/>
        </w:rPr>
        <w:t xml:space="preserve">RWG visitation and hold commentary;</w:t>
      </w:r>
    </w:p>
    <w:p>
      <w:pPr>
        <w:pStyle w:val="ListParagraph"/>
        <w:numPr>
          <w:ilvl w:val="0"/>
          <w:numId w:val="3"/>
        </w:numPr>
        <w:spacing w:after="60" w:line="264"/>
      </w:pPr>
      <w:r>
        <w:rPr>
          <w:rFonts w:ascii="Arial" w:cs="Arial" w:eastAsia="Arial" w:hAnsi="Arial"/>
          <w:sz w:val="19"/>
          <w:szCs w:val="19"/>
        </w:rPr>
        <w:t xml:space="preserve">Fitch/S&amp;P actions;</w:t>
      </w:r>
    </w:p>
    <w:p>
      <w:pPr>
        <w:pStyle w:val="ListParagraph"/>
        <w:numPr>
          <w:ilvl w:val="0"/>
          <w:numId w:val="3"/>
        </w:numPr>
        <w:spacing w:after="60" w:line="264"/>
      </w:pPr>
      <w:r>
        <w:rPr>
          <w:rFonts w:ascii="Arial" w:cs="Arial" w:eastAsia="Arial" w:hAnsi="Arial"/>
          <w:sz w:val="19"/>
          <w:szCs w:val="19"/>
        </w:rPr>
        <w:t xml:space="preserve">dividend declarations;</w:t>
      </w:r>
    </w:p>
    <w:p>
      <w:pPr>
        <w:pStyle w:val="ListParagraph"/>
        <w:numPr>
          <w:ilvl w:val="0"/>
          <w:numId w:val="3"/>
        </w:numPr>
        <w:spacing w:after="60" w:line="264"/>
      </w:pPr>
      <w:r>
        <w:rPr>
          <w:rFonts w:ascii="Arial" w:cs="Arial" w:eastAsia="Arial" w:hAnsi="Arial"/>
          <w:sz w:val="19"/>
          <w:szCs w:val="19"/>
        </w:rPr>
        <w:t xml:space="preserve">Genting Bhd's rights-issue subscription and any GENM share pledges;</w:t>
      </w:r>
    </w:p>
    <w:p>
      <w:pPr>
        <w:pStyle w:val="ListParagraph"/>
        <w:numPr>
          <w:ilvl w:val="0"/>
          <w:numId w:val="3"/>
        </w:numPr>
        <w:spacing w:after="60" w:line="264"/>
      </w:pPr>
      <w:r>
        <w:rPr>
          <w:rFonts w:ascii="Arial" w:cs="Arial" w:eastAsia="Arial" w:hAnsi="Arial"/>
          <w:sz w:val="19"/>
          <w:szCs w:val="19"/>
        </w:rPr>
        <w:t xml:space="preserve">Bursa 2% creep filings.</w:t>
      </w:r>
    </w:p>
    <w:p>
      <w:pPr>
        <w:pStyle w:val="Heading2"/>
      </w:pPr>
      <w:r>
        <w:t xml:space="preserve">23.6 Contrarian view: what the market refuses to see</w:t>
      </w:r>
    </w:p>
    <w:p>
      <w:pPr>
        <w:spacing w:after="120" w:line="276"/>
      </w:pPr>
      <w:r>
        <w:rPr>
          <w:rFonts w:ascii="Arial" w:cs="Arial" w:eastAsia="Arial" w:hAnsi="Arial"/>
          <w:b/>
          <w:bCs/>
          <w:sz w:val="19"/>
          <w:szCs w:val="19"/>
        </w:rPr>
        <w:t xml:space="preserve">The market is pricing GENM as if its parent's problems were its own, and as if New York were a liability.</w:t>
      </w:r>
    </w:p>
    <w:p>
      <w:pPr>
        <w:pStyle w:val="ListParagraph"/>
        <w:numPr>
          <w:ilvl w:val="0"/>
          <w:numId w:val="12"/>
        </w:numPr>
        <w:spacing w:after="60" w:line="264"/>
      </w:pPr>
      <w:r>
        <w:rPr>
          <w:rFonts w:ascii="Arial" w:cs="Arial" w:eastAsia="Arial" w:hAnsi="Arial"/>
          <w:b/>
          <w:bCs/>
          <w:sz w:val="19"/>
          <w:szCs w:val="19"/>
        </w:rPr>
        <w:t xml:space="preserve">Most of the decline is the parent, not GENM.</w:t>
      </w:r>
      <w:r>
        <w:rPr>
          <w:rFonts w:ascii="Arial" w:cs="Arial" w:eastAsia="Arial" w:hAnsi="Arial"/>
          <w:sz w:val="19"/>
          <w:szCs w:val="19"/>
        </w:rPr>
        <w:t xml:space="preserve"> The 17% drop on 12-Oct-2026 came on Genting Bhd's rights issue, with no GENM news. GENM's premium to its parent has collapsed to a 2nd-percentile 0.6x even though GENM holds the group's two best licences (Malaysia, NYC).</w:t>
      </w:r>
    </w:p>
    <w:p>
      <w:pPr>
        <w:pStyle w:val="ListParagraph"/>
        <w:numPr>
          <w:ilvl w:val="0"/>
          <w:numId w:val="12"/>
        </w:numPr>
        <w:spacing w:after="60" w:line="264"/>
      </w:pPr>
      <w:r>
        <w:rPr>
          <w:rFonts w:ascii="Arial" w:cs="Arial" w:eastAsia="Arial" w:hAnsi="Arial"/>
          <w:b/>
          <w:bCs/>
          <w:sz w:val="19"/>
          <w:szCs w:val="19"/>
        </w:rPr>
        <w:t xml:space="preserve">NY is already worth more than the market implies.</w:t>
      </w:r>
      <w:r>
        <w:rPr>
          <w:rFonts w:ascii="Arial" w:cs="Arial" w:eastAsia="Arial" w:hAnsi="Arial"/>
          <w:sz w:val="19"/>
          <w:szCs w:val="19"/>
        </w:rPr>
        <w:t xml:space="preserve"> Annualised GGR of ~US$1.6bn at a 56% slot tax is a business worth US$2bn+ at maturity. The market implies ~US$0.7bn for all US assets (≈ the licence fee).</w:t>
      </w:r>
    </w:p>
    <w:p>
      <w:pPr>
        <w:pStyle w:val="ListParagraph"/>
        <w:numPr>
          <w:ilvl w:val="0"/>
          <w:numId w:val="12"/>
        </w:numPr>
        <w:spacing w:after="60" w:line="264"/>
      </w:pPr>
      <w:r>
        <w:rPr>
          <w:rFonts w:ascii="Arial" w:cs="Arial" w:eastAsia="Arial" w:hAnsi="Arial"/>
          <w:b/>
          <w:bCs/>
          <w:sz w:val="19"/>
          <w:szCs w:val="19"/>
        </w:rPr>
        <w:t xml:space="preserve">The parent's weakness strengthens the minority's hand.</w:t>
      </w:r>
      <w:r>
        <w:rPr>
          <w:rFonts w:ascii="Arial" w:cs="Arial" w:eastAsia="Arial" w:hAnsi="Arial"/>
          <w:sz w:val="19"/>
          <w:szCs w:val="19"/>
        </w:rPr>
        <w:t xml:space="preserve"> A cash-strapped Genting Bhd cannot afford a fair cash offer. To get to 100% (which it has said it wants), it needs minority consent, and </w:t>
      </w:r>
      <w:r>
        <w:rPr>
          <w:rFonts w:ascii="Arial" w:cs="Arial" w:eastAsia="Arial" w:hAnsi="Arial"/>
          <w:b/>
          <w:bCs/>
          <w:sz w:val="19"/>
          <w:szCs w:val="19"/>
        </w:rPr>
        <w:t xml:space="preserve">minorities holding &gt;10% can block a low-ball delisting</w:t>
      </w:r>
      <w:r>
        <w:rPr>
          <w:rFonts w:ascii="Arial" w:cs="Arial" w:eastAsia="Arial" w:hAnsi="Arial"/>
          <w:sz w:val="19"/>
          <w:szCs w:val="19"/>
        </w:rPr>
        <w:t xml:space="preserve"> [u: rule]. A cheap stock with a hard veto attached is an event-driven asset, not a value trap.</w:t>
      </w:r>
    </w:p>
    <w:p>
      <w:pPr>
        <w:pStyle w:val="ListParagraph"/>
        <w:numPr>
          <w:ilvl w:val="0"/>
          <w:numId w:val="12"/>
        </w:numPr>
        <w:spacing w:after="60" w:line="264"/>
      </w:pPr>
      <w:r>
        <w:rPr>
          <w:rFonts w:ascii="Arial" w:cs="Arial" w:eastAsia="Arial" w:hAnsi="Arial"/>
          <w:b/>
          <w:bCs/>
          <w:sz w:val="19"/>
          <w:szCs w:val="19"/>
        </w:rPr>
        <w:t xml:space="preserve">Dividend cuts are a feature, not a bug.</w:t>
      </w:r>
      <w:r>
        <w:rPr>
          <w:rFonts w:ascii="Arial" w:cs="Arial" w:eastAsia="Arial" w:hAnsi="Arial"/>
          <w:sz w:val="19"/>
          <w:szCs w:val="19"/>
        </w:rPr>
        <w:t xml:space="preserve"> Payouts of 195-226% in FY23-24 were the real value destruction (debt-funded dividends up-streamed to the parent). Retaining cash for NY at the capex peak is rational.</w:t>
      </w:r>
    </w:p>
    <w:p>
      <w:pPr>
        <w:pStyle w:val="ListParagraph"/>
        <w:numPr>
          <w:ilvl w:val="0"/>
          <w:numId w:val="12"/>
        </w:numPr>
        <w:spacing w:after="60" w:line="264"/>
      </w:pPr>
      <w:r>
        <w:rPr>
          <w:rFonts w:ascii="Arial" w:cs="Arial" w:eastAsia="Arial" w:hAnsi="Arial"/>
          <w:b/>
          <w:bCs/>
          <w:sz w:val="19"/>
          <w:szCs w:val="19"/>
        </w:rPr>
        <w:t xml:space="preserve">Asset monetisation is the obvious, under-discussed catalyst.</w:t>
      </w:r>
      <w:r>
        <w:rPr>
          <w:rFonts w:ascii="Arial" w:cs="Arial" w:eastAsia="Arial" w:hAnsi="Arial"/>
          <w:sz w:val="19"/>
          <w:szCs w:val="19"/>
        </w:rPr>
        <w:t xml:space="preserve"> A RWNYC PropCo sale-leaseback (GLPI and VICI are active buyers; GLPI paid US$700m for Bally's Lincoln real estate in Feb-2026) or a Miami land sale could release US$1-2bn and remove the funding overhang without equity dilution.</w:t>
      </w:r>
    </w:p>
    <w:p>
      <w:r>
        <w:br w:type="page"/>
      </w:r>
    </w:p>
    <w:p>
      <w:pPr>
        <w:pStyle w:val="Heading1"/>
      </w:pPr>
      <w:r>
        <w:t xml:space="preserve">24. Scenario Analysis (12-Month View)</w:t>
      </w:r>
    </w:p>
    <w:p>
      <w:pPr>
        <w:spacing w:after="40" w:before="80"/>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28950"/>
                    </a:xfrm>
                    <a:prstGeom prst="rect">
                      <a:avLst/>
                    </a:prstGeom>
                  </pic:spPr>
                </pic:pic>
              </a:graphicData>
            </a:graphic>
          </wp:inline>
        </w:drawing>
      </w:r>
    </w:p>
    <w:p>
      <w:pPr>
        <w:spacing w:after="160"/>
        <w:jc w:val="left"/>
      </w:pPr>
      <w:r>
        <w:rPr>
          <w:rFonts w:ascii="Arial" w:cs="Arial" w:eastAsia="Arial" w:hAnsi="Arial"/>
          <w:i/>
          <w:iCs/>
          <w:color w:val="5A6270"/>
          <w:sz w:val="15"/>
          <w:szCs w:val="15"/>
        </w:rPr>
        <w:t xml:space="preserve">Figure: Base-case sum-of-the-parts (FY27E EBITDA).</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0"/>
        <w:gridCol w:w="2436"/>
        <w:gridCol w:w="2353"/>
        <w:gridCol w:w="2427"/>
      </w:tblGrid>
      <w:tr>
        <w:trPr>
          <w:tblHeader/>
        </w:trPr>
        <w:tc>
          <w:tcPr>
            <w:tcW w:type="dxa" w:w="269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Assumption</w:t>
            </w:r>
          </w:p>
        </w:tc>
        <w:tc>
          <w:tcPr>
            <w:tcW w:type="dxa" w:w="243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Bear (25%)</w:t>
            </w:r>
          </w:p>
        </w:tc>
        <w:tc>
          <w:tcPr>
            <w:tcW w:type="dxa" w:w="235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Base (50%)</w:t>
            </w:r>
          </w:p>
        </w:tc>
        <w:tc>
          <w:tcPr>
            <w:tcW w:type="dxa" w:w="242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Bull (25%)</w:t>
            </w:r>
          </w:p>
        </w:tc>
      </w:tr>
      <w:tr>
        <w:trPr>
          <w:cantSplit/>
        </w:trPr>
        <w:tc>
          <w:tcPr>
            <w:tcW w:type="dxa" w:w="26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Malaysia FY27E EBITDA / multiple</w:t>
            </w:r>
          </w:p>
        </w:tc>
        <w:tc>
          <w:tcPr>
            <w:tcW w:type="dxa" w:w="243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RM2,100m / 6.0x</w:t>
            </w:r>
          </w:p>
        </w:tc>
        <w:tc>
          <w:tcPr>
            <w:tcW w:type="dxa" w:w="23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RM2,190m / 7.0x</w:t>
            </w:r>
          </w:p>
        </w:tc>
        <w:tc>
          <w:tcPr>
            <w:tcW w:type="dxa" w:w="24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RM2,300m / 8.0x</w:t>
            </w:r>
          </w:p>
        </w:tc>
      </w:tr>
      <w:tr>
        <w:trPr>
          <w:cantSplit/>
        </w:trPr>
        <w:tc>
          <w:tcPr>
            <w:tcW w:type="dxa" w:w="269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UK &amp; Egypt FY27E EBITDA / multiple</w:t>
            </w:r>
          </w:p>
        </w:tc>
        <w:tc>
          <w:tcPr>
            <w:tcW w:type="dxa" w:w="243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RM200m / 4.0x</w:t>
            </w:r>
          </w:p>
        </w:tc>
        <w:tc>
          <w:tcPr>
            <w:tcW w:type="dxa" w:w="23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RM250m / 5.0x</w:t>
            </w:r>
          </w:p>
        </w:tc>
        <w:tc>
          <w:tcPr>
            <w:tcW w:type="dxa" w:w="24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RM280m / 5.5x</w:t>
            </w:r>
          </w:p>
        </w:tc>
      </w:tr>
      <w:tr>
        <w:trPr>
          <w:cantSplit/>
        </w:trPr>
        <w:tc>
          <w:tcPr>
            <w:tcW w:type="dxa" w:w="26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US &amp; Bahamas FY27E EBITDA / multiple</w:t>
            </w:r>
          </w:p>
        </w:tc>
        <w:tc>
          <w:tcPr>
            <w:tcW w:type="dxa" w:w="243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RM800m (US$198m; racing support fully charged) / 6.5x</w:t>
            </w:r>
          </w:p>
        </w:tc>
        <w:tc>
          <w:tcPr>
            <w:tcW w:type="dxa" w:w="23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RM1,060m (US$262m; partial racing support) / 7.5x</w:t>
            </w:r>
          </w:p>
        </w:tc>
        <w:tc>
          <w:tcPr>
            <w:tcW w:type="dxa" w:w="24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RM1,300m (US$321m; tax equalisation path) / 9.0x</w:t>
            </w:r>
          </w:p>
        </w:tc>
      </w:tr>
      <w:tr>
        <w:trPr>
          <w:cantSplit/>
        </w:trPr>
        <w:tc>
          <w:tcPr>
            <w:tcW w:type="dxa" w:w="269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Miami land</w:t>
            </w:r>
          </w:p>
        </w:tc>
        <w:tc>
          <w:tcPr>
            <w:tcW w:type="dxa" w:w="243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US$500m</w:t>
            </w:r>
          </w:p>
        </w:tc>
        <w:tc>
          <w:tcPr>
            <w:tcW w:type="dxa" w:w="23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US$700m</w:t>
            </w:r>
          </w:p>
        </w:tc>
        <w:tc>
          <w:tcPr>
            <w:tcW w:type="dxa" w:w="24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US$1,000m</w:t>
            </w:r>
          </w:p>
        </w:tc>
      </w:tr>
      <w:tr>
        <w:trPr>
          <w:cantSplit/>
        </w:trPr>
        <w:tc>
          <w:tcPr>
            <w:tcW w:type="dxa" w:w="26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Corporate costs (RM110m)</w:t>
            </w:r>
          </w:p>
        </w:tc>
        <w:tc>
          <w:tcPr>
            <w:tcW w:type="dxa" w:w="243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6x</w:t>
            </w:r>
          </w:p>
        </w:tc>
        <w:tc>
          <w:tcPr>
            <w:tcW w:type="dxa" w:w="23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7x</w:t>
            </w:r>
          </w:p>
        </w:tc>
        <w:tc>
          <w:tcPr>
            <w:tcW w:type="dxa" w:w="24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8x</w:t>
            </w:r>
          </w:p>
        </w:tc>
      </w:tr>
      <w:tr>
        <w:trPr>
          <w:cantSplit/>
        </w:trPr>
        <w:tc>
          <w:tcPr>
            <w:tcW w:type="dxa" w:w="269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NY phase-2 NPV</w:t>
            </w:r>
          </w:p>
        </w:tc>
        <w:tc>
          <w:tcPr>
            <w:tcW w:type="dxa" w:w="243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−RM1.0bn (value destruction)</w:t>
            </w:r>
          </w:p>
        </w:tc>
        <w:tc>
          <w:tcPr>
            <w:tcW w:type="dxa" w:w="23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Neutral</w:t>
            </w:r>
          </w:p>
        </w:tc>
        <w:tc>
          <w:tcPr>
            <w:tcW w:type="dxa" w:w="24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Neutral</w:t>
            </w:r>
          </w:p>
        </w:tc>
      </w:tr>
      <w:tr>
        <w:trPr>
          <w:cantSplit/>
        </w:trPr>
        <w:tc>
          <w:tcPr>
            <w:tcW w:type="dxa" w:w="26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Revenue growth FY26-28E CAGR [e]</w:t>
            </w:r>
          </w:p>
        </w:tc>
        <w:tc>
          <w:tcPr>
            <w:tcW w:type="dxa" w:w="243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~3%</w:t>
            </w:r>
          </w:p>
        </w:tc>
        <w:tc>
          <w:tcPr>
            <w:tcW w:type="dxa" w:w="23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~11%</w:t>
            </w:r>
          </w:p>
        </w:tc>
        <w:tc>
          <w:tcPr>
            <w:tcW w:type="dxa" w:w="24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~14%</w:t>
            </w:r>
          </w:p>
        </w:tc>
      </w:tr>
      <w:tr>
        <w:trPr>
          <w:cantSplit/>
        </w:trPr>
        <w:tc>
          <w:tcPr>
            <w:tcW w:type="dxa" w:w="269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Group adj. EBITDA margin FY27E [e]</w:t>
            </w:r>
          </w:p>
        </w:tc>
        <w:tc>
          <w:tcPr>
            <w:tcW w:type="dxa" w:w="243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~20%</w:t>
            </w:r>
          </w:p>
        </w:tc>
        <w:tc>
          <w:tcPr>
            <w:tcW w:type="dxa" w:w="23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~22.5%</w:t>
            </w:r>
          </w:p>
        </w:tc>
        <w:tc>
          <w:tcPr>
            <w:tcW w:type="dxa" w:w="24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~24.5%</w:t>
            </w:r>
          </w:p>
        </w:tc>
      </w:tr>
      <w:tr>
        <w:trPr>
          <w:cantSplit/>
        </w:trPr>
        <w:tc>
          <w:tcPr>
            <w:tcW w:type="dxa" w:w="26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Implied EV / FY27E EBITDA</w:t>
            </w:r>
          </w:p>
        </w:tc>
        <w:tc>
          <w:tcPr>
            <w:tcW w:type="dxa" w:w="243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5.6x</w:t>
            </w:r>
          </w:p>
        </w:tc>
        <w:tc>
          <w:tcPr>
            <w:tcW w:type="dxa" w:w="23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7.8x</w:t>
            </w:r>
          </w:p>
        </w:tc>
        <w:tc>
          <w:tcPr>
            <w:tcW w:type="dxa" w:w="24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10.2x (8.2x ex-Miami)</w:t>
            </w:r>
          </w:p>
        </w:tc>
      </w:tr>
      <w:tr>
        <w:trPr>
          <w:cantSplit/>
        </w:trPr>
        <w:tc>
          <w:tcPr>
            <w:tcW w:type="dxa" w:w="269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Net debt (Jun-26, incl. leases)</w:t>
            </w:r>
          </w:p>
        </w:tc>
        <w:tc>
          <w:tcPr>
            <w:tcW w:type="dxa" w:w="243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RM14.2bn</w:t>
            </w:r>
          </w:p>
        </w:tc>
        <w:tc>
          <w:tcPr>
            <w:tcW w:type="dxa" w:w="2353"/>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RM14.2bn</w:t>
            </w:r>
          </w:p>
        </w:tc>
        <w:tc>
          <w:tcPr>
            <w:tcW w:type="dxa" w:w="242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RM14.2bn</w:t>
            </w:r>
          </w:p>
        </w:tc>
      </w:tr>
      <w:tr>
        <w:trPr>
          <w:cantSplit/>
        </w:trPr>
        <w:tc>
          <w:tcPr>
            <w:tcW w:type="dxa" w:w="26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Control / governance discount</w:t>
            </w:r>
          </w:p>
        </w:tc>
        <w:tc>
          <w:tcPr>
            <w:tcW w:type="dxa" w:w="243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10%</w:t>
            </w:r>
          </w:p>
        </w:tc>
        <w:tc>
          <w:tcPr>
            <w:tcW w:type="dxa" w:w="23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15%</w:t>
            </w:r>
          </w:p>
        </w:tc>
        <w:tc>
          <w:tcPr>
            <w:tcW w:type="dxa" w:w="242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10%</w:t>
            </w:r>
          </w:p>
        </w:tc>
      </w:tr>
      <w:tr>
        <w:trPr>
          <w:cantSplit/>
        </w:trPr>
        <w:tc>
          <w:tcPr>
            <w:tcW w:type="dxa" w:w="2690"/>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Value per share</w:t>
            </w:r>
          </w:p>
        </w:tc>
        <w:tc>
          <w:tcPr>
            <w:tcW w:type="dxa" w:w="2436"/>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RM0.76 (−40%)</w:t>
            </w:r>
          </w:p>
        </w:tc>
        <w:tc>
          <w:tcPr>
            <w:tcW w:type="dxa" w:w="2353"/>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RM1.86 (+47%)</w:t>
            </w:r>
          </w:p>
        </w:tc>
        <w:tc>
          <w:tcPr>
            <w:tcW w:type="dxa" w:w="2427"/>
            <w:tcBorders>
              <w:top w:val="single" w:color="D5D9E0" w:sz="2"/>
              <w:left w:val="none" w:color="FFFFFF" w:sz="0"/>
              <w:bottom w:val="single" w:color="D5D9E0" w:sz="2"/>
              <w:right w:val="none" w:color="FFFFFF" w:sz="0"/>
            </w:tcBorders>
            <w:shd w:fill="DCE5F5"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RM3.28 (+158%)</w:t>
            </w:r>
          </w:p>
        </w:tc>
      </w:tr>
    </w:tbl>
    <w:p>
      <w:pPr>
        <w:spacing w:after="60"/>
      </w:pPr>
    </w:p>
    <w:p>
      <w:pPr>
        <w:spacing w:after="40" w:before="8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247900"/>
                    </a:xfrm>
                    <a:prstGeom prst="rect">
                      <a:avLst/>
                    </a:prstGeom>
                  </pic:spPr>
                </pic:pic>
              </a:graphicData>
            </a:graphic>
          </wp:inline>
        </w:drawing>
      </w:r>
    </w:p>
    <w:p>
      <w:pPr>
        <w:spacing w:after="160"/>
        <w:jc w:val="left"/>
      </w:pPr>
      <w:r>
        <w:rPr>
          <w:rFonts w:ascii="Arial" w:cs="Arial" w:eastAsia="Arial" w:hAnsi="Arial"/>
          <w:i/>
          <w:iCs/>
          <w:color w:val="5A6270"/>
          <w:sz w:val="15"/>
          <w:szCs w:val="15"/>
        </w:rPr>
        <w:t xml:space="preserve">Figure: 12-month scenario values per share.</w:t>
      </w:r>
    </w:p>
    <w:p>
      <w:pPr>
        <w:spacing w:after="120" w:line="276"/>
      </w:pPr>
      <w:r>
        <w:rPr>
          <w:rFonts w:ascii="Arial" w:cs="Arial" w:eastAsia="Arial" w:hAnsi="Arial"/>
          <w:b/>
          <w:bCs/>
          <w:sz w:val="19"/>
          <w:szCs w:val="19"/>
        </w:rPr>
        <w:t xml:space="preserve">Probability-weighted value: RM1.94 (+53%)</w:t>
      </w:r>
      <w:r>
        <w:rPr>
          <w:rFonts w:ascii="Arial" w:cs="Arial" w:eastAsia="Arial" w:hAnsi="Arial"/>
          <w:sz w:val="19"/>
          <w:szCs w:val="19"/>
        </w:rPr>
        <w:t xml:space="preserve">, plus a ~4% dividend yield (5 sen FY26E). The base case equals ~7.2x FY27E EBITDA after the discount, below the 9.2x precedent median and GENM's 8.8x 10-year median. </w:t>
      </w:r>
      <w:r>
        <w:rPr>
          <w:rFonts w:ascii="Arial" w:cs="Arial" w:eastAsia="Arial" w:hAnsi="Arial"/>
          <w:b/>
          <w:bCs/>
          <w:sz w:val="19"/>
          <w:szCs w:val="19"/>
        </w:rPr>
        <w:t xml:space="preserve">Implied valuation range: RM0.76-3.28.</w:t>
      </w:r>
      <w:r>
        <w:rPr>
          <w:rFonts w:ascii="Arial" w:cs="Arial" w:eastAsia="Arial" w:hAnsi="Arial"/>
          <w:sz w:val="19"/>
          <w:szCs w:val="19"/>
        </w:rPr>
        <w:t xml:space="preserve"> The distribution is </w:t>
      </w:r>
      <w:r>
        <w:rPr>
          <w:rFonts w:ascii="Arial" w:cs="Arial" w:eastAsia="Arial" w:hAnsi="Arial"/>
          <w:b/>
          <w:bCs/>
          <w:sz w:val="19"/>
          <w:szCs w:val="19"/>
        </w:rPr>
        <w:t xml:space="preserve">asymmetric but fat-tailed on both sides</w:t>
      </w:r>
      <w:r>
        <w:rPr>
          <w:rFonts w:ascii="Arial" w:cs="Arial" w:eastAsia="Arial" w:hAnsi="Arial"/>
          <w:sz w:val="19"/>
          <w:szCs w:val="19"/>
        </w:rPr>
        <w:t xml:space="preserve">, because net debt is 2x market cap: every 1x change in the EBITDA multiple moves the equity by ~RM0.60 per share.</w:t>
      </w:r>
    </w:p>
    <w:p>
      <w:pPr>
        <w:spacing w:after="120" w:line="276"/>
      </w:pPr>
      <w:r>
        <w:rPr>
          <w:rFonts w:ascii="Arial" w:cs="Arial" w:eastAsia="Arial" w:hAnsi="Arial"/>
          <w:b/>
          <w:bCs/>
          <w:sz w:val="19"/>
          <w:szCs w:val="19"/>
        </w:rPr>
        <w:t xml:space="preserve">Sensitivity of the base case (RM/share, after the 15% discount):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31"/>
        <w:gridCol w:w="1158"/>
        <w:gridCol w:w="1158"/>
        <w:gridCol w:w="1159"/>
      </w:tblGrid>
      <w:tr>
        <w:trPr>
          <w:tblHeader/>
        </w:trPr>
        <w:tc>
          <w:tcPr>
            <w:tcW w:type="dxa" w:w="643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Malaysia multiple → / US multiple ↓</w:t>
            </w:r>
          </w:p>
        </w:tc>
        <w:tc>
          <w:tcPr>
            <w:tcW w:type="dxa" w:w="115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6.0x</w:t>
            </w:r>
          </w:p>
        </w:tc>
        <w:tc>
          <w:tcPr>
            <w:tcW w:type="dxa" w:w="115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7.0x</w:t>
            </w:r>
          </w:p>
        </w:tc>
        <w:tc>
          <w:tcPr>
            <w:tcW w:type="dxa" w:w="115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right"/>
            </w:pPr>
            <w:r>
              <w:rPr>
                <w:rFonts w:ascii="Arial" w:cs="Arial" w:eastAsia="Arial" w:hAnsi="Arial"/>
                <w:b/>
                <w:bCs/>
                <w:color w:val="FFFFFF"/>
                <w:sz w:val="15"/>
                <w:szCs w:val="15"/>
              </w:rPr>
              <w:t xml:space="preserve">8.0x</w:t>
            </w:r>
          </w:p>
        </w:tc>
      </w:tr>
      <w:tr>
        <w:trPr>
          <w:cantSplit/>
        </w:trPr>
        <w:tc>
          <w:tcPr>
            <w:tcW w:type="dxa" w:w="6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6.5x</w:t>
            </w:r>
          </w:p>
        </w:tc>
        <w:tc>
          <w:tcPr>
            <w:tcW w:type="dxa" w:w="11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1.38</w:t>
            </w:r>
          </w:p>
        </w:tc>
        <w:tc>
          <w:tcPr>
            <w:tcW w:type="dxa" w:w="11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1.71</w:t>
            </w:r>
          </w:p>
        </w:tc>
        <w:tc>
          <w:tcPr>
            <w:tcW w:type="dxa" w:w="11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2.03</w:t>
            </w:r>
          </w:p>
        </w:tc>
      </w:tr>
      <w:tr>
        <w:trPr>
          <w:cantSplit/>
        </w:trPr>
        <w:tc>
          <w:tcPr>
            <w:tcW w:type="dxa" w:w="6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7.5x</w:t>
            </w:r>
          </w:p>
        </w:tc>
        <w:tc>
          <w:tcPr>
            <w:tcW w:type="dxa" w:w="11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1.54</w:t>
            </w:r>
          </w:p>
        </w:tc>
        <w:tc>
          <w:tcPr>
            <w:tcW w:type="dxa" w:w="11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1.86</w:t>
            </w:r>
          </w:p>
        </w:tc>
        <w:tc>
          <w:tcPr>
            <w:tcW w:type="dxa" w:w="115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2.19</w:t>
            </w:r>
          </w:p>
        </w:tc>
      </w:tr>
      <w:tr>
        <w:trPr>
          <w:cantSplit/>
        </w:trPr>
        <w:tc>
          <w:tcPr>
            <w:tcW w:type="dxa" w:w="6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9.0x</w:t>
            </w:r>
          </w:p>
        </w:tc>
        <w:tc>
          <w:tcPr>
            <w:tcW w:type="dxa" w:w="11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1.77</w:t>
            </w:r>
          </w:p>
        </w:tc>
        <w:tc>
          <w:tcPr>
            <w:tcW w:type="dxa" w:w="11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2.10</w:t>
            </w:r>
          </w:p>
        </w:tc>
        <w:tc>
          <w:tcPr>
            <w:tcW w:type="dxa" w:w="11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right"/>
            </w:pPr>
            <w:r>
              <w:rPr>
                <w:rFonts w:ascii="Arial" w:cs="Arial" w:eastAsia="Arial" w:hAnsi="Arial"/>
                <w:b w:val="false"/>
                <w:bCs w:val="false"/>
                <w:color w:val="1A1F2B"/>
                <w:sz w:val="15"/>
                <w:szCs w:val="15"/>
              </w:rPr>
              <w:t xml:space="preserve">2.43</w:t>
            </w:r>
          </w:p>
        </w:tc>
      </w:tr>
    </w:tbl>
    <w:p>
      <w:pPr>
        <w:spacing w:after="60"/>
      </w:pPr>
    </w:p>
    <w:p>
      <w:r>
        <w:br w:type="page"/>
      </w:r>
    </w:p>
    <w:p>
      <w:pPr>
        <w:pStyle w:val="Heading1"/>
      </w:pPr>
      <w:r>
        <w:t xml:space="preserve">25. The Short-Seller's Case and Forensic Accounting Review</w:t>
      </w:r>
    </w:p>
    <w:p>
      <w:pPr>
        <w:spacing w:after="120" w:line="276"/>
      </w:pPr>
      <w:r>
        <w:rPr>
          <w:rFonts w:ascii="Arial" w:cs="Arial" w:eastAsia="Arial" w:hAnsi="Arial"/>
          <w:i/>
          <w:iCs/>
          <w:sz w:val="19"/>
          <w:szCs w:val="19"/>
        </w:rPr>
        <w:t xml:space="preserve">Written from the perspective of a sceptical short-seller whose job is to dismantle the bull case.</w:t>
      </w:r>
    </w:p>
    <w:p>
      <w:pPr>
        <w:pStyle w:val="Heading2"/>
      </w:pPr>
      <w:r>
        <w:t xml:space="preserve">25.1 What could structurally break how GENM makes money?</w:t>
      </w:r>
    </w:p>
    <w:p>
      <w:pPr>
        <w:pStyle w:val="ListParagraph"/>
        <w:numPr>
          <w:ilvl w:val="0"/>
          <w:numId w:val="13"/>
        </w:numPr>
        <w:spacing w:after="60" w:line="264"/>
      </w:pPr>
      <w:r>
        <w:rPr>
          <w:rFonts w:ascii="Arial" w:cs="Arial" w:eastAsia="Arial" w:hAnsi="Arial"/>
          <w:b/>
          <w:bCs/>
          <w:sz w:val="19"/>
          <w:szCs w:val="19"/>
        </w:rPr>
        <w:t xml:space="preserve">The Malaysian licence is a quarterly privilege, not a property right.</w:t>
      </w:r>
      <w:r>
        <w:rPr>
          <w:rFonts w:ascii="Arial" w:cs="Arial" w:eastAsia="Arial" w:hAnsi="Arial"/>
          <w:sz w:val="19"/>
          <w:szCs w:val="19"/>
        </w:rPr>
        <w:t xml:space="preserve"> It is renewable every three months at the Finance Minister's discretion. PAS has vowed to close RWG if it wins Pahang, and GE16 is due by early 2028. Even short of closure, Malaysia has raised duty twice (1998, 2019) and service tax once (2024) since the founder's era. Each ppt of duty costs ~4.6% of net profit (TA).</w:t>
      </w:r>
    </w:p>
    <w:p>
      <w:pPr>
        <w:pStyle w:val="ListParagraph"/>
        <w:numPr>
          <w:ilvl w:val="0"/>
          <w:numId w:val="13"/>
        </w:numPr>
        <w:spacing w:after="60" w:line="264"/>
      </w:pPr>
      <w:r>
        <w:rPr>
          <w:rFonts w:ascii="Arial" w:cs="Arial" w:eastAsia="Arial" w:hAnsi="Arial"/>
          <w:b/>
          <w:bCs/>
          <w:sz w:val="19"/>
          <w:szCs w:val="19"/>
        </w:rPr>
        <w:t xml:space="preserve">New York may be a "winner's curse".</w:t>
      </w:r>
      <w:r>
        <w:rPr>
          <w:rFonts w:ascii="Arial" w:cs="Arial" w:eastAsia="Arial" w:hAnsi="Arial"/>
          <w:sz w:val="19"/>
          <w:szCs w:val="19"/>
        </w:rPr>
        <w:t xml:space="preserve"> RWNYC bid the </w:t>
      </w:r>
      <w:r>
        <w:rPr>
          <w:rFonts w:ascii="Arial" w:cs="Arial" w:eastAsia="Arial" w:hAnsi="Arial"/>
          <w:b/>
          <w:bCs/>
          <w:sz w:val="19"/>
          <w:szCs w:val="19"/>
        </w:rPr>
        <w:t xml:space="preserve">highest slot tax of the three licensees (56% vs 25-30%)</w:t>
      </w:r>
      <w:r>
        <w:rPr>
          <w:rFonts w:ascii="Arial" w:cs="Arial" w:eastAsia="Arial" w:hAnsi="Arial"/>
          <w:sz w:val="19"/>
          <w:szCs w:val="19"/>
        </w:rPr>
        <w:t xml:space="preserve"> and now faces a State that says ~US$150m a year of racing support is owed </w:t>
      </w:r>
      <w:r>
        <w:rPr>
          <w:rFonts w:ascii="Arial" w:cs="Arial" w:eastAsia="Arial" w:hAnsi="Arial"/>
          <w:b/>
          <w:bCs/>
          <w:sz w:val="19"/>
          <w:szCs w:val="19"/>
        </w:rPr>
        <w:t xml:space="preserve">on top</w:t>
      </w:r>
      <w:r>
        <w:rPr>
          <w:rFonts w:ascii="Arial" w:cs="Arial" w:eastAsia="Arial" w:hAnsi="Arial"/>
          <w:sz w:val="19"/>
          <w:szCs w:val="19"/>
        </w:rPr>
        <w:t xml:space="preserve">, for an effective ~72%. Rivals with half the tax burden open ~2030 within a few miles. GENM is committing US$3.7bn more capex into a market where its tax disadvantage becomes permanent unless Albany honours a "tax equalisation" clause it has no legal obligation to grant.</w:t>
      </w:r>
    </w:p>
    <w:p>
      <w:pPr>
        <w:pStyle w:val="ListParagraph"/>
        <w:numPr>
          <w:ilvl w:val="0"/>
          <w:numId w:val="13"/>
        </w:numPr>
        <w:spacing w:after="60" w:line="264"/>
      </w:pPr>
      <w:r>
        <w:rPr>
          <w:rFonts w:ascii="Arial" w:cs="Arial" w:eastAsia="Arial" w:hAnsi="Arial"/>
          <w:b/>
          <w:bCs/>
          <w:sz w:val="19"/>
          <w:szCs w:val="19"/>
        </w:rPr>
        <w:t xml:space="preserve">The parent's balance sheet is the real counterparty.</w:t>
      </w:r>
      <w:r>
        <w:rPr>
          <w:rFonts w:ascii="Arial" w:cs="Arial" w:eastAsia="Arial" w:hAnsi="Arial"/>
          <w:sz w:val="19"/>
          <w:szCs w:val="19"/>
        </w:rPr>
        <w:t xml:space="preserve"> Genting Bhd has ~RM45bn of gross debt, a negative outlook at S&amp;P and needed a RM1.25bn rights issue to repay borrowings due within 12 months. GENM is its largest cash generator. The ~RM848m a year of fees and any dividends flow up; the risk of a re-priced squeeze-out flows down.</w:t>
      </w:r>
    </w:p>
    <w:p>
      <w:pPr>
        <w:pStyle w:val="Heading2"/>
      </w:pPr>
      <w:r>
        <w:t xml:space="preserve">25.2 Where is revenue concentrated, and what if that shifts?</w:t>
      </w:r>
    </w:p>
    <w:p>
      <w:pPr>
        <w:pStyle w:val="ListParagraph"/>
        <w:numPr>
          <w:ilvl w:val="0"/>
          <w:numId w:val="3"/>
        </w:numPr>
        <w:spacing w:after="60" w:line="264"/>
      </w:pPr>
      <w:r>
        <w:rPr>
          <w:rFonts w:ascii="Arial" w:cs="Arial" w:eastAsia="Arial" w:hAnsi="Arial"/>
          <w:b/>
          <w:bCs/>
          <w:sz w:val="19"/>
          <w:szCs w:val="19"/>
        </w:rPr>
        <w:t xml:space="preserve">Asset concentration:</w:t>
      </w:r>
      <w:r>
        <w:rPr>
          <w:rFonts w:ascii="Arial" w:cs="Arial" w:eastAsia="Arial" w:hAnsi="Arial"/>
          <w:sz w:val="19"/>
          <w:szCs w:val="19"/>
        </w:rPr>
        <w:t xml:space="preserve"> RWG produced ~73% of FY25 segment EBITDA and &gt;100% of net income [e]. Lose 10% of Malaysian EBITDA (one bad VIP year or a tax tweak) and group PBT falls ~40% [e].</w:t>
      </w:r>
    </w:p>
    <w:p>
      <w:pPr>
        <w:pStyle w:val="ListParagraph"/>
        <w:numPr>
          <w:ilvl w:val="0"/>
          <w:numId w:val="3"/>
        </w:numPr>
        <w:spacing w:after="60" w:line="264"/>
      </w:pPr>
      <w:r>
        <w:rPr>
          <w:rFonts w:ascii="Arial" w:cs="Arial" w:eastAsia="Arial" w:hAnsi="Arial"/>
          <w:b/>
          <w:bCs/>
          <w:sz w:val="19"/>
          <w:szCs w:val="19"/>
        </w:rPr>
        <w:t xml:space="preserve">Customer concentration:</w:t>
      </w:r>
      <w:r>
        <w:rPr>
          <w:rFonts w:ascii="Arial" w:cs="Arial" w:eastAsia="Arial" w:hAnsi="Arial"/>
          <w:sz w:val="19"/>
          <w:szCs w:val="19"/>
        </w:rPr>
        <w:t xml:space="preserve"> no customer is &gt;10% of revenue, but VIP play is concentrated among a small number of premium players whose hold swings quarters by ±10-20%.</w:t>
      </w:r>
    </w:p>
    <w:p>
      <w:pPr>
        <w:pStyle w:val="ListParagraph"/>
        <w:numPr>
          <w:ilvl w:val="0"/>
          <w:numId w:val="3"/>
        </w:numPr>
        <w:spacing w:after="60" w:line="264"/>
      </w:pPr>
      <w:r>
        <w:rPr>
          <w:rFonts w:ascii="Arial" w:cs="Arial" w:eastAsia="Arial" w:hAnsi="Arial"/>
          <w:b/>
          <w:bCs/>
          <w:sz w:val="19"/>
          <w:szCs w:val="19"/>
        </w:rPr>
        <w:t xml:space="preserve">The shift under way:</w:t>
      </w:r>
      <w:r>
        <w:rPr>
          <w:rFonts w:ascii="Arial" w:cs="Arial" w:eastAsia="Arial" w:hAnsi="Arial"/>
          <w:sz w:val="19"/>
          <w:szCs w:val="19"/>
        </w:rPr>
        <w:t xml:space="preserve"> the mix is moving to New York (40% of 2Q26 revenue), where margins are lower, taxes higher, capex heavier and competition dated (2030). If NY under-earns, the group becomes a lower-margin, more indebted version of the old GENM.</w:t>
      </w:r>
    </w:p>
    <w:p>
      <w:pPr>
        <w:pStyle w:val="Heading2"/>
      </w:pPr>
      <w:r>
        <w:t xml:space="preserve">25.3 Why the moat is weaker than bulls think</w:t>
      </w:r>
    </w:p>
    <w:p>
      <w:pPr>
        <w:pStyle w:val="ListParagraph"/>
        <w:numPr>
          <w:ilvl w:val="0"/>
          <w:numId w:val="3"/>
        </w:numPr>
        <w:spacing w:after="60" w:line="264"/>
      </w:pPr>
      <w:r>
        <w:rPr>
          <w:rFonts w:ascii="Arial" w:cs="Arial" w:eastAsia="Arial" w:hAnsi="Arial"/>
          <w:sz w:val="19"/>
          <w:szCs w:val="19"/>
        </w:rPr>
        <w:t xml:space="preserve">The brand belongs to the parent, so GENM pays ~RM325m a year to use its own name.</w:t>
      </w:r>
    </w:p>
    <w:p>
      <w:pPr>
        <w:pStyle w:val="ListParagraph"/>
        <w:numPr>
          <w:ilvl w:val="0"/>
          <w:numId w:val="3"/>
        </w:numPr>
        <w:spacing w:after="60" w:line="264"/>
      </w:pPr>
      <w:r>
        <w:rPr>
          <w:rFonts w:ascii="Arial" w:cs="Arial" w:eastAsia="Arial" w:hAnsi="Arial"/>
          <w:sz w:val="19"/>
          <w:szCs w:val="19"/>
        </w:rPr>
        <w:t xml:space="preserve">The Malaysian monopoly is real but </w:t>
      </w:r>
      <w:r>
        <w:rPr>
          <w:rFonts w:ascii="Arial" w:cs="Arial" w:eastAsia="Arial" w:hAnsi="Arial"/>
          <w:b/>
          <w:bCs/>
          <w:sz w:val="19"/>
          <w:szCs w:val="19"/>
        </w:rPr>
        <w:t xml:space="preserve">taxed at the margin by the State and the parent</w:t>
      </w:r>
      <w:r>
        <w:rPr>
          <w:rFonts w:ascii="Arial" w:cs="Arial" w:eastAsia="Arial" w:hAnsi="Arial"/>
          <w:sz w:val="19"/>
          <w:szCs w:val="19"/>
        </w:rPr>
        <w:t xml:space="preserve">: ~35% duty plus ~7% of revenue in parent fees before minorities.</w:t>
      </w:r>
    </w:p>
    <w:p>
      <w:pPr>
        <w:pStyle w:val="ListParagraph"/>
        <w:numPr>
          <w:ilvl w:val="0"/>
          <w:numId w:val="3"/>
        </w:numPr>
        <w:spacing w:after="60" w:line="264"/>
      </w:pPr>
      <w:r>
        <w:rPr>
          <w:rFonts w:ascii="Arial" w:cs="Arial" w:eastAsia="Arial" w:hAnsi="Arial"/>
          <w:sz w:val="19"/>
          <w:szCs w:val="19"/>
        </w:rPr>
        <w:t xml:space="preserve">Thailand's casino legalisation (withdrawn Jul-2025, revived May-2026 [u]) would put a modern IR within driving distance of northern Malaysia and Singaporean/Chinese tourists.</w:t>
      </w:r>
    </w:p>
    <w:p>
      <w:pPr>
        <w:pStyle w:val="ListParagraph"/>
        <w:numPr>
          <w:ilvl w:val="0"/>
          <w:numId w:val="3"/>
        </w:numPr>
        <w:spacing w:after="60" w:line="264"/>
      </w:pPr>
      <w:r>
        <w:rPr>
          <w:rFonts w:ascii="Arial" w:cs="Arial" w:eastAsia="Arial" w:hAnsi="Arial"/>
          <w:sz w:val="19"/>
          <w:szCs w:val="19"/>
        </w:rPr>
        <w:t xml:space="preserve">Illegal and online gambling (~RM18bn a year [u]) is a growing substitute for younger customers; RWG attractions revenue is falling.</w:t>
      </w:r>
    </w:p>
    <w:p>
      <w:pPr>
        <w:pStyle w:val="Heading2"/>
      </w:pPr>
      <w:r>
        <w:t xml:space="preserve">25.4 The most dangerous competitor bulls underestimate</w:t>
      </w:r>
    </w:p>
    <w:p>
      <w:pPr>
        <w:spacing w:after="120" w:line="276"/>
      </w:pPr>
      <w:r>
        <w:rPr>
          <w:rFonts w:ascii="Arial" w:cs="Arial" w:eastAsia="Arial" w:hAnsi="Arial"/>
          <w:b/>
          <w:bCs/>
          <w:sz w:val="19"/>
          <w:szCs w:val="19"/>
        </w:rPr>
        <w:t xml:space="preserve">Metropolitan Park (Steve Cohen / Hard Rock), Flushing, Queens.</w:t>
      </w:r>
      <w:r>
        <w:rPr>
          <w:rFonts w:ascii="Arial" w:cs="Arial" w:eastAsia="Arial" w:hAnsi="Arial"/>
          <w:sz w:val="19"/>
          <w:szCs w:val="19"/>
        </w:rPr>
        <w:t xml:space="preserve"> About US$8bn of investment next to Citi Field, 5,000 slots and 375 tables, a slot tax of </w:t>
      </w:r>
      <w:r>
        <w:rPr>
          <w:rFonts w:ascii="Arial" w:cs="Arial" w:eastAsia="Arial" w:hAnsi="Arial"/>
          <w:b/>
          <w:bCs/>
          <w:sz w:val="19"/>
          <w:szCs w:val="19"/>
        </w:rPr>
        <w:t xml:space="preserve">25% vs RWNYC's 56%</w:t>
      </w:r>
      <w:r>
        <w:rPr>
          <w:rFonts w:ascii="Arial" w:cs="Arial" w:eastAsia="Arial" w:hAnsi="Arial"/>
          <w:sz w:val="19"/>
          <w:szCs w:val="19"/>
        </w:rPr>
        <w:t xml:space="preserve">, a billionaire owner with a baseball fan base and a subway/LIRR hub, targeted ~2030. With less than half RW's tax take, it can out-spend RW on free play and marketing indefinitely. Bulls model RWNYC's 2028-30 ramp; they rarely model the share loss from 2030.</w:t>
      </w:r>
    </w:p>
    <w:p>
      <w:pPr>
        <w:pStyle w:val="Heading2"/>
      </w:pPr>
      <w:r>
        <w:t xml:space="preserve">25.5 The worst capital-allocation decisions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79"/>
        <w:gridCol w:w="3369"/>
        <w:gridCol w:w="2858"/>
      </w:tblGrid>
      <w:tr>
        <w:trPr>
          <w:tblHeader/>
        </w:trPr>
        <w:tc>
          <w:tcPr>
            <w:tcW w:type="dxa" w:w="367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Decision</w:t>
            </w:r>
          </w:p>
        </w:tc>
        <w:tc>
          <w:tcPr>
            <w:tcW w:type="dxa" w:w="336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Cost</w:t>
            </w:r>
          </w:p>
        </w:tc>
        <w:tc>
          <w:tcPr>
            <w:tcW w:type="dxa" w:w="285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Who benefited</w:t>
            </w:r>
          </w:p>
        </w:tc>
      </w:tr>
      <w:tr>
        <w:trPr>
          <w:cantSplit/>
        </w:trPr>
        <w:tc>
          <w:tcPr>
            <w:tcW w:type="dxa" w:w="36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Mashpee tribal-casino notes (2012-2018; topped up 2025)</w:t>
            </w:r>
          </w:p>
        </w:tc>
        <w:tc>
          <w:tcPr>
            <w:tcW w:type="dxa" w:w="33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RM1.83bn impairment</w:t>
            </w:r>
          </w:p>
        </w:tc>
        <w:tc>
          <w:tcPr>
            <w:tcW w:type="dxa" w:w="28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Tribe; no benefit to GENM</w:t>
            </w:r>
          </w:p>
        </w:tc>
      </w:tr>
      <w:tr>
        <w:trPr>
          <w:cantSplit/>
        </w:trPr>
        <w:tc>
          <w:tcPr>
            <w:tcW w:type="dxa" w:w="367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Empire Resorts (2019-2025)</w:t>
            </w:r>
          </w:p>
        </w:tc>
        <w:tc>
          <w:tcPr>
            <w:tcW w:type="dxa" w:w="336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~US$765m invested; still loss-making</w:t>
            </w:r>
          </w:p>
        </w:tc>
        <w:tc>
          <w:tcPr>
            <w:tcW w:type="dxa" w:w="28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Kien Huat (family) exited at multiple points</w:t>
            </w:r>
          </w:p>
        </w:tc>
      </w:tr>
      <w:tr>
        <w:trPr>
          <w:cantSplit/>
        </w:trPr>
        <w:tc>
          <w:tcPr>
            <w:tcW w:type="dxa" w:w="36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Genting UK bought from Genting Singapore (2010)</w:t>
            </w:r>
          </w:p>
        </w:tc>
        <w:tc>
          <w:tcPr>
            <w:tcW w:type="dxa" w:w="33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£351.5m; repeated impairments since</w:t>
            </w:r>
          </w:p>
        </w:tc>
        <w:tc>
          <w:tcPr>
            <w:tcW w:type="dxa" w:w="28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Sister company</w:t>
            </w:r>
          </w:p>
        </w:tc>
      </w:tr>
      <w:tr>
        <w:trPr>
          <w:cantSplit/>
        </w:trPr>
        <w:tc>
          <w:tcPr>
            <w:tcW w:type="dxa" w:w="367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Fox World theme park</w:t>
            </w:r>
          </w:p>
        </w:tc>
        <w:tc>
          <w:tcPr>
            <w:tcW w:type="dxa" w:w="336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Years of delay; IP downgraded</w:t>
            </w:r>
          </w:p>
        </w:tc>
        <w:tc>
          <w:tcPr>
            <w:tcW w:type="dxa" w:w="28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w:t>
            </w:r>
          </w:p>
        </w:tc>
      </w:tr>
      <w:tr>
        <w:trPr>
          <w:cantSplit/>
        </w:trPr>
        <w:tc>
          <w:tcPr>
            <w:tcW w:type="dxa" w:w="36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Debt-funded dividends FY23-24 (payout ~200%)</w:t>
            </w:r>
          </w:p>
        </w:tc>
        <w:tc>
          <w:tcPr>
            <w:tcW w:type="dxa" w:w="33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~RM1.7bn paid vs ~RM0.7bn earned</w:t>
            </w:r>
          </w:p>
        </w:tc>
        <w:tc>
          <w:tcPr>
            <w:tcW w:type="dxa" w:w="28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Parent (73.8% of dividends)</w:t>
            </w:r>
          </w:p>
        </w:tc>
      </w:tr>
      <w:tr>
        <w:trPr>
          <w:cantSplit/>
        </w:trPr>
        <w:tc>
          <w:tcPr>
            <w:tcW w:type="dxa" w:w="367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Genting HK stake sold to a Lim-family vehicle (2016)</w:t>
            </w:r>
          </w:p>
        </w:tc>
        <w:tc>
          <w:tcPr>
            <w:tcW w:type="dxa" w:w="336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Sold below cost (US$420.8m total vs US$604m GENM cost)</w:t>
            </w:r>
          </w:p>
        </w:tc>
        <w:tc>
          <w:tcPr>
            <w:tcW w:type="dxa" w:w="285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Golden Hope (family)</w:t>
            </w:r>
          </w:p>
        </w:tc>
      </w:tr>
    </w:tbl>
    <w:p>
      <w:pPr>
        <w:spacing w:after="60"/>
      </w:pPr>
    </w:p>
    <w:p>
      <w:pPr>
        <w:pStyle w:val="Heading2"/>
      </w:pPr>
      <w:r>
        <w:t xml:space="preserve">25.6 Related-party transactions, accounting and incentives</w:t>
      </w:r>
    </w:p>
    <w:p>
      <w:pPr>
        <w:pStyle w:val="ListParagraph"/>
        <w:numPr>
          <w:ilvl w:val="0"/>
          <w:numId w:val="3"/>
        </w:numPr>
        <w:spacing w:after="60" w:line="264"/>
      </w:pPr>
      <w:r>
        <w:rPr>
          <w:rFonts w:ascii="Arial" w:cs="Arial" w:eastAsia="Arial" w:hAnsi="Arial"/>
          <w:b/>
          <w:bCs/>
          <w:sz w:val="19"/>
          <w:szCs w:val="19"/>
        </w:rPr>
        <w:t xml:space="preserve">Related-party fees of ~RM848m a year</w:t>
      </w:r>
      <w:r>
        <w:rPr>
          <w:rFonts w:ascii="Arial" w:cs="Arial" w:eastAsia="Arial" w:hAnsi="Arial"/>
          <w:sz w:val="19"/>
          <w:szCs w:val="19"/>
        </w:rPr>
        <w:t xml:space="preserve"> (management/know-how RM497.8m, brand licence RM233.0m, US IP RM90.2m, software RM16.1m). </w:t>
      </w:r>
      <w:r>
        <w:rPr>
          <w:rFonts w:ascii="Arial" w:cs="Arial" w:eastAsia="Arial" w:hAnsi="Arial"/>
          <w:b/>
          <w:bCs/>
          <w:sz w:val="19"/>
          <w:szCs w:val="19"/>
        </w:rPr>
        <w:t xml:space="preserve">These are expenses inside EBITDA</w:t>
      </w:r>
      <w:r>
        <w:rPr>
          <w:rFonts w:ascii="Arial" w:cs="Arial" w:eastAsia="Arial" w:hAnsi="Arial"/>
          <w:sz w:val="19"/>
          <w:szCs w:val="19"/>
        </w:rPr>
        <w:t xml:space="preserve">: every sell-side multiple already capitalises a perpetual transfer to the parent.</w:t>
      </w:r>
    </w:p>
    <w:p>
      <w:pPr>
        <w:pStyle w:val="ListParagraph"/>
        <w:numPr>
          <w:ilvl w:val="0"/>
          <w:numId w:val="3"/>
        </w:numPr>
        <w:spacing w:after="60" w:line="264"/>
      </w:pPr>
      <w:r>
        <w:rPr>
          <w:rFonts w:ascii="Arial" w:cs="Arial" w:eastAsia="Arial" w:hAnsi="Arial"/>
          <w:b/>
          <w:bCs/>
          <w:sz w:val="19"/>
          <w:szCs w:val="19"/>
        </w:rPr>
        <w:t xml:space="preserve">Misaligned incentives:</w:t>
      </w:r>
      <w:r>
        <w:rPr>
          <w:rFonts w:ascii="Arial" w:cs="Arial" w:eastAsia="Arial" w:hAnsi="Arial"/>
          <w:sz w:val="19"/>
          <w:szCs w:val="19"/>
        </w:rPr>
        <w:t xml:space="preserve"> the controlling shareholder earns fees on revenue (not returns), so it benefits from expansion even at sub-cost-of-capital returns. Executive pay is not tied to ROIC or TSR.</w:t>
      </w:r>
    </w:p>
    <w:p>
      <w:pPr>
        <w:pStyle w:val="ListParagraph"/>
        <w:numPr>
          <w:ilvl w:val="0"/>
          <w:numId w:val="3"/>
        </w:numPr>
        <w:spacing w:after="60" w:line="264"/>
      </w:pPr>
      <w:r>
        <w:rPr>
          <w:rFonts w:ascii="Arial" w:cs="Arial" w:eastAsia="Arial" w:hAnsi="Arial"/>
          <w:b/>
          <w:bCs/>
          <w:sz w:val="19"/>
          <w:szCs w:val="19"/>
        </w:rPr>
        <w:t xml:space="preserve">"Below the 5% threshold" structuring</w:t>
      </w:r>
      <w:r>
        <w:rPr>
          <w:rFonts w:ascii="Arial" w:cs="Arial" w:eastAsia="Arial" w:hAnsi="Arial"/>
          <w:sz w:val="19"/>
          <w:szCs w:val="19"/>
        </w:rPr>
        <w:t xml:space="preserve"> has repeatedly avoided minority votes.</w:t>
      </w:r>
    </w:p>
    <w:p>
      <w:pPr>
        <w:pStyle w:val="Heading2"/>
      </w:pPr>
      <w:r>
        <w:t xml:space="preserve">25.7 What must hold for the current price to be justified, and what if growth disappoints by 20-30%?</w:t>
      </w:r>
    </w:p>
    <w:p>
      <w:pPr>
        <w:spacing w:after="120" w:line="276"/>
      </w:pPr>
      <w:r>
        <w:rPr>
          <w:rFonts w:ascii="Arial" w:cs="Arial" w:eastAsia="Arial" w:hAnsi="Arial"/>
          <w:sz w:val="19"/>
          <w:szCs w:val="19"/>
        </w:rPr>
        <w:t xml:space="preserve">At RM1.27 the market prices GENM at an EV of ~RM21.4bn (incl. leases), ~7.4x LTM adj. EBITDA ex-FX and ~6.3x our FY27E. For that to be fair value, RWG must hold ~RM2.2bn of EBITDA and NY must reach ~RM1bn of EBITDA (~US$260m) without further dilution. </w:t>
      </w:r>
      <w:r>
        <w:rPr>
          <w:rFonts w:ascii="Arial" w:cs="Arial" w:eastAsia="Arial" w:hAnsi="Arial"/>
          <w:b/>
          <w:bCs/>
          <w:sz w:val="19"/>
          <w:szCs w:val="19"/>
        </w:rPr>
        <w:t xml:space="preserve">If FY27E EBITDA is 20-30% below our RM3.4bn</w:t>
      </w:r>
      <w:r>
        <w:rPr>
          <w:rFonts w:ascii="Arial" w:cs="Arial" w:eastAsia="Arial" w:hAnsi="Arial"/>
          <w:sz w:val="19"/>
          <w:szCs w:val="19"/>
        </w:rPr>
        <w:t xml:space="preserve"> (e.g., racing support fully charged and Malaysia −10%), EBITDA falls to RM2.4-2.7bn. At the same 6.3x multiple, EV falls to RM15.1-17.2bn. Against today's net debt of RM14.2bn (treating future phase-2 spend as value-neutral work in progress), </w:t>
      </w:r>
      <w:r>
        <w:rPr>
          <w:rFonts w:ascii="Arial" w:cs="Arial" w:eastAsia="Arial" w:hAnsi="Arial"/>
          <w:b/>
          <w:bCs/>
          <w:sz w:val="19"/>
          <w:szCs w:val="19"/>
        </w:rPr>
        <w:t xml:space="preserve">equity falls to RM0.9-3.0bn, or RM0.16-0.53 a share (−58% to −87%)</w:t>
      </w:r>
      <w:r>
        <w:rPr>
          <w:rFonts w:ascii="Arial" w:cs="Arial" w:eastAsia="Arial" w:hAnsi="Arial"/>
          <w:sz w:val="19"/>
          <w:szCs w:val="19"/>
        </w:rPr>
        <w:t xml:space="preserve">. This is the leverage trap: with net debt at ~2x market cap, a 25% EBITDA miss removes ~70% of the equity.</w:t>
      </w:r>
    </w:p>
    <w:p>
      <w:pPr>
        <w:pStyle w:val="Heading2"/>
      </w:pPr>
      <w:r>
        <w:t xml:space="preserve">25.8 The single scenario that would permanently impair the business</w:t>
      </w:r>
    </w:p>
    <w:p>
      <w:pPr>
        <w:spacing w:after="120" w:line="276"/>
      </w:pPr>
      <w:r>
        <w:rPr>
          <w:rFonts w:ascii="Arial" w:cs="Arial" w:eastAsia="Arial" w:hAnsi="Arial"/>
          <w:b/>
          <w:bCs/>
          <w:sz w:val="19"/>
          <w:szCs w:val="19"/>
        </w:rPr>
        <w:t xml:space="preserve">A combination of (i) a Malaysian policy shock and (ii) a NY cost overrun at a time when the parent cannot support GENM.</w:t>
      </w:r>
      <w:r>
        <w:rPr>
          <w:rFonts w:ascii="Arial" w:cs="Arial" w:eastAsia="Arial" w:hAnsi="Arial"/>
          <w:sz w:val="19"/>
          <w:szCs w:val="19"/>
        </w:rPr>
        <w:t xml:space="preserve"> For example: a PAS-led Pahang government or a fiscal squeeze raises duty or restricts operations; NY racing support is enforced on top of 56%; phase-2 capex overruns. The result would be a GENM rights issue at a deep discount, which Genting Bhd could not take up, or a forced sale of NY/Miami at distressed prices. </w:t>
      </w:r>
      <w:r>
        <w:rPr>
          <w:rFonts w:ascii="Arial" w:cs="Arial" w:eastAsia="Arial" w:hAnsi="Arial"/>
          <w:b/>
          <w:bCs/>
          <w:sz w:val="19"/>
          <w:szCs w:val="19"/>
        </w:rPr>
        <w:t xml:space="preserve">Plausibility: low (~10-15% over three years) but not remote</w:t>
      </w:r>
      <w:r>
        <w:rPr>
          <w:rFonts w:ascii="Arial" w:cs="Arial" w:eastAsia="Arial" w:hAnsi="Arial"/>
          <w:sz w:val="19"/>
          <w:szCs w:val="19"/>
        </w:rPr>
        <w:t xml:space="preserve"> [e]. Each leg has a precedent (2019 tax hike; 2025-26 NY tax dispute; 2026 parent rights issue).</w:t>
      </w:r>
    </w:p>
    <w:p>
      <w:pPr>
        <w:pStyle w:val="Heading2"/>
      </w:pPr>
      <w:r>
        <w:t xml:space="preserve">25.9 Forensic accounting review: red flags and risks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5"/>
        <w:gridCol w:w="4647"/>
        <w:gridCol w:w="3184"/>
      </w:tblGrid>
      <w:tr>
        <w:trPr>
          <w:tblHeader/>
        </w:trPr>
        <w:tc>
          <w:tcPr>
            <w:tcW w:type="dxa" w:w="207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Area</w:t>
            </w:r>
          </w:p>
        </w:tc>
        <w:tc>
          <w:tcPr>
            <w:tcW w:type="dxa" w:w="464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Observation</w:t>
            </w:r>
          </w:p>
        </w:tc>
        <w:tc>
          <w:tcPr>
            <w:tcW w:type="dxa" w:w="318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Risk</w:t>
            </w:r>
          </w:p>
        </w:tc>
      </w:tr>
      <w:tr>
        <w:trPr>
          <w:cantSplit/>
        </w:trPr>
        <w:tc>
          <w:tcPr>
            <w:tcW w:type="dxa" w:w="20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Revenue recognition</w:t>
            </w:r>
          </w:p>
        </w:tc>
        <w:tc>
          <w:tcPr>
            <w:tcW w:type="dxa" w:w="464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Gaming revenue is reported net of rebates and comps; NY revenue switched from VLT commission (net) to gross GGR with gaming tax as an expense from 28-Apr-26, which mechanically inflates revenue growth and depresses margin</w:t>
            </w:r>
          </w:p>
        </w:tc>
        <w:tc>
          <w:tcPr>
            <w:tcW w:type="dxa" w:w="31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Medium: distorts YoY comparisons (US revenue +166%)</w:t>
            </w:r>
          </w:p>
        </w:tc>
      </w:tr>
      <w:tr>
        <w:trPr>
          <w:cantSplit/>
        </w:trPr>
        <w:tc>
          <w:tcPr>
            <w:tcW w:type="dxa" w:w="20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Segment reporting</w:t>
            </w:r>
          </w:p>
        </w:tc>
        <w:tc>
          <w:tcPr>
            <w:tcW w:type="dxa" w:w="464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Unrealised FX on USD borrowings sits inside </w:t>
            </w:r>
            <w:r>
              <w:rPr>
                <w:rFonts w:ascii="Arial" w:cs="Arial" w:eastAsia="Arial" w:hAnsi="Arial"/>
                <w:b/>
                <w:bCs/>
                <w:color w:val="1A1F2B"/>
                <w:sz w:val="15"/>
                <w:szCs w:val="15"/>
              </w:rPr>
              <w:t xml:space="preserve">adjusted EBITDA</w:t>
            </w:r>
            <w:r>
              <w:rPr>
                <w:rFonts w:ascii="Arial" w:cs="Arial" w:eastAsia="Arial" w:hAnsi="Arial"/>
                <w:b w:val="false"/>
                <w:bCs w:val="false"/>
                <w:color w:val="1A1F2B"/>
                <w:sz w:val="15"/>
                <w:szCs w:val="15"/>
              </w:rPr>
              <w:t xml:space="preserve"> ("Investments &amp; Others"): +RM351.6m in FY25, −RM18.1m in 2Q26; no VIP/mass split; no hold-adjusted figures; no RWNYC standalone P&amp;L; no segment PBT</w:t>
            </w:r>
          </w:p>
        </w:tc>
        <w:tc>
          <w:tcPr>
            <w:tcW w:type="dxa" w:w="318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High</w:t>
            </w:r>
            <w:r>
              <w:rPr>
                <w:rFonts w:ascii="Arial" w:cs="Arial" w:eastAsia="Arial" w:hAnsi="Arial"/>
                <w:b w:val="false"/>
                <w:bCs w:val="false"/>
                <w:color w:val="1A1F2B"/>
                <w:sz w:val="15"/>
                <w:szCs w:val="15"/>
              </w:rPr>
              <w:t xml:space="preserve">: headline EBITDA flattered by FX in FY24-25</w:t>
            </w:r>
          </w:p>
        </w:tc>
      </w:tr>
      <w:tr>
        <w:trPr>
          <w:cantSplit/>
        </w:trPr>
        <w:tc>
          <w:tcPr>
            <w:tcW w:type="dxa" w:w="20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One-offs in net income</w:t>
            </w:r>
          </w:p>
        </w:tc>
        <w:tc>
          <w:tcPr>
            <w:tcW w:type="dxa" w:w="464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FY25 NI included the RM129.1m Empire bargain-purchase gain, RM77.1m disposal gain and RM56.3m ECL reversal (~35% of NI)</w:t>
            </w:r>
          </w:p>
        </w:tc>
        <w:tc>
          <w:tcPr>
            <w:tcW w:type="dxa" w:w="31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Medium-High</w:t>
            </w:r>
          </w:p>
        </w:tc>
      </w:tr>
      <w:tr>
        <w:trPr>
          <w:cantSplit/>
        </w:trPr>
        <w:tc>
          <w:tcPr>
            <w:tcW w:type="dxa" w:w="20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Leases</w:t>
            </w:r>
          </w:p>
        </w:tc>
        <w:tc>
          <w:tcPr>
            <w:tcW w:type="dxa" w:w="464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Lease liabilities up from RM0.75bn (FY21) to RM2.23bn (Jun-26); Aqueduct lease amended Jun-2025 and remeasured on conversion; rent terms undisclosed</w:t>
            </w:r>
          </w:p>
        </w:tc>
        <w:tc>
          <w:tcPr>
            <w:tcW w:type="dxa" w:w="318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Medium: leases keep moving into debt</w:t>
            </w:r>
          </w:p>
        </w:tc>
      </w:tr>
      <w:tr>
        <w:trPr>
          <w:cantSplit/>
        </w:trPr>
        <w:tc>
          <w:tcPr>
            <w:tcW w:type="dxa" w:w="20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Related parties</w:t>
            </w:r>
          </w:p>
        </w:tc>
        <w:tc>
          <w:tcPr>
            <w:tcW w:type="dxa" w:w="464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~RM848m a year of fees; serial Empire RPTs; family-linked suppliers</w:t>
            </w:r>
          </w:p>
        </w:tc>
        <w:tc>
          <w:tcPr>
            <w:tcW w:type="dxa" w:w="31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High</w:t>
            </w:r>
          </w:p>
        </w:tc>
      </w:tr>
      <w:tr>
        <w:trPr>
          <w:cantSplit/>
        </w:trPr>
        <w:tc>
          <w:tcPr>
            <w:tcW w:type="dxa" w:w="20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Contingencies</w:t>
            </w:r>
          </w:p>
        </w:tc>
        <w:tc>
          <w:tcPr>
            <w:tcW w:type="dxa" w:w="464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NY racing-support dispute (&gt;US$500m over four years) not provided for [u]; Mashpee note recoverability; Bimini impairment testing relies on a cruise strategy</w:t>
            </w:r>
          </w:p>
        </w:tc>
        <w:tc>
          <w:tcPr>
            <w:tcW w:type="dxa" w:w="318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High</w:t>
            </w:r>
            <w:r>
              <w:rPr>
                <w:rFonts w:ascii="Arial" w:cs="Arial" w:eastAsia="Arial" w:hAnsi="Arial"/>
                <w:b w:val="false"/>
                <w:bCs w:val="false"/>
                <w:color w:val="1A1F2B"/>
                <w:sz w:val="15"/>
                <w:szCs w:val="15"/>
              </w:rPr>
              <w:t xml:space="preserve"> (NY) / Medium</w:t>
            </w:r>
          </w:p>
        </w:tc>
      </w:tr>
      <w:tr>
        <w:trPr>
          <w:cantSplit/>
        </w:trPr>
        <w:tc>
          <w:tcPr>
            <w:tcW w:type="dxa" w:w="20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Goodwill and intangibles</w:t>
            </w:r>
          </w:p>
        </w:tc>
        <w:tc>
          <w:tcPr>
            <w:tcW w:type="dxa" w:w="464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NY licence intangible RM1.57bn (amortisation over licence term [u]); UK goodwill and trademarks RM459m (impairments FY24-25); Bimini RM632m</w:t>
            </w:r>
          </w:p>
        </w:tc>
        <w:tc>
          <w:tcPr>
            <w:tcW w:type="dxa" w:w="31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Medium: further UK/Bimini impairments likely if MGD doubles</w:t>
            </w:r>
          </w:p>
        </w:tc>
      </w:tr>
      <w:tr>
        <w:trPr>
          <w:cantSplit/>
        </w:trPr>
        <w:tc>
          <w:tcPr>
            <w:tcW w:type="dxa" w:w="20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Bargain-purchase gain</w:t>
            </w:r>
          </w:p>
        </w:tc>
        <w:tc>
          <w:tcPr>
            <w:tcW w:type="dxa" w:w="464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Buying 51% of GERL from the controlling family for US$41m and booking a RM129m gain implies the family sold below fair value or the fair values are aggressive; Bursa asked ~20 questions</w:t>
            </w:r>
          </w:p>
        </w:tc>
        <w:tc>
          <w:tcPr>
            <w:tcW w:type="dxa" w:w="318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Medium-High</w:t>
            </w:r>
          </w:p>
        </w:tc>
      </w:tr>
      <w:tr>
        <w:trPr>
          <w:cantSplit/>
        </w:trPr>
        <w:tc>
          <w:tcPr>
            <w:tcW w:type="dxa" w:w="20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Interest capitalisation</w:t>
            </w:r>
          </w:p>
        </w:tc>
        <w:tc>
          <w:tcPr>
            <w:tcW w:type="dxa" w:w="464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Phase-2 construction allows capitalising interest (IAS 23), flattering P&amp;L finance costs during the build [e]</w:t>
            </w:r>
          </w:p>
        </w:tc>
        <w:tc>
          <w:tcPr>
            <w:tcW w:type="dxa" w:w="31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Medium</w:t>
            </w:r>
          </w:p>
        </w:tc>
      </w:tr>
      <w:tr>
        <w:trPr>
          <w:cantSplit/>
        </w:trPr>
        <w:tc>
          <w:tcPr>
            <w:tcW w:type="dxa" w:w="20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Stock-based compensation</w:t>
            </w:r>
          </w:p>
        </w:tc>
        <w:tc>
          <w:tcPr>
            <w:tcW w:type="dxa" w:w="464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 material SBC; cash pay is the issue (LKT RM54.7m)</w:t>
            </w:r>
          </w:p>
        </w:tc>
        <w:tc>
          <w:tcPr>
            <w:tcW w:type="dxa" w:w="318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Low (accounting) / High (governance)</w:t>
            </w:r>
          </w:p>
        </w:tc>
      </w:tr>
      <w:tr>
        <w:trPr>
          <w:cantSplit/>
        </w:trPr>
        <w:tc>
          <w:tcPr>
            <w:tcW w:type="dxa" w:w="20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Cash flow</w:t>
            </w:r>
          </w:p>
        </w:tc>
        <w:tc>
          <w:tcPr>
            <w:tcW w:type="dxa" w:w="464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FY25 CFO RM2.03bn (−13% YoY) while EBITDA rose; 1Q26 CFO only RM139m; licence fee booked in investing (intangibles)</w:t>
            </w:r>
          </w:p>
        </w:tc>
        <w:tc>
          <w:tcPr>
            <w:tcW w:type="dxa" w:w="31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Medium: FCF-to-EBITDA conversion is declining</w:t>
            </w:r>
          </w:p>
        </w:tc>
      </w:tr>
      <w:tr>
        <w:trPr>
          <w:cantSplit/>
        </w:trPr>
        <w:tc>
          <w:tcPr>
            <w:tcW w:type="dxa" w:w="20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Tax</w:t>
            </w:r>
          </w:p>
        </w:tc>
        <w:tc>
          <w:tcPr>
            <w:tcW w:type="dxa" w:w="4647"/>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Effective tax rate 32% (FY25) and ~99% (1H26): Malaysian profits fully taxed while US losses give little shelter</w:t>
            </w:r>
          </w:p>
        </w:tc>
        <w:tc>
          <w:tcPr>
            <w:tcW w:type="dxa" w:w="3184"/>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Medium: earnings drag persists</w:t>
            </w:r>
          </w:p>
        </w:tc>
      </w:tr>
      <w:tr>
        <w:trPr>
          <w:cantSplit/>
        </w:trPr>
        <w:tc>
          <w:tcPr>
            <w:tcW w:type="dxa" w:w="20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Auditor</w:t>
            </w:r>
          </w:p>
        </w:tc>
        <w:tc>
          <w:tcPr>
            <w:tcW w:type="dxa" w:w="464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PwC; key audit matters on UK impairment, Bimini, GERL purchase-price allocation; no modified opinion found [u]</w:t>
            </w:r>
          </w:p>
        </w:tc>
        <w:tc>
          <w:tcPr>
            <w:tcW w:type="dxa" w:w="31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Low</w:t>
            </w:r>
          </w:p>
        </w:tc>
      </w:tr>
    </w:tbl>
    <w:p>
      <w:pPr>
        <w:spacing w:after="60"/>
      </w:pPr>
    </w:p>
    <w:p>
      <w:pPr>
        <w:spacing w:after="120" w:line="276"/>
      </w:pPr>
      <w:r>
        <w:rPr>
          <w:rFonts w:ascii="Arial" w:cs="Arial" w:eastAsia="Arial" w:hAnsi="Arial"/>
          <w:b/>
          <w:bCs/>
          <w:sz w:val="19"/>
          <w:szCs w:val="19"/>
        </w:rPr>
        <w:t xml:space="preserve">Short-seller's conclusion:</w:t>
      </w:r>
      <w:r>
        <w:rPr>
          <w:rFonts w:ascii="Arial" w:cs="Arial" w:eastAsia="Arial" w:hAnsi="Arial"/>
          <w:sz w:val="19"/>
          <w:szCs w:val="19"/>
        </w:rPr>
        <w:t xml:space="preserve"> "GENM is a levered, policy-dependent, related-party-taxed equity stub sitting on a construction project, with a parent that needs its cash. Cheap on book is not cheap on risk."</w:t>
      </w:r>
    </w:p>
    <w:p>
      <w:r>
        <w:br w:type="page"/>
      </w:r>
    </w:p>
    <w:p>
      <w:pPr>
        <w:pStyle w:val="Heading1"/>
      </w:pPr>
      <w:r>
        <w:t xml:space="preserve">26. Is There an Activist Angle? What an Activist Would Push For</w:t>
      </w:r>
    </w:p>
    <w:p>
      <w:pPr>
        <w:spacing w:after="120" w:line="276"/>
      </w:pPr>
      <w:r>
        <w:rPr>
          <w:rFonts w:ascii="Arial" w:cs="Arial" w:eastAsia="Arial" w:hAnsi="Arial"/>
          <w:b/>
          <w:bCs/>
          <w:sz w:val="19"/>
          <w:szCs w:val="19"/>
        </w:rPr>
        <w:t xml:space="preserve">A proxy fight is impossible against a 73.84% holder, but minorities hold three real veto points.</w:t>
      </w:r>
      <w:r>
        <w:rPr>
          <w:rFonts w:ascii="Arial" w:cs="Arial" w:eastAsia="Arial" w:hAnsi="Arial"/>
          <w:sz w:val="19"/>
          <w:szCs w:val="19"/>
        </w:rPr>
        <w:t xml:space="preserve"> That makes GENM a "blocking-stake" situation rather than a classic board campaign.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5"/>
        <w:gridCol w:w="3622"/>
        <w:gridCol w:w="3909"/>
      </w:tblGrid>
      <w:tr>
        <w:trPr>
          <w:tblHeader/>
        </w:trPr>
        <w:tc>
          <w:tcPr>
            <w:tcW w:type="dxa" w:w="237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Lever</w:t>
            </w:r>
          </w:p>
        </w:tc>
        <w:tc>
          <w:tcPr>
            <w:tcW w:type="dxa" w:w="362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Mechanism</w:t>
            </w:r>
          </w:p>
        </w:tc>
        <w:tc>
          <w:tcPr>
            <w:tcW w:type="dxa" w:w="390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Why it matters</w:t>
            </w:r>
          </w:p>
        </w:tc>
      </w:tr>
      <w:tr>
        <w:trPr>
          <w:cantSplit/>
        </w:trPr>
        <w:tc>
          <w:tcPr>
            <w:tcW w:type="dxa" w:w="23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 Delisting veto</w:t>
            </w:r>
          </w:p>
        </w:tc>
        <w:tc>
          <w:tcPr>
            <w:tcW w:type="dxa" w:w="36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 voluntary delisting with an exit offer typically fails if more than 10% of holders object [u: confirm rule with counsel]</w:t>
            </w:r>
          </w:p>
        </w:tc>
        <w:tc>
          <w:tcPr>
            <w:tcW w:type="dxa" w:w="39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~10% of GENM (~567m shares, ~RM720m / US$178m at RM1.27; ~38% of the free float) is a blocking position against a low-ball privatisation</w:t>
            </w:r>
          </w:p>
        </w:tc>
      </w:tr>
      <w:tr>
        <w:trPr>
          <w:cantSplit/>
        </w:trPr>
        <w:tc>
          <w:tcPr>
            <w:tcW w:type="dxa" w:w="23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 RRPT mandate</w:t>
            </w:r>
          </w:p>
        </w:tc>
        <w:tc>
          <w:tcPr>
            <w:tcW w:type="dxa" w:w="362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Recurrent related-party transaction mandates require shareholder approval with interested parties abstaining (Bursa Main Market Listing Requirements)</w:t>
            </w:r>
          </w:p>
        </w:tc>
        <w:tc>
          <w:tcPr>
            <w:tcW w:type="dxa" w:w="3909"/>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The ~RM848m a year of fees to Genting Bhd and RWI are renewed at each AGM. Minorities can withhold approval and force individual approvals, benchmarking and disclosure</w:t>
            </w:r>
          </w:p>
        </w:tc>
      </w:tr>
      <w:tr>
        <w:trPr>
          <w:cantSplit/>
        </w:trPr>
        <w:tc>
          <w:tcPr>
            <w:tcW w:type="dxa" w:w="23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3. Major related-party deals (&gt;5%)</w:t>
            </w:r>
          </w:p>
        </w:tc>
        <w:tc>
          <w:tcPr>
            <w:tcW w:type="dxa" w:w="36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Require independent shareholder approval</w:t>
            </w:r>
          </w:p>
        </w:tc>
        <w:tc>
          <w:tcPr>
            <w:tcW w:type="dxa" w:w="390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Historically avoided by sizing deals below 5%. A future Miami sale to a related party, or parent support arrangements, would come to a vote</w:t>
            </w:r>
          </w:p>
        </w:tc>
      </w:tr>
    </w:tbl>
    <w:p>
      <w:pPr>
        <w:spacing w:after="60"/>
      </w:pPr>
    </w:p>
    <w:p>
      <w:pPr>
        <w:pStyle w:val="Heading2"/>
      </w:pPr>
      <w:r>
        <w:t xml:space="preserve">26.1 What an activist would ask for</w:t>
      </w:r>
    </w:p>
    <w:p>
      <w:pPr>
        <w:pStyle w:val="ListParagraph"/>
        <w:numPr>
          <w:ilvl w:val="0"/>
          <w:numId w:val="14"/>
        </w:numPr>
        <w:spacing w:after="60" w:line="264"/>
      </w:pPr>
      <w:r>
        <w:rPr>
          <w:rFonts w:ascii="Arial" w:cs="Arial" w:eastAsia="Arial" w:hAnsi="Arial"/>
          <w:b/>
          <w:bCs/>
          <w:sz w:val="19"/>
          <w:szCs w:val="19"/>
        </w:rPr>
        <w:t xml:space="preserve">Benchmark and cut related-party fees.</w:t>
      </w:r>
      <w:r>
        <w:rPr>
          <w:rFonts w:ascii="Arial" w:cs="Arial" w:eastAsia="Arial" w:hAnsi="Arial"/>
          <w:sz w:val="19"/>
          <w:szCs w:val="19"/>
        </w:rPr>
        <w:t xml:space="preserve"> The technical know-how and management fee (RM497.8m) and brand licence (RM233m) total ~6% of revenue. Halving total related-party fees (~RM848m) adds ~RM420m of EBITDA, worth ~RM0.50 a share at 7x [e].</w:t>
      </w:r>
    </w:p>
    <w:p>
      <w:pPr>
        <w:pStyle w:val="ListParagraph"/>
        <w:numPr>
          <w:ilvl w:val="0"/>
          <w:numId w:val="14"/>
        </w:numPr>
        <w:spacing w:after="60" w:line="264"/>
      </w:pPr>
      <w:r>
        <w:rPr>
          <w:rFonts w:ascii="Arial" w:cs="Arial" w:eastAsia="Arial" w:hAnsi="Arial"/>
          <w:b/>
          <w:bCs/>
          <w:sz w:val="19"/>
          <w:szCs w:val="19"/>
        </w:rPr>
        <w:t xml:space="preserve">Monetise non-core and real-estate assets to fund New York without equity dilution:</w:t>
      </w:r>
      <w:r>
        <w:rPr>
          <w:rFonts w:ascii="Arial" w:cs="Arial" w:eastAsia="Arial" w:hAnsi="Arial"/>
          <w:sz w:val="19"/>
          <w:szCs w:val="19"/>
        </w:rPr>
        <w:t xml:space="preserve"> sell the Miami land (US$1.225bn bid in 2023); run a RWNYC PropCo sale-leaseback with VICI or GLPI; sell or close Empire's upstate assets and Bimini.</w:t>
      </w:r>
    </w:p>
    <w:p>
      <w:pPr>
        <w:pStyle w:val="ListParagraph"/>
        <w:numPr>
          <w:ilvl w:val="0"/>
          <w:numId w:val="14"/>
        </w:numPr>
        <w:spacing w:after="60" w:line="264"/>
      </w:pPr>
      <w:r>
        <w:rPr>
          <w:rFonts w:ascii="Arial" w:cs="Arial" w:eastAsia="Arial" w:hAnsi="Arial"/>
          <w:b/>
          <w:bCs/>
          <w:sz w:val="19"/>
          <w:szCs w:val="19"/>
        </w:rPr>
        <w:t xml:space="preserve">A capital-allocation framework:</w:t>
      </w:r>
      <w:r>
        <w:rPr>
          <w:rFonts w:ascii="Arial" w:cs="Arial" w:eastAsia="Arial" w:hAnsi="Arial"/>
          <w:sz w:val="19"/>
          <w:szCs w:val="19"/>
        </w:rPr>
        <w:t xml:space="preserve"> published hurdle rates for NY phase 2, and pay for executives (and LKT's RM54.7m) linked to ROIC and TSR.</w:t>
      </w:r>
    </w:p>
    <w:p>
      <w:pPr>
        <w:pStyle w:val="ListParagraph"/>
        <w:numPr>
          <w:ilvl w:val="0"/>
          <w:numId w:val="14"/>
        </w:numPr>
        <w:spacing w:after="60" w:line="264"/>
      </w:pPr>
      <w:r>
        <w:rPr>
          <w:rFonts w:ascii="Arial" w:cs="Arial" w:eastAsia="Arial" w:hAnsi="Arial"/>
          <w:b/>
          <w:bCs/>
          <w:sz w:val="19"/>
          <w:szCs w:val="19"/>
        </w:rPr>
        <w:t xml:space="preserve">Board independence:</w:t>
      </w:r>
      <w:r>
        <w:rPr>
          <w:rFonts w:ascii="Arial" w:cs="Arial" w:eastAsia="Arial" w:hAnsi="Arial"/>
          <w:sz w:val="19"/>
          <w:szCs w:val="19"/>
        </w:rPr>
        <w:t xml:space="preserve"> an independent majority and an independent chair, plus directors with US gaming and project-finance expertise.</w:t>
      </w:r>
    </w:p>
    <w:p>
      <w:pPr>
        <w:pStyle w:val="ListParagraph"/>
        <w:numPr>
          <w:ilvl w:val="0"/>
          <w:numId w:val="14"/>
        </w:numPr>
        <w:spacing w:after="60" w:line="264"/>
      </w:pPr>
      <w:r>
        <w:rPr>
          <w:rFonts w:ascii="Arial" w:cs="Arial" w:eastAsia="Arial" w:hAnsi="Arial"/>
          <w:b/>
          <w:bCs/>
          <w:sz w:val="19"/>
          <w:szCs w:val="19"/>
        </w:rPr>
        <w:t xml:space="preserve">A fair-value floor for any privatisation:</w:t>
      </w:r>
      <w:r>
        <w:rPr>
          <w:rFonts w:ascii="Arial" w:cs="Arial" w:eastAsia="Arial" w:hAnsi="Arial"/>
          <w:sz w:val="19"/>
          <w:szCs w:val="19"/>
        </w:rPr>
        <w:t xml:space="preserve"> publicly anchor on the lapsed RM2.35 offer and the independent adviser's RM3.48-3.77 SOTP.</w:t>
      </w:r>
    </w:p>
    <w:p>
      <w:pPr>
        <w:pStyle w:val="Heading2"/>
      </w:pPr>
      <w:r>
        <w:t xml:space="preserve">26.2 Feasibility and limits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6"/>
        <w:gridCol w:w="4890"/>
      </w:tblGrid>
      <w:tr>
        <w:trPr>
          <w:tblHeader/>
        </w:trPr>
        <w:tc>
          <w:tcPr>
            <w:tcW w:type="dxa" w:w="501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Supports activism</w:t>
            </w:r>
          </w:p>
        </w:tc>
        <w:tc>
          <w:tcPr>
            <w:tcW w:type="dxa" w:w="489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Limits</w:t>
            </w:r>
          </w:p>
        </w:tc>
      </w:tr>
      <w:tr>
        <w:trPr>
          <w:cantSplit/>
        </w:trPr>
        <w:tc>
          <w:tcPr>
            <w:tcW w:type="dxa" w:w="5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Quantifiable value leakage (fees ~RM848m a year; pay) and an independent adviser on record that RM2.35 was "not fair"</w:t>
            </w:r>
          </w:p>
        </w:tc>
        <w:tc>
          <w:tcPr>
            <w:tcW w:type="dxa" w:w="48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Controller at 73.84%; no history of successful activism in the Genting group</w:t>
            </w:r>
          </w:p>
        </w:tc>
      </w:tr>
      <w:tr>
        <w:trPr>
          <w:cantSplit/>
        </w:trPr>
        <w:tc>
          <w:tcPr>
            <w:tcW w:type="dxa" w:w="50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 low share price makes a 10% blocking stake affordable (~US$178m)</w:t>
            </w:r>
          </w:p>
        </w:tc>
        <w:tc>
          <w:tcPr>
            <w:tcW w:type="dxa" w:w="489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Liquidity: ~1-5m shares a day in 2026 (~RM2-6m), so building 10% takes months and moves the price</w:t>
            </w:r>
          </w:p>
        </w:tc>
      </w:tr>
      <w:tr>
        <w:trPr>
          <w:cantSplit/>
        </w:trPr>
        <w:tc>
          <w:tcPr>
            <w:tcW w:type="dxa" w:w="5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Government-linked funds (EPF, KWAP, PNB) have exited; the remaining float is foreign institutions and retail, so it can be aggregated</w:t>
            </w:r>
          </w:p>
        </w:tc>
        <w:tc>
          <w:tcPr>
            <w:tcW w:type="dxa" w:w="48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Foreign/retail dispersion makes coordination hard; Malaysian institutions rarely oppose the Lim family publicly</w:t>
            </w:r>
          </w:p>
        </w:tc>
      </w:tr>
      <w:tr>
        <w:trPr>
          <w:cantSplit/>
        </w:trPr>
        <w:tc>
          <w:tcPr>
            <w:tcW w:type="dxa" w:w="501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MSWG has historically criticised GENM's related-party transactions</w:t>
            </w:r>
          </w:p>
        </w:tc>
        <w:tc>
          <w:tcPr>
            <w:tcW w:type="dxa" w:w="489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The exact delisting-objection rule and any creeping-acquisition restrictions need legal confirmation [u]</w:t>
            </w:r>
          </w:p>
        </w:tc>
      </w:tr>
    </w:tbl>
    <w:p>
      <w:pPr>
        <w:spacing w:after="60"/>
      </w:pPr>
    </w:p>
    <w:p>
      <w:pPr>
        <w:spacing w:after="120" w:line="276"/>
      </w:pPr>
      <w:r>
        <w:rPr>
          <w:rFonts w:ascii="Arial" w:cs="Arial" w:eastAsia="Arial" w:hAnsi="Arial"/>
          <w:b/>
          <w:bCs/>
          <w:sz w:val="19"/>
          <w:szCs w:val="19"/>
        </w:rPr>
        <w:t xml:space="preserve">Activist conclusion:</w:t>
      </w:r>
      <w:r>
        <w:rPr>
          <w:rFonts w:ascii="Arial" w:cs="Arial" w:eastAsia="Arial" w:hAnsi="Arial"/>
          <w:sz w:val="19"/>
          <w:szCs w:val="19"/>
        </w:rPr>
        <w:t xml:space="preserve"> the realistic play is a </w:t>
      </w:r>
      <w:r>
        <w:rPr>
          <w:rFonts w:ascii="Arial" w:cs="Arial" w:eastAsia="Arial" w:hAnsi="Arial"/>
          <w:b/>
          <w:bCs/>
          <w:sz w:val="19"/>
          <w:szCs w:val="19"/>
        </w:rPr>
        <w:t xml:space="preserve">quiet blocking stake (5-10%)</w:t>
      </w:r>
      <w:r>
        <w:rPr>
          <w:rFonts w:ascii="Arial" w:cs="Arial" w:eastAsia="Arial" w:hAnsi="Arial"/>
          <w:sz w:val="19"/>
          <w:szCs w:val="19"/>
        </w:rPr>
        <w:t xml:space="preserve">, engagement on related-party fees and asset monetisation, and a credible "no" on any privatisation below RM2.35. It is not a public campaign.</w:t>
      </w:r>
    </w:p>
    <w:p>
      <w:r>
        <w:br w:type="page"/>
      </w:r>
    </w:p>
    <w:p>
      <w:pPr>
        <w:pStyle w:val="Heading1"/>
      </w:pPr>
      <w:r>
        <w:t xml:space="preserve">27. Fifteen Questions for the CEO and Chairman (Ordered by Information Value)</w:t>
      </w:r>
    </w:p>
    <w:p>
      <w:pPr>
        <w:pStyle w:val="ListParagraph"/>
        <w:numPr>
          <w:ilvl w:val="0"/>
          <w:numId w:val="15"/>
        </w:numPr>
        <w:spacing w:after="60" w:line="264"/>
      </w:pPr>
      <w:r>
        <w:rPr>
          <w:rFonts w:ascii="Arial" w:cs="Arial" w:eastAsia="Arial" w:hAnsi="Arial"/>
          <w:b/>
          <w:bCs/>
          <w:sz w:val="19"/>
          <w:szCs w:val="19"/>
        </w:rPr>
        <w:t xml:space="preserve">Racing support:</w:t>
      </w:r>
      <w:r>
        <w:rPr>
          <w:rFonts w:ascii="Arial" w:cs="Arial" w:eastAsia="Arial" w:hAnsi="Arial"/>
          <w:sz w:val="19"/>
          <w:szCs w:val="19"/>
        </w:rPr>
        <w:t xml:space="preserve"> If New York enforces the ~US$150m a year racing-support payments on top of the 56% slot tax, will you proceed with the US$3.3bn next phase? What is the walk-away IRR, and will you disclose the project hurdle rate?</w:t>
      </w:r>
    </w:p>
    <w:p>
      <w:pPr>
        <w:pStyle w:val="ListParagraph"/>
        <w:numPr>
          <w:ilvl w:val="0"/>
          <w:numId w:val="15"/>
        </w:numPr>
        <w:spacing w:after="60" w:line="264"/>
      </w:pPr>
      <w:r>
        <w:rPr>
          <w:rFonts w:ascii="Arial" w:cs="Arial" w:eastAsia="Arial" w:hAnsi="Arial"/>
          <w:b/>
          <w:bCs/>
          <w:sz w:val="19"/>
          <w:szCs w:val="19"/>
        </w:rPr>
        <w:t xml:space="preserve">Funding plan:</w:t>
      </w:r>
      <w:r>
        <w:rPr>
          <w:rFonts w:ascii="Arial" w:cs="Arial" w:eastAsia="Arial" w:hAnsi="Arial"/>
          <w:sz w:val="19"/>
          <w:szCs w:val="19"/>
        </w:rPr>
        <w:t xml:space="preserve"> How will the remaining ~US$3.7bn of NY capex be funded: secured US debt, perpetuals, asset sales (Miami, Catskills, a RWNYC property sale-leaseback) or GENM equity? Will Genting Bhd commit in writing to take up its pro-rata share of any GENM equity raise?</w:t>
      </w:r>
    </w:p>
    <w:p>
      <w:pPr>
        <w:pStyle w:val="ListParagraph"/>
        <w:numPr>
          <w:ilvl w:val="0"/>
          <w:numId w:val="15"/>
        </w:numPr>
        <w:spacing w:after="60" w:line="264"/>
      </w:pPr>
      <w:r>
        <w:rPr>
          <w:rFonts w:ascii="Arial" w:cs="Arial" w:eastAsia="Arial" w:hAnsi="Arial"/>
          <w:b/>
          <w:bCs/>
          <w:sz w:val="19"/>
          <w:szCs w:val="19"/>
        </w:rPr>
        <w:t xml:space="preserve">Parent cash needs:</w:t>
      </w:r>
      <w:r>
        <w:rPr>
          <w:rFonts w:ascii="Arial" w:cs="Arial" w:eastAsia="Arial" w:hAnsi="Arial"/>
          <w:sz w:val="19"/>
          <w:szCs w:val="19"/>
        </w:rPr>
        <w:t xml:space="preserve"> Given Genting Bhd's RM1.25bn rights issue and ~RM45bn of debt, will GENM's dividend policy, fees or intra-group lending change to support the parent? Can you rule out GENM lending to, or guaranteeing, Genting Bhd entities?</w:t>
      </w:r>
    </w:p>
    <w:p>
      <w:pPr>
        <w:pStyle w:val="ListParagraph"/>
        <w:numPr>
          <w:ilvl w:val="0"/>
          <w:numId w:val="15"/>
        </w:numPr>
        <w:spacing w:after="60" w:line="264"/>
      </w:pPr>
      <w:r>
        <w:rPr>
          <w:rFonts w:ascii="Arial" w:cs="Arial" w:eastAsia="Arial" w:hAnsi="Arial"/>
          <w:b/>
          <w:bCs/>
          <w:sz w:val="19"/>
          <w:szCs w:val="19"/>
        </w:rPr>
        <w:t xml:space="preserve">Privatisation intent:</w:t>
      </w:r>
      <w:r>
        <w:rPr>
          <w:rFonts w:ascii="Arial" w:cs="Arial" w:eastAsia="Arial" w:hAnsi="Arial"/>
          <w:sz w:val="19"/>
          <w:szCs w:val="19"/>
        </w:rPr>
        <w:t xml:space="preserve"> Genting Bhd said it does not intend to maintain GENM's listing. Is a renewed offer, share swap or delisting via an exit offer under consideration once the 12-month post-offer period ends (~Dec-2026)? Would the board treat RM2.35 as a floor?</w:t>
      </w:r>
    </w:p>
    <w:p>
      <w:pPr>
        <w:pStyle w:val="ListParagraph"/>
        <w:numPr>
          <w:ilvl w:val="0"/>
          <w:numId w:val="15"/>
        </w:numPr>
        <w:spacing w:after="60" w:line="264"/>
      </w:pPr>
      <w:r>
        <w:rPr>
          <w:rFonts w:ascii="Arial" w:cs="Arial" w:eastAsia="Arial" w:hAnsi="Arial"/>
          <w:b/>
          <w:bCs/>
          <w:sz w:val="19"/>
          <w:szCs w:val="19"/>
        </w:rPr>
        <w:t xml:space="preserve">Related-party fees:</w:t>
      </w:r>
      <w:r>
        <w:rPr>
          <w:rFonts w:ascii="Arial" w:cs="Arial" w:eastAsia="Arial" w:hAnsi="Arial"/>
          <w:sz w:val="19"/>
          <w:szCs w:val="19"/>
        </w:rPr>
        <w:t xml:space="preserve"> What is the economic basis of the ~RM498m technical know-how and management fee and the RM233m brand licence? Will the independent directors commission an external benchmarking and put the RRPT mandate to a separate minority vote?</w:t>
      </w:r>
    </w:p>
    <w:p>
      <w:pPr>
        <w:pStyle w:val="ListParagraph"/>
        <w:numPr>
          <w:ilvl w:val="0"/>
          <w:numId w:val="15"/>
        </w:numPr>
        <w:spacing w:after="60" w:line="264"/>
      </w:pPr>
      <w:r>
        <w:rPr>
          <w:rFonts w:ascii="Arial" w:cs="Arial" w:eastAsia="Arial" w:hAnsi="Arial"/>
          <w:b/>
          <w:bCs/>
          <w:sz w:val="19"/>
          <w:szCs w:val="19"/>
        </w:rPr>
        <w:t xml:space="preserve">RWNYC economics:</w:t>
      </w:r>
      <w:r>
        <w:rPr>
          <w:rFonts w:ascii="Arial" w:cs="Arial" w:eastAsia="Arial" w:hAnsi="Arial"/>
          <w:sz w:val="19"/>
          <w:szCs w:val="19"/>
        </w:rPr>
        <w:t xml:space="preserve"> What are RWNYC's current EBITDA run-rate, hold-adjusted table win and marketing (free play) as a share of GGR, and the targeted steady-state margin before and after rivals open around 2030?</w:t>
      </w:r>
    </w:p>
    <w:p>
      <w:pPr>
        <w:pStyle w:val="ListParagraph"/>
        <w:numPr>
          <w:ilvl w:val="0"/>
          <w:numId w:val="15"/>
        </w:numPr>
        <w:spacing w:after="60" w:line="264"/>
      </w:pPr>
      <w:r>
        <w:rPr>
          <w:rFonts w:ascii="Arial" w:cs="Arial" w:eastAsia="Arial" w:hAnsi="Arial"/>
          <w:b/>
          <w:bCs/>
          <w:sz w:val="19"/>
          <w:szCs w:val="19"/>
        </w:rPr>
        <w:t xml:space="preserve">Tax equalisation:</w:t>
      </w:r>
      <w:r>
        <w:rPr>
          <w:rFonts w:ascii="Arial" w:cs="Arial" w:eastAsia="Arial" w:hAnsi="Arial"/>
          <w:sz w:val="19"/>
          <w:szCs w:val="19"/>
        </w:rPr>
        <w:t xml:space="preserve"> What legal or contractual basis supports the clause seeking the same tax rate as Metropolitan Park and Bally's (25-30%) once they open? What is your downside plan if Albany refuses?</w:t>
      </w:r>
    </w:p>
    <w:p>
      <w:pPr>
        <w:pStyle w:val="ListParagraph"/>
        <w:numPr>
          <w:ilvl w:val="0"/>
          <w:numId w:val="15"/>
        </w:numPr>
        <w:spacing w:after="60" w:line="264"/>
      </w:pPr>
      <w:r>
        <w:rPr>
          <w:rFonts w:ascii="Arial" w:cs="Arial" w:eastAsia="Arial" w:hAnsi="Arial"/>
          <w:b/>
          <w:bCs/>
          <w:sz w:val="19"/>
          <w:szCs w:val="19"/>
        </w:rPr>
        <w:t xml:space="preserve">Malaysian capacity:</w:t>
      </w:r>
      <w:r>
        <w:rPr>
          <w:rFonts w:ascii="Arial" w:cs="Arial" w:eastAsia="Arial" w:hAnsi="Arial"/>
          <w:sz w:val="19"/>
          <w:szCs w:val="19"/>
        </w:rPr>
        <w:t xml:space="preserve"> When will the two closed RWG casino floors reopen? What incremental mass GGR and EBITDA do you expect, and at what capex?</w:t>
      </w:r>
    </w:p>
    <w:p>
      <w:pPr>
        <w:pStyle w:val="ListParagraph"/>
        <w:numPr>
          <w:ilvl w:val="0"/>
          <w:numId w:val="15"/>
        </w:numPr>
        <w:spacing w:after="60" w:line="264"/>
      </w:pPr>
      <w:r>
        <w:rPr>
          <w:rFonts w:ascii="Arial" w:cs="Arial" w:eastAsia="Arial" w:hAnsi="Arial"/>
          <w:b/>
          <w:bCs/>
          <w:sz w:val="19"/>
          <w:szCs w:val="19"/>
        </w:rPr>
        <w:t xml:space="preserve">Malaysian policy risk:</w:t>
      </w:r>
      <w:r>
        <w:rPr>
          <w:rFonts w:ascii="Arial" w:cs="Arial" w:eastAsia="Arial" w:hAnsi="Arial"/>
          <w:sz w:val="19"/>
          <w:szCs w:val="19"/>
        </w:rPr>
        <w:t xml:space="preserve"> Has the government signalled any change to casino duty, the licence fee or the three-month renewal mechanism? What contingency exists for a PAS-led Pahang state government after GE16?</w:t>
      </w:r>
    </w:p>
    <w:p>
      <w:pPr>
        <w:pStyle w:val="ListParagraph"/>
        <w:numPr>
          <w:ilvl w:val="0"/>
          <w:numId w:val="15"/>
        </w:numPr>
        <w:spacing w:after="60" w:line="264"/>
      </w:pPr>
      <w:r>
        <w:rPr>
          <w:rFonts w:ascii="Arial" w:cs="Arial" w:eastAsia="Arial" w:hAnsi="Arial"/>
          <w:b/>
          <w:bCs/>
          <w:sz w:val="19"/>
          <w:szCs w:val="19"/>
        </w:rPr>
        <w:t xml:space="preserve">Miami:</w:t>
      </w:r>
      <w:r>
        <w:rPr>
          <w:rFonts w:ascii="Arial" w:cs="Arial" w:eastAsia="Arial" w:hAnsi="Arial"/>
          <w:sz w:val="19"/>
          <w:szCs w:val="19"/>
        </w:rPr>
        <w:t xml:space="preserve"> What is the current marketing status and price expectation for the Omni land after the collapsed US$1.225bn sale? Will proceeds be ring-fenced for deleveraging or NY capex?</w:t>
      </w:r>
    </w:p>
    <w:p>
      <w:pPr>
        <w:pStyle w:val="ListParagraph"/>
        <w:numPr>
          <w:ilvl w:val="0"/>
          <w:numId w:val="15"/>
        </w:numPr>
        <w:spacing w:after="60" w:line="264"/>
      </w:pPr>
      <w:r>
        <w:rPr>
          <w:rFonts w:ascii="Arial" w:cs="Arial" w:eastAsia="Arial" w:hAnsi="Arial"/>
          <w:b/>
          <w:bCs/>
          <w:sz w:val="19"/>
          <w:szCs w:val="19"/>
        </w:rPr>
        <w:t xml:space="preserve">Empire Resorts:</w:t>
      </w:r>
      <w:r>
        <w:rPr>
          <w:rFonts w:ascii="Arial" w:cs="Arial" w:eastAsia="Arial" w:hAnsi="Arial"/>
          <w:sz w:val="19"/>
          <w:szCs w:val="19"/>
        </w:rPr>
        <w:t xml:space="preserve"> Total investment is ~US$765m. What is the path to positive EBITDA at Catskills and Hudson Valley once downstate casinos open, and would you sell or close them?</w:t>
      </w:r>
    </w:p>
    <w:p>
      <w:pPr>
        <w:pStyle w:val="ListParagraph"/>
        <w:numPr>
          <w:ilvl w:val="0"/>
          <w:numId w:val="15"/>
        </w:numPr>
        <w:spacing w:after="60" w:line="264"/>
      </w:pPr>
      <w:r>
        <w:rPr>
          <w:rFonts w:ascii="Arial" w:cs="Arial" w:eastAsia="Arial" w:hAnsi="Arial"/>
          <w:b/>
          <w:bCs/>
          <w:sz w:val="19"/>
          <w:szCs w:val="19"/>
        </w:rPr>
        <w:t xml:space="preserve">UK:</w:t>
      </w:r>
      <w:r>
        <w:rPr>
          <w:rFonts w:ascii="Arial" w:cs="Arial" w:eastAsia="Arial" w:hAnsi="Arial"/>
          <w:sz w:val="19"/>
          <w:szCs w:val="19"/>
        </w:rPr>
        <w:t xml:space="preserve"> If machine games duty doubles on 28-Oct-2026, which of the 13 at-risk casinos will close, and what impairments and redundancy costs should we expect? Is the UK business non-core?</w:t>
      </w:r>
    </w:p>
    <w:p>
      <w:pPr>
        <w:pStyle w:val="ListParagraph"/>
        <w:numPr>
          <w:ilvl w:val="0"/>
          <w:numId w:val="15"/>
        </w:numPr>
        <w:spacing w:after="60" w:line="264"/>
      </w:pPr>
      <w:r>
        <w:rPr>
          <w:rFonts w:ascii="Arial" w:cs="Arial" w:eastAsia="Arial" w:hAnsi="Arial"/>
          <w:b/>
          <w:bCs/>
          <w:sz w:val="19"/>
          <w:szCs w:val="19"/>
        </w:rPr>
        <w:t xml:space="preserve">Capital allocation framework:</w:t>
      </w:r>
      <w:r>
        <w:rPr>
          <w:rFonts w:ascii="Arial" w:cs="Arial" w:eastAsia="Arial" w:hAnsi="Arial"/>
          <w:sz w:val="19"/>
          <w:szCs w:val="19"/>
        </w:rPr>
        <w:t xml:space="preserve"> Will the board adopt explicit ROIC targets (above WACC) for growth capex and link executive pay to ROIC/TSR rather than revenue-linked metrics?</w:t>
      </w:r>
    </w:p>
    <w:p>
      <w:pPr>
        <w:pStyle w:val="ListParagraph"/>
        <w:numPr>
          <w:ilvl w:val="0"/>
          <w:numId w:val="15"/>
        </w:numPr>
        <w:spacing w:after="60" w:line="264"/>
      </w:pPr>
      <w:r>
        <w:rPr>
          <w:rFonts w:ascii="Arial" w:cs="Arial" w:eastAsia="Arial" w:hAnsi="Arial"/>
          <w:b/>
          <w:bCs/>
          <w:sz w:val="19"/>
          <w:szCs w:val="19"/>
        </w:rPr>
        <w:t xml:space="preserve">Board independence:</w:t>
      </w:r>
      <w:r>
        <w:rPr>
          <w:rFonts w:ascii="Arial" w:cs="Arial" w:eastAsia="Arial" w:hAnsi="Arial"/>
          <w:sz w:val="19"/>
          <w:szCs w:val="19"/>
        </w:rPr>
        <w:t xml:space="preserve"> Will the board move to an independent majority with an independent chair, in line with MCCG for large companies, and add directors with US gaming and project-finance expertise?</w:t>
      </w:r>
    </w:p>
    <w:p>
      <w:pPr>
        <w:pStyle w:val="ListParagraph"/>
        <w:numPr>
          <w:ilvl w:val="0"/>
          <w:numId w:val="15"/>
        </w:numPr>
        <w:spacing w:after="60" w:line="264"/>
      </w:pPr>
      <w:r>
        <w:rPr>
          <w:rFonts w:ascii="Arial" w:cs="Arial" w:eastAsia="Arial" w:hAnsi="Arial"/>
          <w:b/>
          <w:bCs/>
          <w:sz w:val="19"/>
          <w:szCs w:val="19"/>
        </w:rPr>
        <w:t xml:space="preserve">Succession:</w:t>
      </w:r>
      <w:r>
        <w:rPr>
          <w:rFonts w:ascii="Arial" w:cs="Arial" w:eastAsia="Arial" w:hAnsi="Arial"/>
          <w:sz w:val="19"/>
          <w:szCs w:val="19"/>
        </w:rPr>
        <w:t xml:space="preserve"> Following Lee Choong Yan's departure, who is accountable for the NY build, and what is the CEO succession plan at GENM (as opposed to Genting Bhd)?</w:t>
      </w:r>
    </w:p>
    <w:p>
      <w:r>
        <w:br w:type="page"/>
      </w:r>
    </w:p>
    <w:p>
      <w:pPr>
        <w:pStyle w:val="Heading1"/>
      </w:pPr>
      <w:r>
        <w:t xml:space="preserve">28. Timeline of Key Past Events and Upcoming Catalyst Calendar</w:t>
      </w:r>
    </w:p>
    <w:p>
      <w:pPr>
        <w:pStyle w:val="Heading2"/>
      </w:pPr>
      <w:r>
        <w:t xml:space="preserve">28.1 Timeline of key past events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1"/>
        <w:gridCol w:w="7475"/>
      </w:tblGrid>
      <w:tr>
        <w:trPr>
          <w:tblHeader/>
        </w:trPr>
        <w:tc>
          <w:tcPr>
            <w:tcW w:type="dxa" w:w="243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Date</w:t>
            </w:r>
          </w:p>
        </w:tc>
        <w:tc>
          <w:tcPr>
            <w:tcW w:type="dxa" w:w="747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Event</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28-Apr-1969</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Lim Goh Tong granted Malaysia's sole casino licence</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1989</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GENM (then Resorts World Bhd) listed on Bursa</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Aug-2010</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Buys Genting UK from Genting Singapore (£351.5m; 60.39% approval)</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2011</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Buys Miami Omni/Herald land (~US$236m [u])</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2013</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Launches Genting Integrated Tourism Plan (later RM10.38bn)</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Oct-2016</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Genting HK stake sold to Lim-family vehicle (Golden Hope)</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Feb-2018</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Resorts World Catskills opens</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Q3-2018</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RM1.83bn Mashpee impairment</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2-Nov-2018</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Budget 2019: casino duty 25%→35%, licence fee RM150m (−21% in a week)</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26-Nov-2018</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Fox/Disney terminate theme-park licence; GENM sues (−20% in a week)</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25-Jul-2019</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Fox/Disney settlement</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Aug-Nov 2019</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Empire Resorts RPT and take-private with Kien Huat (−12% in a day)</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Mar-2020 to Oct-2021</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Covid closures of RWG</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Feb-2022</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Genting SkyWorlds opens</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Dec-2022</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RW Hudson Valley opens</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Jun-2023</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US$1.225bn Miami land sale collapses</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Oct-2023</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Crockfords Mayfair closes</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Feb-2024</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Two of RWG's three legacy casino floors closed for renovation</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Mar-2024</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Service tax on gaming 6%→8%</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Dec-2024</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GENM removed from the FBM KLCI</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28-Feb-2025</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4Q24 loss, DPS cut to 4 sen, MSCI Malaysia deletion (−19.5% day)</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May-2025</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Buys Kien Huat's 51% of Empire for US$41m (RM129m bargain gain)</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Aug-2025</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No interim dividend</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13-Oct-2025</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Genting Bhd RM2.35 cash offer</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1-Dec-2025</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Offer closes at 73.13%; NY board selects RWNYC</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15-Dec-2025</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NY Gaming Commission awards the downstate licence</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Jan-2026</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US$500m licence fee paid</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1-Mar-2026</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Lee Choong Yan steps down as President; Lee Thiam Kit appointed</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28-Apr-2026</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RWNYC opens live table games (first in NYC)</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Jun-2026</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US$2.0bn Genting Americas facility; one-year NY racing-support legislative fix</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2-Jul-2026</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Empire US$300m 7.75% notes redeemed</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Jul-2026</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+1,400 slots at RWNYC; phase-2 groundbreaking</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20-Aug-2026</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2Q26: revenue +32%, NP −89%, no interim dividend</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Sep-2026</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Fitch cuts GENM and Genting Bhd to BBB-</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17-Sep-2026</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Buyback "commenced" under AGM mandate</w:t>
            </w:r>
          </w:p>
        </w:tc>
      </w:tr>
      <w:tr>
        <w:trPr>
          <w:cantSplit/>
        </w:trPr>
        <w:tc>
          <w:tcPr>
            <w:tcW w:type="dxa" w:w="2431"/>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9-Oct-2026</w:t>
            </w:r>
          </w:p>
        </w:tc>
        <w:tc>
          <w:tcPr>
            <w:tcW w:type="dxa" w:w="7475"/>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Malaysia Budget 2027 (no gaming change identified [u]); Genting Bhd RM1.25bn rights issue</w:t>
            </w:r>
          </w:p>
        </w:tc>
      </w:tr>
      <w:tr>
        <w:trPr>
          <w:cantSplit/>
        </w:trPr>
        <w:tc>
          <w:tcPr>
            <w:tcW w:type="dxa" w:w="24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12-Oct-2026</w:t>
            </w:r>
          </w:p>
        </w:tc>
        <w:tc>
          <w:tcPr>
            <w:tcW w:type="dxa" w:w="74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GENM −17.4% to RM1.23 (10-year low)</w:t>
            </w:r>
          </w:p>
        </w:tc>
      </w:tr>
    </w:tbl>
    <w:p>
      <w:pPr>
        <w:spacing w:after="60"/>
      </w:pPr>
    </w:p>
    <w:p>
      <w:pPr>
        <w:pStyle w:val="Heading2"/>
      </w:pPr>
      <w:r>
        <w:t xml:space="preserve">28.2 Upcoming catalyst calendar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6"/>
        <w:gridCol w:w="3548"/>
        <w:gridCol w:w="3862"/>
        <w:gridCol w:w="1200"/>
      </w:tblGrid>
      <w:tr>
        <w:trPr>
          <w:tblHeader/>
        </w:trPr>
        <w:tc>
          <w:tcPr>
            <w:tcW w:type="dxa" w:w="129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Date (est.)</w:t>
            </w:r>
          </w:p>
        </w:tc>
        <w:tc>
          <w:tcPr>
            <w:tcW w:type="dxa" w:w="354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Event</w:t>
            </w:r>
          </w:p>
        </w:tc>
        <w:tc>
          <w:tcPr>
            <w:tcW w:type="dxa" w:w="386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Why it matters</w:t>
            </w:r>
          </w:p>
        </w:tc>
        <w:tc>
          <w:tcPr>
            <w:tcW w:type="dxa" w:w="120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after="0" w:before="0" w:line="240"/>
              <w:jc w:val="left"/>
            </w:pPr>
            <w:r>
              <w:rPr>
                <w:rFonts w:ascii="Arial" w:cs="Arial" w:eastAsia="Arial" w:hAnsi="Arial"/>
                <w:b/>
                <w:bCs/>
                <w:color w:val="FFFFFF"/>
                <w:sz w:val="15"/>
                <w:szCs w:val="15"/>
              </w:rPr>
              <w:t xml:space="preserve">Importance</w:t>
            </w:r>
          </w:p>
        </w:tc>
      </w:tr>
      <w:tr>
        <w:trPr>
          <w:cantSplit/>
        </w:trPr>
        <w:tc>
          <w:tcPr>
            <w:tcW w:type="dxa" w:w="12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28-Oct-2026</w:t>
            </w:r>
          </w:p>
        </w:tc>
        <w:tc>
          <w:tcPr>
            <w:tcW w:type="dxa" w:w="354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UK Autumn Budget</w:t>
            </w:r>
          </w:p>
        </w:tc>
        <w:tc>
          <w:tcPr>
            <w:tcW w:type="dxa" w:w="386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Machine games duty doubling would put 13 of 32 UK casinos at risk; impairments</w:t>
            </w:r>
          </w:p>
        </w:tc>
        <w:tc>
          <w:tcPr>
            <w:tcW w:type="dxa" w:w="120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Medium</w:t>
            </w:r>
          </w:p>
        </w:tc>
      </w:tr>
      <w:tr>
        <w:trPr>
          <w:cantSplit/>
        </w:trPr>
        <w:tc>
          <w:tcPr>
            <w:tcW w:type="dxa" w:w="12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Weekly, ongoing</w:t>
            </w:r>
          </w:p>
        </w:tc>
        <w:tc>
          <w:tcPr>
            <w:tcW w:type="dxa" w:w="354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NY Gaming Commission weekly RWNYC GGR data</w:t>
            </w:r>
          </w:p>
        </w:tc>
        <w:tc>
          <w:tcPr>
            <w:tcW w:type="dxa" w:w="386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Real-time test of the ramp (~US$30.8m a week in Jul-26)</w:t>
            </w:r>
          </w:p>
        </w:tc>
        <w:tc>
          <w:tcPr>
            <w:tcW w:type="dxa" w:w="120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High</w:t>
            </w:r>
          </w:p>
        </w:tc>
      </w:tr>
      <w:tr>
        <w:trPr>
          <w:cantSplit/>
        </w:trPr>
        <w:tc>
          <w:tcPr>
            <w:tcW w:type="dxa" w:w="12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Mid-Nov-2026</w:t>
            </w:r>
          </w:p>
        </w:tc>
        <w:tc>
          <w:tcPr>
            <w:tcW w:type="dxa" w:w="354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MSCI semi-annual review (GENM in Malaysia Small Cap)</w:t>
            </w:r>
          </w:p>
        </w:tc>
        <w:tc>
          <w:tcPr>
            <w:tcW w:type="dxa" w:w="386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Possible small-cap deletion or weight cut given 26% float</w:t>
            </w:r>
          </w:p>
        </w:tc>
        <w:tc>
          <w:tcPr>
            <w:tcW w:type="dxa" w:w="120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Medium</w:t>
            </w:r>
          </w:p>
        </w:tc>
      </w:tr>
      <w:tr>
        <w:trPr>
          <w:cantSplit/>
        </w:trPr>
        <w:tc>
          <w:tcPr>
            <w:tcW w:type="dxa" w:w="12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~26-Nov-2026</w:t>
            </w:r>
          </w:p>
        </w:tc>
        <w:tc>
          <w:tcPr>
            <w:tcW w:type="dxa" w:w="354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3Q26 results</w:t>
            </w:r>
          </w:p>
        </w:tc>
        <w:tc>
          <w:tcPr>
            <w:tcW w:type="dxa" w:w="386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First full quarter of NY table games; FX; any dividend signal; NY EBITDA run-rate</w:t>
            </w:r>
          </w:p>
        </w:tc>
        <w:tc>
          <w:tcPr>
            <w:tcW w:type="dxa" w:w="120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High</w:t>
            </w:r>
          </w:p>
        </w:tc>
      </w:tr>
      <w:tr>
        <w:trPr>
          <w:cantSplit/>
        </w:trPr>
        <w:tc>
          <w:tcPr>
            <w:tcW w:type="dxa" w:w="12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~1-Dec-2026 [u]</w:t>
            </w:r>
          </w:p>
        </w:tc>
        <w:tc>
          <w:tcPr>
            <w:tcW w:type="dxa" w:w="354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End of the 12-month post-offer window</w:t>
            </w:r>
          </w:p>
        </w:tc>
        <w:tc>
          <w:tcPr>
            <w:tcW w:type="dxa" w:w="386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Genting Bhd can resume buying; 75% threshold (~66m shares, ~RM84m) reopens a delisting route</w:t>
            </w:r>
          </w:p>
        </w:tc>
        <w:tc>
          <w:tcPr>
            <w:tcW w:type="dxa" w:w="120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High</w:t>
            </w:r>
          </w:p>
        </w:tc>
      </w:tr>
      <w:tr>
        <w:trPr>
          <w:cantSplit/>
        </w:trPr>
        <w:tc>
          <w:tcPr>
            <w:tcW w:type="dxa" w:w="12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Dec-2026</w:t>
            </w:r>
          </w:p>
        </w:tc>
        <w:tc>
          <w:tcPr>
            <w:tcW w:type="dxa" w:w="354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FBM KLCI semi-annual review</w:t>
            </w:r>
          </w:p>
        </w:tc>
        <w:tc>
          <w:tcPr>
            <w:tcW w:type="dxa" w:w="386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Re-entry unlikely</w:t>
            </w:r>
          </w:p>
        </w:tc>
        <w:tc>
          <w:tcPr>
            <w:tcW w:type="dxa" w:w="120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Low</w:t>
            </w:r>
          </w:p>
        </w:tc>
      </w:tr>
      <w:tr>
        <w:trPr>
          <w:cantSplit/>
        </w:trPr>
        <w:tc>
          <w:tcPr>
            <w:tcW w:type="dxa" w:w="12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Dec-2026 / Jan-2027</w:t>
            </w:r>
          </w:p>
        </w:tc>
        <w:tc>
          <w:tcPr>
            <w:tcW w:type="dxa" w:w="354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ECRL rail opens</w:t>
            </w:r>
          </w:p>
        </w:tc>
        <w:tc>
          <w:tcPr>
            <w:tcW w:type="dxa" w:w="386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Access to Genting Highlands</w:t>
            </w:r>
          </w:p>
        </w:tc>
        <w:tc>
          <w:tcPr>
            <w:tcW w:type="dxa" w:w="120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Low</w:t>
            </w:r>
          </w:p>
        </w:tc>
      </w:tr>
      <w:tr>
        <w:trPr>
          <w:cantSplit/>
        </w:trPr>
        <w:tc>
          <w:tcPr>
            <w:tcW w:type="dxa" w:w="12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4Q26-1Q27</w:t>
            </w:r>
          </w:p>
        </w:tc>
        <w:tc>
          <w:tcPr>
            <w:tcW w:type="dxa" w:w="354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Genting Bhd rights issue (EGM, books close, completion 1Q27)</w:t>
            </w:r>
          </w:p>
        </w:tc>
        <w:tc>
          <w:tcPr>
            <w:tcW w:type="dxa" w:w="386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Removes parent overhang; shows parent's funding capacity</w:t>
            </w:r>
          </w:p>
        </w:tc>
        <w:tc>
          <w:tcPr>
            <w:tcW w:type="dxa" w:w="120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High</w:t>
            </w:r>
          </w:p>
        </w:tc>
      </w:tr>
      <w:tr>
        <w:trPr>
          <w:cantSplit/>
        </w:trPr>
        <w:tc>
          <w:tcPr>
            <w:tcW w:type="dxa" w:w="12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Jan-Jun 2027</w:t>
            </w:r>
          </w:p>
        </w:tc>
        <w:tc>
          <w:tcPr>
            <w:tcW w:type="dxa" w:w="354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NY legislative session: racing-support fix expires; tax equalisation debate</w:t>
            </w:r>
          </w:p>
        </w:tc>
        <w:tc>
          <w:tcPr>
            <w:tcW w:type="dxa" w:w="386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~US$150m a year swing in EBITDA</w:t>
            </w:r>
          </w:p>
        </w:tc>
        <w:tc>
          <w:tcPr>
            <w:tcW w:type="dxa" w:w="120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Critical</w:t>
            </w:r>
          </w:p>
        </w:tc>
      </w:tr>
      <w:tr>
        <w:trPr>
          <w:cantSplit/>
        </w:trPr>
        <w:tc>
          <w:tcPr>
            <w:tcW w:type="dxa" w:w="12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~25-Feb-2027</w:t>
            </w:r>
          </w:p>
        </w:tc>
        <w:tc>
          <w:tcPr>
            <w:tcW w:type="dxa" w:w="354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FY26 results and final dividend</w:t>
            </w:r>
          </w:p>
        </w:tc>
        <w:tc>
          <w:tcPr>
            <w:tcW w:type="dxa" w:w="386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Consensus DPS 7.3 sen; we expect 5 sen; risk of a cut</w:t>
            </w:r>
          </w:p>
        </w:tc>
        <w:tc>
          <w:tcPr>
            <w:tcW w:type="dxa" w:w="120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High</w:t>
            </w:r>
          </w:p>
        </w:tc>
      </w:tr>
      <w:tr>
        <w:trPr>
          <w:cantSplit/>
        </w:trPr>
        <w:tc>
          <w:tcPr>
            <w:tcW w:type="dxa" w:w="12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31-Mar-2027</w:t>
            </w:r>
          </w:p>
        </w:tc>
        <w:tc>
          <w:tcPr>
            <w:tcW w:type="dxa" w:w="354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RM1.1bn 4.98% MTN maturity</w:t>
            </w:r>
          </w:p>
        </w:tc>
        <w:tc>
          <w:tcPr>
            <w:tcW w:type="dxa" w:w="386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First refinancing test at BBB-</w:t>
            </w:r>
          </w:p>
        </w:tc>
        <w:tc>
          <w:tcPr>
            <w:tcW w:type="dxa" w:w="120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Medium</w:t>
            </w:r>
          </w:p>
        </w:tc>
      </w:tr>
      <w:tr>
        <w:trPr>
          <w:cantSplit/>
        </w:trPr>
        <w:tc>
          <w:tcPr>
            <w:tcW w:type="dxa" w:w="12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~late May-2027</w:t>
            </w:r>
          </w:p>
        </w:tc>
        <w:tc>
          <w:tcPr>
            <w:tcW w:type="dxa" w:w="354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1Q27 results</w:t>
            </w:r>
          </w:p>
        </w:tc>
        <w:tc>
          <w:tcPr>
            <w:tcW w:type="dxa" w:w="386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Clean YoY comparison vs pre-opening 1Q26</w:t>
            </w:r>
          </w:p>
        </w:tc>
        <w:tc>
          <w:tcPr>
            <w:tcW w:type="dxa" w:w="120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Medium</w:t>
            </w:r>
          </w:p>
        </w:tc>
      </w:tr>
      <w:tr>
        <w:trPr>
          <w:cantSplit/>
        </w:trPr>
        <w:tc>
          <w:tcPr>
            <w:tcW w:type="dxa" w:w="12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Jun-2027</w:t>
            </w:r>
          </w:p>
        </w:tc>
        <w:tc>
          <w:tcPr>
            <w:tcW w:type="dxa" w:w="354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AGM (RRPT mandate, buyback mandate, director elections); Malaysian minimum wage rises to RM2,000</w:t>
            </w:r>
          </w:p>
        </w:tc>
        <w:tc>
          <w:tcPr>
            <w:tcW w:type="dxa" w:w="386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Minority vote on the RRPT mandate</w:t>
            </w:r>
            <w:r>
              <w:rPr>
                <w:rFonts w:ascii="Arial" w:cs="Arial" w:eastAsia="Arial" w:hAnsi="Arial"/>
                <w:b w:val="false"/>
                <w:bCs w:val="false"/>
                <w:color w:val="1A1F2B"/>
                <w:sz w:val="15"/>
                <w:szCs w:val="15"/>
              </w:rPr>
              <w:t xml:space="preserve">; cost pressure</w:t>
            </w:r>
          </w:p>
        </w:tc>
        <w:tc>
          <w:tcPr>
            <w:tcW w:type="dxa" w:w="120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Medium-High</w:t>
            </w:r>
          </w:p>
        </w:tc>
      </w:tr>
      <w:tr>
        <w:trPr>
          <w:cantSplit/>
        </w:trPr>
        <w:tc>
          <w:tcPr>
            <w:tcW w:type="dxa" w:w="12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2027</w:t>
            </w:r>
          </w:p>
        </w:tc>
        <w:tc>
          <w:tcPr>
            <w:tcW w:type="dxa" w:w="354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Possible Miami land sale, Catskills restructuring, RWNYC property monetisation</w:t>
            </w:r>
          </w:p>
        </w:tc>
        <w:tc>
          <w:tcPr>
            <w:tcW w:type="dxa" w:w="386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Value crystallisation and deleveraging</w:t>
            </w:r>
          </w:p>
        </w:tc>
        <w:tc>
          <w:tcPr>
            <w:tcW w:type="dxa" w:w="120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High (optional)</w:t>
            </w:r>
          </w:p>
        </w:tc>
      </w:tr>
      <w:tr>
        <w:trPr>
          <w:cantSplit/>
        </w:trPr>
        <w:tc>
          <w:tcPr>
            <w:tcW w:type="dxa" w:w="12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By early 2028</w:t>
            </w:r>
          </w:p>
        </w:tc>
        <w:tc>
          <w:tcPr>
            <w:tcW w:type="dxa" w:w="354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Malaysian GE16 (PAS/Pahang risk)</w:t>
            </w:r>
          </w:p>
        </w:tc>
        <w:tc>
          <w:tcPr>
            <w:tcW w:type="dxa" w:w="386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Licence and policy tail risk</w:t>
            </w:r>
          </w:p>
        </w:tc>
        <w:tc>
          <w:tcPr>
            <w:tcW w:type="dxa" w:w="120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High (tail)</w:t>
            </w:r>
          </w:p>
        </w:tc>
      </w:tr>
      <w:tr>
        <w:trPr>
          <w:cantSplit/>
        </w:trPr>
        <w:tc>
          <w:tcPr>
            <w:tcW w:type="dxa" w:w="1296"/>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2029</w:t>
            </w:r>
          </w:p>
        </w:tc>
        <w:tc>
          <w:tcPr>
            <w:tcW w:type="dxa" w:w="3548"/>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RWNYC phase-2 completion; US$625m notes mature</w:t>
            </w:r>
          </w:p>
        </w:tc>
        <w:tc>
          <w:tcPr>
            <w:tcW w:type="dxa" w:w="3862"/>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Earnings step-up; refinancing</w:t>
            </w:r>
          </w:p>
        </w:tc>
        <w:tc>
          <w:tcPr>
            <w:tcW w:type="dxa" w:w="1200"/>
            <w:tcBorders>
              <w:top w:val="single" w:color="D5D9E0" w:sz="2"/>
              <w:left w:val="none" w:color="FFFFFF" w:sz="0"/>
              <w:bottom w:val="single" w:color="D5D9E0" w:sz="2"/>
              <w:right w:val="none" w:color="FFFFFF" w:sz="0"/>
            </w:tcBorders>
            <w:shd w:fill="F7F8FA" w:color="auto" w:val="clear"/>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High</w:t>
            </w:r>
          </w:p>
        </w:tc>
      </w:tr>
      <w:tr>
        <w:trPr>
          <w:cantSplit/>
        </w:trPr>
        <w:tc>
          <w:tcPr>
            <w:tcW w:type="dxa" w:w="12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bCs/>
                <w:color w:val="1A1F2B"/>
                <w:sz w:val="15"/>
                <w:szCs w:val="15"/>
              </w:rPr>
              <w:t xml:space="preserve">~2030</w:t>
            </w:r>
          </w:p>
        </w:tc>
        <w:tc>
          <w:tcPr>
            <w:tcW w:type="dxa" w:w="354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Metropolitan Park and Bally's Bronx open</w:t>
            </w:r>
          </w:p>
        </w:tc>
        <w:tc>
          <w:tcPr>
            <w:tcW w:type="dxa" w:w="386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End of NYC exclusivity; tax-disadvantage test</w:t>
            </w:r>
          </w:p>
        </w:tc>
        <w:tc>
          <w:tcPr>
            <w:tcW w:type="dxa" w:w="120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after="0" w:before="0" w:line="240"/>
              <w:jc w:val="left"/>
            </w:pPr>
            <w:r>
              <w:rPr>
                <w:rFonts w:ascii="Arial" w:cs="Arial" w:eastAsia="Arial" w:hAnsi="Arial"/>
                <w:b w:val="false"/>
                <w:bCs w:val="false"/>
                <w:color w:val="1A1F2B"/>
                <w:sz w:val="15"/>
                <w:szCs w:val="15"/>
              </w:rPr>
              <w:t xml:space="preserve">Critical (long term)</w:t>
            </w:r>
          </w:p>
        </w:tc>
      </w:tr>
    </w:tbl>
    <w:p>
      <w:pPr>
        <w:spacing w:after="60"/>
      </w:pPr>
    </w:p>
    <w:p>
      <w:r>
        <w:br w:type="page"/>
      </w:r>
    </w:p>
    <w:p>
      <w:pPr>
        <w:pStyle w:val="Heading1"/>
      </w:pPr>
      <w:r>
        <w:t xml:space="preserve">Appendix A: Sources, Methodology and Data Notes</w:t>
      </w:r>
    </w:p>
    <w:p>
      <w:pPr>
        <w:pStyle w:val="Heading2"/>
      </w:pPr>
      <w:r>
        <w:t xml:space="preserve">A.1 Data sources</w:t>
      </w:r>
    </w:p>
    <w:p>
      <w:pPr>
        <w:pStyle w:val="ListParagraph"/>
        <w:numPr>
          <w:ilvl w:val="0"/>
          <w:numId w:val="3"/>
        </w:numPr>
        <w:spacing w:after="60" w:line="264"/>
      </w:pPr>
      <w:r>
        <w:rPr>
          <w:rFonts w:ascii="Arial" w:cs="Arial" w:eastAsia="Arial" w:hAnsi="Arial"/>
          <w:b/>
          <w:bCs/>
          <w:sz w:val="19"/>
          <w:szCs w:val="19"/>
        </w:rPr>
        <w:t xml:space="preserve">S&amp;P Capital IQ</w:t>
      </w:r>
      <w:r>
        <w:rPr>
          <w:rFonts w:ascii="Arial" w:cs="Arial" w:eastAsia="Arial" w:hAnsi="Arial"/>
          <w:sz w:val="19"/>
          <w:szCs w:val="19"/>
        </w:rPr>
        <w:t xml:space="preserve"> (Deterministic and Adaptive Retrieval): financial statements, segments, estimates, multiples, market data, key developments, transactions, professionals and compensation, business relationships. Per the analyst's tool routing, S&amp;P Adaptive Retrieval was used for cross-company screens (peers, transactions) and S&amp;P drill-down for GENM-specific data.</w:t>
      </w:r>
    </w:p>
    <w:p>
      <w:pPr>
        <w:pStyle w:val="ListParagraph"/>
        <w:numPr>
          <w:ilvl w:val="0"/>
          <w:numId w:val="3"/>
        </w:numPr>
        <w:spacing w:after="60" w:line="264"/>
      </w:pPr>
      <w:r>
        <w:rPr>
          <w:rFonts w:ascii="Arial" w:cs="Arial" w:eastAsia="Arial" w:hAnsi="Arial"/>
          <w:b/>
          <w:bCs/>
          <w:sz w:val="19"/>
          <w:szCs w:val="19"/>
        </w:rPr>
        <w:t xml:space="preserve">Company filings:</w:t>
      </w:r>
      <w:r>
        <w:rPr>
          <w:rFonts w:ascii="Arial" w:cs="Arial" w:eastAsia="Arial" w:hAnsi="Arial"/>
          <w:sz w:val="19"/>
          <w:szCs w:val="19"/>
        </w:rPr>
        <w:t xml:space="preserve"> GENM Integrated Annual Report 2025; quarterly reports and press releases 1Q25-2Q26 (via S&amp;P machine-readable filings); Bursa Malaysia announcements.</w:t>
      </w:r>
    </w:p>
    <w:p>
      <w:pPr>
        <w:pStyle w:val="ListParagraph"/>
        <w:numPr>
          <w:ilvl w:val="0"/>
          <w:numId w:val="3"/>
        </w:numPr>
        <w:spacing w:after="60" w:line="264"/>
      </w:pPr>
      <w:r>
        <w:rPr>
          <w:rFonts w:ascii="Arial" w:cs="Arial" w:eastAsia="Arial" w:hAnsi="Arial"/>
          <w:b/>
          <w:bCs/>
          <w:sz w:val="19"/>
          <w:szCs w:val="19"/>
        </w:rPr>
        <w:t xml:space="preserve">Regulators and government:</w:t>
      </w:r>
      <w:r>
        <w:rPr>
          <w:rFonts w:ascii="Arial" w:cs="Arial" w:eastAsia="Arial" w:hAnsi="Arial"/>
          <w:sz w:val="19"/>
          <w:szCs w:val="19"/>
        </w:rPr>
        <w:t xml:space="preserve"> New York State Gaming Commission, nycasinos.ny.gov, Franchise Oversight Board; Malaysian Budget 2026/2027 documents (via summaries); UK HMRC/gov.uk.</w:t>
      </w:r>
    </w:p>
    <w:p>
      <w:pPr>
        <w:pStyle w:val="ListParagraph"/>
        <w:numPr>
          <w:ilvl w:val="0"/>
          <w:numId w:val="3"/>
        </w:numPr>
        <w:spacing w:after="60" w:line="264"/>
      </w:pPr>
      <w:r>
        <w:rPr>
          <w:rFonts w:ascii="Arial" w:cs="Arial" w:eastAsia="Arial" w:hAnsi="Arial"/>
          <w:b/>
          <w:bCs/>
          <w:sz w:val="19"/>
          <w:szCs w:val="19"/>
        </w:rPr>
        <w:t xml:space="preserve">News and research (via search-result summaries):</w:t>
      </w:r>
      <w:r>
        <w:rPr>
          <w:rFonts w:ascii="Arial" w:cs="Arial" w:eastAsia="Arial" w:hAnsi="Arial"/>
          <w:sz w:val="19"/>
          <w:szCs w:val="19"/>
        </w:rPr>
        <w:t xml:space="preserve"> The Edge Malaysia, The Star, New Straits Times, Malay Mail, Bernama, BusinessToday, Free Malaysia Today, GGRAsia, Asia Gaming Brief, Inside Asian Gaming/ASGAM, CDC Gaming, NY Focus, iGaming Business, Yogonet, Bloomberg, Fitch, S&amp;P, RAM, UOB Kay Hian, Maybank IB, Kenanga, HLIB, Affin Hwang, TA Securities, Nomura, CreditSights.</w:t>
      </w:r>
    </w:p>
    <w:p>
      <w:pPr>
        <w:pStyle w:val="ListParagraph"/>
        <w:numPr>
          <w:ilvl w:val="0"/>
          <w:numId w:val="3"/>
        </w:numPr>
        <w:spacing w:after="60" w:line="264"/>
      </w:pPr>
      <w:r>
        <w:rPr>
          <w:rFonts w:ascii="Arial" w:cs="Arial" w:eastAsia="Arial" w:hAnsi="Arial"/>
          <w:b/>
          <w:bCs/>
          <w:sz w:val="19"/>
          <w:szCs w:val="19"/>
        </w:rPr>
        <w:t xml:space="preserve">Not available:</w:t>
      </w:r>
      <w:r>
        <w:rPr>
          <w:rFonts w:ascii="Arial" w:cs="Arial" w:eastAsia="Arial" w:hAnsi="Arial"/>
          <w:sz w:val="19"/>
          <w:szCs w:val="19"/>
        </w:rPr>
        <w:t xml:space="preserve"> ProntoNLP is not authorised in this session, so sentiment uses a disclosed analyst rubric. S&amp;P holds no GENM call transcripts.</w:t>
      </w:r>
    </w:p>
    <w:p>
      <w:pPr>
        <w:pStyle w:val="Heading2"/>
      </w:pPr>
      <w:r>
        <w:t xml:space="preserve">A.2 Key definitions</w:t>
      </w:r>
    </w:p>
    <w:p>
      <w:pPr>
        <w:pStyle w:val="ListParagraph"/>
        <w:numPr>
          <w:ilvl w:val="0"/>
          <w:numId w:val="3"/>
        </w:numPr>
        <w:spacing w:after="60" w:line="264"/>
      </w:pPr>
      <w:r>
        <w:rPr>
          <w:rFonts w:ascii="Arial" w:cs="Arial" w:eastAsia="Arial" w:hAnsi="Arial"/>
          <w:b/>
          <w:bCs/>
          <w:sz w:val="19"/>
          <w:szCs w:val="19"/>
        </w:rPr>
        <w:t xml:space="preserve">Adj. EBITDA (company):</w:t>
      </w:r>
      <w:r>
        <w:rPr>
          <w:rFonts w:ascii="Arial" w:cs="Arial" w:eastAsia="Arial" w:hAnsi="Arial"/>
          <w:sz w:val="19"/>
          <w:szCs w:val="19"/>
        </w:rPr>
        <w:t xml:space="preserve"> EBITDA excluding impairments, pre-opening costs, disposal gains/losses and write-offs. </w:t>
      </w:r>
      <w:r>
        <w:rPr>
          <w:rFonts w:ascii="Arial" w:cs="Arial" w:eastAsia="Arial" w:hAnsi="Arial"/>
          <w:b/>
          <w:bCs/>
          <w:sz w:val="19"/>
          <w:szCs w:val="19"/>
        </w:rPr>
        <w:t xml:space="preserve">It includes unrealised FX translation on USD borrowings</w:t>
      </w:r>
      <w:r>
        <w:rPr>
          <w:rFonts w:ascii="Arial" w:cs="Arial" w:eastAsia="Arial" w:hAnsi="Arial"/>
          <w:sz w:val="19"/>
          <w:szCs w:val="19"/>
        </w:rPr>
        <w:t xml:space="preserve">; we show ex-FX figures alongside.</w:t>
      </w:r>
    </w:p>
    <w:p>
      <w:pPr>
        <w:pStyle w:val="ListParagraph"/>
        <w:numPr>
          <w:ilvl w:val="0"/>
          <w:numId w:val="3"/>
        </w:numPr>
        <w:spacing w:after="60" w:line="264"/>
      </w:pPr>
      <w:r>
        <w:rPr>
          <w:rFonts w:ascii="Arial" w:cs="Arial" w:eastAsia="Arial" w:hAnsi="Arial"/>
          <w:b/>
          <w:bCs/>
          <w:sz w:val="19"/>
          <w:szCs w:val="19"/>
        </w:rPr>
        <w:t xml:space="preserve">EV / TEV:</w:t>
      </w:r>
      <w:r>
        <w:rPr>
          <w:rFonts w:ascii="Arial" w:cs="Arial" w:eastAsia="Arial" w:hAnsi="Arial"/>
          <w:sz w:val="19"/>
          <w:szCs w:val="19"/>
        </w:rPr>
        <w:t xml:space="preserve"> market cap plus total debt including leases, less cash and money-market funds. CIQ TEV also deducts the negative non-controlling interest (Bimini), hence RM20.4bn vs RM21.4bn on our basis.</w:t>
      </w:r>
    </w:p>
    <w:p>
      <w:pPr>
        <w:pStyle w:val="ListParagraph"/>
        <w:numPr>
          <w:ilvl w:val="0"/>
          <w:numId w:val="3"/>
        </w:numPr>
        <w:spacing w:after="60" w:line="264"/>
      </w:pPr>
      <w:r>
        <w:rPr>
          <w:rFonts w:ascii="Arial" w:cs="Arial" w:eastAsia="Arial" w:hAnsi="Arial"/>
          <w:b/>
          <w:bCs/>
          <w:sz w:val="19"/>
          <w:szCs w:val="19"/>
        </w:rPr>
        <w:t xml:space="preserve">Segment EBIT:</w:t>
      </w:r>
      <w:r>
        <w:rPr>
          <w:rFonts w:ascii="Arial" w:cs="Arial" w:eastAsia="Arial" w:hAnsi="Arial"/>
          <w:sz w:val="19"/>
          <w:szCs w:val="19"/>
        </w:rPr>
        <w:t xml:space="preserve"> segment adj. EBITDA less segment D&amp;A (our derivation; GENM does not report segment EBIT, PBT or net income).</w:t>
      </w:r>
    </w:p>
    <w:p>
      <w:pPr>
        <w:pStyle w:val="ListParagraph"/>
        <w:numPr>
          <w:ilvl w:val="0"/>
          <w:numId w:val="3"/>
        </w:numPr>
        <w:spacing w:after="60" w:line="264"/>
      </w:pPr>
      <w:r>
        <w:rPr>
          <w:rFonts w:ascii="Arial" w:cs="Arial" w:eastAsia="Arial" w:hAnsi="Arial"/>
          <w:b/>
          <w:bCs/>
          <w:sz w:val="19"/>
          <w:szCs w:val="19"/>
        </w:rPr>
        <w:t xml:space="preserve">[u]</w:t>
      </w:r>
      <w:r>
        <w:rPr>
          <w:rFonts w:ascii="Arial" w:cs="Arial" w:eastAsia="Arial" w:hAnsi="Arial"/>
          <w:sz w:val="19"/>
          <w:szCs w:val="19"/>
        </w:rPr>
        <w:t xml:space="preserve"> = unverified or single secondary source; </w:t>
      </w:r>
      <w:r>
        <w:rPr>
          <w:rFonts w:ascii="Arial" w:cs="Arial" w:eastAsia="Arial" w:hAnsi="Arial"/>
          <w:b/>
          <w:bCs/>
          <w:sz w:val="19"/>
          <w:szCs w:val="19"/>
        </w:rPr>
        <w:t xml:space="preserve">[e]</w:t>
      </w:r>
      <w:r>
        <w:rPr>
          <w:rFonts w:ascii="Arial" w:cs="Arial" w:eastAsia="Arial" w:hAnsi="Arial"/>
          <w:sz w:val="19"/>
          <w:szCs w:val="19"/>
        </w:rPr>
        <w:t xml:space="preserve"> = our estimate or derivation.</w:t>
      </w:r>
    </w:p>
    <w:p>
      <w:pPr>
        <w:pStyle w:val="Heading2"/>
      </w:pPr>
      <w:r>
        <w:t xml:space="preserve">A.3 Model notes</w:t>
      </w:r>
    </w:p>
    <w:p>
      <w:pPr>
        <w:pStyle w:val="ListParagraph"/>
        <w:numPr>
          <w:ilvl w:val="0"/>
          <w:numId w:val="3"/>
        </w:numPr>
        <w:spacing w:after="60" w:line="264"/>
      </w:pPr>
      <w:r>
        <w:rPr>
          <w:rFonts w:ascii="Arial" w:cs="Arial" w:eastAsia="Arial" w:hAnsi="Arial"/>
          <w:b/>
          <w:bCs/>
          <w:sz w:val="19"/>
          <w:szCs w:val="19"/>
        </w:rPr>
        <w:t xml:space="preserve">Our FY26-28E forecasts</w:t>
      </w:r>
      <w:r>
        <w:rPr>
          <w:rFonts w:ascii="Arial" w:cs="Arial" w:eastAsia="Arial" w:hAnsi="Arial"/>
          <w:sz w:val="19"/>
          <w:szCs w:val="19"/>
        </w:rPr>
        <w:t xml:space="preserve"> build up segment EBITDA:</w:t>
      </w:r>
    </w:p>
    <w:p>
      <w:pPr>
        <w:pStyle w:val="ListParagraph"/>
        <w:numPr>
          <w:ilvl w:val="1"/>
          <w:numId w:val="3"/>
        </w:numPr>
        <w:spacing w:after="60" w:line="264"/>
      </w:pPr>
      <w:r>
        <w:rPr>
          <w:rFonts w:ascii="Arial" w:cs="Arial" w:eastAsia="Arial" w:hAnsi="Arial"/>
          <w:sz w:val="19"/>
          <w:szCs w:val="19"/>
        </w:rPr>
        <w:t xml:space="preserve">RWNYC ramp: ~US$62m a quarter for the US&amp;B segment in 2H26, then US$262m in FY27E and US$310m in FY28E, net of ~US$40m a year assumed racing support.</w:t>
      </w:r>
    </w:p>
    <w:p>
      <w:pPr>
        <w:pStyle w:val="ListParagraph"/>
        <w:numPr>
          <w:ilvl w:val="1"/>
          <w:numId w:val="3"/>
        </w:numPr>
        <w:spacing w:after="60" w:line="264"/>
      </w:pPr>
      <w:r>
        <w:rPr>
          <w:rFonts w:ascii="Arial" w:cs="Arial" w:eastAsia="Arial" w:hAnsi="Arial"/>
          <w:sz w:val="19"/>
          <w:szCs w:val="19"/>
        </w:rPr>
        <w:t xml:space="preserve">Interest rising with debt, with ~RM100m a year capitalised from FY27; Malaysian tax at 24% with limited US shelter; no change in share count.</w:t>
      </w:r>
    </w:p>
    <w:p>
      <w:pPr>
        <w:pStyle w:val="ListParagraph"/>
        <w:numPr>
          <w:ilvl w:val="0"/>
          <w:numId w:val="3"/>
        </w:numPr>
        <w:spacing w:after="60" w:line="264"/>
      </w:pPr>
      <w:r>
        <w:rPr>
          <w:rFonts w:ascii="Arial" w:cs="Arial" w:eastAsia="Arial" w:hAnsi="Arial"/>
          <w:b/>
          <w:bCs/>
          <w:sz w:val="19"/>
          <w:szCs w:val="19"/>
        </w:rPr>
        <w:t xml:space="preserve">SOTP</w:t>
      </w:r>
      <w:r>
        <w:rPr>
          <w:rFonts w:ascii="Arial" w:cs="Arial" w:eastAsia="Arial" w:hAnsi="Arial"/>
          <w:sz w:val="19"/>
          <w:szCs w:val="19"/>
        </w:rPr>
        <w:t xml:space="preserve"> on FY27E segment EBITDA, Jun-26 net debt including leases, NY phase 2 treated as NPV-neutral in the base case, and a 15% control/governance discount (10% in bear and bull).</w:t>
      </w:r>
    </w:p>
    <w:p>
      <w:pPr>
        <w:pStyle w:val="ListParagraph"/>
        <w:numPr>
          <w:ilvl w:val="0"/>
          <w:numId w:val="3"/>
        </w:numPr>
        <w:spacing w:after="60" w:line="264"/>
      </w:pPr>
      <w:r>
        <w:rPr>
          <w:rFonts w:ascii="Arial" w:cs="Arial" w:eastAsia="Arial" w:hAnsi="Arial"/>
          <w:b/>
          <w:bCs/>
          <w:sz w:val="19"/>
          <w:szCs w:val="19"/>
        </w:rPr>
        <w:t xml:space="preserve">Regression:</w:t>
      </w:r>
      <w:r>
        <w:rPr>
          <w:rFonts w:ascii="Arial" w:cs="Arial" w:eastAsia="Arial" w:hAnsi="Arial"/>
          <w:sz w:val="19"/>
          <w:szCs w:val="19"/>
        </w:rPr>
        <w:t xml:space="preserve"> OLS of TEV/Sales on LTM EBIT margin across 22 core listed peers (R² 0.63). The chart plots TEV/Sales on the x-axis and EBIT margin on the y-axis, as requested.</w:t>
      </w:r>
    </w:p>
    <w:p>
      <w:pPr>
        <w:pStyle w:val="Heading2"/>
      </w:pPr>
      <w:r>
        <w:t xml:space="preserve">A.4 Important caveats</w:t>
      </w:r>
    </w:p>
    <w:p>
      <w:pPr>
        <w:pStyle w:val="ListParagraph"/>
        <w:numPr>
          <w:ilvl w:val="0"/>
          <w:numId w:val="3"/>
        </w:numPr>
        <w:spacing w:after="60" w:line="264"/>
      </w:pPr>
      <w:r>
        <w:rPr>
          <w:rFonts w:ascii="Arial" w:cs="Arial" w:eastAsia="Arial" w:hAnsi="Arial"/>
          <w:sz w:val="19"/>
          <w:szCs w:val="19"/>
        </w:rPr>
        <w:t xml:space="preserve">Direct access to news websites was blocked in this environment. Press-sourced facts rest on search-engine summaries and should be verified against primary documents before external use. Items marked [u] in particular: the Bursa delisting-objection threshold and post-offer acquisition restrictions, the NY licence term and racing-support status, the VIP casino duty rate, and the Budget 2027 tax annex.</w:t>
      </w:r>
    </w:p>
    <w:p>
      <w:pPr>
        <w:pStyle w:val="ListParagraph"/>
        <w:numPr>
          <w:ilvl w:val="0"/>
          <w:numId w:val="3"/>
        </w:numPr>
        <w:spacing w:after="60" w:line="264"/>
      </w:pPr>
      <w:r>
        <w:rPr>
          <w:rFonts w:ascii="Arial" w:cs="Arial" w:eastAsia="Arial" w:hAnsi="Arial"/>
          <w:sz w:val="19"/>
          <w:szCs w:val="19"/>
        </w:rPr>
        <w:t xml:space="preserve">Consensus target prices predate the 12-Oct-2026 sell-off.</w:t>
      </w:r>
    </w:p>
    <w:p>
      <w:pPr>
        <w:pStyle w:val="ListParagraph"/>
        <w:numPr>
          <w:ilvl w:val="0"/>
          <w:numId w:val="3"/>
        </w:numPr>
        <w:spacing w:after="60" w:line="264"/>
      </w:pPr>
      <w:r>
        <w:rPr>
          <w:rFonts w:ascii="Arial" w:cs="Arial" w:eastAsia="Arial" w:hAnsi="Arial"/>
          <w:sz w:val="19"/>
          <w:szCs w:val="19"/>
        </w:rPr>
        <w:t xml:space="preserve">This document is for internal investment-committee discussion only and is not investment advice.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270"/>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270"/>
        <w:sz w:val="14"/>
        <w:szCs w:val="14"/>
      </w:rPr>
      <w:t xml:space="preserve">Genting Malaysia Berhad (GENM MK) | Equity Research | 18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2C6FD1"/>
      </w:r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4213D" w:sz="8" w:space="4"/>
      </w:pBdr>
      <w:spacing w:after="140" w:before="320"/>
      <w:outlineLvl w:val="0"/>
    </w:pPr>
    <w:rPr>
      <w:rFonts w:ascii="Arial" w:cs="Arial" w:eastAsia="Arial" w:hAnsi="Arial"/>
      <w:b/>
      <w:bCs/>
      <w:color w:val="14213D"/>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C6FD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4213D"/>
      <w:sz w:val="20"/>
      <w:szCs w:val="20"/>
    </w:rPr>
  </w:style>
  <w:style w:type="paragraph" w:styleId="Heading4">
    <w:name w:val="Heading 4"/>
    <w:basedOn w:val="Normal"/>
    <w:next w:val="Normal"/>
    <w:qFormat/>
    <w:pPr>
      <w:spacing w:after="60" w:before="120"/>
      <w:outlineLvl w:val="3"/>
    </w:pPr>
    <w:rPr>
      <w:rFonts w:ascii="Arial" w:cs="Arial" w:eastAsia="Arial" w:hAnsi="Arial"/>
      <w:b/>
      <w:bCs/>
      <w:i/>
      <w:iCs/>
      <w:color w:val="5A6270"/>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e035b410c1ad2f06810d5fe5a4c4df295d54e9.png"/><Relationship Id="rId10" Type="http://schemas.openxmlformats.org/officeDocument/2006/relationships/image" Target="media/218a9c7e94bf8b9c1eb8b9f1b576809a43deb1de.png"/><Relationship Id="rId11" Type="http://schemas.openxmlformats.org/officeDocument/2006/relationships/image" Target="media/780b42d8c6fb376fe80d021a394ca07ec7569ce4.png"/><Relationship Id="rId12" Type="http://schemas.openxmlformats.org/officeDocument/2006/relationships/image" Target="media/564da822fc206239d41eb7e4d549a04d0f98418c.png"/><Relationship Id="rId13" Type="http://schemas.openxmlformats.org/officeDocument/2006/relationships/image" Target="media/af1ebbfa226baab24a18c4ce2a8e29c2fc2ed573.png"/><Relationship Id="rId14" Type="http://schemas.openxmlformats.org/officeDocument/2006/relationships/image" Target="media/e5ae22bf120a809bf3b11ab2e10b6ba334a69a12.png"/><Relationship Id="rId15" Type="http://schemas.openxmlformats.org/officeDocument/2006/relationships/image" Target="media/c7c889169372c9f2aed0ed3d472573c61cb4019c.png"/><Relationship Id="rId16" Type="http://schemas.openxmlformats.org/officeDocument/2006/relationships/image" Target="media/865878ef0958dc6a2d3b39111e815e99a9c199b3.png"/><Relationship Id="rId17" Type="http://schemas.openxmlformats.org/officeDocument/2006/relationships/image" Target="media/3ab2893ffa63258688b73702f4aa7c9c90342961.png"/><Relationship Id="rId18" Type="http://schemas.openxmlformats.org/officeDocument/2006/relationships/image" Target="media/4ee5f5ec5381add40438c7213d892920f2ee283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Genting Malaysia Berhad (GENM MK) - Equity Research</dc:title>
  <dc:creator>Equity Research</dc:creator>
  <cp:lastModifiedBy>Un-named</cp:lastModifiedBy>
  <cp:revision>1</cp:revision>
  <dcterms:created xsi:type="dcterms:W3CDTF">2026-10-18T22:42:42.757Z</dcterms:created>
  <dcterms:modified xsi:type="dcterms:W3CDTF">2026-10-18T22:42:42.757Z</dcterms:modified>
</cp:coreProperties>
</file>

<file path=docProps/custom.xml><?xml version="1.0" encoding="utf-8"?>
<Properties xmlns="http://schemas.openxmlformats.org/officeDocument/2006/custom-properties" xmlns:vt="http://schemas.openxmlformats.org/officeDocument/2006/docPropsVTypes"/>
</file>